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5A" w:rsidRDefault="00D9035A" w:rsidP="00E93866">
      <w:pPr>
        <w:pStyle w:val="Articletitle"/>
        <w:jc w:val="center"/>
      </w:pPr>
      <w:bookmarkStart w:id="0" w:name="_Hlk518587981"/>
      <w:r>
        <w:t xml:space="preserve">Assessing Cocaine Use Patterns </w:t>
      </w:r>
      <w:r w:rsidRPr="007D2B37">
        <w:t xml:space="preserve">in the Brazilian Capital </w:t>
      </w:r>
      <w:r>
        <w:t>by Wastewater-Based Epidemiology</w:t>
      </w:r>
      <w:bookmarkEnd w:id="0"/>
    </w:p>
    <w:p w:rsidR="00944CCF" w:rsidRPr="00E93866" w:rsidRDefault="00944CCF" w:rsidP="00E93866">
      <w:pPr>
        <w:pStyle w:val="Authornames"/>
        <w:jc w:val="center"/>
        <w:rPr>
          <w:sz w:val="22"/>
        </w:rPr>
      </w:pPr>
      <w:r w:rsidRPr="00E93866">
        <w:rPr>
          <w:sz w:val="24"/>
        </w:rPr>
        <w:t xml:space="preserve">K. M. </w:t>
      </w:r>
      <w:proofErr w:type="spellStart"/>
      <w:r w:rsidRPr="00E93866">
        <w:rPr>
          <w:sz w:val="24"/>
        </w:rPr>
        <w:t>Silva</w:t>
      </w:r>
      <w:r w:rsidRPr="00E93866">
        <w:rPr>
          <w:sz w:val="24"/>
          <w:vertAlign w:val="superscript"/>
        </w:rPr>
        <w:t>a</w:t>
      </w:r>
      <w:proofErr w:type="spellEnd"/>
      <w:r w:rsidRPr="00E93866">
        <w:rPr>
          <w:sz w:val="24"/>
        </w:rPr>
        <w:t xml:space="preserve">, J. B. </w:t>
      </w:r>
      <w:proofErr w:type="spellStart"/>
      <w:r w:rsidRPr="00E93866">
        <w:rPr>
          <w:sz w:val="24"/>
        </w:rPr>
        <w:t>Quintana</w:t>
      </w:r>
      <w:r w:rsidRPr="00E93866">
        <w:rPr>
          <w:sz w:val="24"/>
          <w:vertAlign w:val="superscript"/>
        </w:rPr>
        <w:t>b</w:t>
      </w:r>
      <w:proofErr w:type="spellEnd"/>
      <w:r w:rsidRPr="00E93866">
        <w:rPr>
          <w:sz w:val="24"/>
        </w:rPr>
        <w:t>, I. Gonzalez-</w:t>
      </w:r>
      <w:proofErr w:type="spellStart"/>
      <w:r w:rsidRPr="00E93866">
        <w:rPr>
          <w:sz w:val="24"/>
        </w:rPr>
        <w:t>Mariño</w:t>
      </w:r>
      <w:r w:rsidRPr="00E93866">
        <w:rPr>
          <w:sz w:val="24"/>
          <w:vertAlign w:val="superscript"/>
        </w:rPr>
        <w:t>b</w:t>
      </w:r>
      <w:proofErr w:type="spellEnd"/>
      <w:r w:rsidRPr="00E93866">
        <w:rPr>
          <w:sz w:val="24"/>
        </w:rPr>
        <w:t xml:space="preserve">, R. </w:t>
      </w:r>
      <w:proofErr w:type="spellStart"/>
      <w:r w:rsidRPr="00E93866">
        <w:rPr>
          <w:sz w:val="24"/>
        </w:rPr>
        <w:t>Rodil</w:t>
      </w:r>
      <w:r w:rsidRPr="00E93866">
        <w:rPr>
          <w:sz w:val="24"/>
          <w:vertAlign w:val="superscript"/>
        </w:rPr>
        <w:t>b</w:t>
      </w:r>
      <w:proofErr w:type="spellEnd"/>
      <w:r w:rsidRPr="00E93866">
        <w:rPr>
          <w:sz w:val="24"/>
        </w:rPr>
        <w:t xml:space="preserve">, A. D. </w:t>
      </w:r>
      <w:proofErr w:type="spellStart"/>
      <w:r w:rsidRPr="00E93866">
        <w:rPr>
          <w:sz w:val="24"/>
        </w:rPr>
        <w:t>Gallassi</w:t>
      </w:r>
      <w:r w:rsidRPr="00E93866">
        <w:rPr>
          <w:sz w:val="24"/>
          <w:vertAlign w:val="superscript"/>
        </w:rPr>
        <w:t>c</w:t>
      </w:r>
      <w:proofErr w:type="spellEnd"/>
      <w:r w:rsidRPr="00E93866">
        <w:rPr>
          <w:sz w:val="24"/>
        </w:rPr>
        <w:t xml:space="preserve">, L. C. </w:t>
      </w:r>
      <w:proofErr w:type="spellStart"/>
      <w:r w:rsidRPr="00E93866">
        <w:rPr>
          <w:sz w:val="24"/>
        </w:rPr>
        <w:t>Arantes</w:t>
      </w:r>
      <w:r w:rsidRPr="00E93866">
        <w:rPr>
          <w:sz w:val="24"/>
          <w:vertAlign w:val="superscript"/>
        </w:rPr>
        <w:t>d</w:t>
      </w:r>
      <w:proofErr w:type="spellEnd"/>
      <w:r w:rsidRPr="00E93866">
        <w:rPr>
          <w:sz w:val="24"/>
        </w:rPr>
        <w:t xml:space="preserve"> and F. F. </w:t>
      </w:r>
      <w:proofErr w:type="spellStart"/>
      <w:r w:rsidRPr="00E93866">
        <w:rPr>
          <w:sz w:val="24"/>
        </w:rPr>
        <w:t>Sodré</w:t>
      </w:r>
      <w:r w:rsidRPr="00E93866">
        <w:rPr>
          <w:sz w:val="24"/>
          <w:vertAlign w:val="superscript"/>
        </w:rPr>
        <w:t>a</w:t>
      </w:r>
      <w:proofErr w:type="spellEnd"/>
      <w:r w:rsidRPr="00E93866">
        <w:rPr>
          <w:sz w:val="24"/>
        </w:rPr>
        <w:t>*</w:t>
      </w:r>
    </w:p>
    <w:p w:rsidR="00944CCF" w:rsidRPr="00634587" w:rsidRDefault="00944CCF" w:rsidP="00E93866">
      <w:pPr>
        <w:pStyle w:val="Affiliation"/>
        <w:jc w:val="center"/>
        <w:rPr>
          <w:lang w:val="en-US"/>
        </w:rPr>
      </w:pPr>
      <w:proofErr w:type="spellStart"/>
      <w:r w:rsidRPr="00634587">
        <w:rPr>
          <w:vertAlign w:val="superscript"/>
          <w:lang w:val="en-US"/>
        </w:rPr>
        <w:t>a</w:t>
      </w:r>
      <w:r w:rsidRPr="00634587">
        <w:rPr>
          <w:lang w:val="en-US"/>
        </w:rPr>
        <w:t>Institute</w:t>
      </w:r>
      <w:proofErr w:type="spellEnd"/>
      <w:r w:rsidRPr="00634587">
        <w:rPr>
          <w:lang w:val="en-US"/>
        </w:rPr>
        <w:t xml:space="preserve"> of Chemistry, University of Brasilia, Brasilia, 70297-400, Brazil; </w:t>
      </w:r>
      <w:proofErr w:type="spellStart"/>
      <w:r w:rsidRPr="00634587">
        <w:rPr>
          <w:vertAlign w:val="superscript"/>
          <w:lang w:val="en-US"/>
        </w:rPr>
        <w:t>b</w:t>
      </w:r>
      <w:r w:rsidRPr="00634587">
        <w:rPr>
          <w:lang w:val="en-US"/>
        </w:rPr>
        <w:t>University</w:t>
      </w:r>
      <w:proofErr w:type="spellEnd"/>
      <w:r w:rsidRPr="00634587">
        <w:rPr>
          <w:lang w:val="en-US"/>
        </w:rPr>
        <w:t xml:space="preserve"> of Santiago de Compostela, Santiago de </w:t>
      </w:r>
      <w:proofErr w:type="spellStart"/>
      <w:r w:rsidRPr="00634587">
        <w:rPr>
          <w:lang w:val="en-US"/>
        </w:rPr>
        <w:t>Compostela</w:t>
      </w:r>
      <w:proofErr w:type="spellEnd"/>
      <w:r w:rsidRPr="00634587">
        <w:rPr>
          <w:lang w:val="en-US"/>
        </w:rPr>
        <w:t>, 15782, Spain;</w:t>
      </w:r>
      <w:r w:rsidRPr="00634587">
        <w:rPr>
          <w:vertAlign w:val="superscript"/>
          <w:lang w:val="en-US"/>
        </w:rPr>
        <w:t xml:space="preserve"> </w:t>
      </w:r>
      <w:proofErr w:type="spellStart"/>
      <w:r w:rsidRPr="00634587">
        <w:rPr>
          <w:vertAlign w:val="superscript"/>
          <w:lang w:val="en-US"/>
        </w:rPr>
        <w:t>c</w:t>
      </w:r>
      <w:r w:rsidRPr="00634587">
        <w:rPr>
          <w:iCs/>
          <w:lang w:val="en-US"/>
        </w:rPr>
        <w:t>Center</w:t>
      </w:r>
      <w:proofErr w:type="spellEnd"/>
      <w:r w:rsidRPr="00634587">
        <w:rPr>
          <w:iCs/>
          <w:lang w:val="en-US"/>
        </w:rPr>
        <w:t xml:space="preserve"> of Drugs and Associated Vulnerabilities</w:t>
      </w:r>
      <w:r w:rsidRPr="00634587">
        <w:rPr>
          <w:i w:val="0"/>
          <w:lang w:val="en-US"/>
        </w:rPr>
        <w:t xml:space="preserve">, </w:t>
      </w:r>
      <w:r w:rsidRPr="00634587">
        <w:rPr>
          <w:lang w:val="en-US"/>
        </w:rPr>
        <w:t xml:space="preserve">University of Brasilia, </w:t>
      </w:r>
      <w:proofErr w:type="spellStart"/>
      <w:r w:rsidRPr="00634587">
        <w:rPr>
          <w:lang w:val="en-US"/>
        </w:rPr>
        <w:t>Ceilândia</w:t>
      </w:r>
      <w:proofErr w:type="spellEnd"/>
      <w:r w:rsidRPr="00634587">
        <w:rPr>
          <w:lang w:val="en-US"/>
        </w:rPr>
        <w:t xml:space="preserve"> campus, 72220-900, Brazil;</w:t>
      </w:r>
      <w:r w:rsidRPr="00634587">
        <w:rPr>
          <w:vertAlign w:val="superscript"/>
          <w:lang w:val="en-US"/>
        </w:rPr>
        <w:t xml:space="preserve"> </w:t>
      </w:r>
      <w:proofErr w:type="spellStart"/>
      <w:r w:rsidRPr="00634587">
        <w:rPr>
          <w:vertAlign w:val="superscript"/>
          <w:lang w:val="en-US"/>
        </w:rPr>
        <w:t>d</w:t>
      </w:r>
      <w:r w:rsidRPr="00634587">
        <w:rPr>
          <w:lang w:val="en-US"/>
        </w:rPr>
        <w:t>Institute</w:t>
      </w:r>
      <w:proofErr w:type="spellEnd"/>
      <w:r w:rsidRPr="00634587">
        <w:rPr>
          <w:lang w:val="en-US"/>
        </w:rPr>
        <w:t xml:space="preserve"> of Criminalistics, Department of Technical Police, Brasília, 70610-907, Brazil</w:t>
      </w:r>
    </w:p>
    <w:p w:rsidR="00944CCF" w:rsidRDefault="00944CCF" w:rsidP="00944CCF">
      <w:pPr>
        <w:pStyle w:val="Correspondencedetails"/>
      </w:pPr>
      <w:r>
        <w:t>*</w:t>
      </w:r>
      <w:r w:rsidR="00E93866">
        <w:t xml:space="preserve">Corresponding author. Email: </w:t>
      </w:r>
      <w:r>
        <w:t>ffsodre@unb.br</w:t>
      </w:r>
    </w:p>
    <w:p w:rsidR="00944CCF" w:rsidRDefault="00944CCF" w:rsidP="00944CCF">
      <w:pPr>
        <w:pStyle w:val="Paragraph"/>
        <w:rPr>
          <w:lang w:val="en-US"/>
        </w:rPr>
      </w:pPr>
    </w:p>
    <w:p w:rsidR="00D9035A" w:rsidRPr="00D9035A" w:rsidRDefault="00D9035A" w:rsidP="00D9035A">
      <w:pPr>
        <w:pStyle w:val="Ttulo1"/>
        <w:jc w:val="center"/>
      </w:pPr>
      <w:r w:rsidRPr="00D9035A">
        <w:t>SUPPLEMENTAL MATERIAL</w:t>
      </w:r>
    </w:p>
    <w:p w:rsidR="00D9035A" w:rsidRPr="00D9035A" w:rsidRDefault="00D9035A" w:rsidP="00D9035A">
      <w:pPr>
        <w:pStyle w:val="Newparagraph"/>
        <w:rPr>
          <w:lang w:val="en-US"/>
        </w:rPr>
      </w:pPr>
    </w:p>
    <w:p w:rsidR="00944CCF" w:rsidRPr="00944CCF" w:rsidRDefault="00944CCF" w:rsidP="00944CCF">
      <w:pPr>
        <w:pStyle w:val="Ttulo1"/>
      </w:pPr>
      <w:r w:rsidRPr="00944CCF">
        <w:t>Linearity</w:t>
      </w:r>
      <w:r>
        <w:t xml:space="preserve"> </w:t>
      </w:r>
      <w:r w:rsidR="00E93866">
        <w:t>and limits of detection and quantification</w:t>
      </w:r>
    </w:p>
    <w:p w:rsidR="00D9035A" w:rsidRDefault="00052CEF" w:rsidP="00BA68DA">
      <w:pPr>
        <w:pStyle w:val="Paragraph"/>
        <w:rPr>
          <w:lang w:val="en-US"/>
        </w:rPr>
      </w:pPr>
      <w:r>
        <w:rPr>
          <w:lang w:val="en-US"/>
        </w:rPr>
        <w:t>L</w:t>
      </w:r>
      <w:r w:rsidR="00BA68DA" w:rsidRPr="00BA68DA">
        <w:rPr>
          <w:lang w:val="en-US"/>
        </w:rPr>
        <w:t>inear regression parameters of the</w:t>
      </w:r>
      <w:r w:rsidR="00BA68DA">
        <w:rPr>
          <w:lang w:val="en-US"/>
        </w:rPr>
        <w:t xml:space="preserve"> </w:t>
      </w:r>
      <w:r w:rsidR="00BA68DA" w:rsidRPr="00BA68DA">
        <w:rPr>
          <w:lang w:val="en-US"/>
        </w:rPr>
        <w:t xml:space="preserve">analytical curves constructed for </w:t>
      </w:r>
      <w:r>
        <w:rPr>
          <w:lang w:val="en-US"/>
        </w:rPr>
        <w:t>quantification</w:t>
      </w:r>
      <w:r w:rsidR="00BA68DA" w:rsidRPr="00BA68DA">
        <w:rPr>
          <w:lang w:val="en-US"/>
        </w:rPr>
        <w:t xml:space="preserve"> of </w:t>
      </w:r>
      <w:r>
        <w:rPr>
          <w:lang w:val="en-US"/>
        </w:rPr>
        <w:t xml:space="preserve">cocaine (COC), benzoylecgonine (BE) and cocaethylene (COE) in wastewater samples by </w:t>
      </w:r>
      <w:r w:rsidRPr="001F006C">
        <w:t xml:space="preserve">liquid chromatography coupled to high-resolution </w:t>
      </w:r>
      <w:r>
        <w:t xml:space="preserve">hybrid </w:t>
      </w:r>
      <w:r w:rsidRPr="00283998">
        <w:t xml:space="preserve">quadrupole-time-of-flight </w:t>
      </w:r>
      <w:r>
        <w:t xml:space="preserve">mass </w:t>
      </w:r>
      <w:r w:rsidR="009166FD">
        <w:t>spectrometry</w:t>
      </w:r>
      <w:r w:rsidRPr="001F006C">
        <w:t xml:space="preserve"> </w:t>
      </w:r>
      <w:r>
        <w:t>(</w:t>
      </w:r>
      <w:r w:rsidRPr="001F006C">
        <w:t>LC-QTOF</w:t>
      </w:r>
      <w:r>
        <w:t>)</w:t>
      </w:r>
      <w:r>
        <w:rPr>
          <w:lang w:val="en-US"/>
        </w:rPr>
        <w:t xml:space="preserve"> </w:t>
      </w:r>
      <w:r w:rsidR="00BA68DA" w:rsidRPr="00BA68DA">
        <w:rPr>
          <w:lang w:val="en-US"/>
        </w:rPr>
        <w:t xml:space="preserve">are presented in Table </w:t>
      </w:r>
      <w:r>
        <w:rPr>
          <w:lang w:val="en-US"/>
        </w:rPr>
        <w:t>S1</w:t>
      </w:r>
      <w:r w:rsidR="00BA68DA" w:rsidRPr="00BA68DA">
        <w:rPr>
          <w:lang w:val="en-US"/>
        </w:rPr>
        <w:t>.</w:t>
      </w:r>
    </w:p>
    <w:p w:rsidR="00052CEF" w:rsidRDefault="00052CEF" w:rsidP="00052CEF">
      <w:pPr>
        <w:pStyle w:val="Tabletitle"/>
      </w:pPr>
      <w:r w:rsidRPr="00944CCF">
        <w:t xml:space="preserve">Table </w:t>
      </w:r>
      <w:r w:rsidR="006F251E">
        <w:t>S1</w:t>
      </w:r>
      <w:r w:rsidRPr="00944CCF">
        <w:t xml:space="preserve">. </w:t>
      </w:r>
      <w:r>
        <w:t>Parameters of the analytical curves</w:t>
      </w:r>
      <w:r w:rsidR="006A1F84">
        <w:t xml:space="preserve"> and limits of determination and quantification</w:t>
      </w:r>
      <w:r>
        <w:t xml:space="preserve"> for the investigated analytes determined by LC-QTOF</w:t>
      </w:r>
      <w:r w:rsidRPr="00944CCF"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1843"/>
        <w:gridCol w:w="763"/>
        <w:gridCol w:w="763"/>
        <w:gridCol w:w="763"/>
        <w:gridCol w:w="763"/>
        <w:gridCol w:w="764"/>
      </w:tblGrid>
      <w:tr w:rsidR="006A1F84" w:rsidRPr="00052CEF" w:rsidTr="009166FD"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bookmarkStart w:id="1" w:name="_Hlk522361308"/>
            <w:r>
              <w:rPr>
                <w:sz w:val="20"/>
                <w:szCs w:val="20"/>
              </w:rPr>
              <w:t>Analyte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Range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Curve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A1F8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LOD</w:t>
            </w:r>
            <w:r w:rsidRPr="009166FD"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LOQ</w:t>
            </w:r>
            <w:r w:rsidRPr="009166FD"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Default="006A1F84" w:rsidP="009166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LOD</w:t>
            </w:r>
            <w:r w:rsidRPr="009166FD">
              <w:rPr>
                <w:i/>
                <w:sz w:val="20"/>
                <w:szCs w:val="20"/>
              </w:rPr>
              <w:t>m</w:t>
            </w:r>
            <w:proofErr w:type="spellEnd"/>
            <w:r w:rsidR="009166FD">
              <w:rPr>
                <w:sz w:val="20"/>
                <w:szCs w:val="20"/>
              </w:rPr>
              <w:t>*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Default="006A1F84" w:rsidP="009166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LOQ</w:t>
            </w:r>
            <w:r w:rsidRPr="009166FD">
              <w:rPr>
                <w:i/>
                <w:sz w:val="20"/>
                <w:szCs w:val="20"/>
              </w:rPr>
              <w:t>m</w:t>
            </w:r>
            <w:proofErr w:type="spellEnd"/>
            <w:r w:rsidR="009166FD">
              <w:rPr>
                <w:sz w:val="20"/>
                <w:szCs w:val="20"/>
              </w:rPr>
              <w:t>*</w:t>
            </w:r>
          </w:p>
        </w:tc>
      </w:tr>
      <w:bookmarkEnd w:id="1"/>
      <w:tr w:rsidR="006A1F84" w:rsidRPr="00052CEF" w:rsidTr="009166FD">
        <w:tc>
          <w:tcPr>
            <w:tcW w:w="9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9166FD" w:rsidRDefault="006A1F84" w:rsidP="009166FD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µg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y</w:t>
            </w:r>
            <w:r>
              <w:rPr>
                <w:sz w:val="20"/>
                <w:szCs w:val="22"/>
              </w:rPr>
              <w:t xml:space="preserve"> = a + b </w:t>
            </w: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9166FD" w:rsidRDefault="006A1F84" w:rsidP="009166FD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µg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9166FD" w:rsidRDefault="006A1F84" w:rsidP="009166FD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µg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9166FD" w:rsidRDefault="006A1F84" w:rsidP="009166FD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ng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9166FD" w:rsidRDefault="006A1F84" w:rsidP="009166FD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ng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</w:tr>
      <w:tr w:rsidR="006A1F84" w:rsidRPr="00052CEF" w:rsidTr="009166FD">
        <w:tc>
          <w:tcPr>
            <w:tcW w:w="943" w:type="dxa"/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COC-d3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90</w:t>
            </w:r>
            <w:r w:rsidR="009166FD">
              <w:rPr>
                <w:sz w:val="20"/>
                <w:szCs w:val="22"/>
              </w:rPr>
              <w:t xml:space="preserve"> </w:t>
            </w:r>
            <w:r w:rsidR="009166FD">
              <w:rPr>
                <w:rFonts w:ascii="Calibri" w:hAnsi="Calibri" w:cs="Calibri"/>
                <w:sz w:val="20"/>
                <w:szCs w:val="22"/>
              </w:rPr>
              <w:t>−</w:t>
            </w:r>
            <w:r w:rsidR="009166FD">
              <w:rPr>
                <w:sz w:val="20"/>
                <w:szCs w:val="22"/>
              </w:rPr>
              <w:t xml:space="preserve"> </w:t>
            </w:r>
            <w:r w:rsidRPr="00B96595">
              <w:rPr>
                <w:sz w:val="20"/>
                <w:szCs w:val="22"/>
              </w:rPr>
              <w:t>700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y</w:t>
            </w:r>
            <w:r>
              <w:rPr>
                <w:sz w:val="20"/>
                <w:szCs w:val="22"/>
              </w:rPr>
              <w:t xml:space="preserve"> = 0.045 + 0.</w:t>
            </w:r>
            <w:r w:rsidRPr="00B96595">
              <w:rPr>
                <w:sz w:val="20"/>
                <w:szCs w:val="22"/>
              </w:rPr>
              <w:t>005</w:t>
            </w:r>
            <w:r>
              <w:rPr>
                <w:sz w:val="20"/>
                <w:szCs w:val="22"/>
              </w:rPr>
              <w:t xml:space="preserve"> </w:t>
            </w: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x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</w:t>
            </w:r>
            <w:r w:rsidRPr="00B96595">
              <w:rPr>
                <w:sz w:val="20"/>
                <w:szCs w:val="22"/>
              </w:rPr>
              <w:t>996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27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90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86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288</w:t>
            </w:r>
          </w:p>
        </w:tc>
      </w:tr>
      <w:tr w:rsidR="006A1F84" w:rsidRPr="00052CEF" w:rsidTr="009166FD">
        <w:tc>
          <w:tcPr>
            <w:tcW w:w="943" w:type="dxa"/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BE-d3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70</w:t>
            </w:r>
            <w:r w:rsidR="009166FD">
              <w:rPr>
                <w:sz w:val="20"/>
                <w:szCs w:val="22"/>
              </w:rPr>
              <w:t xml:space="preserve"> </w:t>
            </w:r>
            <w:r w:rsidR="009166FD">
              <w:rPr>
                <w:rFonts w:ascii="Calibri" w:hAnsi="Calibri" w:cs="Calibri"/>
                <w:sz w:val="20"/>
                <w:szCs w:val="22"/>
              </w:rPr>
              <w:t>−</w:t>
            </w:r>
            <w:r w:rsidR="009166FD">
              <w:rPr>
                <w:sz w:val="20"/>
                <w:szCs w:val="22"/>
              </w:rPr>
              <w:t xml:space="preserve"> </w:t>
            </w:r>
            <w:r w:rsidRPr="00B96595">
              <w:rPr>
                <w:sz w:val="20"/>
                <w:szCs w:val="22"/>
              </w:rPr>
              <w:t>1000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y</w:t>
            </w:r>
            <w:r>
              <w:rPr>
                <w:sz w:val="20"/>
                <w:szCs w:val="22"/>
              </w:rPr>
              <w:t xml:space="preserve"> = </w:t>
            </w:r>
            <w:r w:rsidRPr="00B96595">
              <w:rPr>
                <w:sz w:val="20"/>
                <w:szCs w:val="22"/>
              </w:rPr>
              <w:t>-0</w:t>
            </w:r>
            <w:r>
              <w:rPr>
                <w:sz w:val="20"/>
                <w:szCs w:val="22"/>
              </w:rPr>
              <w:t>.</w:t>
            </w:r>
            <w:r w:rsidRPr="00B96595">
              <w:rPr>
                <w:sz w:val="20"/>
                <w:szCs w:val="22"/>
              </w:rPr>
              <w:t>046</w:t>
            </w:r>
            <w:r>
              <w:rPr>
                <w:sz w:val="20"/>
                <w:szCs w:val="22"/>
              </w:rPr>
              <w:t xml:space="preserve"> </w:t>
            </w:r>
            <w:r w:rsidRPr="00B96595">
              <w:rPr>
                <w:sz w:val="20"/>
                <w:szCs w:val="22"/>
              </w:rPr>
              <w:t>+</w:t>
            </w:r>
            <w:r>
              <w:rPr>
                <w:sz w:val="20"/>
                <w:szCs w:val="22"/>
              </w:rPr>
              <w:t xml:space="preserve"> </w:t>
            </w:r>
            <w:r w:rsidRPr="00B96595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.</w:t>
            </w:r>
            <w:r w:rsidRPr="00B96595">
              <w:rPr>
                <w:sz w:val="20"/>
                <w:szCs w:val="22"/>
              </w:rPr>
              <w:t>007</w:t>
            </w:r>
            <w:r>
              <w:rPr>
                <w:sz w:val="20"/>
                <w:szCs w:val="22"/>
              </w:rPr>
              <w:t xml:space="preserve"> </w:t>
            </w: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x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.</w:t>
            </w:r>
            <w:r w:rsidRPr="00B96595">
              <w:rPr>
                <w:sz w:val="20"/>
                <w:szCs w:val="22"/>
              </w:rPr>
              <w:t>999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21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70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65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215</w:t>
            </w:r>
          </w:p>
        </w:tc>
      </w:tr>
      <w:tr w:rsidR="009166FD" w:rsidRPr="00052CEF" w:rsidTr="009166FD">
        <w:tc>
          <w:tcPr>
            <w:tcW w:w="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052CEF" w:rsidRDefault="006A1F84" w:rsidP="009166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COE-d3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15</w:t>
            </w:r>
            <w:r w:rsidR="009166FD">
              <w:rPr>
                <w:sz w:val="20"/>
                <w:szCs w:val="22"/>
              </w:rPr>
              <w:t xml:space="preserve"> </w:t>
            </w:r>
            <w:r w:rsidR="009166FD">
              <w:rPr>
                <w:rFonts w:ascii="Calibri" w:hAnsi="Calibri" w:cs="Calibri"/>
                <w:sz w:val="20"/>
                <w:szCs w:val="22"/>
              </w:rPr>
              <w:t>−</w:t>
            </w:r>
            <w:r w:rsidR="009166FD">
              <w:rPr>
                <w:sz w:val="20"/>
                <w:szCs w:val="22"/>
              </w:rPr>
              <w:t xml:space="preserve"> </w:t>
            </w:r>
            <w:r w:rsidRPr="00B96595">
              <w:rPr>
                <w:sz w:val="20"/>
                <w:szCs w:val="22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y</w:t>
            </w:r>
            <w:r>
              <w:rPr>
                <w:sz w:val="20"/>
                <w:szCs w:val="22"/>
              </w:rPr>
              <w:t xml:space="preserve"> = 0.005 + 0.</w:t>
            </w:r>
            <w:r w:rsidRPr="00B96595">
              <w:rPr>
                <w:sz w:val="20"/>
                <w:szCs w:val="22"/>
              </w:rPr>
              <w:t>051</w:t>
            </w:r>
            <w:r>
              <w:rPr>
                <w:sz w:val="20"/>
                <w:szCs w:val="22"/>
              </w:rPr>
              <w:t xml:space="preserve"> </w:t>
            </w: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x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</w:t>
            </w:r>
            <w:r w:rsidRPr="00B96595">
              <w:rPr>
                <w:sz w:val="20"/>
                <w:szCs w:val="22"/>
              </w:rPr>
              <w:t>991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15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A1F84" w:rsidRPr="00B96595" w:rsidRDefault="006A1F84" w:rsidP="009166FD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</w:p>
        </w:tc>
      </w:tr>
    </w:tbl>
    <w:p w:rsidR="00052CEF" w:rsidRPr="009166FD" w:rsidRDefault="009166FD" w:rsidP="00052CEF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 xml:space="preserve">COC: cocaine, BE: benzoylecgonine, COE: cocaethylene, </w:t>
      </w:r>
      <w:r w:rsidR="00052CEF" w:rsidRPr="009166FD">
        <w:rPr>
          <w:sz w:val="18"/>
          <w:szCs w:val="22"/>
        </w:rPr>
        <w:t xml:space="preserve">IS: </w:t>
      </w:r>
      <w:r>
        <w:rPr>
          <w:sz w:val="18"/>
          <w:szCs w:val="22"/>
        </w:rPr>
        <w:t>i</w:t>
      </w:r>
      <w:r w:rsidR="00052CEF" w:rsidRPr="009166FD">
        <w:rPr>
          <w:sz w:val="18"/>
          <w:szCs w:val="22"/>
        </w:rPr>
        <w:t>nternal standard, a</w:t>
      </w:r>
      <w:r>
        <w:rPr>
          <w:sz w:val="18"/>
          <w:szCs w:val="22"/>
        </w:rPr>
        <w:t>:</w:t>
      </w:r>
      <w:r w:rsidR="00052CEF"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>l</w:t>
      </w:r>
      <w:r w:rsidR="00052CEF" w:rsidRPr="009166FD">
        <w:rPr>
          <w:sz w:val="18"/>
          <w:szCs w:val="22"/>
        </w:rPr>
        <w:t>inear coefficient</w:t>
      </w:r>
      <w:r>
        <w:rPr>
          <w:sz w:val="18"/>
          <w:szCs w:val="22"/>
        </w:rPr>
        <w:t>,</w:t>
      </w:r>
      <w:r w:rsidR="00052CEF" w:rsidRPr="009166FD">
        <w:rPr>
          <w:sz w:val="18"/>
          <w:szCs w:val="22"/>
        </w:rPr>
        <w:t xml:space="preserve"> b</w:t>
      </w:r>
      <w:r>
        <w:rPr>
          <w:sz w:val="18"/>
          <w:szCs w:val="22"/>
        </w:rPr>
        <w:t>:</w:t>
      </w:r>
      <w:r w:rsidR="00052CEF"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>a</w:t>
      </w:r>
      <w:r w:rsidR="00052CEF" w:rsidRPr="009166FD">
        <w:rPr>
          <w:sz w:val="18"/>
          <w:szCs w:val="22"/>
        </w:rPr>
        <w:t>ngular coefficient</w:t>
      </w:r>
      <w:r>
        <w:rPr>
          <w:sz w:val="18"/>
          <w:szCs w:val="22"/>
        </w:rPr>
        <w:t xml:space="preserve">, </w:t>
      </w:r>
      <w:r w:rsidRPr="00E36E42">
        <w:rPr>
          <w:noProof/>
          <w:sz w:val="18"/>
          <w:szCs w:val="22"/>
        </w:rPr>
        <w:t>LOD</w:t>
      </w:r>
      <w:r w:rsidRPr="00E36E42">
        <w:rPr>
          <w:i/>
          <w:noProof/>
          <w:sz w:val="18"/>
          <w:szCs w:val="22"/>
        </w:rPr>
        <w:t>i</w:t>
      </w:r>
      <w:r>
        <w:rPr>
          <w:sz w:val="18"/>
          <w:szCs w:val="22"/>
        </w:rPr>
        <w:t>:</w:t>
      </w:r>
      <w:r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limit of detection of the instrument, </w:t>
      </w:r>
      <w:proofErr w:type="spellStart"/>
      <w:r w:rsidRPr="009166FD">
        <w:rPr>
          <w:sz w:val="18"/>
          <w:szCs w:val="22"/>
        </w:rPr>
        <w:t>LOQi</w:t>
      </w:r>
      <w:proofErr w:type="spellEnd"/>
      <w:r>
        <w:rPr>
          <w:sz w:val="18"/>
          <w:szCs w:val="22"/>
        </w:rPr>
        <w:t>:</w:t>
      </w:r>
      <w:r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limit of quantification of the instrument, </w:t>
      </w:r>
      <w:proofErr w:type="spellStart"/>
      <w:r w:rsidRPr="009166FD">
        <w:rPr>
          <w:sz w:val="18"/>
          <w:szCs w:val="22"/>
        </w:rPr>
        <w:t>LOD</w:t>
      </w:r>
      <w:r w:rsidRPr="009166FD">
        <w:rPr>
          <w:i/>
          <w:sz w:val="18"/>
          <w:szCs w:val="22"/>
        </w:rPr>
        <w:t>m</w:t>
      </w:r>
      <w:proofErr w:type="spellEnd"/>
      <w:r>
        <w:rPr>
          <w:sz w:val="18"/>
          <w:szCs w:val="22"/>
        </w:rPr>
        <w:t>:</w:t>
      </w:r>
      <w:r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method limit of detection, </w:t>
      </w:r>
      <w:proofErr w:type="spellStart"/>
      <w:r w:rsidRPr="009166FD">
        <w:rPr>
          <w:sz w:val="18"/>
          <w:szCs w:val="22"/>
        </w:rPr>
        <w:t>LOQm</w:t>
      </w:r>
      <w:proofErr w:type="spellEnd"/>
      <w:r>
        <w:rPr>
          <w:sz w:val="18"/>
          <w:szCs w:val="22"/>
        </w:rPr>
        <w:t xml:space="preserve">: method limit of quantification. </w:t>
      </w:r>
      <w:r w:rsidR="00052CEF" w:rsidRPr="009166FD">
        <w:rPr>
          <w:sz w:val="18"/>
          <w:szCs w:val="22"/>
        </w:rPr>
        <w:t xml:space="preserve">*Limits </w:t>
      </w:r>
      <w:r>
        <w:rPr>
          <w:sz w:val="18"/>
          <w:szCs w:val="22"/>
        </w:rPr>
        <w:t>calculated</w:t>
      </w:r>
      <w:r w:rsidR="00052CEF" w:rsidRPr="009166FD">
        <w:rPr>
          <w:sz w:val="18"/>
          <w:szCs w:val="22"/>
        </w:rPr>
        <w:t xml:space="preserve"> considering</w:t>
      </w:r>
      <w:r>
        <w:rPr>
          <w:sz w:val="18"/>
          <w:szCs w:val="22"/>
        </w:rPr>
        <w:t xml:space="preserve"> the </w:t>
      </w:r>
      <w:r w:rsidRPr="009166FD">
        <w:rPr>
          <w:sz w:val="18"/>
          <w:szCs w:val="22"/>
        </w:rPr>
        <w:t>efficiency of the method</w:t>
      </w:r>
      <w:r>
        <w:rPr>
          <w:sz w:val="18"/>
          <w:szCs w:val="22"/>
        </w:rPr>
        <w:t xml:space="preserve"> </w:t>
      </w:r>
      <w:bookmarkStart w:id="2" w:name="_Hlk522362694"/>
      <w:r>
        <w:rPr>
          <w:sz w:val="18"/>
          <w:szCs w:val="22"/>
        </w:rPr>
        <w:t>(</w:t>
      </w:r>
      <m:oMath>
        <m:r>
          <w:rPr>
            <w:rFonts w:ascii="Cambria Math" w:hAnsi="Cambria Math"/>
            <w:sz w:val="18"/>
            <w:szCs w:val="22"/>
          </w:rPr>
          <m:t>Ef</m:t>
        </m:r>
      </m:oMath>
      <w:r>
        <w:rPr>
          <w:sz w:val="18"/>
          <w:szCs w:val="22"/>
        </w:rPr>
        <w:t>)</w:t>
      </w:r>
      <w:r w:rsidR="00052CEF" w:rsidRPr="009166FD">
        <w:rPr>
          <w:sz w:val="18"/>
          <w:szCs w:val="22"/>
        </w:rPr>
        <w:t xml:space="preserve"> </w:t>
      </w:r>
      <w:bookmarkEnd w:id="2"/>
      <w:r w:rsidR="00052CEF" w:rsidRPr="009166FD">
        <w:rPr>
          <w:sz w:val="18"/>
          <w:szCs w:val="22"/>
        </w:rPr>
        <w:t xml:space="preserve">and </w:t>
      </w:r>
      <w:r w:rsidR="00C81CEA">
        <w:rPr>
          <w:sz w:val="18"/>
          <w:szCs w:val="22"/>
        </w:rPr>
        <w:t>a co</w:t>
      </w:r>
      <w:r w:rsidRPr="00C81CEA">
        <w:rPr>
          <w:noProof/>
          <w:sz w:val="18"/>
          <w:szCs w:val="22"/>
        </w:rPr>
        <w:t>ncentration f</w:t>
      </w:r>
      <w:r>
        <w:rPr>
          <w:sz w:val="18"/>
          <w:szCs w:val="22"/>
        </w:rPr>
        <w:t xml:space="preserve">actor of </w:t>
      </w:r>
      <w:r w:rsidR="00052CEF" w:rsidRPr="009166FD">
        <w:rPr>
          <w:sz w:val="18"/>
          <w:szCs w:val="22"/>
        </w:rPr>
        <w:t>250.</w:t>
      </w:r>
    </w:p>
    <w:p w:rsidR="009166FD" w:rsidRDefault="009166FD" w:rsidP="009166FD">
      <w:pPr>
        <w:pStyle w:val="Paragraph"/>
        <w:spacing w:before="0"/>
        <w:ind w:firstLine="720"/>
        <w:rPr>
          <w:lang w:val="en"/>
        </w:rPr>
      </w:pPr>
      <w:r>
        <w:rPr>
          <w:lang w:val="en"/>
        </w:rPr>
        <w:lastRenderedPageBreak/>
        <w:t xml:space="preserve">Analytical curves </w:t>
      </w:r>
      <w:r w:rsidR="00CB6C19">
        <w:rPr>
          <w:lang w:val="en"/>
        </w:rPr>
        <w:t xml:space="preserve">using internal standards </w:t>
      </w:r>
      <w:r>
        <w:rPr>
          <w:lang w:val="en"/>
        </w:rPr>
        <w:t>were homoscedastic</w:t>
      </w:r>
      <w:r w:rsidR="00CB6C19">
        <w:rPr>
          <w:lang w:val="en"/>
        </w:rPr>
        <w:t>.</w:t>
      </w:r>
      <w:r w:rsidR="00965940">
        <w:rPr>
          <w:lang w:val="en"/>
        </w:rPr>
        <w:t xml:space="preserve"> Instrumental limits of quantification (</w:t>
      </w:r>
      <w:proofErr w:type="spellStart"/>
      <w:r w:rsidR="00965940">
        <w:rPr>
          <w:lang w:val="en"/>
        </w:rPr>
        <w:t>LOQ</w:t>
      </w:r>
      <w:r w:rsidR="00965940" w:rsidRPr="00965940">
        <w:rPr>
          <w:i/>
          <w:lang w:val="en"/>
        </w:rPr>
        <w:t>i</w:t>
      </w:r>
      <w:proofErr w:type="spellEnd"/>
      <w:r w:rsidR="00965940">
        <w:rPr>
          <w:lang w:val="en"/>
        </w:rPr>
        <w:t>) were</w:t>
      </w:r>
      <w:r w:rsidR="00965940" w:rsidRPr="00965940">
        <w:rPr>
          <w:lang w:val="en"/>
        </w:rPr>
        <w:t xml:space="preserve"> expressed by the lower standard concentration of the analytical curves</w:t>
      </w:r>
      <w:r w:rsidR="00965940">
        <w:rPr>
          <w:lang w:val="en"/>
        </w:rPr>
        <w:t>, while instrumental limits of detection (</w:t>
      </w:r>
      <w:proofErr w:type="spellStart"/>
      <w:r w:rsidR="00965940" w:rsidRPr="00E36E42">
        <w:rPr>
          <w:noProof/>
          <w:lang w:val="en"/>
        </w:rPr>
        <w:t>LOD</w:t>
      </w:r>
      <w:r w:rsidR="00965940" w:rsidRPr="00E36E42">
        <w:rPr>
          <w:i/>
          <w:noProof/>
          <w:lang w:val="en"/>
        </w:rPr>
        <w:t>i</w:t>
      </w:r>
      <w:proofErr w:type="spellEnd"/>
      <w:r w:rsidR="00965940">
        <w:rPr>
          <w:lang w:val="en"/>
        </w:rPr>
        <w:t xml:space="preserve">) </w:t>
      </w:r>
      <w:r w:rsidR="00965940" w:rsidRPr="00965940">
        <w:rPr>
          <w:lang w:val="en"/>
        </w:rPr>
        <w:t>w</w:t>
      </w:r>
      <w:r w:rsidR="00965940">
        <w:rPr>
          <w:lang w:val="en"/>
        </w:rPr>
        <w:t xml:space="preserve">ere </w:t>
      </w:r>
      <w:r w:rsidR="00965940" w:rsidRPr="00965940">
        <w:rPr>
          <w:lang w:val="en"/>
        </w:rPr>
        <w:t xml:space="preserve">calculated using </w:t>
      </w:r>
      <w:proofErr w:type="spellStart"/>
      <w:r w:rsidR="00965940">
        <w:rPr>
          <w:lang w:val="en"/>
        </w:rPr>
        <w:t>LOQ</w:t>
      </w:r>
      <w:r w:rsidR="00965940" w:rsidRPr="00965940">
        <w:rPr>
          <w:i/>
          <w:lang w:val="en"/>
        </w:rPr>
        <w:t>i</w:t>
      </w:r>
      <w:proofErr w:type="spellEnd"/>
      <w:r w:rsidR="00965940" w:rsidRPr="00965940">
        <w:rPr>
          <w:lang w:val="en"/>
        </w:rPr>
        <w:t xml:space="preserve"> divided by the factor of 3.3</w:t>
      </w:r>
      <w:r w:rsidR="00965940">
        <w:rPr>
          <w:lang w:val="en"/>
        </w:rPr>
        <w:t xml:space="preserve">. Limits of detection and quantification of the method, </w:t>
      </w:r>
      <w:proofErr w:type="spellStart"/>
      <w:r w:rsidR="00965940" w:rsidRPr="00965940">
        <w:rPr>
          <w:lang w:val="en"/>
        </w:rPr>
        <w:t>LOD</w:t>
      </w:r>
      <w:r w:rsidR="00965940" w:rsidRPr="00965940">
        <w:rPr>
          <w:i/>
          <w:lang w:val="en"/>
        </w:rPr>
        <w:t>m</w:t>
      </w:r>
      <w:proofErr w:type="spellEnd"/>
      <w:r w:rsidR="00E36E42">
        <w:rPr>
          <w:i/>
          <w:lang w:val="en"/>
        </w:rPr>
        <w:t>,</w:t>
      </w:r>
      <w:r w:rsidR="00965940">
        <w:rPr>
          <w:lang w:val="en"/>
        </w:rPr>
        <w:t xml:space="preserve"> </w:t>
      </w:r>
      <w:r w:rsidR="00965940" w:rsidRPr="00E36E42">
        <w:rPr>
          <w:noProof/>
          <w:lang w:val="en"/>
        </w:rPr>
        <w:t>and</w:t>
      </w:r>
      <w:r w:rsidR="00965940">
        <w:rPr>
          <w:lang w:val="en"/>
        </w:rPr>
        <w:t xml:space="preserve"> </w:t>
      </w:r>
      <w:proofErr w:type="spellStart"/>
      <w:r w:rsidR="00965940" w:rsidRPr="00965940">
        <w:rPr>
          <w:lang w:val="en"/>
        </w:rPr>
        <w:t>LOQ</w:t>
      </w:r>
      <w:r w:rsidR="00965940" w:rsidRPr="00965940">
        <w:rPr>
          <w:i/>
          <w:lang w:val="en"/>
        </w:rPr>
        <w:t>m</w:t>
      </w:r>
      <w:proofErr w:type="spellEnd"/>
      <w:r w:rsidR="00965940">
        <w:rPr>
          <w:lang w:val="en"/>
        </w:rPr>
        <w:t xml:space="preserve">, respectively, </w:t>
      </w:r>
      <w:r w:rsidR="00965940" w:rsidRPr="00965940">
        <w:rPr>
          <w:lang w:val="en"/>
        </w:rPr>
        <w:t xml:space="preserve">were </w:t>
      </w:r>
      <w:r w:rsidR="00965940">
        <w:rPr>
          <w:lang w:val="en"/>
        </w:rPr>
        <w:t xml:space="preserve">obtained using </w:t>
      </w:r>
      <w:r w:rsidR="00965940" w:rsidRPr="00E36E42">
        <w:rPr>
          <w:noProof/>
          <w:lang w:val="en"/>
        </w:rPr>
        <w:t>LOD</w:t>
      </w:r>
      <w:r w:rsidR="00965940" w:rsidRPr="00E36E42">
        <w:rPr>
          <w:i/>
          <w:noProof/>
          <w:lang w:val="en"/>
        </w:rPr>
        <w:t>i</w:t>
      </w:r>
      <w:r w:rsidR="00965940">
        <w:rPr>
          <w:lang w:val="en"/>
        </w:rPr>
        <w:t xml:space="preserve"> and </w:t>
      </w:r>
      <w:proofErr w:type="spellStart"/>
      <w:r w:rsidR="00965940" w:rsidRPr="00965940">
        <w:rPr>
          <w:lang w:val="en"/>
        </w:rPr>
        <w:t>LOQ</w:t>
      </w:r>
      <w:r w:rsidR="00965940">
        <w:rPr>
          <w:i/>
          <w:lang w:val="en"/>
        </w:rPr>
        <w:t>i</w:t>
      </w:r>
      <w:proofErr w:type="spellEnd"/>
      <w:r w:rsidR="00965940" w:rsidRPr="00965940">
        <w:rPr>
          <w:lang w:val="en"/>
        </w:rPr>
        <w:t xml:space="preserve"> multiplied by </w:t>
      </w:r>
      <w:r w:rsidR="00E36E42">
        <w:rPr>
          <w:lang w:val="en"/>
        </w:rPr>
        <w:t xml:space="preserve">the </w:t>
      </w:r>
      <w:r w:rsidR="00965940" w:rsidRPr="00E36E42">
        <w:rPr>
          <w:noProof/>
          <w:lang w:val="en"/>
        </w:rPr>
        <w:t>efficiency</w:t>
      </w:r>
      <w:r w:rsidR="00965940" w:rsidRPr="00965940">
        <w:rPr>
          <w:lang w:val="en"/>
        </w:rPr>
        <w:t xml:space="preserve"> of the method </w:t>
      </w:r>
      <w:r w:rsidR="00965940" w:rsidRPr="00965940">
        <w:t>(</w:t>
      </w:r>
      <m:oMath>
        <m:r>
          <w:rPr>
            <w:rFonts w:ascii="Cambria Math" w:hAnsi="Cambria Math"/>
          </w:rPr>
          <m:t>Ef</m:t>
        </m:r>
      </m:oMath>
      <w:r w:rsidR="00965940" w:rsidRPr="00965940">
        <w:t xml:space="preserve">) </w:t>
      </w:r>
      <w:r w:rsidR="00965940" w:rsidRPr="00965940">
        <w:rPr>
          <w:lang w:val="en"/>
        </w:rPr>
        <w:t xml:space="preserve">and divided by the pre-concentration factor of </w:t>
      </w:r>
      <w:r w:rsidR="00965940">
        <w:rPr>
          <w:lang w:val="en"/>
        </w:rPr>
        <w:t>250</w:t>
      </w:r>
      <w:r w:rsidR="00965940" w:rsidRPr="00965940">
        <w:rPr>
          <w:lang w:val="en"/>
        </w:rPr>
        <w:t>.</w:t>
      </w:r>
    </w:p>
    <w:p w:rsidR="00944CCF" w:rsidRPr="00B50D21" w:rsidRDefault="00B50D21" w:rsidP="00944CCF">
      <w:pPr>
        <w:pStyle w:val="Ttulo1"/>
        <w:rPr>
          <w:i/>
          <w:iCs/>
        </w:rPr>
      </w:pPr>
      <w:r w:rsidRPr="00B50D21">
        <w:rPr>
          <w:i/>
          <w:iCs/>
        </w:rPr>
        <w:t xml:space="preserve">Analytes </w:t>
      </w:r>
      <w:r w:rsidR="00E93866">
        <w:rPr>
          <w:i/>
          <w:iCs/>
        </w:rPr>
        <w:t>q</w:t>
      </w:r>
      <w:bookmarkStart w:id="3" w:name="_GoBack"/>
      <w:bookmarkEnd w:id="3"/>
      <w:r w:rsidRPr="00B50D21">
        <w:rPr>
          <w:i/>
          <w:iCs/>
        </w:rPr>
        <w:t>uantification</w:t>
      </w:r>
      <w:r>
        <w:rPr>
          <w:i/>
          <w:iCs/>
        </w:rPr>
        <w:t xml:space="preserve"> in Brazil</w:t>
      </w:r>
    </w:p>
    <w:p w:rsidR="00944CCF" w:rsidRDefault="00B50D21" w:rsidP="00B50D21">
      <w:pPr>
        <w:pStyle w:val="Paragraph"/>
        <w:rPr>
          <w:lang w:val="en-US"/>
        </w:rPr>
      </w:pPr>
      <w:r>
        <w:rPr>
          <w:lang w:val="en-US"/>
        </w:rPr>
        <w:t xml:space="preserve">The </w:t>
      </w:r>
      <w:r w:rsidRPr="00B50D21">
        <w:rPr>
          <w:lang w:val="en-US"/>
        </w:rPr>
        <w:t xml:space="preserve">Carnival </w:t>
      </w:r>
      <w:r w:rsidR="00F323ED">
        <w:rPr>
          <w:lang w:val="en-US"/>
        </w:rPr>
        <w:t xml:space="preserve">Day </w:t>
      </w:r>
      <w:r w:rsidRPr="00B50D21">
        <w:rPr>
          <w:lang w:val="en-US"/>
        </w:rPr>
        <w:t>sample</w:t>
      </w:r>
      <w:r w:rsidR="00E36E42">
        <w:rPr>
          <w:lang w:val="en-US"/>
        </w:rPr>
        <w:t>, as well as the samples from the stability test,</w:t>
      </w:r>
      <w:r>
        <w:rPr>
          <w:lang w:val="en-US"/>
        </w:rPr>
        <w:t xml:space="preserve"> were analyzed</w:t>
      </w:r>
      <w:r w:rsidRPr="00B50D21">
        <w:rPr>
          <w:lang w:val="en-US"/>
        </w:rPr>
        <w:t xml:space="preserve"> in Brazil using liquid </w:t>
      </w:r>
      <w:r w:rsidRPr="00462600">
        <w:rPr>
          <w:noProof/>
          <w:lang w:val="en-US"/>
        </w:rPr>
        <w:t>chromatograph</w:t>
      </w:r>
      <w:r w:rsidRPr="00B50D21">
        <w:rPr>
          <w:lang w:val="en-US"/>
        </w:rPr>
        <w:t xml:space="preserve"> </w:t>
      </w:r>
      <w:r w:rsidR="00A20B4D">
        <w:rPr>
          <w:lang w:val="en-US"/>
        </w:rPr>
        <w:t xml:space="preserve">(Agilent 1200 Series) </w:t>
      </w:r>
      <w:r w:rsidRPr="00B50D21">
        <w:rPr>
          <w:lang w:val="en-US"/>
        </w:rPr>
        <w:t xml:space="preserve">coupled to triple-quadrupole </w:t>
      </w:r>
      <w:r w:rsidR="00D13478">
        <w:rPr>
          <w:lang w:val="en-US"/>
        </w:rPr>
        <w:t>(</w:t>
      </w:r>
      <w:proofErr w:type="spellStart"/>
      <w:r w:rsidR="00D13478">
        <w:rPr>
          <w:lang w:val="en-US"/>
        </w:rPr>
        <w:t>QqQ</w:t>
      </w:r>
      <w:proofErr w:type="spellEnd"/>
      <w:r w:rsidR="00D13478">
        <w:rPr>
          <w:lang w:val="en-US"/>
        </w:rPr>
        <w:t xml:space="preserve">) </w:t>
      </w:r>
      <w:r w:rsidRPr="00B50D21">
        <w:rPr>
          <w:lang w:val="en-US"/>
        </w:rPr>
        <w:t>mass spectrometer</w:t>
      </w:r>
      <w:r w:rsidR="00A20B4D">
        <w:rPr>
          <w:lang w:val="en-US"/>
        </w:rPr>
        <w:t xml:space="preserve"> (QTRAP 3200, </w:t>
      </w:r>
      <w:proofErr w:type="spellStart"/>
      <w:r w:rsidR="00A20B4D">
        <w:rPr>
          <w:lang w:val="en-US"/>
        </w:rPr>
        <w:t>Sciex</w:t>
      </w:r>
      <w:proofErr w:type="spellEnd"/>
      <w:r w:rsidR="00F323ED">
        <w:rPr>
          <w:lang w:val="en-US"/>
        </w:rPr>
        <w:t>)</w:t>
      </w:r>
      <w:r w:rsidR="00A20B4D">
        <w:rPr>
          <w:lang w:val="en-US"/>
        </w:rPr>
        <w:t xml:space="preserve"> </w:t>
      </w:r>
      <w:r w:rsidR="00A20B4D" w:rsidRPr="00A20B4D">
        <w:rPr>
          <w:lang w:val="en-US"/>
        </w:rPr>
        <w:t xml:space="preserve">with electrospray ionization (ESI) </w:t>
      </w:r>
      <w:r w:rsidR="00F323ED">
        <w:rPr>
          <w:lang w:val="en-US"/>
        </w:rPr>
        <w:t>interface</w:t>
      </w:r>
      <w:r w:rsidR="00A20B4D" w:rsidRPr="00A20B4D">
        <w:rPr>
          <w:lang w:val="en-US"/>
        </w:rPr>
        <w:t xml:space="preserve"> operating at </w:t>
      </w:r>
      <w:r w:rsidR="00A20B4D">
        <w:rPr>
          <w:lang w:val="en-US"/>
        </w:rPr>
        <w:t>550</w:t>
      </w:r>
      <w:r w:rsidR="00A20B4D" w:rsidRPr="00A20B4D">
        <w:rPr>
          <w:lang w:val="en-US"/>
        </w:rPr>
        <w:t xml:space="preserve"> °C and 4</w:t>
      </w:r>
      <w:r w:rsidR="00A20B4D">
        <w:rPr>
          <w:lang w:val="en-US"/>
        </w:rPr>
        <w:t>5</w:t>
      </w:r>
      <w:r w:rsidR="00A20B4D" w:rsidRPr="00A20B4D">
        <w:rPr>
          <w:lang w:val="en-US"/>
        </w:rPr>
        <w:t xml:space="preserve">00 V, </w:t>
      </w:r>
      <w:r w:rsidR="00F323ED">
        <w:rPr>
          <w:lang w:val="en-US"/>
        </w:rPr>
        <w:t>using</w:t>
      </w:r>
      <w:r w:rsidR="00A20B4D" w:rsidRPr="00A20B4D">
        <w:rPr>
          <w:lang w:val="en-US"/>
        </w:rPr>
        <w:t xml:space="preserve"> nitrogen as curtain gas at </w:t>
      </w:r>
      <w:r w:rsidR="00A20B4D">
        <w:rPr>
          <w:lang w:val="en-US"/>
        </w:rPr>
        <w:t>15</w:t>
      </w:r>
      <w:r w:rsidR="00A20B4D" w:rsidRPr="00A20B4D">
        <w:rPr>
          <w:lang w:val="en-US"/>
        </w:rPr>
        <w:t xml:space="preserve"> psi and as auxiliary nebulizing gas </w:t>
      </w:r>
      <w:r w:rsidR="00A20B4D">
        <w:rPr>
          <w:lang w:val="en-US"/>
        </w:rPr>
        <w:t xml:space="preserve">(GS1 and GS2) </w:t>
      </w:r>
      <w:r w:rsidR="00A20B4D" w:rsidRPr="00A20B4D">
        <w:rPr>
          <w:lang w:val="en-US"/>
        </w:rPr>
        <w:t xml:space="preserve">at </w:t>
      </w:r>
      <w:r w:rsidR="00A20B4D">
        <w:rPr>
          <w:lang w:val="en-US"/>
        </w:rPr>
        <w:t>45</w:t>
      </w:r>
      <w:r w:rsidR="00A20B4D" w:rsidRPr="00A20B4D">
        <w:rPr>
          <w:lang w:val="en-US"/>
        </w:rPr>
        <w:t xml:space="preserve"> psi.</w:t>
      </w:r>
    </w:p>
    <w:p w:rsidR="001F6285" w:rsidRDefault="00F323ED" w:rsidP="00F323ED">
      <w:pPr>
        <w:ind w:firstLine="708"/>
        <w:jc w:val="both"/>
        <w:rPr>
          <w:lang w:eastAsia="pt-BR"/>
        </w:rPr>
      </w:pPr>
      <w:r w:rsidRPr="00FB6FB1">
        <w:t>Separation was performed using a</w:t>
      </w:r>
      <w:r>
        <w:t>n</w:t>
      </w:r>
      <w:r w:rsidRPr="00FB6FB1">
        <w:t xml:space="preserve"> </w:t>
      </w:r>
      <w:r w:rsidRPr="00F323ED">
        <w:t>Eclipse XDB-C18</w:t>
      </w:r>
      <w:r w:rsidRPr="00FB6FB1">
        <w:t xml:space="preserve"> column (4,</w:t>
      </w:r>
      <w:r>
        <w:t>6</w:t>
      </w:r>
      <w:r w:rsidRPr="00FB6FB1">
        <w:t>×1</w:t>
      </w:r>
      <w:r>
        <w:t>50</w:t>
      </w:r>
      <w:r w:rsidRPr="00FB6FB1">
        <w:t xml:space="preserve"> mm, </w:t>
      </w:r>
      <w:r w:rsidRPr="00E36E42">
        <w:rPr>
          <w:noProof/>
        </w:rPr>
        <w:t>particle</w:t>
      </w:r>
      <w:r w:rsidRPr="00FB6FB1">
        <w:t xml:space="preserve"> size of 5 </w:t>
      </w:r>
      <w:proofErr w:type="spellStart"/>
      <w:r w:rsidRPr="00FB6FB1">
        <w:t>μm</w:t>
      </w:r>
      <w:proofErr w:type="spellEnd"/>
      <w:r w:rsidRPr="00FB6FB1">
        <w:t xml:space="preserve">, </w:t>
      </w:r>
      <w:r>
        <w:rPr>
          <w:lang w:eastAsia="pt-BR"/>
        </w:rPr>
        <w:t>Agilent</w:t>
      </w:r>
      <w:r w:rsidR="006F251E">
        <w:rPr>
          <w:lang w:eastAsia="pt-BR"/>
        </w:rPr>
        <w:t>)</w:t>
      </w:r>
      <w:r w:rsidR="006F251E" w:rsidRPr="006F251E">
        <w:t xml:space="preserve"> </w:t>
      </w:r>
      <w:r w:rsidR="006F251E" w:rsidRPr="006F251E">
        <w:rPr>
          <w:lang w:eastAsia="pt-BR"/>
        </w:rPr>
        <w:t>with gradient elution (0.3 mL min</w:t>
      </w:r>
      <w:r w:rsidR="006F251E" w:rsidRPr="006F251E">
        <w:rPr>
          <w:vertAlign w:val="superscript"/>
          <w:lang w:eastAsia="pt-BR"/>
        </w:rPr>
        <w:t>-1</w:t>
      </w:r>
      <w:r w:rsidR="006F251E" w:rsidRPr="006F251E">
        <w:rPr>
          <w:lang w:eastAsia="pt-BR"/>
        </w:rPr>
        <w:t xml:space="preserve">) water and in methanol as mobile phases </w:t>
      </w:r>
      <w:r w:rsidR="006F251E">
        <w:rPr>
          <w:lang w:eastAsia="pt-BR"/>
        </w:rPr>
        <w:t xml:space="preserve">containing </w:t>
      </w:r>
      <w:r w:rsidR="006F251E" w:rsidRPr="006F251E">
        <w:rPr>
          <w:lang w:eastAsia="pt-BR"/>
        </w:rPr>
        <w:t>0.1%</w:t>
      </w:r>
      <w:r w:rsidR="006F251E">
        <w:rPr>
          <w:lang w:eastAsia="pt-BR"/>
        </w:rPr>
        <w:t xml:space="preserve"> </w:t>
      </w:r>
      <w:r w:rsidR="006F251E" w:rsidRPr="006F251E">
        <w:rPr>
          <w:lang w:eastAsia="pt-BR"/>
        </w:rPr>
        <w:t xml:space="preserve">(v/v) </w:t>
      </w:r>
      <w:r w:rsidR="006F251E">
        <w:rPr>
          <w:lang w:eastAsia="pt-BR"/>
        </w:rPr>
        <w:t>of</w:t>
      </w:r>
      <w:r w:rsidR="006F251E" w:rsidRPr="006F251E">
        <w:rPr>
          <w:lang w:eastAsia="pt-BR"/>
        </w:rPr>
        <w:t xml:space="preserve"> formic acid. The gradient was achieved by maintaining for 4 </w:t>
      </w:r>
      <w:r w:rsidR="006F251E" w:rsidRPr="00E36E42">
        <w:rPr>
          <w:noProof/>
          <w:lang w:eastAsia="pt-BR"/>
        </w:rPr>
        <w:t>min</w:t>
      </w:r>
      <w:r w:rsidR="006F251E" w:rsidRPr="006F251E">
        <w:rPr>
          <w:lang w:eastAsia="pt-BR"/>
        </w:rPr>
        <w:t xml:space="preserve"> a relative methanol concentration of 10%, followed by the increase to 100% in 6 min, and held constant for another 1 min. After readjusting to the initial conditions, the system was re-equilibrated for 7 min. </w:t>
      </w:r>
      <w:r w:rsidR="006F251E">
        <w:rPr>
          <w:lang w:eastAsia="pt-BR"/>
        </w:rPr>
        <w:t>T</w:t>
      </w:r>
      <w:r w:rsidR="006F251E" w:rsidRPr="006F251E">
        <w:rPr>
          <w:lang w:eastAsia="pt-BR"/>
        </w:rPr>
        <w:t xml:space="preserve">he injection volume was 2.0 </w:t>
      </w:r>
      <w:proofErr w:type="spellStart"/>
      <w:r w:rsidR="006F251E" w:rsidRPr="006F251E">
        <w:rPr>
          <w:lang w:eastAsia="pt-BR"/>
        </w:rPr>
        <w:t>μL</w:t>
      </w:r>
      <w:proofErr w:type="spellEnd"/>
      <w:r w:rsidR="006F251E" w:rsidRPr="006F251E">
        <w:rPr>
          <w:lang w:eastAsia="pt-BR"/>
        </w:rPr>
        <w:t>.</w:t>
      </w:r>
      <w:r w:rsidR="001F6285" w:rsidRPr="001F6285">
        <w:t xml:space="preserve"> </w:t>
      </w:r>
    </w:p>
    <w:p w:rsidR="00F323ED" w:rsidRDefault="006F251E" w:rsidP="00F323ED">
      <w:pPr>
        <w:ind w:firstLine="708"/>
        <w:jc w:val="both"/>
        <w:rPr>
          <w:lang w:val="en-US" w:eastAsia="pt-BR"/>
        </w:rPr>
      </w:pPr>
      <w:r w:rsidRPr="006F251E">
        <w:rPr>
          <w:lang w:eastAsia="pt-BR"/>
        </w:rPr>
        <w:t xml:space="preserve">Mass spectrometric analyses were carried out </w:t>
      </w:r>
      <w:r>
        <w:rPr>
          <w:lang w:eastAsia="pt-BR"/>
        </w:rPr>
        <w:t>using</w:t>
      </w:r>
      <w:r w:rsidRPr="006F251E">
        <w:rPr>
          <w:lang w:eastAsia="pt-BR"/>
        </w:rPr>
        <w:t xml:space="preserve"> the multiple reaction monitoring (MRM) </w:t>
      </w:r>
      <w:r w:rsidR="00F323ED" w:rsidRPr="00F323ED">
        <w:rPr>
          <w:lang w:eastAsia="pt-BR"/>
        </w:rPr>
        <w:t>mode in order to identify and quantify the target analytes</w:t>
      </w:r>
      <w:r>
        <w:rPr>
          <w:lang w:eastAsia="pt-BR"/>
        </w:rPr>
        <w:t xml:space="preserve"> by</w:t>
      </w:r>
      <w:r w:rsidR="00F323ED" w:rsidRPr="00F323ED">
        <w:rPr>
          <w:lang w:eastAsia="pt-BR"/>
        </w:rPr>
        <w:t xml:space="preserve"> </w:t>
      </w:r>
      <w:r w:rsidRPr="006F251E">
        <w:rPr>
          <w:lang w:val="en-US" w:eastAsia="pt-BR"/>
        </w:rPr>
        <w:t xml:space="preserve">measuring the fragmentation products </w:t>
      </w:r>
      <w:r>
        <w:rPr>
          <w:lang w:val="en-US" w:eastAsia="pt-BR"/>
        </w:rPr>
        <w:t>of each</w:t>
      </w:r>
      <w:r w:rsidRPr="006F251E">
        <w:rPr>
          <w:lang w:val="en-US" w:eastAsia="pt-BR"/>
        </w:rPr>
        <w:t xml:space="preserve"> protonated molecular ions [M+H]</w:t>
      </w:r>
      <w:r w:rsidRPr="006F251E">
        <w:rPr>
          <w:vertAlign w:val="superscript"/>
          <w:lang w:val="en-US" w:eastAsia="pt-BR"/>
        </w:rPr>
        <w:t>+</w:t>
      </w:r>
      <w:r w:rsidRPr="006F251E">
        <w:rPr>
          <w:lang w:val="en-US" w:eastAsia="pt-BR"/>
        </w:rPr>
        <w:t>.</w:t>
      </w:r>
      <w:r>
        <w:rPr>
          <w:lang w:val="en-US" w:eastAsia="pt-BR"/>
        </w:rPr>
        <w:t xml:space="preserve"> </w:t>
      </w:r>
      <w:r w:rsidRPr="006F251E">
        <w:rPr>
          <w:lang w:val="en-US" w:eastAsia="pt-BR"/>
        </w:rPr>
        <w:t xml:space="preserve">Table </w:t>
      </w:r>
      <w:r>
        <w:rPr>
          <w:lang w:val="en-US" w:eastAsia="pt-BR"/>
        </w:rPr>
        <w:t xml:space="preserve">S2 shows the MRM transitions used </w:t>
      </w:r>
      <w:r w:rsidRPr="006F251E">
        <w:rPr>
          <w:lang w:val="en-US" w:eastAsia="pt-BR"/>
        </w:rPr>
        <w:t xml:space="preserve">alongside </w:t>
      </w:r>
      <w:r>
        <w:rPr>
          <w:lang w:val="en-US" w:eastAsia="pt-BR"/>
        </w:rPr>
        <w:t xml:space="preserve">with </w:t>
      </w:r>
      <w:r w:rsidRPr="006F251E">
        <w:rPr>
          <w:lang w:val="en-US" w:eastAsia="pt-BR"/>
        </w:rPr>
        <w:t xml:space="preserve">other instrumental </w:t>
      </w:r>
      <w:r>
        <w:rPr>
          <w:lang w:val="en-US" w:eastAsia="pt-BR"/>
        </w:rPr>
        <w:t>parameters</w:t>
      </w:r>
      <w:r w:rsidRPr="006F251E">
        <w:rPr>
          <w:lang w:val="en-US" w:eastAsia="pt-BR"/>
        </w:rPr>
        <w:t>.</w:t>
      </w:r>
    </w:p>
    <w:p w:rsidR="00600A06" w:rsidRPr="00F323ED" w:rsidRDefault="00600A06" w:rsidP="00F323ED">
      <w:pPr>
        <w:ind w:firstLine="708"/>
        <w:jc w:val="both"/>
        <w:rPr>
          <w:lang w:eastAsia="pt-BR"/>
        </w:rPr>
      </w:pPr>
    </w:p>
    <w:p w:rsidR="00F323ED" w:rsidRPr="00F323ED" w:rsidRDefault="00F323ED" w:rsidP="00D13478">
      <w:pPr>
        <w:pStyle w:val="Tabletitle"/>
      </w:pPr>
      <w:r w:rsidRPr="00F323ED">
        <w:lastRenderedPageBreak/>
        <w:t xml:space="preserve">Table </w:t>
      </w:r>
      <w:r w:rsidR="00D13478">
        <w:t>S2</w:t>
      </w:r>
      <w:r w:rsidRPr="00F323ED">
        <w:t>. LC-MS/MS parameters used during the analysis</w:t>
      </w:r>
    </w:p>
    <w:tbl>
      <w:tblPr>
        <w:tblStyle w:val="Tabelacomgrad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049"/>
        <w:gridCol w:w="1049"/>
        <w:gridCol w:w="1129"/>
        <w:gridCol w:w="1975"/>
        <w:gridCol w:w="983"/>
        <w:gridCol w:w="1152"/>
      </w:tblGrid>
      <w:tr w:rsidR="00B2021B" w:rsidRPr="00F323ED" w:rsidTr="00B2021B"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F323ED">
              <w:rPr>
                <w:sz w:val="20"/>
                <w:szCs w:val="20"/>
              </w:rPr>
              <w:t>Analyte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F323ED">
              <w:rPr>
                <w:sz w:val="20"/>
                <w:szCs w:val="20"/>
              </w:rPr>
              <w:t>DP (V)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F323ED">
              <w:rPr>
                <w:sz w:val="20"/>
                <w:szCs w:val="20"/>
              </w:rPr>
              <w:t>EP (V)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F323ED">
              <w:rPr>
                <w:sz w:val="20"/>
                <w:szCs w:val="20"/>
              </w:rPr>
              <w:t>CEP (V)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F323ED">
              <w:rPr>
                <w:sz w:val="20"/>
                <w:szCs w:val="20"/>
              </w:rPr>
              <w:t xml:space="preserve">MRM </w:t>
            </w:r>
            <w:proofErr w:type="spellStart"/>
            <w:r w:rsidRPr="00F323ED">
              <w:rPr>
                <w:sz w:val="20"/>
                <w:szCs w:val="20"/>
              </w:rPr>
              <w:t>transitions</w:t>
            </w:r>
            <w:proofErr w:type="spellEnd"/>
            <w:r w:rsidRPr="00F323ED">
              <w:rPr>
                <w:sz w:val="20"/>
                <w:szCs w:val="20"/>
              </w:rPr>
              <w:t xml:space="preserve"> (m/z)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F323ED">
              <w:rPr>
                <w:sz w:val="20"/>
                <w:szCs w:val="20"/>
              </w:rPr>
              <w:t>CE (V)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F323ED">
              <w:rPr>
                <w:sz w:val="20"/>
                <w:szCs w:val="20"/>
              </w:rPr>
              <w:t>CXP (V)</w:t>
            </w:r>
          </w:p>
        </w:tc>
      </w:tr>
      <w:tr w:rsidR="00B2021B" w:rsidRPr="00F323ED" w:rsidTr="00B2021B">
        <w:trPr>
          <w:trHeight w:val="54"/>
        </w:trPr>
        <w:tc>
          <w:tcPr>
            <w:tcW w:w="790" w:type="pct"/>
            <w:tcBorders>
              <w:top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COC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51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  <w:lang w:val="en-GB"/>
              </w:rPr>
              <w:t>304,1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 w:rsidRPr="008234DD">
              <w:rPr>
                <w:sz w:val="20"/>
                <w:szCs w:val="20"/>
                <w:lang w:val="en-GB"/>
              </w:rPr>
              <w:t>182,0</w:t>
            </w:r>
            <w:r w:rsidRPr="00F323ED">
              <w:rPr>
                <w:sz w:val="20"/>
                <w:szCs w:val="20"/>
                <w:vertAlign w:val="superscript"/>
              </w:rPr>
              <w:t>a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  <w:lang w:val="en-GB"/>
              </w:rPr>
              <w:t>304,1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 w:rsidRPr="008234DD">
              <w:rPr>
                <w:sz w:val="20"/>
                <w:szCs w:val="20"/>
                <w:lang w:val="en-GB"/>
              </w:rPr>
              <w:t>105,1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39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4</w:t>
            </w:r>
            <w:r w:rsidRPr="00F323ED">
              <w:rPr>
                <w:sz w:val="20"/>
                <w:szCs w:val="20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10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24</w:t>
            </w:r>
          </w:p>
        </w:tc>
      </w:tr>
      <w:tr w:rsidR="00B2021B" w:rsidRPr="00F323ED" w:rsidTr="00B2021B">
        <w:trPr>
          <w:trHeight w:val="64"/>
        </w:trPr>
        <w:tc>
          <w:tcPr>
            <w:tcW w:w="790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BE</w:t>
            </w:r>
          </w:p>
        </w:tc>
        <w:tc>
          <w:tcPr>
            <w:tcW w:w="602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51</w:t>
            </w:r>
          </w:p>
        </w:tc>
        <w:tc>
          <w:tcPr>
            <w:tcW w:w="602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20</w:t>
            </w:r>
          </w:p>
        </w:tc>
        <w:tc>
          <w:tcPr>
            <w:tcW w:w="1133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 w:rsidRPr="00530E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68,1</w:t>
            </w:r>
            <w:r w:rsidRPr="00F323ED">
              <w:rPr>
                <w:sz w:val="20"/>
                <w:szCs w:val="20"/>
                <w:vertAlign w:val="superscript"/>
              </w:rPr>
              <w:t>a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 w:rsidRPr="00530E76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4" w:type="pct"/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25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41</w:t>
            </w:r>
          </w:p>
        </w:tc>
        <w:tc>
          <w:tcPr>
            <w:tcW w:w="661" w:type="pct"/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4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4</w:t>
            </w:r>
          </w:p>
        </w:tc>
      </w:tr>
      <w:tr w:rsidR="00B2021B" w:rsidRPr="00F323ED" w:rsidTr="00B2021B">
        <w:trPr>
          <w:trHeight w:val="64"/>
        </w:trPr>
        <w:tc>
          <w:tcPr>
            <w:tcW w:w="790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COE</w:t>
            </w:r>
          </w:p>
        </w:tc>
        <w:tc>
          <w:tcPr>
            <w:tcW w:w="602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2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48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>
              <w:rPr>
                <w:sz w:val="20"/>
                <w:szCs w:val="20"/>
              </w:rPr>
              <w:t>196,2</w:t>
            </w:r>
            <w:r w:rsidRPr="00F323ED">
              <w:rPr>
                <w:sz w:val="20"/>
                <w:szCs w:val="20"/>
                <w:vertAlign w:val="superscript"/>
              </w:rPr>
              <w:t>a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>
              <w:rPr>
                <w:sz w:val="20"/>
                <w:szCs w:val="20"/>
              </w:rPr>
              <w:t>105,3</w:t>
            </w:r>
          </w:p>
        </w:tc>
        <w:tc>
          <w:tcPr>
            <w:tcW w:w="564" w:type="pct"/>
          </w:tcPr>
          <w:p w:rsidR="00B2021B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1" w:type="pct"/>
          </w:tcPr>
          <w:p w:rsidR="00B2021B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021B" w:rsidRPr="00F323ED" w:rsidTr="00B2021B">
        <w:trPr>
          <w:trHeight w:val="60"/>
        </w:trPr>
        <w:tc>
          <w:tcPr>
            <w:tcW w:w="790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COC-d3</w:t>
            </w:r>
          </w:p>
        </w:tc>
        <w:tc>
          <w:tcPr>
            <w:tcW w:w="602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2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3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530E76">
              <w:rPr>
                <w:sz w:val="20"/>
                <w:szCs w:val="20"/>
              </w:rPr>
              <w:t>307</w:t>
            </w:r>
            <w:r>
              <w:rPr>
                <w:sz w:val="20"/>
                <w:szCs w:val="20"/>
              </w:rPr>
              <w:t>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 w:rsidRPr="00530E76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,1</w:t>
            </w:r>
            <w:r w:rsidRPr="00F323ED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4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1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021B" w:rsidRPr="00F323ED" w:rsidTr="00B2021B">
        <w:trPr>
          <w:trHeight w:val="64"/>
        </w:trPr>
        <w:tc>
          <w:tcPr>
            <w:tcW w:w="790" w:type="pct"/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BE-d3</w:t>
            </w:r>
          </w:p>
        </w:tc>
        <w:tc>
          <w:tcPr>
            <w:tcW w:w="602" w:type="pct"/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2" w:type="pct"/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48" w:type="pct"/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3" w:type="pct"/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530E76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>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>
              <w:rPr>
                <w:sz w:val="20"/>
                <w:szCs w:val="20"/>
              </w:rPr>
              <w:t>171,1</w:t>
            </w:r>
            <w:r w:rsidRPr="00F323ED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4" w:type="pct"/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1" w:type="pct"/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021B" w:rsidRPr="00F323ED" w:rsidTr="00B2021B">
        <w:trPr>
          <w:trHeight w:val="54"/>
        </w:trPr>
        <w:tc>
          <w:tcPr>
            <w:tcW w:w="790" w:type="pct"/>
            <w:tcBorders>
              <w:bottom w:val="single" w:sz="4" w:space="0" w:color="auto"/>
            </w:tcBorders>
          </w:tcPr>
          <w:p w:rsidR="00B2021B" w:rsidRPr="00F323E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COE-d3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8234DD">
              <w:rPr>
                <w:sz w:val="20"/>
                <w:szCs w:val="20"/>
              </w:rPr>
              <w:t>11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3" w:type="pct"/>
            <w:tcBorders>
              <w:bottom w:val="single" w:sz="4" w:space="0" w:color="auto"/>
            </w:tcBorders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 w:rsidRPr="00530E76">
              <w:rPr>
                <w:sz w:val="20"/>
                <w:szCs w:val="20"/>
              </w:rPr>
              <w:t>321</w:t>
            </w:r>
            <w:r>
              <w:rPr>
                <w:sz w:val="20"/>
                <w:szCs w:val="20"/>
              </w:rPr>
              <w:t>,1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⟶</m:t>
              </m:r>
            </m:oMath>
            <w:r w:rsidRPr="00530E76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,1</w:t>
            </w:r>
            <w:r w:rsidRPr="00F323ED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B2021B" w:rsidRPr="008234DD" w:rsidRDefault="00B2021B" w:rsidP="008234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323ED" w:rsidRPr="00F323ED" w:rsidRDefault="00F323ED" w:rsidP="00F323ED">
      <w:pPr>
        <w:spacing w:line="240" w:lineRule="auto"/>
        <w:jc w:val="both"/>
        <w:rPr>
          <w:sz w:val="18"/>
          <w:szCs w:val="18"/>
          <w:lang w:eastAsia="pt-BR"/>
        </w:rPr>
      </w:pPr>
      <w:proofErr w:type="spellStart"/>
      <w:r w:rsidRPr="00F323ED">
        <w:rPr>
          <w:sz w:val="18"/>
          <w:szCs w:val="18"/>
          <w:vertAlign w:val="superscript"/>
          <w:lang w:eastAsia="pt-BR"/>
        </w:rPr>
        <w:t>a</w:t>
      </w:r>
      <w:r w:rsidRPr="00F323ED">
        <w:rPr>
          <w:sz w:val="18"/>
          <w:szCs w:val="18"/>
          <w:lang w:eastAsia="pt-BR"/>
        </w:rPr>
        <w:t>Transition</w:t>
      </w:r>
      <w:proofErr w:type="spellEnd"/>
      <w:r w:rsidRPr="00F323ED">
        <w:rPr>
          <w:sz w:val="18"/>
          <w:szCs w:val="18"/>
          <w:lang w:eastAsia="pt-BR"/>
        </w:rPr>
        <w:t xml:space="preserve"> used for quantification. </w:t>
      </w:r>
      <w:bookmarkStart w:id="4" w:name="_Hlk502860241"/>
      <w:r w:rsidRPr="00F323ED">
        <w:rPr>
          <w:sz w:val="18"/>
          <w:szCs w:val="18"/>
          <w:lang w:eastAsia="pt-BR"/>
        </w:rPr>
        <w:t xml:space="preserve">DP: </w:t>
      </w:r>
      <w:proofErr w:type="spellStart"/>
      <w:r w:rsidRPr="00F323ED">
        <w:rPr>
          <w:sz w:val="18"/>
          <w:szCs w:val="18"/>
          <w:lang w:eastAsia="pt-BR"/>
        </w:rPr>
        <w:t>declustering</w:t>
      </w:r>
      <w:proofErr w:type="spellEnd"/>
      <w:r w:rsidRPr="00F323ED">
        <w:rPr>
          <w:sz w:val="18"/>
          <w:szCs w:val="18"/>
          <w:lang w:eastAsia="pt-BR"/>
        </w:rPr>
        <w:t xml:space="preserve"> potential, </w:t>
      </w:r>
      <w:r w:rsidR="00D13478" w:rsidRPr="00F323ED">
        <w:rPr>
          <w:sz w:val="18"/>
          <w:szCs w:val="18"/>
          <w:lang w:eastAsia="pt-BR"/>
        </w:rPr>
        <w:t xml:space="preserve">EP: entrance potential, CEP: collision cell entrance potential, </w:t>
      </w:r>
      <w:r w:rsidRPr="00F323ED">
        <w:rPr>
          <w:sz w:val="18"/>
          <w:szCs w:val="18"/>
          <w:lang w:eastAsia="pt-BR"/>
        </w:rPr>
        <w:t xml:space="preserve">CE: collision energy, CXP: collision cell exit potential, </w:t>
      </w:r>
      <w:bookmarkEnd w:id="4"/>
      <w:r w:rsidRPr="00F323ED">
        <w:rPr>
          <w:sz w:val="18"/>
          <w:szCs w:val="18"/>
          <w:lang w:eastAsia="pt-BR"/>
        </w:rPr>
        <w:t>RT: retention time.</w:t>
      </w:r>
    </w:p>
    <w:p w:rsidR="00F323ED" w:rsidRPr="00F323ED" w:rsidRDefault="00F323ED" w:rsidP="00F323ED">
      <w:pPr>
        <w:pStyle w:val="Newparagraph"/>
      </w:pPr>
    </w:p>
    <w:p w:rsidR="00FF737B" w:rsidRPr="00FF737B" w:rsidRDefault="00EB4105" w:rsidP="00FF737B">
      <w:pPr>
        <w:pStyle w:val="Newparagraph"/>
        <w:rPr>
          <w:lang w:val="en-US"/>
        </w:rPr>
      </w:pPr>
      <w:r w:rsidRPr="00EB4105">
        <w:t xml:space="preserve">The preparation of the samples </w:t>
      </w:r>
      <w:r w:rsidR="00CD0024" w:rsidRPr="00E36E42">
        <w:rPr>
          <w:noProof/>
        </w:rPr>
        <w:t>analy</w:t>
      </w:r>
      <w:r w:rsidR="00E36E42">
        <w:rPr>
          <w:noProof/>
        </w:rPr>
        <w:t>z</w:t>
      </w:r>
      <w:r w:rsidR="00CD0024" w:rsidRPr="00E36E42">
        <w:rPr>
          <w:noProof/>
        </w:rPr>
        <w:t>ed</w:t>
      </w:r>
      <w:r w:rsidRPr="00EB4105">
        <w:t xml:space="preserve"> in Brazil was identical to those sent to Spain, except for the pre-concentration </w:t>
      </w:r>
      <w:r>
        <w:t>step</w:t>
      </w:r>
      <w:r w:rsidRPr="00EB4105">
        <w:t>.</w:t>
      </w:r>
      <w:r>
        <w:t xml:space="preserve"> After elution of the</w:t>
      </w:r>
      <w:r w:rsidRPr="00EB4105">
        <w:t xml:space="preserve"> analytes with 6 mL of methanol </w:t>
      </w:r>
      <w:r>
        <w:t xml:space="preserve">and the addition of </w:t>
      </w:r>
      <w:r w:rsidRPr="00EB4105">
        <w:t>internal standards</w:t>
      </w:r>
      <w:r>
        <w:t>, t</w:t>
      </w:r>
      <w:r w:rsidRPr="00EB4105">
        <w:t xml:space="preserve">he eluates were </w:t>
      </w:r>
      <w:r w:rsidR="00CD0024">
        <w:t xml:space="preserve">then </w:t>
      </w:r>
      <w:r w:rsidRPr="00EB4105">
        <w:t xml:space="preserve">evaporated </w:t>
      </w:r>
      <w:r w:rsidR="00FF737B">
        <w:t xml:space="preserve">under vacuum </w:t>
      </w:r>
      <w:r w:rsidRPr="00EB4105">
        <w:t xml:space="preserve">in a </w:t>
      </w:r>
      <w:r w:rsidR="00FF737B">
        <w:t xml:space="preserve">parallel evaporator </w:t>
      </w:r>
      <w:proofErr w:type="spellStart"/>
      <w:r w:rsidR="00FF737B">
        <w:t>Syncore</w:t>
      </w:r>
      <w:proofErr w:type="spellEnd"/>
      <w:r w:rsidR="00FF737B">
        <w:t xml:space="preserve"> Analyst</w:t>
      </w:r>
      <w:r w:rsidRPr="00EB4105">
        <w:t xml:space="preserve"> (</w:t>
      </w:r>
      <w:proofErr w:type="spellStart"/>
      <w:r w:rsidR="00FF737B">
        <w:t>Buchi</w:t>
      </w:r>
      <w:proofErr w:type="spellEnd"/>
      <w:r w:rsidRPr="00EB4105">
        <w:t xml:space="preserve">) to a final volume of </w:t>
      </w:r>
      <w:r w:rsidR="00FF737B">
        <w:t>1.</w:t>
      </w:r>
      <w:r w:rsidR="00D54408">
        <w:t>5</w:t>
      </w:r>
      <w:r w:rsidRPr="00EB4105">
        <w:t xml:space="preserve"> </w:t>
      </w:r>
      <w:proofErr w:type="spellStart"/>
      <w:r w:rsidRPr="00EB4105">
        <w:t>mL.</w:t>
      </w:r>
      <w:proofErr w:type="spellEnd"/>
      <w:r w:rsidR="00FF737B">
        <w:t xml:space="preserve"> Table S3 shows the </w:t>
      </w:r>
      <w:r w:rsidR="00FF737B" w:rsidRPr="00FF737B">
        <w:rPr>
          <w:lang w:val="en-US"/>
        </w:rPr>
        <w:t xml:space="preserve">parameters of the analytical curves constructed for quantification </w:t>
      </w:r>
      <w:r w:rsidR="00FF737B">
        <w:rPr>
          <w:lang w:val="en-US"/>
        </w:rPr>
        <w:t>of the selected analytes</w:t>
      </w:r>
      <w:r w:rsidR="00FF737B" w:rsidRPr="00FF737B">
        <w:rPr>
          <w:lang w:val="en-US"/>
        </w:rPr>
        <w:t xml:space="preserve"> by </w:t>
      </w:r>
      <w:r w:rsidR="00FF737B" w:rsidRPr="00FF737B">
        <w:t xml:space="preserve">liquid chromatography coupled to </w:t>
      </w:r>
      <w:r w:rsidR="00FF737B">
        <w:t>triple-quadrupole</w:t>
      </w:r>
      <w:r w:rsidR="00FF737B" w:rsidRPr="00FF737B">
        <w:t xml:space="preserve"> mass spectrometry (LC-Q</w:t>
      </w:r>
      <w:r w:rsidR="00FF737B">
        <w:t>qQ</w:t>
      </w:r>
      <w:r w:rsidR="00FF737B" w:rsidRPr="00FF737B">
        <w:t>)</w:t>
      </w:r>
      <w:r w:rsidR="00FF737B">
        <w:rPr>
          <w:lang w:val="en-US"/>
        </w:rPr>
        <w:t>, as well as limits of detection and quantification</w:t>
      </w:r>
      <w:r w:rsidR="00FF737B" w:rsidRPr="00FF737B">
        <w:rPr>
          <w:lang w:val="en-US"/>
        </w:rPr>
        <w:t>.</w:t>
      </w:r>
    </w:p>
    <w:p w:rsidR="00D13478" w:rsidRDefault="00D13478" w:rsidP="00D13478">
      <w:pPr>
        <w:pStyle w:val="Tabletitle"/>
      </w:pPr>
      <w:r w:rsidRPr="00944CCF">
        <w:t xml:space="preserve">Table </w:t>
      </w:r>
      <w:r>
        <w:t>S3</w:t>
      </w:r>
      <w:r w:rsidRPr="00944CCF">
        <w:t xml:space="preserve">. </w:t>
      </w:r>
      <w:r>
        <w:t xml:space="preserve">Parameters of the analytical curves and limits of determination and quantification for the investigated </w:t>
      </w:r>
      <w:proofErr w:type="spellStart"/>
      <w:r>
        <w:t>analytes</w:t>
      </w:r>
      <w:proofErr w:type="spellEnd"/>
      <w:r>
        <w:t xml:space="preserve"> determined by LC-</w:t>
      </w:r>
      <w:proofErr w:type="spellStart"/>
      <w:r>
        <w:t>QqQ</w:t>
      </w:r>
      <w:proofErr w:type="spellEnd"/>
      <w:r w:rsidRPr="00944CCF"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1843"/>
        <w:gridCol w:w="763"/>
        <w:gridCol w:w="763"/>
        <w:gridCol w:w="763"/>
        <w:gridCol w:w="763"/>
        <w:gridCol w:w="764"/>
      </w:tblGrid>
      <w:tr w:rsidR="00D13478" w:rsidRPr="00052CEF" w:rsidTr="0007634F"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Analyte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Range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Curve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A1F8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LOD</w:t>
            </w:r>
            <w:r w:rsidRPr="009166FD"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LOQ</w:t>
            </w:r>
            <w:r w:rsidRPr="009166FD"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Default="00D13478" w:rsidP="0007634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LOD</w:t>
            </w:r>
            <w:r w:rsidRPr="009166FD">
              <w:rPr>
                <w:i/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Default="00D13478" w:rsidP="0007634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LOQ</w:t>
            </w:r>
            <w:r w:rsidRPr="009166FD">
              <w:rPr>
                <w:i/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D13478" w:rsidRPr="00052CEF" w:rsidTr="0007634F">
        <w:tc>
          <w:tcPr>
            <w:tcW w:w="9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9166FD" w:rsidRDefault="00D13478" w:rsidP="0007634F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µg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y</w:t>
            </w:r>
            <w:r>
              <w:rPr>
                <w:sz w:val="20"/>
                <w:szCs w:val="22"/>
              </w:rPr>
              <w:t xml:space="preserve"> = a + b </w:t>
            </w: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9166FD" w:rsidRDefault="00D13478" w:rsidP="0007634F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µg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9166FD" w:rsidRDefault="00D13478" w:rsidP="0007634F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µg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9166FD" w:rsidRDefault="00D13478" w:rsidP="0007634F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ng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9166FD" w:rsidRDefault="00D13478" w:rsidP="0007634F">
            <w:pPr>
              <w:spacing w:line="240" w:lineRule="auto"/>
              <w:rPr>
                <w:i/>
                <w:sz w:val="20"/>
                <w:szCs w:val="20"/>
              </w:rPr>
            </w:pPr>
            <w:r w:rsidRPr="009166FD">
              <w:rPr>
                <w:i/>
                <w:sz w:val="20"/>
                <w:szCs w:val="20"/>
              </w:rPr>
              <w:t>ng L</w:t>
            </w:r>
            <w:r w:rsidRPr="009166FD">
              <w:rPr>
                <w:i/>
                <w:sz w:val="20"/>
                <w:szCs w:val="20"/>
                <w:vertAlign w:val="superscript"/>
              </w:rPr>
              <w:t>-1</w:t>
            </w:r>
          </w:p>
        </w:tc>
      </w:tr>
      <w:tr w:rsidR="00D13478" w:rsidRPr="00052CEF" w:rsidTr="0007634F">
        <w:tc>
          <w:tcPr>
            <w:tcW w:w="943" w:type="dxa"/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</w:t>
            </w: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COC-d3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 w:rsidR="00D13478">
              <w:rPr>
                <w:sz w:val="20"/>
                <w:szCs w:val="22"/>
              </w:rPr>
              <w:t xml:space="preserve"> </w:t>
            </w:r>
            <w:r w:rsidR="00D13478">
              <w:rPr>
                <w:rFonts w:ascii="Calibri" w:hAnsi="Calibri" w:cs="Calibri"/>
                <w:sz w:val="20"/>
                <w:szCs w:val="22"/>
              </w:rPr>
              <w:t>−</w:t>
            </w:r>
            <w:r w:rsidR="00D1347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5</w:t>
            </w:r>
            <w:r w:rsidR="00D13478" w:rsidRPr="00B96595">
              <w:rPr>
                <w:sz w:val="20"/>
                <w:szCs w:val="22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3478" w:rsidRPr="00B96595" w:rsidRDefault="00D13478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y</w:t>
            </w:r>
            <w:r>
              <w:rPr>
                <w:sz w:val="20"/>
                <w:szCs w:val="22"/>
              </w:rPr>
              <w:t xml:space="preserve"> = 0.</w:t>
            </w:r>
            <w:r w:rsidR="00600A06">
              <w:rPr>
                <w:sz w:val="20"/>
                <w:szCs w:val="22"/>
              </w:rPr>
              <w:t>001</w:t>
            </w:r>
            <w:r>
              <w:rPr>
                <w:sz w:val="20"/>
                <w:szCs w:val="22"/>
              </w:rPr>
              <w:t xml:space="preserve"> + 0.</w:t>
            </w:r>
            <w:r w:rsidRPr="00B96595">
              <w:rPr>
                <w:sz w:val="20"/>
                <w:szCs w:val="22"/>
              </w:rPr>
              <w:t>00</w:t>
            </w:r>
            <w:r w:rsidR="00600A06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 xml:space="preserve"> </w:t>
            </w: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x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D13478" w:rsidRPr="00B96595" w:rsidRDefault="00D13478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</w:t>
            </w:r>
            <w:r w:rsidRPr="00B96595">
              <w:rPr>
                <w:sz w:val="20"/>
                <w:szCs w:val="22"/>
              </w:rPr>
              <w:t>9</w:t>
            </w:r>
            <w:r w:rsidR="00600A06">
              <w:rPr>
                <w:sz w:val="20"/>
                <w:szCs w:val="22"/>
              </w:rPr>
              <w:t>8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73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242</w:t>
            </w:r>
          </w:p>
        </w:tc>
      </w:tr>
      <w:tr w:rsidR="00D13478" w:rsidRPr="00052CEF" w:rsidTr="0007634F">
        <w:tc>
          <w:tcPr>
            <w:tcW w:w="943" w:type="dxa"/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</w:tc>
        <w:tc>
          <w:tcPr>
            <w:tcW w:w="943" w:type="dxa"/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BE-d3</w:t>
            </w:r>
          </w:p>
        </w:tc>
        <w:tc>
          <w:tcPr>
            <w:tcW w:w="944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 w:rsidR="00D13478" w:rsidRPr="00B96595">
              <w:rPr>
                <w:sz w:val="20"/>
                <w:szCs w:val="22"/>
              </w:rPr>
              <w:t>0</w:t>
            </w:r>
            <w:r w:rsidR="00D13478">
              <w:rPr>
                <w:sz w:val="20"/>
                <w:szCs w:val="22"/>
              </w:rPr>
              <w:t xml:space="preserve"> </w:t>
            </w:r>
            <w:r w:rsidR="00D13478">
              <w:rPr>
                <w:rFonts w:ascii="Calibri" w:hAnsi="Calibri" w:cs="Calibri"/>
                <w:sz w:val="20"/>
                <w:szCs w:val="22"/>
              </w:rPr>
              <w:t>−</w:t>
            </w:r>
            <w:r w:rsidR="00D1347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5</w:t>
            </w:r>
            <w:r w:rsidR="00D13478" w:rsidRPr="00B96595">
              <w:rPr>
                <w:sz w:val="20"/>
                <w:szCs w:val="22"/>
              </w:rPr>
              <w:t>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3478" w:rsidRPr="00B96595" w:rsidRDefault="00D13478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y</w:t>
            </w:r>
            <w:r>
              <w:rPr>
                <w:sz w:val="20"/>
                <w:szCs w:val="22"/>
              </w:rPr>
              <w:t xml:space="preserve"> = </w:t>
            </w:r>
            <w:r w:rsidR="00600A06">
              <w:rPr>
                <w:sz w:val="20"/>
                <w:szCs w:val="22"/>
              </w:rPr>
              <w:t>0.077</w:t>
            </w:r>
            <w:r>
              <w:rPr>
                <w:sz w:val="20"/>
                <w:szCs w:val="22"/>
              </w:rPr>
              <w:t xml:space="preserve"> </w:t>
            </w:r>
            <w:r w:rsidRPr="00B96595">
              <w:rPr>
                <w:sz w:val="20"/>
                <w:szCs w:val="22"/>
              </w:rPr>
              <w:t>+</w:t>
            </w:r>
            <w:r>
              <w:rPr>
                <w:sz w:val="20"/>
                <w:szCs w:val="22"/>
              </w:rPr>
              <w:t xml:space="preserve"> </w:t>
            </w:r>
            <w:r w:rsidRPr="00B96595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.</w:t>
            </w:r>
            <w:r w:rsidR="00600A06">
              <w:rPr>
                <w:sz w:val="20"/>
                <w:szCs w:val="22"/>
              </w:rPr>
              <w:t>723</w:t>
            </w:r>
            <w:r>
              <w:rPr>
                <w:sz w:val="20"/>
                <w:szCs w:val="22"/>
              </w:rPr>
              <w:t xml:space="preserve"> </w:t>
            </w: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x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D13478" w:rsidRPr="00B96595" w:rsidRDefault="00D13478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.</w:t>
            </w:r>
            <w:r w:rsidRPr="00B96595">
              <w:rPr>
                <w:sz w:val="20"/>
                <w:szCs w:val="22"/>
              </w:rPr>
              <w:t>99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71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233</w:t>
            </w:r>
          </w:p>
        </w:tc>
      </w:tr>
      <w:tr w:rsidR="00D13478" w:rsidRPr="00052CEF" w:rsidTr="0007634F">
        <w:tc>
          <w:tcPr>
            <w:tcW w:w="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052CEF" w:rsidRDefault="00D13478" w:rsidP="000763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COE-d3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B96595" w:rsidRDefault="00D13478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B96595">
              <w:rPr>
                <w:sz w:val="20"/>
                <w:szCs w:val="22"/>
              </w:rPr>
              <w:t>1</w:t>
            </w:r>
            <w:r w:rsidR="00600A06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−</w:t>
            </w:r>
            <w:r>
              <w:rPr>
                <w:sz w:val="20"/>
                <w:szCs w:val="22"/>
              </w:rPr>
              <w:t xml:space="preserve"> </w:t>
            </w:r>
            <w:r w:rsidR="00600A06">
              <w:rPr>
                <w:sz w:val="20"/>
                <w:szCs w:val="22"/>
              </w:rPr>
              <w:t>5</w:t>
            </w:r>
            <w:r w:rsidRPr="00B96595">
              <w:rPr>
                <w:sz w:val="20"/>
                <w:szCs w:val="22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B96595" w:rsidRDefault="00D13478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y</w:t>
            </w:r>
            <w:r>
              <w:rPr>
                <w:sz w:val="20"/>
                <w:szCs w:val="22"/>
              </w:rPr>
              <w:t xml:space="preserve"> = 0.0</w:t>
            </w:r>
            <w:r w:rsidR="00600A06">
              <w:rPr>
                <w:sz w:val="20"/>
                <w:szCs w:val="22"/>
              </w:rPr>
              <w:t>12</w:t>
            </w:r>
            <w:r>
              <w:rPr>
                <w:sz w:val="20"/>
                <w:szCs w:val="22"/>
              </w:rPr>
              <w:t xml:space="preserve"> + 0.</w:t>
            </w:r>
            <w:r w:rsidRPr="00B96595">
              <w:rPr>
                <w:sz w:val="20"/>
                <w:szCs w:val="22"/>
              </w:rPr>
              <w:t>0</w:t>
            </w:r>
            <w:r w:rsidR="00600A06">
              <w:rPr>
                <w:sz w:val="20"/>
                <w:szCs w:val="22"/>
              </w:rPr>
              <w:t>92</w:t>
            </w:r>
            <w:r>
              <w:rPr>
                <w:sz w:val="20"/>
                <w:szCs w:val="22"/>
              </w:rPr>
              <w:t xml:space="preserve"> </w:t>
            </w:r>
            <w:r w:rsidRPr="00052CEF">
              <w:rPr>
                <w:rFonts w:asciiTheme="majorHAnsi" w:hAnsiTheme="majorHAnsi"/>
                <w:i/>
                <w:sz w:val="20"/>
                <w:szCs w:val="22"/>
              </w:rPr>
              <w:t>x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B96595" w:rsidRDefault="00D13478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</w:t>
            </w:r>
            <w:r w:rsidRPr="00B96595">
              <w:rPr>
                <w:sz w:val="20"/>
                <w:szCs w:val="22"/>
              </w:rPr>
              <w:t>99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3478" w:rsidRPr="00B96595" w:rsidRDefault="00600A06" w:rsidP="0007634F">
            <w:pPr>
              <w:widowControl w:val="0"/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215</w:t>
            </w:r>
          </w:p>
        </w:tc>
      </w:tr>
    </w:tbl>
    <w:p w:rsidR="00D13478" w:rsidRPr="009166FD" w:rsidRDefault="00D13478" w:rsidP="00D13478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 xml:space="preserve">COC: cocaine, BE: benzoylecgonine, COE: cocaethylene, </w:t>
      </w:r>
      <w:r w:rsidRPr="009166FD">
        <w:rPr>
          <w:sz w:val="18"/>
          <w:szCs w:val="22"/>
        </w:rPr>
        <w:t xml:space="preserve">IS: </w:t>
      </w:r>
      <w:r>
        <w:rPr>
          <w:sz w:val="18"/>
          <w:szCs w:val="22"/>
        </w:rPr>
        <w:t>i</w:t>
      </w:r>
      <w:r w:rsidRPr="009166FD">
        <w:rPr>
          <w:sz w:val="18"/>
          <w:szCs w:val="22"/>
        </w:rPr>
        <w:t>nternal standard, a</w:t>
      </w:r>
      <w:r>
        <w:rPr>
          <w:sz w:val="18"/>
          <w:szCs w:val="22"/>
        </w:rPr>
        <w:t>:</w:t>
      </w:r>
      <w:r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>l</w:t>
      </w:r>
      <w:r w:rsidRPr="009166FD">
        <w:rPr>
          <w:sz w:val="18"/>
          <w:szCs w:val="22"/>
        </w:rPr>
        <w:t>inear coefficient</w:t>
      </w:r>
      <w:r>
        <w:rPr>
          <w:sz w:val="18"/>
          <w:szCs w:val="22"/>
        </w:rPr>
        <w:t>,</w:t>
      </w:r>
      <w:r w:rsidRPr="009166FD">
        <w:rPr>
          <w:sz w:val="18"/>
          <w:szCs w:val="22"/>
        </w:rPr>
        <w:t xml:space="preserve"> b</w:t>
      </w:r>
      <w:r>
        <w:rPr>
          <w:sz w:val="18"/>
          <w:szCs w:val="22"/>
        </w:rPr>
        <w:t>:</w:t>
      </w:r>
      <w:r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>a</w:t>
      </w:r>
      <w:r w:rsidRPr="009166FD">
        <w:rPr>
          <w:sz w:val="18"/>
          <w:szCs w:val="22"/>
        </w:rPr>
        <w:t>ngular coefficient</w:t>
      </w:r>
      <w:r>
        <w:rPr>
          <w:sz w:val="18"/>
          <w:szCs w:val="22"/>
        </w:rPr>
        <w:t xml:space="preserve">, </w:t>
      </w:r>
      <w:r w:rsidRPr="00E36E42">
        <w:rPr>
          <w:noProof/>
          <w:sz w:val="18"/>
          <w:szCs w:val="22"/>
        </w:rPr>
        <w:t>LOD</w:t>
      </w:r>
      <w:r w:rsidRPr="00E36E42">
        <w:rPr>
          <w:i/>
          <w:noProof/>
          <w:sz w:val="18"/>
          <w:szCs w:val="22"/>
        </w:rPr>
        <w:t>i</w:t>
      </w:r>
      <w:r>
        <w:rPr>
          <w:sz w:val="18"/>
          <w:szCs w:val="22"/>
        </w:rPr>
        <w:t>:</w:t>
      </w:r>
      <w:r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limit of detection of the instrument, </w:t>
      </w:r>
      <w:proofErr w:type="spellStart"/>
      <w:r w:rsidRPr="009166FD">
        <w:rPr>
          <w:sz w:val="18"/>
          <w:szCs w:val="22"/>
        </w:rPr>
        <w:t>LOQi</w:t>
      </w:r>
      <w:proofErr w:type="spellEnd"/>
      <w:r>
        <w:rPr>
          <w:sz w:val="18"/>
          <w:szCs w:val="22"/>
        </w:rPr>
        <w:t>:</w:t>
      </w:r>
      <w:r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limit of quantification of the instrument, </w:t>
      </w:r>
      <w:proofErr w:type="spellStart"/>
      <w:r w:rsidRPr="009166FD">
        <w:rPr>
          <w:sz w:val="18"/>
          <w:szCs w:val="22"/>
        </w:rPr>
        <w:t>LOD</w:t>
      </w:r>
      <w:r w:rsidRPr="009166FD">
        <w:rPr>
          <w:i/>
          <w:sz w:val="18"/>
          <w:szCs w:val="22"/>
        </w:rPr>
        <w:t>m</w:t>
      </w:r>
      <w:proofErr w:type="spellEnd"/>
      <w:r>
        <w:rPr>
          <w:sz w:val="18"/>
          <w:szCs w:val="22"/>
        </w:rPr>
        <w:t>:</w:t>
      </w:r>
      <w:r w:rsidRPr="009166FD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method limit of detection, </w:t>
      </w:r>
      <w:proofErr w:type="spellStart"/>
      <w:r w:rsidRPr="009166FD">
        <w:rPr>
          <w:sz w:val="18"/>
          <w:szCs w:val="22"/>
        </w:rPr>
        <w:t>LOQm</w:t>
      </w:r>
      <w:proofErr w:type="spellEnd"/>
      <w:r>
        <w:rPr>
          <w:sz w:val="18"/>
          <w:szCs w:val="22"/>
        </w:rPr>
        <w:t xml:space="preserve">: method limit of quantification. </w:t>
      </w:r>
      <w:r w:rsidRPr="009166FD">
        <w:rPr>
          <w:sz w:val="18"/>
          <w:szCs w:val="22"/>
        </w:rPr>
        <w:t xml:space="preserve">*Limits </w:t>
      </w:r>
      <w:r>
        <w:rPr>
          <w:sz w:val="18"/>
          <w:szCs w:val="22"/>
        </w:rPr>
        <w:t>calculated</w:t>
      </w:r>
      <w:r w:rsidRPr="009166FD">
        <w:rPr>
          <w:sz w:val="18"/>
          <w:szCs w:val="22"/>
        </w:rPr>
        <w:t xml:space="preserve"> considering</w:t>
      </w:r>
      <w:r>
        <w:rPr>
          <w:sz w:val="18"/>
          <w:szCs w:val="22"/>
        </w:rPr>
        <w:t xml:space="preserve"> the </w:t>
      </w:r>
      <w:r w:rsidRPr="009166FD">
        <w:rPr>
          <w:sz w:val="18"/>
          <w:szCs w:val="22"/>
        </w:rPr>
        <w:t>efficiency of the method</w:t>
      </w:r>
      <w:r>
        <w:rPr>
          <w:sz w:val="18"/>
          <w:szCs w:val="22"/>
        </w:rPr>
        <w:t xml:space="preserve"> (</w:t>
      </w:r>
      <m:oMath>
        <m:r>
          <w:rPr>
            <w:rFonts w:ascii="Cambria Math" w:hAnsi="Cambria Math"/>
            <w:sz w:val="18"/>
            <w:szCs w:val="22"/>
          </w:rPr>
          <m:t>Ef</m:t>
        </m:r>
      </m:oMath>
      <w:r>
        <w:rPr>
          <w:sz w:val="18"/>
          <w:szCs w:val="22"/>
        </w:rPr>
        <w:t>)</w:t>
      </w:r>
      <w:r w:rsidRPr="009166FD">
        <w:rPr>
          <w:sz w:val="18"/>
          <w:szCs w:val="22"/>
        </w:rPr>
        <w:t xml:space="preserve"> and </w:t>
      </w:r>
      <w:r w:rsidR="00E36E42">
        <w:rPr>
          <w:sz w:val="18"/>
          <w:szCs w:val="22"/>
        </w:rPr>
        <w:t>a concentration</w:t>
      </w:r>
      <w:r w:rsidRPr="00E36E42">
        <w:rPr>
          <w:noProof/>
          <w:sz w:val="18"/>
          <w:szCs w:val="22"/>
        </w:rPr>
        <w:t xml:space="preserve"> f</w:t>
      </w:r>
      <w:r>
        <w:rPr>
          <w:sz w:val="18"/>
          <w:szCs w:val="22"/>
        </w:rPr>
        <w:t xml:space="preserve">actor of </w:t>
      </w:r>
      <w:r w:rsidR="00600A06">
        <w:rPr>
          <w:sz w:val="18"/>
          <w:szCs w:val="22"/>
        </w:rPr>
        <w:t>33</w:t>
      </w:r>
      <w:r w:rsidRPr="009166FD">
        <w:rPr>
          <w:sz w:val="18"/>
          <w:szCs w:val="22"/>
        </w:rPr>
        <w:t>.</w:t>
      </w:r>
    </w:p>
    <w:p w:rsidR="00944CCF" w:rsidRPr="00E36E42" w:rsidRDefault="00944CCF" w:rsidP="00944CCF">
      <w:pPr>
        <w:pStyle w:val="Newparagraph"/>
        <w:rPr>
          <w:lang w:val="en-US"/>
        </w:rPr>
      </w:pPr>
    </w:p>
    <w:sectPr w:rsidR="00944CCF" w:rsidRPr="00E36E42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71" w:rsidRDefault="00786571" w:rsidP="00AF2C92">
      <w:r>
        <w:separator/>
      </w:r>
    </w:p>
  </w:endnote>
  <w:endnote w:type="continuationSeparator" w:id="0">
    <w:p w:rsidR="00786571" w:rsidRDefault="00786571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71" w:rsidRDefault="00786571" w:rsidP="00AF2C92">
      <w:r>
        <w:separator/>
      </w:r>
    </w:p>
  </w:footnote>
  <w:footnote w:type="continuationSeparator" w:id="0">
    <w:p w:rsidR="00786571" w:rsidRDefault="00786571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TQwNTGzMDYxMTZR0lEKTi0uzszPAykwrgUAOBqGlSwAAAA="/>
  </w:docVars>
  <w:rsids>
    <w:rsidRoot w:val="006633F0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2CEF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D690A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1F6285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08D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4A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2600"/>
    <w:rsid w:val="00463228"/>
    <w:rsid w:val="004636F7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C7497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0A06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33F0"/>
    <w:rsid w:val="00666DA8"/>
    <w:rsid w:val="00671057"/>
    <w:rsid w:val="00675AAF"/>
    <w:rsid w:val="0068031A"/>
    <w:rsid w:val="00680A94"/>
    <w:rsid w:val="00681B2F"/>
    <w:rsid w:val="0068335F"/>
    <w:rsid w:val="00687217"/>
    <w:rsid w:val="00693302"/>
    <w:rsid w:val="0069640B"/>
    <w:rsid w:val="006A1886"/>
    <w:rsid w:val="006A1B83"/>
    <w:rsid w:val="006A1F84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0DF9"/>
    <w:rsid w:val="006F231A"/>
    <w:rsid w:val="006F251E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6571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34DD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66FD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4CCF"/>
    <w:rsid w:val="00947DA2"/>
    <w:rsid w:val="00951177"/>
    <w:rsid w:val="00965940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0B4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21B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47422"/>
    <w:rsid w:val="00B50D21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A68D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1CEA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B6C19"/>
    <w:rsid w:val="00CC1E75"/>
    <w:rsid w:val="00CC2E0E"/>
    <w:rsid w:val="00CC361C"/>
    <w:rsid w:val="00CC474B"/>
    <w:rsid w:val="00CC658C"/>
    <w:rsid w:val="00CC67BF"/>
    <w:rsid w:val="00CD0024"/>
    <w:rsid w:val="00CD0843"/>
    <w:rsid w:val="00CD4E31"/>
    <w:rsid w:val="00CD5A78"/>
    <w:rsid w:val="00CD7345"/>
    <w:rsid w:val="00CE372E"/>
    <w:rsid w:val="00CE56F0"/>
    <w:rsid w:val="00CF0A1B"/>
    <w:rsid w:val="00CF19F6"/>
    <w:rsid w:val="00CF2F4F"/>
    <w:rsid w:val="00CF536D"/>
    <w:rsid w:val="00D02E9D"/>
    <w:rsid w:val="00D10CB8"/>
    <w:rsid w:val="00D12806"/>
    <w:rsid w:val="00D12D44"/>
    <w:rsid w:val="00D13478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408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35A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264A8"/>
    <w:rsid w:val="00E30331"/>
    <w:rsid w:val="00E30BB8"/>
    <w:rsid w:val="00E31F9C"/>
    <w:rsid w:val="00E36E42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A92"/>
    <w:rsid w:val="00E73BDC"/>
    <w:rsid w:val="00E73E9E"/>
    <w:rsid w:val="00E81660"/>
    <w:rsid w:val="00E854FE"/>
    <w:rsid w:val="00E906CC"/>
    <w:rsid w:val="00E93866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4105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3ED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tulo1">
    <w:name w:val="heading 1"/>
    <w:basedOn w:val="Normal"/>
    <w:next w:val="Paragraph"/>
    <w:link w:val="Ttulo1C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ar"/>
    <w:rsid w:val="00F43B9D"/>
    <w:pPr>
      <w:spacing w:before="360"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Sangra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tulo2Car">
    <w:name w:val="Título 2 Car"/>
    <w:basedOn w:val="Fuentedeprrafopredeter"/>
    <w:link w:val="Ttulo2"/>
    <w:rsid w:val="008D07FB"/>
    <w:rPr>
      <w:rFonts w:cs="Arial"/>
      <w:b/>
      <w:bCs/>
      <w:i/>
      <w:iCs/>
      <w:sz w:val="24"/>
      <w:szCs w:val="28"/>
    </w:rPr>
  </w:style>
  <w:style w:type="character" w:customStyle="1" w:styleId="Ttulo1Car">
    <w:name w:val="Título 1 Car"/>
    <w:basedOn w:val="Fuentedeprrafopredeter"/>
    <w:link w:val="Ttulo1"/>
    <w:rsid w:val="00AE1ED4"/>
    <w:rPr>
      <w:rFonts w:cs="Arial"/>
      <w:b/>
      <w:bCs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xtonotapie">
    <w:name w:val="footnote text"/>
    <w:basedOn w:val="Normal"/>
    <w:link w:val="Textonotapie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19B2"/>
    <w:rPr>
      <w:sz w:val="22"/>
    </w:rPr>
  </w:style>
  <w:style w:type="character" w:styleId="Refdenotaalpie">
    <w:name w:val="footnote reference"/>
    <w:basedOn w:val="Fuentedeprrafopredeter"/>
    <w:rsid w:val="00AF2C92"/>
    <w:rPr>
      <w:vertAlign w:val="superscript"/>
    </w:rPr>
  </w:style>
  <w:style w:type="paragraph" w:styleId="Textonotaalfinal">
    <w:name w:val="endnote text"/>
    <w:basedOn w:val="Normal"/>
    <w:link w:val="Textonotaalfinal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C19B2"/>
    <w:rPr>
      <w:sz w:val="22"/>
    </w:rPr>
  </w:style>
  <w:style w:type="character" w:styleId="Refdenotaalfinal">
    <w:name w:val="endnote reference"/>
    <w:basedOn w:val="Fuentedeprrafopredeter"/>
    <w:rsid w:val="00EC571B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F43B9D"/>
    <w:rPr>
      <w:bCs/>
      <w:sz w:val="24"/>
      <w:szCs w:val="28"/>
    </w:rPr>
  </w:style>
  <w:style w:type="paragraph" w:styleId="Encabezado">
    <w:name w:val="header"/>
    <w:basedOn w:val="Normal"/>
    <w:link w:val="EncabezadoC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rsid w:val="003F193A"/>
    <w:rPr>
      <w:rFonts w:eastAsia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epginaCar">
    <w:name w:val="Pie de página Car"/>
    <w:basedOn w:val="Fuentedeprrafopredeter"/>
    <w:link w:val="Piedepgin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Textodelmarcadordeposicin">
    <w:name w:val="Placeholder Text"/>
    <w:basedOn w:val="Fuentedeprrafopredeter"/>
    <w:semiHidden/>
    <w:rsid w:val="00052CEF"/>
    <w:rPr>
      <w:color w:val="808080"/>
    </w:rPr>
  </w:style>
  <w:style w:type="table" w:styleId="Tablaconcuadrcula">
    <w:name w:val="Table Grid"/>
    <w:basedOn w:val="Tablanormal"/>
    <w:rsid w:val="0005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lanormal"/>
    <w:next w:val="Tablaconcuadrcula"/>
    <w:rsid w:val="00F323ED"/>
    <w:rPr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93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9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tulo1">
    <w:name w:val="heading 1"/>
    <w:basedOn w:val="Normal"/>
    <w:next w:val="Paragraph"/>
    <w:link w:val="Ttulo1C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Paragraph"/>
    <w:link w:val="Ttulo2C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Paragraph"/>
    <w:link w:val="Ttulo3C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tulo4">
    <w:name w:val="heading 4"/>
    <w:basedOn w:val="Paragraph"/>
    <w:next w:val="Newparagraph"/>
    <w:link w:val="Ttulo4Car"/>
    <w:rsid w:val="00F43B9D"/>
    <w:pPr>
      <w:spacing w:before="360"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Sangra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tulo2Car">
    <w:name w:val="Título 2 Car"/>
    <w:basedOn w:val="Fuentedeprrafopredeter"/>
    <w:link w:val="Ttulo2"/>
    <w:rsid w:val="008D07FB"/>
    <w:rPr>
      <w:rFonts w:cs="Arial"/>
      <w:b/>
      <w:bCs/>
      <w:i/>
      <w:iCs/>
      <w:sz w:val="24"/>
      <w:szCs w:val="28"/>
    </w:rPr>
  </w:style>
  <w:style w:type="character" w:customStyle="1" w:styleId="Ttulo1Car">
    <w:name w:val="Título 1 Car"/>
    <w:basedOn w:val="Fuentedeprrafopredeter"/>
    <w:link w:val="Ttulo1"/>
    <w:rsid w:val="00AE1ED4"/>
    <w:rPr>
      <w:rFonts w:cs="Arial"/>
      <w:b/>
      <w:bCs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xtonotapie">
    <w:name w:val="footnote text"/>
    <w:basedOn w:val="Normal"/>
    <w:link w:val="Textonotapie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19B2"/>
    <w:rPr>
      <w:sz w:val="22"/>
    </w:rPr>
  </w:style>
  <w:style w:type="character" w:styleId="Refdenotaalpie">
    <w:name w:val="footnote reference"/>
    <w:basedOn w:val="Fuentedeprrafopredeter"/>
    <w:rsid w:val="00AF2C92"/>
    <w:rPr>
      <w:vertAlign w:val="superscript"/>
    </w:rPr>
  </w:style>
  <w:style w:type="paragraph" w:styleId="Textonotaalfinal">
    <w:name w:val="endnote text"/>
    <w:basedOn w:val="Normal"/>
    <w:link w:val="TextonotaalfinalCar"/>
    <w:autoRedefine/>
    <w:rsid w:val="006C19B2"/>
    <w:pPr>
      <w:ind w:left="284" w:hanging="284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C19B2"/>
    <w:rPr>
      <w:sz w:val="22"/>
    </w:rPr>
  </w:style>
  <w:style w:type="character" w:styleId="Refdenotaalfinal">
    <w:name w:val="endnote reference"/>
    <w:basedOn w:val="Fuentedeprrafopredeter"/>
    <w:rsid w:val="00EC571B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F43B9D"/>
    <w:rPr>
      <w:bCs/>
      <w:sz w:val="24"/>
      <w:szCs w:val="28"/>
    </w:rPr>
  </w:style>
  <w:style w:type="paragraph" w:styleId="Encabezado">
    <w:name w:val="header"/>
    <w:basedOn w:val="Normal"/>
    <w:link w:val="EncabezadoC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rsid w:val="003F193A"/>
    <w:rPr>
      <w:rFonts w:eastAsia="Times New Roman"/>
      <w:sz w:val="24"/>
      <w:szCs w:val="24"/>
      <w:lang w:eastAsia="en-GB"/>
    </w:rPr>
  </w:style>
  <w:style w:type="paragraph" w:styleId="Piedepgina">
    <w:name w:val="footer"/>
    <w:basedOn w:val="Normal"/>
    <w:link w:val="PiedepginaC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edepginaCar">
    <w:name w:val="Pie de página Car"/>
    <w:basedOn w:val="Fuentedeprrafopredeter"/>
    <w:link w:val="Piedepgin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Textodelmarcadordeposicin">
    <w:name w:val="Placeholder Text"/>
    <w:basedOn w:val="Fuentedeprrafopredeter"/>
    <w:semiHidden/>
    <w:rsid w:val="00052CEF"/>
    <w:rPr>
      <w:color w:val="808080"/>
    </w:rPr>
  </w:style>
  <w:style w:type="table" w:styleId="Tablaconcuadrcula">
    <w:name w:val="Table Grid"/>
    <w:basedOn w:val="Tablanormal"/>
    <w:rsid w:val="0005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lanormal"/>
    <w:next w:val="Tablaconcuadrcula"/>
    <w:rsid w:val="00F323ED"/>
    <w:rPr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93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9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SODRE\Dropbox\Artigos\Confec&#231;&#227;o%20-%20IJEAC%20Manuela\IJEAC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618D-0DBD-455E-BDDD-7B0AA894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858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5573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Fernando</dc:creator>
  <cp:lastModifiedBy>Joan</cp:lastModifiedBy>
  <cp:revision>15</cp:revision>
  <cp:lastPrinted>2011-07-22T14:54:00Z</cp:lastPrinted>
  <dcterms:created xsi:type="dcterms:W3CDTF">2018-08-13T02:41:00Z</dcterms:created>
  <dcterms:modified xsi:type="dcterms:W3CDTF">2018-11-28T17:05:00Z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http://www.zotero.org/styles/american-institute-of-physics</vt:lpwstr>
  </property>
  <property fmtid="{D5CDD505-2E9C-101B-9397-08002B2CF9AE}" pid="3" name="Mendeley Recent Style Name 0_1">
    <vt:lpwstr>American Institute of Physics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http://www.zotero.org/styles/archives-of-agronomy-and-soil-science</vt:lpwstr>
  </property>
  <property fmtid="{D5CDD505-2E9C-101B-9397-08002B2CF9AE}" pid="11" name="Mendeley Recent Style Name 4_1">
    <vt:lpwstr>Archives of Agronomy and Soil Science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http://www.zotero.org/styles/environmental-science-and-pollution-research</vt:lpwstr>
  </property>
  <property fmtid="{D5CDD505-2E9C-101B-9397-08002B2CF9AE}" pid="15" name="Mendeley Recent Style Name 6_1">
    <vt:lpwstr>Environmental Science and Pollution Research</vt:lpwstr>
  </property>
  <property fmtid="{D5CDD505-2E9C-101B-9397-08002B2CF9AE}" pid="16" name="Mendeley Recent Style Id 7_1">
    <vt:lpwstr>http://www.zotero.org/styles/journal-of-the-brazilian-chemical-society</vt:lpwstr>
  </property>
  <property fmtid="{D5CDD505-2E9C-101B-9397-08002B2CF9AE}" pid="17" name="Mendeley Recent Style Name 7_1">
    <vt:lpwstr>Journal of the Brazilian Chemical Society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00bb1266-aded-377b-932c-a40f68747d7c</vt:lpwstr>
  </property>
  <property fmtid="{D5CDD505-2E9C-101B-9397-08002B2CF9AE}" pid="24" name="Mendeley Citation Style_1">
    <vt:lpwstr>http://www.zotero.org/styles/american-institute-of-physics</vt:lpwstr>
  </property>
</Properties>
</file>