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
        </w:rPr>
      </w:pPr>
      <w:r w:rsidRPr="00545C33">
        <w:rPr>
          <w:rFonts w:ascii="Arial" w:hAnsi="Arial" w:cs="Arial"/>
          <w:b/>
        </w:rPr>
        <w:t>Appendix: Description of the population pharmacokinetic models used for the simulations</w:t>
      </w: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r w:rsidRPr="00545C33">
        <w:rPr>
          <w:rFonts w:ascii="Arial" w:hAnsi="Arial" w:cs="Arial"/>
        </w:rPr>
        <w:t>Population pharmacokinetic models were developed using data collected from the TB</w:t>
      </w:r>
      <w:r w:rsidRPr="00545C33">
        <w:rPr>
          <w:rFonts w:ascii="Arial" w:hAnsi="Arial" w:cs="Arial"/>
        </w:rPr>
        <w:noBreakHyphen/>
        <w:t xml:space="preserve">HAART and RAFA studies, and a description of these studies has been reported </w:t>
      </w:r>
      <w:r w:rsidRPr="00545C33">
        <w:rPr>
          <w:rFonts w:ascii="Arial" w:hAnsi="Arial" w:cs="Arial"/>
        </w:rPr>
        <w:fldChar w:fldCharType="begin" w:fldLock="1"/>
      </w:r>
      <w:r w:rsidRPr="00545C33">
        <w:rPr>
          <w:rFonts w:ascii="Arial" w:hAnsi="Arial" w:cs="Arial"/>
        </w:rPr>
        <w:instrText>ADDIN CSL_CITATION {"citationItems":[{"id":"ITEM-1","itemData":{"DOI":"10.1128/AAC.05526-11","ISSN":"1098-6596","PMID":"22411614","abstract":"Reduced antituberculosis drug concentrations may contribute to unfavorable treatment outcomes among HIV-infected patients with more advanced immune suppression, and few studies have evaluated pharmacokinetics of the first-line antituberculosis drugs in such patients given fixed-dose combination tablets according to international guidelines using weight bands. In this study, pharmacokinetics were evaluated in 60 patients on 4 occasions during the first month of antituberculosis therapy. Multilevel linear mixed-effects regression analysis was used to examine the effects of age, sex, weight, drug dose/kilogram, CD4(+) lymphocyte count, treatment schedule (5 versus 7 days/week), and concurrent antiretrovirals (efavirenz plus lamivudine plus zidovudine) on the area under the concentration-time curve from 0 to 12 h (AUC(0-12)) of the respective antituberculosis drugs and to compare AUC(0-12)s at day 8, day 15, and day 29 with the day 1 AUC(0-12). Median (range) age, weight, and CD4(+) lymphocyte count were 32 (18 to 47) years, 55.2 (34.4 to 98.7) kg, and 252 (12 to 500)/μl. For every 10-kg increase in body weight, the predicted day 29 AUC(0-12) increased by 14.1% (95% confidence interval [CI], 7.5, 20.8), 14.1% (95% CI, -0.7, 31.1), 6.1% (95% CI, 2.7, 9.6) and 6.0% (95% CI, 0.8, 11.3) for rifampin, isoniazid, pyrazinamide, and ethambutol, respectively. Males had day 29 AUC(0-12)s 19.3% (95% CI, 3.6, 35.1) and 14.0% (95% CI, 5.6, 22.4) lower than females for rifampin and pyrazinamide, respectively. Level of immune suppression and concomitant antiretrovirals had little effect on the concentrations of the antituberculosis agents. As they had reduced drug concentrations, it is important to review treatment responses in patients in the lower weight bands and males to inform future treatment guidelines, and revision of doses in these patients should be considered.","author":[{"dropping-particle":"","family":"McIlleron","given":"Helen","non-dropping-particle":"","parse-names":false,"suffix":""},{"dropping-particle":"","family":"Rustomjee","given":"Roxana","non-dropping-particle":"","parse-names":false,"suffix":""},{"dropping-particle":"","family":"Vahedi","given":"Mahnaz","non-dropping-particle":"","parse-names":false,"suffix":""},{"dropping-particle":"","family":"Mthiyane","given":"Thuli","non-dropping-particle":"","parse-names":false,"suffix":""},{"dropping-particle":"","family":"Denti","given":"Paolo","non-dropping-particle":"","parse-names":false,"suffix":""},{"dropping-particle":"","family":"Connolly","given":"Catherine","non-dropping-particle":"","parse-names":false,"suffix":""},{"dropping-particle":"","family":"Rida","given":"Wasima","non-dropping-particle":"","parse-names":false,"suffix":""},{"dropping-particle":"","family":"Pym","given":"Alexander","non-dropping-particle":"","parse-names":false,"suffix":""},{"dropping-particle":"","family":"Smith","given":"Peter J","non-dropping-particle":"","parse-names":false,"suffix":""},{"dropping-particle":"","family":"Onyebujoh","given":"Philip C","non-dropping-particle":"","parse-names":false,"suffix":""}],"container-title":"Antimicrobial agents and chemotherapy","id":"ITEM-1","issue":"6","issued":{"date-parts":[["2012","6"]]},"page":"3232-8","title":"Reduced antituberculosis drug concentrations in HIV-infected patients who are men or have low weight: implications for international dosing guidelines.","type":"article-journal","volume":"56"},"uris":["http://www.mendeley.com/documents/?uuid=dd1e3252-8a59-47cb-ac92-8c4a974ccf62"]}],"mendeley":{"formattedCitation":"[1]","plainTextFormattedCitation":"[1]","previouslyFormattedCitation":"[1]"},"properties":{"noteIndex":0},"schema":"https://github.com/citation-style-language/schema/raw/master/csl-citation.json"}</w:instrText>
      </w:r>
      <w:r w:rsidRPr="00545C33">
        <w:rPr>
          <w:rFonts w:ascii="Arial" w:hAnsi="Arial" w:cs="Arial"/>
        </w:rPr>
        <w:fldChar w:fldCharType="separate"/>
      </w:r>
      <w:r w:rsidRPr="00545C33">
        <w:rPr>
          <w:rFonts w:ascii="Arial" w:hAnsi="Arial" w:cs="Arial"/>
          <w:noProof/>
        </w:rPr>
        <w:t>[1]</w:t>
      </w:r>
      <w:r w:rsidRPr="00545C33">
        <w:rPr>
          <w:rFonts w:ascii="Arial" w:hAnsi="Arial" w:cs="Arial"/>
        </w:rPr>
        <w:fldChar w:fldCharType="end"/>
      </w:r>
      <w:r w:rsidRPr="00545C33">
        <w:rPr>
          <w:rFonts w:ascii="Arial" w:hAnsi="Arial" w:cs="Arial"/>
        </w:rPr>
        <w:fldChar w:fldCharType="begin" w:fldLock="1"/>
      </w:r>
      <w:r w:rsidRPr="00545C33">
        <w:rPr>
          <w:rFonts w:ascii="Arial" w:hAnsi="Arial" w:cs="Arial"/>
        </w:rPr>
        <w:instrText>ADDIN CSL_CITATION {"citationItems":[{"id":"ITEM-1","itemData":{"author":[{"dropping-particle":"","family":"Chirehwa","given":"Maxwell Tawanda","non-dropping-particle":"","parse-names":false,"suffix":""},{"dropping-particle":"","family":"McIlleron","given":"Helen","non-dropping-particle":"","parse-names":false,"suffix":""},{"dropping-particle":"","family":"Wiesner","given":"Lubbe","non-dropping-particle":"","parse-names":false,"suffix":""},{"dropping-particle":"","family":"Affolabi","given":"Dissou","non-dropping-particle":"","parse-names":false,"suffix":""},{"dropping-particle":"","family":"Bah Sow","given":"Oumou","non-dropping-particle":"","parse-names":false,"suffix":""},{"dropping-particle":"","family":"Merle","given":"Corinne","non-dropping-particle":"","parse-names":false,"suffix":""},{"dropping-particle":"","family":"Denti","given":"Paolo","non-dropping-particle":"","parse-names":false,"suffix":""}],"container-title":"Journal of Antimicrobial Chemotherapy","id":"ITEM-1","issued":{"date-parts":[["2018"]]},"title":"Effect of efavirenz-based antiretroviral therapy and high-dose rifampicin on the pharmacokinetics of isoniazid and acetyl-isoniazid","type":"article-journal","volume":"In press"},"uris":["http://www.mendeley.com/documents/?uuid=1f646b8c-f402-450e-8707-a6e93b3e5529"]}],"mendeley":{"formattedCitation":"[2]","plainTextFormattedCitation":"[2]","previouslyFormattedCitation":"[2]"},"properties":{"noteIndex":0},"schema":"https://github.com/citation-style-language/schema/raw/master/csl-citation.json"}</w:instrText>
      </w:r>
      <w:r w:rsidRPr="00545C33">
        <w:rPr>
          <w:rFonts w:ascii="Arial" w:hAnsi="Arial" w:cs="Arial"/>
        </w:rPr>
        <w:fldChar w:fldCharType="separate"/>
      </w:r>
      <w:r w:rsidRPr="00545C33">
        <w:rPr>
          <w:rFonts w:ascii="Arial" w:hAnsi="Arial" w:cs="Arial"/>
          <w:noProof/>
        </w:rPr>
        <w:t>[2]</w:t>
      </w:r>
      <w:r w:rsidRPr="00545C33">
        <w:rPr>
          <w:rFonts w:ascii="Arial" w:hAnsi="Arial" w:cs="Arial"/>
        </w:rPr>
        <w:fldChar w:fldCharType="end"/>
      </w:r>
      <w:r w:rsidRPr="00545C33">
        <w:rPr>
          <w:rFonts w:ascii="Arial" w:hAnsi="Arial" w:cs="Arial"/>
        </w:rPr>
        <w:t xml:space="preserve">. Demographic data of a reference cohort of TB patients (n = 1092), with or without HIV </w:t>
      </w:r>
      <w:proofErr w:type="spellStart"/>
      <w:r w:rsidRPr="00545C33">
        <w:rPr>
          <w:rFonts w:ascii="Arial" w:hAnsi="Arial" w:cs="Arial"/>
        </w:rPr>
        <w:t>coinfection</w:t>
      </w:r>
      <w:proofErr w:type="spellEnd"/>
      <w:r w:rsidRPr="00545C33">
        <w:rPr>
          <w:rFonts w:ascii="Arial" w:hAnsi="Arial" w:cs="Arial"/>
        </w:rPr>
        <w:t xml:space="preserve"> recruited in clinical trials conducted in West Africa and South Africa were used for the simulations. The pharmacokinetic models for </w:t>
      </w:r>
      <w:proofErr w:type="spellStart"/>
      <w:r w:rsidRPr="00545C33">
        <w:rPr>
          <w:rFonts w:ascii="Arial" w:hAnsi="Arial" w:cs="Arial"/>
        </w:rPr>
        <w:t>rifampin</w:t>
      </w:r>
      <w:proofErr w:type="spellEnd"/>
      <w:r w:rsidRPr="00545C33">
        <w:rPr>
          <w:rFonts w:ascii="Arial" w:hAnsi="Arial" w:cs="Arial"/>
        </w:rPr>
        <w:t xml:space="preserve"> and pyrazinamide were developed using the concentration</w:t>
      </w:r>
      <w:r w:rsidRPr="00545C33">
        <w:rPr>
          <w:rFonts w:ascii="Arial" w:hAnsi="Arial" w:cs="Arial"/>
        </w:rPr>
        <w:noBreakHyphen/>
        <w:t xml:space="preserve">time data collected from the TBHAART study. Blood samples for quantification of drug concentrations were collected on four PK sampling days (day 1, 8, 15 and 29) from 61 patients. </w:t>
      </w:r>
      <w:proofErr w:type="spellStart"/>
      <w:r w:rsidRPr="00545C33">
        <w:rPr>
          <w:rFonts w:ascii="Arial" w:hAnsi="Arial" w:cs="Arial"/>
        </w:rPr>
        <w:t>Rifampin</w:t>
      </w:r>
      <w:proofErr w:type="spellEnd"/>
      <w:r w:rsidRPr="00545C33">
        <w:rPr>
          <w:rFonts w:ascii="Arial" w:hAnsi="Arial" w:cs="Arial"/>
        </w:rPr>
        <w:t xml:space="preserve"> pharmacokinetics was best described a semi-mechanistic model incorporating </w:t>
      </w:r>
      <w:proofErr w:type="spellStart"/>
      <w:r w:rsidRPr="00545C33">
        <w:rPr>
          <w:rFonts w:ascii="Arial" w:hAnsi="Arial" w:cs="Arial"/>
        </w:rPr>
        <w:t>autoinduction</w:t>
      </w:r>
      <w:proofErr w:type="spellEnd"/>
      <w:r w:rsidRPr="00545C33">
        <w:rPr>
          <w:rFonts w:ascii="Arial" w:hAnsi="Arial" w:cs="Arial"/>
        </w:rPr>
        <w:t xml:space="preserve"> and saturation of hepatic extraction </w:t>
      </w:r>
      <w:r w:rsidRPr="00545C33">
        <w:rPr>
          <w:rFonts w:ascii="Arial" w:hAnsi="Arial" w:cs="Arial"/>
        </w:rPr>
        <w:fldChar w:fldCharType="begin" w:fldLock="1"/>
      </w:r>
      <w:r w:rsidRPr="00545C33">
        <w:rPr>
          <w:rFonts w:ascii="Arial" w:hAnsi="Arial" w:cs="Arial"/>
        </w:rPr>
        <w:instrText>ADDIN CSL_CITATION {"citationItems":[{"id":"ITEM-1","itemData":{"DOI":"10.1128/AAC.01830-15","ISSN":"1098-6596","PMID":"26552972","abstract":"Rifampin is a key sterilizing drug in the treatment of tuberculosis (TB). It induces its own metabolism, but neither the onset nor the extent of autoinduction has been adequately described. Currently, the World Health Organization recommends a rifampin dose of 8 to 12 mg/kg of body weight, which is believed to be suboptimal, and higher doses may potentially improve treatment outcomes. However, a nonlinear increase in exposure may be observed because of saturation of hepatic extraction and hence this should be taken into consideration when a dose increase is implemented. Intensive pharmacokinetic (PK) data from 61 HIV-TB-coinfected patients in South Africa were collected at four visits, on days 1, 8, 15, and 29, after initiation of treatment. Data were analyzed by population nonlinear mixed-effects modeling. Rifampin PKs were best described by using a transit compartment absorption and a well-stirred liver model with saturation of hepatic extraction, including a first-pass effect. Autoinduction was characterized by using an exponential-maturation model: hepatic clearance almost doubled from the baseline to steady state, with a half-life of around 4.5 days. The model predicts that increases in the dose of rifampin result in more-than-linear drug exposure increases as measured by the 24-h area under the concentration-time curve. Simulations with doses of up to 35 mg/kg produced results closely in line with those of clinical trials.","author":[{"dropping-particle":"","family":"Chirehwa","given":"Maxwell T","non-dropping-particle":"","parse-names":false,"suffix":""},{"dropping-particle":"","family":"Rustomjee","given":"Roxana","non-dropping-particle":"","parse-names":false,"suffix":""},{"dropping-particle":"","family":"Mthiyane","given":"Thuli","non-dropping-particle":"","parse-names":false,"suffix":""},{"dropping-particle":"","family":"Onyebujoh","given":"Philip","non-dropping-particle":"","parse-names":false,"suffix":""},{"dropping-particle":"","family":"Smith","given":"Peter","non-dropping-particle":"","parse-names":false,"suffix":""},{"dropping-particle":"","family":"McIlleron","given":"Helen","non-dropping-particle":"","parse-names":false,"suffix":""},{"dropping-particle":"","family":"Denti","given":"Paolo","non-dropping-particle":"","parse-names":false,"suffix":""}],"container-title":"Antimicrobial agents and chemotherapy","id":"ITEM-1","issue":"1","issued":{"date-parts":[["2016"]]},"page":"487-94","title":"Model-Based Evaluation of Higher Doses of Rifampin Using a Semimechanistic Model Incorporating Autoinduction and Saturation of Hepatic Extraction.","type":"article-journal","volume":"60"},"uris":["http://www.mendeley.com/documents/?uuid=102d3d66-8948-446e-8839-2be88f6c9c5b"]}],"mendeley":{"formattedCitation":"[3]","plainTextFormattedCitation":"[3]","previouslyFormattedCitation":"[3]"},"properties":{"noteIndex":0},"schema":"https://github.com/citation-style-language/schema/raw/master/csl-citation.json"}</w:instrText>
      </w:r>
      <w:r w:rsidRPr="00545C33">
        <w:rPr>
          <w:rFonts w:ascii="Arial" w:hAnsi="Arial" w:cs="Arial"/>
        </w:rPr>
        <w:fldChar w:fldCharType="separate"/>
      </w:r>
      <w:r w:rsidRPr="00545C33">
        <w:rPr>
          <w:rFonts w:ascii="Arial" w:hAnsi="Arial" w:cs="Arial"/>
          <w:noProof/>
        </w:rPr>
        <w:t>[3]</w:t>
      </w:r>
      <w:r w:rsidRPr="00545C33">
        <w:rPr>
          <w:rFonts w:ascii="Arial" w:hAnsi="Arial" w:cs="Arial"/>
        </w:rPr>
        <w:fldChar w:fldCharType="end"/>
      </w:r>
      <w:r w:rsidRPr="00545C33">
        <w:rPr>
          <w:rFonts w:ascii="Arial" w:hAnsi="Arial" w:cs="Arial"/>
        </w:rPr>
        <w:t xml:space="preserve">. The prediction-corrected visual predictive check (Figure 2) shows that the model adequately described the pharmacokinetics of </w:t>
      </w:r>
      <w:proofErr w:type="spellStart"/>
      <w:r w:rsidRPr="00545C33">
        <w:rPr>
          <w:rFonts w:ascii="Arial" w:hAnsi="Arial" w:cs="Arial"/>
        </w:rPr>
        <w:t>rifampin</w:t>
      </w:r>
      <w:proofErr w:type="spellEnd"/>
      <w:r w:rsidRPr="00545C33">
        <w:rPr>
          <w:rFonts w:ascii="Arial" w:hAnsi="Arial" w:cs="Arial"/>
        </w:rPr>
        <w:t xml:space="preserve"> and simulations of exposures corresponding to higher doses of </w:t>
      </w:r>
      <w:proofErr w:type="spellStart"/>
      <w:r w:rsidRPr="00545C33">
        <w:rPr>
          <w:rFonts w:ascii="Arial" w:hAnsi="Arial" w:cs="Arial"/>
        </w:rPr>
        <w:t>rifampin</w:t>
      </w:r>
      <w:proofErr w:type="spellEnd"/>
      <w:r w:rsidRPr="00545C33">
        <w:rPr>
          <w:rFonts w:ascii="Arial" w:hAnsi="Arial" w:cs="Arial"/>
        </w:rPr>
        <w:t xml:space="preserve"> up to 35 mg/kg closely mirrored those obtained in clinical trials. The steady</w:t>
      </w:r>
      <w:r w:rsidRPr="00545C33">
        <w:rPr>
          <w:rFonts w:ascii="Arial" w:hAnsi="Arial" w:cs="Arial"/>
        </w:rPr>
        <w:noBreakHyphen/>
        <w:t xml:space="preserve">state parameter estimates from the final model were used to simulate </w:t>
      </w:r>
      <w:proofErr w:type="spellStart"/>
      <w:r w:rsidRPr="00545C33">
        <w:rPr>
          <w:rFonts w:ascii="Arial" w:hAnsi="Arial" w:cs="Arial"/>
        </w:rPr>
        <w:t>rifampin</w:t>
      </w:r>
      <w:proofErr w:type="spellEnd"/>
      <w:r w:rsidRPr="00545C33">
        <w:rPr>
          <w:rFonts w:ascii="Arial" w:hAnsi="Arial" w:cs="Arial"/>
        </w:rPr>
        <w:t xml:space="preserve"> exposures presented in this report (Table 1). A one-compartment disposition model with first-order absorption and elimination best described the pharmacokinetics of pyrazinamide. Clearance of pyrazinamide increased linearly from the first day of treatment to day 29 (14% increase). Parameter estimates of the final model on day 29 (~steady</w:t>
      </w:r>
      <w:r w:rsidRPr="00545C33">
        <w:rPr>
          <w:rFonts w:ascii="Arial" w:hAnsi="Arial" w:cs="Arial"/>
        </w:rPr>
        <w:noBreakHyphen/>
        <w:t xml:space="preserve">state) of treatment were used to simulate pyrazinamide exposures presented in this report (Table 1). </w:t>
      </w:r>
      <w:proofErr w:type="spellStart"/>
      <w:r w:rsidRPr="00545C33">
        <w:rPr>
          <w:rFonts w:ascii="Arial" w:hAnsi="Arial" w:cs="Arial"/>
        </w:rPr>
        <w:t>Allometric</w:t>
      </w:r>
      <w:proofErr w:type="spellEnd"/>
      <w:r w:rsidRPr="00545C33">
        <w:rPr>
          <w:rFonts w:ascii="Arial" w:hAnsi="Arial" w:cs="Arial"/>
        </w:rPr>
        <w:t xml:space="preserve"> scaling was applied to all clearance and volume of distribution parameters using fat-free mass (standardized to the fat-free mass of 42 kg, the median value of the cohort) which was superior to total body weight.</w:t>
      </w: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r w:rsidRPr="00545C33">
        <w:rPr>
          <w:rFonts w:ascii="Arial" w:hAnsi="Arial" w:cs="Arial"/>
        </w:rPr>
        <w:t xml:space="preserve">Parameter estimates of the population pharmacokinetic models for isoniazid and </w:t>
      </w:r>
      <w:proofErr w:type="spellStart"/>
      <w:r w:rsidRPr="00545C33">
        <w:rPr>
          <w:rFonts w:ascii="Arial" w:hAnsi="Arial" w:cs="Arial"/>
        </w:rPr>
        <w:t>ethambutol</w:t>
      </w:r>
      <w:proofErr w:type="spellEnd"/>
      <w:r w:rsidRPr="00545C33">
        <w:rPr>
          <w:rFonts w:ascii="Arial" w:hAnsi="Arial" w:cs="Arial"/>
        </w:rPr>
        <w:t xml:space="preserve"> developed using concentration-time data from the RAFA study were used to </w:t>
      </w:r>
      <w:proofErr w:type="gramStart"/>
      <w:r w:rsidRPr="00545C33">
        <w:rPr>
          <w:rFonts w:ascii="Arial" w:hAnsi="Arial" w:cs="Arial"/>
        </w:rPr>
        <w:t>simulates</w:t>
      </w:r>
      <w:proofErr w:type="gramEnd"/>
      <w:r w:rsidRPr="00545C33">
        <w:rPr>
          <w:rFonts w:ascii="Arial" w:hAnsi="Arial" w:cs="Arial"/>
        </w:rPr>
        <w:t xml:space="preserve"> the isoniazid and </w:t>
      </w:r>
      <w:proofErr w:type="spellStart"/>
      <w:r w:rsidRPr="00545C33">
        <w:rPr>
          <w:rFonts w:ascii="Arial" w:hAnsi="Arial" w:cs="Arial"/>
        </w:rPr>
        <w:t>ethambutol</w:t>
      </w:r>
      <w:proofErr w:type="spellEnd"/>
      <w:r w:rsidRPr="00545C33">
        <w:rPr>
          <w:rFonts w:ascii="Arial" w:hAnsi="Arial" w:cs="Arial"/>
        </w:rPr>
        <w:t xml:space="preserve"> exposures. Blood sampling for pharmacokinetic analysis was done at between four to eight weeks after the start of tuberculosis treatment. Samples were collected before the dose and at 2, 4, 6 and 10 hours post</w:t>
      </w:r>
      <w:r w:rsidRPr="00545C33">
        <w:rPr>
          <w:rFonts w:ascii="Arial" w:hAnsi="Arial" w:cs="Arial"/>
        </w:rPr>
        <w:noBreakHyphen/>
        <w:t xml:space="preserve">dose on the sampling day. The model describing the pharmacokinetics of isoniazid (n = 150) and acetyl-isoniazid (n = 79) has been reported </w:t>
      </w:r>
      <w:r w:rsidRPr="00545C33">
        <w:rPr>
          <w:rFonts w:ascii="Arial" w:hAnsi="Arial" w:cs="Arial"/>
        </w:rPr>
        <w:fldChar w:fldCharType="begin" w:fldLock="1"/>
      </w:r>
      <w:r w:rsidRPr="00545C33">
        <w:rPr>
          <w:rFonts w:ascii="Arial" w:hAnsi="Arial" w:cs="Arial"/>
        </w:rPr>
        <w:instrText>ADDIN CSL_CITATION {"citationItems":[{"id":"ITEM-1","itemData":{"author":[{"dropping-particle":"","family":"Chirehwa","given":"Maxwell Tawanda","non-dropping-particle":"","parse-names":false,"suffix":""},{"dropping-particle":"","family":"McIlleron","given":"Helen","non-dropping-particle":"","parse-names":false,"suffix":""},{"dropping-particle":"","family":"Wiesner","given":"Lubbe","non-dropping-particle":"","parse-names":false,"suffix":""},{"dropping-particle":"","family":"Affolabi","given":"Dissou","non-dropping-particle":"","parse-names":false,"suffix":""},{"dropping-particle":"","family":"Bah Sow","given":"Oumou","non-dropping-particle":"","parse-names":false,"suffix":""},{"dropping-particle":"","family":"Merle","given":"Corinne","non-dropping-particle":"","parse-names":false,"suffix":""},{"dropping-particle":"","family":"Denti","given":"Paolo","non-dropping-particle":"","parse-names":false,"suffix":""}],"container-title":"Journal of Antimicrobial Chemotherapy","id":"ITEM-1","issued":{"date-parts":[["2018"]]},"title":"Effect of efavirenz-based antiretroviral therapy and high-dose rifampicin on the pharmacokinetics of isoniazid and acetyl-isoniazid","type":"article-journal","volume":"In press"},"uris":["http://www.mendeley.com/documents/?uuid=1f646b8c-f402-450e-8707-a6e93b3e5529"]}],"mendeley":{"formattedCitation":"[2]","plainTextFormattedCitation":"[2]","previouslyFormattedCitation":"[2]"},"properties":{"noteIndex":0},"schema":"https://github.com/citation-style-language/schema/raw/master/csl-citation.json"}</w:instrText>
      </w:r>
      <w:r w:rsidRPr="00545C33">
        <w:rPr>
          <w:rFonts w:ascii="Arial" w:hAnsi="Arial" w:cs="Arial"/>
        </w:rPr>
        <w:fldChar w:fldCharType="separate"/>
      </w:r>
      <w:r w:rsidRPr="00545C33">
        <w:rPr>
          <w:rFonts w:ascii="Arial" w:hAnsi="Arial" w:cs="Arial"/>
          <w:noProof/>
        </w:rPr>
        <w:t>[2]</w:t>
      </w:r>
      <w:r w:rsidRPr="00545C33">
        <w:rPr>
          <w:rFonts w:ascii="Arial" w:hAnsi="Arial" w:cs="Arial"/>
        </w:rPr>
        <w:fldChar w:fldCharType="end"/>
      </w:r>
      <w:r w:rsidRPr="00545C33">
        <w:rPr>
          <w:rFonts w:ascii="Arial" w:hAnsi="Arial" w:cs="Arial"/>
        </w:rPr>
        <w:t xml:space="preserve">. The pharmacokinetics of isoniazid was described by a two-compartment disposition model with first-order absorption and elimination and a liver compartment to capture the first-pass effect. Two elimination pathways were defined: one for the formation of acetyl-isoniazid and another for the formation of other metabolites and/or excretion. The parameter estimates of clearance presented in Table 1 are an aggregate of the two pathways stratified by </w:t>
      </w:r>
      <w:proofErr w:type="spellStart"/>
      <w:r w:rsidRPr="00545C33">
        <w:rPr>
          <w:rFonts w:ascii="Arial" w:hAnsi="Arial" w:cs="Arial"/>
        </w:rPr>
        <w:t>acetylator</w:t>
      </w:r>
      <w:proofErr w:type="spellEnd"/>
      <w:r w:rsidRPr="00545C33">
        <w:rPr>
          <w:rFonts w:ascii="Arial" w:hAnsi="Arial" w:cs="Arial"/>
        </w:rPr>
        <w:t xml:space="preserve"> status. A mixture model was implemented in the model to estimate separate acetylation clearance parameters for fast and slow </w:t>
      </w:r>
      <w:proofErr w:type="spellStart"/>
      <w:r w:rsidRPr="00545C33">
        <w:rPr>
          <w:rFonts w:ascii="Arial" w:hAnsi="Arial" w:cs="Arial"/>
        </w:rPr>
        <w:t>acetylators</w:t>
      </w:r>
      <w:proofErr w:type="spellEnd"/>
      <w:r w:rsidRPr="00545C33">
        <w:rPr>
          <w:rFonts w:ascii="Arial" w:hAnsi="Arial" w:cs="Arial"/>
        </w:rPr>
        <w:t xml:space="preserve"> of isoniazid. Each patient was randomly assigned to an </w:t>
      </w:r>
      <w:proofErr w:type="spellStart"/>
      <w:r w:rsidRPr="00545C33">
        <w:rPr>
          <w:rFonts w:ascii="Arial" w:hAnsi="Arial" w:cs="Arial"/>
        </w:rPr>
        <w:t>acetylator</w:t>
      </w:r>
      <w:proofErr w:type="spellEnd"/>
      <w:r w:rsidRPr="00545C33">
        <w:rPr>
          <w:rFonts w:ascii="Arial" w:hAnsi="Arial" w:cs="Arial"/>
        </w:rPr>
        <w:t xml:space="preserve"> group in each simulation replicate. The effect of body size was included in the model via </w:t>
      </w:r>
      <w:proofErr w:type="spellStart"/>
      <w:r w:rsidRPr="00545C33">
        <w:rPr>
          <w:rFonts w:ascii="Arial" w:hAnsi="Arial" w:cs="Arial"/>
        </w:rPr>
        <w:t>allometric</w:t>
      </w:r>
      <w:proofErr w:type="spellEnd"/>
      <w:r w:rsidRPr="00545C33">
        <w:rPr>
          <w:rFonts w:ascii="Arial" w:hAnsi="Arial" w:cs="Arial"/>
        </w:rPr>
        <w:t xml:space="preserve"> scaling using fat-free mass which resulted in a better fit </w:t>
      </w:r>
      <w:r w:rsidRPr="00545C33">
        <w:rPr>
          <w:rFonts w:ascii="Arial" w:hAnsi="Arial" w:cs="Arial"/>
        </w:rPr>
        <w:lastRenderedPageBreak/>
        <w:t xml:space="preserve">compared with total body weight regardless of </w:t>
      </w:r>
      <w:proofErr w:type="spellStart"/>
      <w:proofErr w:type="gramStart"/>
      <w:r w:rsidRPr="00545C33">
        <w:rPr>
          <w:rFonts w:ascii="Arial" w:hAnsi="Arial" w:cs="Arial"/>
        </w:rPr>
        <w:t>acetylators</w:t>
      </w:r>
      <w:proofErr w:type="spellEnd"/>
      <w:proofErr w:type="gramEnd"/>
      <w:r w:rsidRPr="00545C33">
        <w:rPr>
          <w:rFonts w:ascii="Arial" w:hAnsi="Arial" w:cs="Arial"/>
        </w:rPr>
        <w:t xml:space="preserve"> status. The model also detected a 54% increase in clearance of isoniazid among fast </w:t>
      </w:r>
      <w:proofErr w:type="spellStart"/>
      <w:r w:rsidRPr="00545C33">
        <w:rPr>
          <w:rFonts w:ascii="Arial" w:hAnsi="Arial" w:cs="Arial"/>
        </w:rPr>
        <w:t>acetylators</w:t>
      </w:r>
      <w:proofErr w:type="spellEnd"/>
      <w:r w:rsidRPr="00545C33">
        <w:rPr>
          <w:rFonts w:ascii="Arial" w:hAnsi="Arial" w:cs="Arial"/>
        </w:rPr>
        <w:t xml:space="preserve"> only on the elimination pathway associated with the formation of acetyl-isoniazid. The parameter estimates of the final model are presented in Table 1, and the model diagnostics are presented in Figure 2 of a previous report </w:t>
      </w:r>
      <w:r w:rsidRPr="00545C33">
        <w:rPr>
          <w:rFonts w:ascii="Arial" w:hAnsi="Arial" w:cs="Arial"/>
        </w:rPr>
        <w:fldChar w:fldCharType="begin" w:fldLock="1"/>
      </w:r>
      <w:r w:rsidRPr="00545C33">
        <w:rPr>
          <w:rFonts w:ascii="Arial" w:hAnsi="Arial" w:cs="Arial"/>
        </w:rPr>
        <w:instrText>ADDIN CSL_CITATION {"citationItems":[{"id":"ITEM-1","itemData":{"author":[{"dropping-particle":"","family":"Chirehwa","given":"Maxwell Tawanda","non-dropping-particle":"","parse-names":false,"suffix":""},{"dropping-particle":"","family":"McIlleron","given":"Helen","non-dropping-particle":"","parse-names":false,"suffix":""},{"dropping-particle":"","family":"Wiesner","given":"Lubbe","non-dropping-particle":"","parse-names":false,"suffix":""},{"dropping-particle":"","family":"Affolabi","given":"Dissou","non-dropping-particle":"","parse-names":false,"suffix":""},{"dropping-particle":"","family":"Bah Sow","given":"Oumou","non-dropping-particle":"","parse-names":false,"suffix":""},{"dropping-particle":"","family":"Merle","given":"Corinne","non-dropping-particle":"","parse-names":false,"suffix":""},{"dropping-particle":"","family":"Denti","given":"Paolo","non-dropping-particle":"","parse-names":false,"suffix":""}],"container-title":"Journal of Antimicrobial Chemotherapy","id":"ITEM-1","issued":{"date-parts":[["2018"]]},"title":"Effect of efavirenz-based antiretroviral therapy and high-dose rifampicin on the pharmacokinetics of isoniazid and acetyl-isoniazid","type":"article-journal","volume":"In press"},"uris":["http://www.mendeley.com/documents/?uuid=1f646b8c-f402-450e-8707-a6e93b3e5529"]}],"mendeley":{"formattedCitation":"[2]","plainTextFormattedCitation":"[2]","previouslyFormattedCitation":"[2]"},"properties":{"noteIndex":0},"schema":"https://github.com/citation-style-language/schema/raw/master/csl-citation.json"}</w:instrText>
      </w:r>
      <w:r w:rsidRPr="00545C33">
        <w:rPr>
          <w:rFonts w:ascii="Arial" w:hAnsi="Arial" w:cs="Arial"/>
        </w:rPr>
        <w:fldChar w:fldCharType="separate"/>
      </w:r>
      <w:r w:rsidRPr="00545C33">
        <w:rPr>
          <w:rFonts w:ascii="Arial" w:hAnsi="Arial" w:cs="Arial"/>
          <w:noProof/>
        </w:rPr>
        <w:t>[2]</w:t>
      </w:r>
      <w:r w:rsidRPr="00545C33">
        <w:rPr>
          <w:rFonts w:ascii="Arial" w:hAnsi="Arial" w:cs="Arial"/>
        </w:rPr>
        <w:fldChar w:fldCharType="end"/>
      </w:r>
      <w:r w:rsidRPr="00545C33">
        <w:rPr>
          <w:rFonts w:ascii="Arial" w:hAnsi="Arial" w:cs="Arial"/>
        </w:rPr>
        <w:t xml:space="preserve">. </w:t>
      </w: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r w:rsidRPr="00545C33">
        <w:rPr>
          <w:rFonts w:ascii="Arial" w:hAnsi="Arial" w:cs="Arial"/>
        </w:rPr>
        <w:t xml:space="preserve">Concentration-time data for </w:t>
      </w:r>
      <w:proofErr w:type="spellStart"/>
      <w:r w:rsidRPr="00545C33">
        <w:rPr>
          <w:rFonts w:ascii="Arial" w:hAnsi="Arial" w:cs="Arial"/>
        </w:rPr>
        <w:t>ethambutol</w:t>
      </w:r>
      <w:proofErr w:type="spellEnd"/>
      <w:r w:rsidRPr="00545C33">
        <w:rPr>
          <w:rFonts w:ascii="Arial" w:hAnsi="Arial" w:cs="Arial"/>
        </w:rPr>
        <w:t xml:space="preserve"> were available in 222 patients from the RAFA study. The data were interpreted using nonlinear mixed-effects modelling in NONMEM software version 7.4 by using the algorithm first-order conditional estimation with eta-epsilon interaction. The models included both fixed-effect and random-effect parameters. A log-normal distribution was assumed for the random-effect parameters. The residual unexplained error model comprised both additive and proportional components.  The pharmacokinetics of </w:t>
      </w:r>
      <w:proofErr w:type="spellStart"/>
      <w:r w:rsidRPr="00545C33">
        <w:rPr>
          <w:rFonts w:ascii="Arial" w:hAnsi="Arial" w:cs="Arial"/>
        </w:rPr>
        <w:t>ethambutol</w:t>
      </w:r>
      <w:proofErr w:type="spellEnd"/>
      <w:r w:rsidRPr="00545C33">
        <w:rPr>
          <w:rFonts w:ascii="Arial" w:hAnsi="Arial" w:cs="Arial"/>
        </w:rPr>
        <w:t xml:space="preserve"> was described using a two-compartment disposition model with first-order absorption and elimination. A delay in absorption of </w:t>
      </w:r>
      <w:proofErr w:type="spellStart"/>
      <w:r w:rsidRPr="00545C33">
        <w:rPr>
          <w:rFonts w:ascii="Arial" w:hAnsi="Arial" w:cs="Arial"/>
        </w:rPr>
        <w:t>ethambutol</w:t>
      </w:r>
      <w:proofErr w:type="spellEnd"/>
      <w:r w:rsidRPr="00545C33">
        <w:rPr>
          <w:rFonts w:ascii="Arial" w:hAnsi="Arial" w:cs="Arial"/>
        </w:rPr>
        <w:t xml:space="preserve"> was described using a chain of transit compartments. </w:t>
      </w:r>
      <w:proofErr w:type="spellStart"/>
      <w:r w:rsidRPr="00545C33">
        <w:rPr>
          <w:rFonts w:ascii="Arial" w:hAnsi="Arial" w:cs="Arial"/>
        </w:rPr>
        <w:t>Ethambutol</w:t>
      </w:r>
      <w:proofErr w:type="spellEnd"/>
      <w:r w:rsidRPr="00545C33">
        <w:rPr>
          <w:rFonts w:ascii="Arial" w:hAnsi="Arial" w:cs="Arial"/>
        </w:rPr>
        <w:t xml:space="preserve"> clearance was separated between renal and </w:t>
      </w:r>
      <w:proofErr w:type="spellStart"/>
      <w:r w:rsidRPr="00545C33">
        <w:rPr>
          <w:rFonts w:ascii="Arial" w:hAnsi="Arial" w:cs="Arial"/>
        </w:rPr>
        <w:t>nonrenal</w:t>
      </w:r>
      <w:proofErr w:type="spellEnd"/>
      <w:r w:rsidRPr="00545C33">
        <w:rPr>
          <w:rFonts w:ascii="Arial" w:hAnsi="Arial" w:cs="Arial"/>
        </w:rPr>
        <w:t xml:space="preserve"> components and the later was modulated by creatinine clearance (</w:t>
      </w:r>
      <w:proofErr w:type="spellStart"/>
      <w:r w:rsidRPr="00545C33">
        <w:rPr>
          <w:rFonts w:ascii="Arial" w:hAnsi="Arial" w:cs="Arial"/>
        </w:rPr>
        <w:t>CrCl</w:t>
      </w:r>
      <w:proofErr w:type="spellEnd"/>
      <w:r w:rsidRPr="00545C33">
        <w:rPr>
          <w:rFonts w:ascii="Arial" w:hAnsi="Arial" w:cs="Arial"/>
        </w:rPr>
        <w:t>), computed using the Cockcroft-</w:t>
      </w:r>
      <w:proofErr w:type="spellStart"/>
      <w:r w:rsidRPr="00545C33">
        <w:rPr>
          <w:rFonts w:ascii="Arial" w:hAnsi="Arial" w:cs="Arial"/>
        </w:rPr>
        <w:t>gault</w:t>
      </w:r>
      <w:proofErr w:type="spellEnd"/>
      <w:r w:rsidRPr="00545C33">
        <w:rPr>
          <w:rFonts w:ascii="Arial" w:hAnsi="Arial" w:cs="Arial"/>
        </w:rPr>
        <w:t xml:space="preserve"> formula </w:t>
      </w:r>
      <w:r w:rsidRPr="00545C33">
        <w:rPr>
          <w:rFonts w:ascii="Arial" w:hAnsi="Arial" w:cs="Arial"/>
        </w:rPr>
        <w:fldChar w:fldCharType="begin" w:fldLock="1"/>
      </w:r>
      <w:r w:rsidRPr="00545C33">
        <w:rPr>
          <w:rFonts w:ascii="Arial" w:hAnsi="Arial" w:cs="Arial"/>
        </w:rPr>
        <w:instrText>ADDIN CSL_CITATION {"citationItems":[{"id":"ITEM-1","itemData":{"DOI":"10.1159/000180580","ISBN":"0028-2766 (Print)","ISSN":"1423-0186","PMID":"1244564","abstract":"A formula has been developed to predict creatinine clearance (Ccr) from serum creatinine (Scr) in adult males: (see article)(15% less in females). Derivation included the relationship found between age and 24-hour creatinine excretion/kg in 249 patients aged 18-92. Values for Ccr were predicted by this formula and four other methods and the results compared with the means of two 24-hour Ccr's measured in 236 patients. The above formula gave a correlation coefficient between predicted and mean measured Ccr's of 0.83; on average, the difference predicted and mean measured values was no greater than that between paired clearances. Factors for age and body weight must be included for reasonable prediction.","author":[{"dropping-particle":"","family":"Cockcroft","given":"Donald W","non-dropping-particle":"","parse-names":false,"suffix":""},{"dropping-particle":"","family":"Gault","given":"Henry","non-dropping-particle":"","parse-names":false,"suffix":""}],"container-title":"Nephron","id":"ITEM-1","issue":"1","issued":{"date-parts":[["1976"]]},"page":"31-41","title":"Prediction of Creatinine Clearance from Serum Creatinine","type":"article-journal","volume":"16"},"uris":["http://www.mendeley.com/documents/?uuid=26541c5a-38cb-3fd9-9d1d-f8b956d62cbe"]}],"mendeley":{"formattedCitation":"[4]","plainTextFormattedCitation":"[4]"},"properties":{"noteIndex":0},"schema":"https://github.com/citation-style-language/schema/raw/master/csl-citation.json"}</w:instrText>
      </w:r>
      <w:r w:rsidRPr="00545C33">
        <w:rPr>
          <w:rFonts w:ascii="Arial" w:hAnsi="Arial" w:cs="Arial"/>
        </w:rPr>
        <w:fldChar w:fldCharType="separate"/>
      </w:r>
      <w:r w:rsidRPr="00545C33">
        <w:rPr>
          <w:rFonts w:ascii="Arial" w:hAnsi="Arial" w:cs="Arial"/>
          <w:noProof/>
        </w:rPr>
        <w:t>[4]</w:t>
      </w:r>
      <w:r w:rsidRPr="00545C33">
        <w:rPr>
          <w:rFonts w:ascii="Arial" w:hAnsi="Arial" w:cs="Arial"/>
        </w:rPr>
        <w:fldChar w:fldCharType="end"/>
      </w:r>
      <w:r w:rsidRPr="00545C33">
        <w:rPr>
          <w:rFonts w:ascii="Arial" w:hAnsi="Arial" w:cs="Arial"/>
        </w:rPr>
        <w:t xml:space="preserve">. </w:t>
      </w:r>
      <w:proofErr w:type="spellStart"/>
      <w:r w:rsidRPr="00545C33">
        <w:rPr>
          <w:rFonts w:ascii="Arial" w:hAnsi="Arial" w:cs="Arial"/>
        </w:rPr>
        <w:t>Allometric</w:t>
      </w:r>
      <w:proofErr w:type="spellEnd"/>
      <w:r w:rsidRPr="00545C33">
        <w:rPr>
          <w:rFonts w:ascii="Arial" w:hAnsi="Arial" w:cs="Arial"/>
        </w:rPr>
        <w:t xml:space="preserve"> scaling was applied to all clearance and volume parameters using fat-free mass. </w:t>
      </w:r>
      <w:proofErr w:type="spellStart"/>
      <w:r w:rsidRPr="00545C33">
        <w:rPr>
          <w:rFonts w:ascii="Arial" w:hAnsi="Arial" w:cs="Arial"/>
        </w:rPr>
        <w:t>Allometric</w:t>
      </w:r>
      <w:proofErr w:type="spellEnd"/>
      <w:r w:rsidRPr="00545C33">
        <w:rPr>
          <w:rFonts w:ascii="Arial" w:hAnsi="Arial" w:cs="Arial"/>
        </w:rPr>
        <w:t xml:space="preserve"> scaling using total body weight did not result in a worse fit, but fat-free mass was chosen to maintain consistency with pharmacokinetic models of other drugs in the FDC. Relative bioavailability was fixed to a reference value of 1, and the data supported both between-subject and between-occasion variability. An individual with a bioavailability of 1.2 means that the bioavailability of the patient is 20% more compared with a typical individual. Parameter estimates of the final model used for the simulations are presented in Table 1. The volume and clearance parameters refer to a typical individual in the cohort with a fat-free mass of 43.3 kg. Figure 3 shows that the model adequately described the data. </w:t>
      </w: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Pr="00545C33" w:rsidRDefault="007176B8" w:rsidP="007176B8">
      <w:pPr>
        <w:spacing w:line="276" w:lineRule="auto"/>
        <w:rPr>
          <w:rFonts w:ascii="Arial" w:hAnsi="Arial" w:cs="Arial"/>
        </w:rPr>
      </w:pPr>
      <w:r w:rsidRPr="00545C33">
        <w:rPr>
          <w:rFonts w:ascii="Arial" w:hAnsi="Arial" w:cs="Arial"/>
        </w:rPr>
        <w:br w:type="page"/>
      </w:r>
    </w:p>
    <w:p w:rsidR="007176B8" w:rsidRPr="00545C33" w:rsidRDefault="007176B8" w:rsidP="007176B8">
      <w:pPr>
        <w:spacing w:line="276" w:lineRule="auto"/>
        <w:rPr>
          <w:rFonts w:ascii="Arial" w:hAnsi="Arial" w:cs="Arial"/>
        </w:rPr>
      </w:pPr>
      <w:r w:rsidRPr="00545C33">
        <w:rPr>
          <w:rFonts w:ascii="Arial" w:hAnsi="Arial" w:cs="Arial"/>
        </w:rPr>
        <w:lastRenderedPageBreak/>
        <w:t>Table 1 Estimated parameter values from the final models</w:t>
      </w:r>
    </w:p>
    <w:p w:rsidR="007176B8" w:rsidRPr="00545C33" w:rsidRDefault="007176B8" w:rsidP="007176B8">
      <w:pPr>
        <w:spacing w:line="276" w:lineRule="auto"/>
        <w:rPr>
          <w:rFonts w:ascii="Arial" w:hAnsi="Arial" w:cs="Arial"/>
        </w:rPr>
      </w:pPr>
    </w:p>
    <w:tbl>
      <w:tblPr>
        <w:tblStyle w:val="TableGrid1"/>
        <w:tblW w:w="9026" w:type="dxa"/>
        <w:tblLayout w:type="fixed"/>
        <w:tblLook w:val="04A0" w:firstRow="1" w:lastRow="0" w:firstColumn="1" w:lastColumn="0" w:noHBand="0" w:noVBand="1"/>
      </w:tblPr>
      <w:tblGrid>
        <w:gridCol w:w="3085"/>
        <w:gridCol w:w="1419"/>
        <w:gridCol w:w="1305"/>
        <w:gridCol w:w="1713"/>
        <w:gridCol w:w="1504"/>
      </w:tblGrid>
      <w:tr w:rsidR="007176B8" w:rsidRPr="00545C33" w:rsidTr="002C018B">
        <w:tc>
          <w:tcPr>
            <w:tcW w:w="3085" w:type="dxa"/>
            <w:shd w:val="clear" w:color="auto" w:fill="D9D9D9"/>
          </w:tcPr>
          <w:p w:rsidR="007176B8" w:rsidRPr="00545C33" w:rsidRDefault="007176B8" w:rsidP="002C018B">
            <w:pPr>
              <w:spacing w:line="276" w:lineRule="auto"/>
              <w:rPr>
                <w:rFonts w:eastAsia="Calibri"/>
                <w:b/>
                <w:color w:val="auto"/>
              </w:rPr>
            </w:pPr>
            <w:r w:rsidRPr="00545C33">
              <w:rPr>
                <w:rFonts w:eastAsia="Calibri"/>
                <w:b/>
                <w:color w:val="auto"/>
              </w:rPr>
              <w:t>Parameter</w:t>
            </w:r>
          </w:p>
        </w:tc>
        <w:tc>
          <w:tcPr>
            <w:tcW w:w="5941" w:type="dxa"/>
            <w:gridSpan w:val="4"/>
            <w:shd w:val="clear" w:color="auto" w:fill="D9D9D9"/>
          </w:tcPr>
          <w:p w:rsidR="007176B8" w:rsidRPr="00545C33" w:rsidRDefault="007176B8" w:rsidP="002C018B">
            <w:pPr>
              <w:spacing w:line="276" w:lineRule="auto"/>
              <w:jc w:val="center"/>
              <w:rPr>
                <w:rFonts w:eastAsia="Calibri"/>
                <w:b/>
                <w:color w:val="auto"/>
              </w:rPr>
            </w:pPr>
            <w:r w:rsidRPr="00545C33">
              <w:rPr>
                <w:rFonts w:eastAsia="Calibri"/>
                <w:b/>
                <w:color w:val="auto"/>
              </w:rPr>
              <w:t>Estimate</w:t>
            </w:r>
          </w:p>
        </w:tc>
      </w:tr>
      <w:tr w:rsidR="007176B8" w:rsidRPr="00545C33" w:rsidTr="002C018B">
        <w:tc>
          <w:tcPr>
            <w:tcW w:w="3085" w:type="dxa"/>
            <w:shd w:val="clear" w:color="auto" w:fill="D9D9D9"/>
          </w:tcPr>
          <w:p w:rsidR="007176B8" w:rsidRPr="00545C33" w:rsidRDefault="007176B8" w:rsidP="002C018B">
            <w:pPr>
              <w:spacing w:line="276" w:lineRule="auto"/>
              <w:rPr>
                <w:rFonts w:eastAsia="Calibri"/>
                <w:b/>
                <w:color w:val="auto"/>
              </w:rPr>
            </w:pPr>
          </w:p>
        </w:tc>
        <w:tc>
          <w:tcPr>
            <w:tcW w:w="1419" w:type="dxa"/>
            <w:shd w:val="clear" w:color="auto" w:fill="D9D9D9"/>
          </w:tcPr>
          <w:p w:rsidR="007176B8" w:rsidRPr="00545C33" w:rsidRDefault="007176B8" w:rsidP="002C018B">
            <w:pPr>
              <w:spacing w:line="276" w:lineRule="auto"/>
              <w:jc w:val="center"/>
              <w:rPr>
                <w:rFonts w:eastAsia="Calibri"/>
                <w:b/>
                <w:color w:val="auto"/>
              </w:rPr>
            </w:pPr>
            <w:proofErr w:type="spellStart"/>
            <w:r w:rsidRPr="00545C33">
              <w:rPr>
                <w:rFonts w:eastAsia="Calibri"/>
                <w:b/>
                <w:color w:val="auto"/>
              </w:rPr>
              <w:t>Rifampin</w:t>
            </w:r>
            <w:r w:rsidRPr="00545C33">
              <w:rPr>
                <w:rFonts w:eastAsia="Calibri"/>
                <w:color w:val="auto"/>
                <w:vertAlign w:val="superscript"/>
              </w:rPr>
              <w:t>a</w:t>
            </w:r>
            <w:proofErr w:type="spellEnd"/>
          </w:p>
        </w:tc>
        <w:tc>
          <w:tcPr>
            <w:tcW w:w="1305" w:type="dxa"/>
            <w:shd w:val="clear" w:color="auto" w:fill="D9D9D9"/>
          </w:tcPr>
          <w:p w:rsidR="007176B8" w:rsidRPr="00545C33" w:rsidRDefault="007176B8" w:rsidP="002C018B">
            <w:pPr>
              <w:spacing w:line="276" w:lineRule="auto"/>
              <w:jc w:val="center"/>
              <w:rPr>
                <w:rFonts w:eastAsia="Calibri"/>
                <w:b/>
                <w:color w:val="auto"/>
              </w:rPr>
            </w:pPr>
            <w:proofErr w:type="spellStart"/>
            <w:r w:rsidRPr="00545C33">
              <w:rPr>
                <w:rFonts w:eastAsia="Calibri"/>
                <w:b/>
                <w:color w:val="auto"/>
              </w:rPr>
              <w:t>Isoniazid</w:t>
            </w:r>
            <w:r w:rsidRPr="00545C33">
              <w:rPr>
                <w:rFonts w:eastAsia="Calibri"/>
                <w:color w:val="auto"/>
                <w:vertAlign w:val="superscript"/>
              </w:rPr>
              <w:t>b</w:t>
            </w:r>
            <w:proofErr w:type="spellEnd"/>
          </w:p>
        </w:tc>
        <w:tc>
          <w:tcPr>
            <w:tcW w:w="1713" w:type="dxa"/>
            <w:shd w:val="clear" w:color="auto" w:fill="D9D9D9"/>
          </w:tcPr>
          <w:p w:rsidR="007176B8" w:rsidRPr="00545C33" w:rsidRDefault="007176B8" w:rsidP="002C018B">
            <w:pPr>
              <w:spacing w:line="276" w:lineRule="auto"/>
              <w:jc w:val="center"/>
              <w:rPr>
                <w:rFonts w:eastAsia="Calibri"/>
                <w:b/>
                <w:color w:val="auto"/>
              </w:rPr>
            </w:pPr>
            <w:proofErr w:type="spellStart"/>
            <w:r w:rsidRPr="00545C33">
              <w:rPr>
                <w:rFonts w:eastAsia="Calibri"/>
                <w:b/>
                <w:color w:val="auto"/>
              </w:rPr>
              <w:t>Pyrazinamide</w:t>
            </w:r>
            <w:r w:rsidRPr="00545C33">
              <w:rPr>
                <w:rFonts w:eastAsia="Calibri"/>
                <w:color w:val="auto"/>
                <w:vertAlign w:val="superscript"/>
              </w:rPr>
              <w:t>a</w:t>
            </w:r>
            <w:proofErr w:type="spellEnd"/>
          </w:p>
        </w:tc>
        <w:tc>
          <w:tcPr>
            <w:tcW w:w="1504" w:type="dxa"/>
            <w:shd w:val="clear" w:color="auto" w:fill="D9D9D9"/>
          </w:tcPr>
          <w:p w:rsidR="007176B8" w:rsidRPr="00545C33" w:rsidRDefault="007176B8" w:rsidP="002C018B">
            <w:pPr>
              <w:spacing w:line="276" w:lineRule="auto"/>
              <w:jc w:val="center"/>
              <w:rPr>
                <w:rFonts w:eastAsia="Calibri"/>
                <w:b/>
                <w:color w:val="auto"/>
              </w:rPr>
            </w:pPr>
            <w:proofErr w:type="spellStart"/>
            <w:r w:rsidRPr="00545C33">
              <w:rPr>
                <w:rFonts w:eastAsia="Calibri"/>
                <w:b/>
                <w:color w:val="auto"/>
              </w:rPr>
              <w:t>Ethambutol</w:t>
            </w:r>
            <w:r w:rsidRPr="00545C33">
              <w:rPr>
                <w:rFonts w:eastAsia="Calibri"/>
                <w:color w:val="auto"/>
                <w:vertAlign w:val="superscript"/>
              </w:rPr>
              <w:t>b</w:t>
            </w:r>
            <w:proofErr w:type="spellEnd"/>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Clearance: day 1 (L/h)</w:t>
            </w:r>
            <w:r w:rsidRPr="00545C33">
              <w:rPr>
                <w:rFonts w:eastAsia="Calibri"/>
                <w:color w:val="auto"/>
                <w:vertAlign w:val="superscript"/>
              </w:rPr>
              <w:t>c</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93.2</w:t>
            </w:r>
            <w:r w:rsidRPr="00545C33">
              <w:rPr>
                <w:rFonts w:eastAsia="Calibri"/>
                <w:color w:val="auto"/>
                <w:vertAlign w:val="superscript"/>
              </w:rPr>
              <w:t>d</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3.35</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Clearance: steady-state (L/h)</w:t>
            </w:r>
            <w:r w:rsidRPr="00545C33">
              <w:rPr>
                <w:rFonts w:eastAsia="Calibri"/>
                <w:color w:val="auto"/>
                <w:vertAlign w:val="superscript"/>
              </w:rPr>
              <w:t>c</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176</w:t>
            </w:r>
            <w:r w:rsidRPr="00545C33">
              <w:rPr>
                <w:rFonts w:eastAsia="Calibri"/>
                <w:color w:val="auto"/>
                <w:vertAlign w:val="superscript"/>
              </w:rPr>
              <w:t>d</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18.0</w:t>
            </w:r>
            <w:r w:rsidRPr="00545C33">
              <w:rPr>
                <w:rFonts w:eastAsia="Calibri"/>
                <w:color w:val="auto"/>
                <w:vertAlign w:val="superscript"/>
              </w:rPr>
              <w:t>e</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3.83</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40.6</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 xml:space="preserve">Clearance, renal: steady-state (L/h/75 mL/min </w:t>
            </w:r>
            <w:proofErr w:type="spellStart"/>
            <w:r w:rsidRPr="00545C33">
              <w:rPr>
                <w:rFonts w:eastAsia="Calibri"/>
                <w:color w:val="auto"/>
              </w:rPr>
              <w:t>CrCl</w:t>
            </w:r>
            <w:proofErr w:type="spellEnd"/>
            <w:r w:rsidRPr="00545C33">
              <w:rPr>
                <w:rFonts w:eastAsia="Calibri"/>
                <w:color w:val="auto"/>
              </w:rPr>
              <w:t xml:space="preserve">) </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12.9</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Central volume (L)</w:t>
            </w:r>
            <w:r w:rsidRPr="00545C33">
              <w:rPr>
                <w:rFonts w:eastAsia="Calibri"/>
                <w:color w:val="auto"/>
                <w:vertAlign w:val="superscript"/>
              </w:rPr>
              <w:t>c</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50.1</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47.7</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43.2</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225</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Absorption rate constant (/h)</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1.96</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1.59</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3.54</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1.56</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Mean transit time / Lag time (h)</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0.71</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0.287</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0.542</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1.25</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Number of transit compartments</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19.3</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28</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15.7</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Bioavailability</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1 fixed</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1 fixed</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1 fixed</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1 fixed</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Induction half-life (days)</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4.5</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 xml:space="preserve">Fraction </w:t>
            </w:r>
            <w:proofErr w:type="spellStart"/>
            <w:r w:rsidRPr="00545C33">
              <w:rPr>
                <w:rFonts w:eastAsia="Calibri"/>
                <w:color w:val="auto"/>
              </w:rPr>
              <w:t>unbound</w:t>
            </w:r>
            <w:r w:rsidRPr="00545C33">
              <w:rPr>
                <w:rFonts w:eastAsia="Calibri"/>
                <w:color w:val="auto"/>
                <w:vertAlign w:val="superscript"/>
              </w:rPr>
              <w:t>f</w:t>
            </w:r>
            <w:proofErr w:type="spellEnd"/>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0.2 fixed</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0.95 fixed</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r>
      <w:tr w:rsidR="007176B8" w:rsidRPr="00545C33" w:rsidTr="002C018B">
        <w:tc>
          <w:tcPr>
            <w:tcW w:w="3085" w:type="dxa"/>
          </w:tcPr>
          <w:p w:rsidR="007176B8" w:rsidRPr="00545C33" w:rsidRDefault="007176B8" w:rsidP="002C018B">
            <w:pPr>
              <w:spacing w:line="276" w:lineRule="auto"/>
              <w:rPr>
                <w:rFonts w:eastAsia="Calibri"/>
                <w:color w:val="auto"/>
              </w:rPr>
            </w:pPr>
            <w:proofErr w:type="spellStart"/>
            <w:r w:rsidRPr="00545C33">
              <w:rPr>
                <w:rFonts w:eastAsia="Calibri"/>
                <w:color w:val="auto"/>
              </w:rPr>
              <w:t>Michaelis</w:t>
            </w:r>
            <w:proofErr w:type="spellEnd"/>
            <w:r w:rsidRPr="00545C33">
              <w:rPr>
                <w:rFonts w:eastAsia="Calibri"/>
                <w:color w:val="auto"/>
              </w:rPr>
              <w:t xml:space="preserve"> constant (mg/L)</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3.35</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Peripheral volume (L)</w:t>
            </w:r>
            <w:r w:rsidRPr="00545C33">
              <w:rPr>
                <w:rFonts w:eastAsia="Calibri"/>
                <w:color w:val="auto"/>
                <w:vertAlign w:val="superscript"/>
              </w:rPr>
              <w:t>c</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8.14</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415</w:t>
            </w:r>
          </w:p>
        </w:tc>
      </w:tr>
      <w:tr w:rsidR="007176B8" w:rsidRPr="00545C33" w:rsidTr="002C018B">
        <w:tc>
          <w:tcPr>
            <w:tcW w:w="3085" w:type="dxa"/>
          </w:tcPr>
          <w:p w:rsidR="007176B8" w:rsidRPr="00545C33" w:rsidRDefault="007176B8" w:rsidP="002C018B">
            <w:pPr>
              <w:spacing w:line="276" w:lineRule="auto"/>
              <w:rPr>
                <w:rFonts w:eastAsia="Calibri"/>
                <w:color w:val="auto"/>
              </w:rPr>
            </w:pPr>
            <w:proofErr w:type="spellStart"/>
            <w:r w:rsidRPr="00545C33">
              <w:rPr>
                <w:rFonts w:eastAsia="Calibri"/>
                <w:color w:val="auto"/>
              </w:rPr>
              <w:t>Intercompartmental</w:t>
            </w:r>
            <w:proofErr w:type="spellEnd"/>
            <w:r w:rsidRPr="00545C33">
              <w:rPr>
                <w:rFonts w:eastAsia="Calibri"/>
                <w:color w:val="auto"/>
              </w:rPr>
              <w:t xml:space="preserve"> clearance (L/h)</w:t>
            </w:r>
            <w:r w:rsidRPr="00545C33">
              <w:rPr>
                <w:rFonts w:eastAsia="Calibri"/>
                <w:color w:val="auto"/>
                <w:vertAlign w:val="superscript"/>
              </w:rPr>
              <w:t>c</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305" w:type="dxa"/>
          </w:tcPr>
          <w:p w:rsidR="007176B8" w:rsidRPr="00545C33" w:rsidRDefault="007176B8" w:rsidP="002C018B">
            <w:pPr>
              <w:spacing w:line="276" w:lineRule="auto"/>
              <w:jc w:val="center"/>
              <w:rPr>
                <w:rFonts w:eastAsia="Calibri"/>
                <w:color w:val="auto"/>
              </w:rPr>
            </w:pP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47.2</w:t>
            </w:r>
          </w:p>
        </w:tc>
      </w:tr>
      <w:tr w:rsidR="007176B8" w:rsidRPr="00545C33" w:rsidTr="002C018B">
        <w:tc>
          <w:tcPr>
            <w:tcW w:w="3085" w:type="dxa"/>
          </w:tcPr>
          <w:p w:rsidR="007176B8" w:rsidRPr="00545C33" w:rsidRDefault="007176B8" w:rsidP="002C018B">
            <w:pPr>
              <w:spacing w:line="276" w:lineRule="auto"/>
              <w:rPr>
                <w:rFonts w:eastAsia="Calibri"/>
                <w:color w:val="auto"/>
              </w:rPr>
            </w:pPr>
          </w:p>
        </w:tc>
        <w:tc>
          <w:tcPr>
            <w:tcW w:w="1419" w:type="dxa"/>
          </w:tcPr>
          <w:p w:rsidR="007176B8" w:rsidRPr="00545C33" w:rsidRDefault="007176B8" w:rsidP="002C018B">
            <w:pPr>
              <w:spacing w:line="276" w:lineRule="auto"/>
              <w:jc w:val="center"/>
              <w:rPr>
                <w:rFonts w:eastAsia="Calibri"/>
                <w:color w:val="auto"/>
              </w:rPr>
            </w:pPr>
          </w:p>
        </w:tc>
        <w:tc>
          <w:tcPr>
            <w:tcW w:w="1305" w:type="dxa"/>
          </w:tcPr>
          <w:p w:rsidR="007176B8" w:rsidRPr="00545C33" w:rsidRDefault="007176B8" w:rsidP="002C018B">
            <w:pPr>
              <w:spacing w:line="276" w:lineRule="auto"/>
              <w:jc w:val="center"/>
              <w:rPr>
                <w:rFonts w:eastAsia="Calibri"/>
                <w:color w:val="auto"/>
              </w:rPr>
            </w:pPr>
          </w:p>
        </w:tc>
        <w:tc>
          <w:tcPr>
            <w:tcW w:w="1713" w:type="dxa"/>
          </w:tcPr>
          <w:p w:rsidR="007176B8" w:rsidRPr="00545C33" w:rsidRDefault="007176B8" w:rsidP="002C018B">
            <w:pPr>
              <w:spacing w:line="276" w:lineRule="auto"/>
              <w:jc w:val="center"/>
              <w:rPr>
                <w:rFonts w:eastAsia="Calibri"/>
                <w:color w:val="auto"/>
              </w:rPr>
            </w:pPr>
          </w:p>
        </w:tc>
        <w:tc>
          <w:tcPr>
            <w:tcW w:w="1504" w:type="dxa"/>
          </w:tcPr>
          <w:p w:rsidR="007176B8" w:rsidRPr="00545C33" w:rsidRDefault="007176B8" w:rsidP="002C018B">
            <w:pPr>
              <w:spacing w:line="276" w:lineRule="auto"/>
              <w:jc w:val="center"/>
              <w:rPr>
                <w:rFonts w:eastAsia="Calibri"/>
                <w:color w:val="auto"/>
              </w:rPr>
            </w:pPr>
          </w:p>
        </w:tc>
      </w:tr>
      <w:tr w:rsidR="007176B8" w:rsidRPr="00545C33" w:rsidTr="002C018B">
        <w:tc>
          <w:tcPr>
            <w:tcW w:w="3085" w:type="dxa"/>
          </w:tcPr>
          <w:p w:rsidR="007176B8" w:rsidRPr="00545C33" w:rsidRDefault="007176B8" w:rsidP="002C018B">
            <w:pPr>
              <w:spacing w:line="276" w:lineRule="auto"/>
              <w:rPr>
                <w:rFonts w:eastAsia="Calibri"/>
                <w:b/>
                <w:color w:val="auto"/>
              </w:rPr>
            </w:pPr>
            <w:proofErr w:type="spellStart"/>
            <w:r w:rsidRPr="00545C33">
              <w:rPr>
                <w:rFonts w:eastAsia="Calibri"/>
                <w:b/>
                <w:color w:val="auto"/>
              </w:rPr>
              <w:t>Covariates</w:t>
            </w:r>
            <w:r w:rsidRPr="00545C33">
              <w:rPr>
                <w:rFonts w:eastAsia="Calibri"/>
                <w:color w:val="auto"/>
                <w:vertAlign w:val="superscript"/>
              </w:rPr>
              <w:t>g</w:t>
            </w:r>
            <w:proofErr w:type="spellEnd"/>
          </w:p>
        </w:tc>
        <w:tc>
          <w:tcPr>
            <w:tcW w:w="1419" w:type="dxa"/>
          </w:tcPr>
          <w:p w:rsidR="007176B8" w:rsidRPr="00545C33" w:rsidRDefault="007176B8" w:rsidP="002C018B">
            <w:pPr>
              <w:spacing w:line="276" w:lineRule="auto"/>
              <w:jc w:val="center"/>
              <w:rPr>
                <w:rFonts w:eastAsia="Calibri"/>
                <w:color w:val="auto"/>
              </w:rPr>
            </w:pPr>
          </w:p>
        </w:tc>
        <w:tc>
          <w:tcPr>
            <w:tcW w:w="1305" w:type="dxa"/>
          </w:tcPr>
          <w:p w:rsidR="007176B8" w:rsidRPr="00545C33" w:rsidRDefault="007176B8" w:rsidP="002C018B">
            <w:pPr>
              <w:spacing w:line="276" w:lineRule="auto"/>
              <w:jc w:val="center"/>
              <w:rPr>
                <w:rFonts w:eastAsia="Calibri"/>
                <w:color w:val="auto"/>
              </w:rPr>
            </w:pPr>
          </w:p>
        </w:tc>
        <w:tc>
          <w:tcPr>
            <w:tcW w:w="1713" w:type="dxa"/>
          </w:tcPr>
          <w:p w:rsidR="007176B8" w:rsidRPr="00545C33" w:rsidRDefault="007176B8" w:rsidP="002C018B">
            <w:pPr>
              <w:spacing w:line="276" w:lineRule="auto"/>
              <w:jc w:val="center"/>
              <w:rPr>
                <w:rFonts w:eastAsia="Calibri"/>
                <w:color w:val="auto"/>
              </w:rPr>
            </w:pPr>
          </w:p>
        </w:tc>
        <w:tc>
          <w:tcPr>
            <w:tcW w:w="1504" w:type="dxa"/>
          </w:tcPr>
          <w:p w:rsidR="007176B8" w:rsidRPr="00545C33" w:rsidRDefault="007176B8" w:rsidP="002C018B">
            <w:pPr>
              <w:spacing w:line="276" w:lineRule="auto"/>
              <w:jc w:val="center"/>
              <w:rPr>
                <w:rFonts w:eastAsia="Calibri"/>
                <w:color w:val="auto"/>
              </w:rPr>
            </w:pP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 xml:space="preserve">Change in clearance for fast </w:t>
            </w:r>
            <w:proofErr w:type="spellStart"/>
            <w:proofErr w:type="gramStart"/>
            <w:r w:rsidRPr="00545C33">
              <w:rPr>
                <w:rFonts w:eastAsia="Calibri"/>
                <w:color w:val="auto"/>
              </w:rPr>
              <w:t>acetylators</w:t>
            </w:r>
            <w:proofErr w:type="spellEnd"/>
            <w:proofErr w:type="gramEnd"/>
            <w:r w:rsidRPr="00545C33">
              <w:rPr>
                <w:rFonts w:eastAsia="Calibri"/>
                <w:color w:val="auto"/>
              </w:rPr>
              <w:t xml:space="preserve"> status (%)</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+263</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r>
      <w:tr w:rsidR="007176B8" w:rsidRPr="00545C33" w:rsidTr="002C018B">
        <w:tc>
          <w:tcPr>
            <w:tcW w:w="3085" w:type="dxa"/>
          </w:tcPr>
          <w:p w:rsidR="007176B8" w:rsidRPr="00545C33" w:rsidRDefault="007176B8" w:rsidP="002C018B">
            <w:pPr>
              <w:spacing w:line="276" w:lineRule="auto"/>
              <w:rPr>
                <w:rFonts w:eastAsia="Calibri"/>
                <w:color w:val="auto"/>
              </w:rPr>
            </w:pPr>
            <w:proofErr w:type="spellStart"/>
            <w:r w:rsidRPr="00545C33">
              <w:rPr>
                <w:rFonts w:eastAsia="Calibri"/>
                <w:color w:val="auto"/>
              </w:rPr>
              <w:t>Efavirenz</w:t>
            </w:r>
            <w:proofErr w:type="spellEnd"/>
            <w:r w:rsidRPr="00545C33">
              <w:rPr>
                <w:rFonts w:eastAsia="Calibri"/>
                <w:color w:val="auto"/>
              </w:rPr>
              <w:t xml:space="preserve"> effect on acetylation clearance in fast </w:t>
            </w:r>
            <w:proofErr w:type="spellStart"/>
            <w:r w:rsidRPr="00545C33">
              <w:rPr>
                <w:rFonts w:eastAsia="Calibri"/>
                <w:color w:val="auto"/>
              </w:rPr>
              <w:t>acetylators</w:t>
            </w:r>
            <w:proofErr w:type="spellEnd"/>
            <w:r w:rsidRPr="00545C33">
              <w:rPr>
                <w:rFonts w:eastAsia="Calibri"/>
                <w:color w:val="auto"/>
              </w:rPr>
              <w:t xml:space="preserve"> (%)</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+54.1</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r>
      <w:tr w:rsidR="007176B8" w:rsidRPr="00545C33" w:rsidTr="002C018B">
        <w:tc>
          <w:tcPr>
            <w:tcW w:w="3085" w:type="dxa"/>
          </w:tcPr>
          <w:p w:rsidR="007176B8" w:rsidRPr="00545C33" w:rsidRDefault="007176B8" w:rsidP="002C018B">
            <w:pPr>
              <w:spacing w:line="276" w:lineRule="auto"/>
              <w:rPr>
                <w:rFonts w:eastAsia="Calibri"/>
                <w:color w:val="auto"/>
              </w:rPr>
            </w:pPr>
          </w:p>
        </w:tc>
        <w:tc>
          <w:tcPr>
            <w:tcW w:w="1419" w:type="dxa"/>
          </w:tcPr>
          <w:p w:rsidR="007176B8" w:rsidRPr="00545C33" w:rsidRDefault="007176B8" w:rsidP="002C018B">
            <w:pPr>
              <w:spacing w:line="276" w:lineRule="auto"/>
              <w:jc w:val="center"/>
              <w:rPr>
                <w:rFonts w:eastAsia="Calibri"/>
                <w:color w:val="auto"/>
              </w:rPr>
            </w:pPr>
          </w:p>
        </w:tc>
        <w:tc>
          <w:tcPr>
            <w:tcW w:w="1305" w:type="dxa"/>
          </w:tcPr>
          <w:p w:rsidR="007176B8" w:rsidRPr="00545C33" w:rsidRDefault="007176B8" w:rsidP="002C018B">
            <w:pPr>
              <w:spacing w:line="276" w:lineRule="auto"/>
              <w:jc w:val="center"/>
              <w:rPr>
                <w:rFonts w:eastAsia="Calibri"/>
                <w:color w:val="auto"/>
              </w:rPr>
            </w:pPr>
          </w:p>
        </w:tc>
        <w:tc>
          <w:tcPr>
            <w:tcW w:w="1713" w:type="dxa"/>
          </w:tcPr>
          <w:p w:rsidR="007176B8" w:rsidRPr="00545C33" w:rsidRDefault="007176B8" w:rsidP="002C018B">
            <w:pPr>
              <w:spacing w:line="276" w:lineRule="auto"/>
              <w:jc w:val="center"/>
              <w:rPr>
                <w:rFonts w:eastAsia="Calibri"/>
                <w:color w:val="auto"/>
              </w:rPr>
            </w:pPr>
          </w:p>
        </w:tc>
        <w:tc>
          <w:tcPr>
            <w:tcW w:w="1504" w:type="dxa"/>
          </w:tcPr>
          <w:p w:rsidR="007176B8" w:rsidRPr="00545C33" w:rsidRDefault="007176B8" w:rsidP="002C018B">
            <w:pPr>
              <w:spacing w:line="276" w:lineRule="auto"/>
              <w:jc w:val="center"/>
              <w:rPr>
                <w:rFonts w:eastAsia="Calibri"/>
                <w:color w:val="auto"/>
              </w:rPr>
            </w:pPr>
          </w:p>
        </w:tc>
      </w:tr>
      <w:tr w:rsidR="007176B8" w:rsidRPr="00545C33" w:rsidTr="002C018B">
        <w:tc>
          <w:tcPr>
            <w:tcW w:w="3085" w:type="dxa"/>
          </w:tcPr>
          <w:p w:rsidR="007176B8" w:rsidRPr="00545C33" w:rsidRDefault="007176B8" w:rsidP="002C018B">
            <w:pPr>
              <w:spacing w:line="276" w:lineRule="auto"/>
              <w:rPr>
                <w:rFonts w:eastAsia="Calibri"/>
                <w:b/>
                <w:color w:val="auto"/>
              </w:rPr>
            </w:pPr>
            <w:r w:rsidRPr="00545C33">
              <w:rPr>
                <w:rFonts w:eastAsia="Calibri"/>
                <w:b/>
                <w:color w:val="auto"/>
              </w:rPr>
              <w:t xml:space="preserve">Between subject variability </w:t>
            </w:r>
            <w:r w:rsidRPr="00545C33">
              <w:rPr>
                <w:rFonts w:eastAsia="Calibri"/>
                <w:color w:val="auto"/>
              </w:rPr>
              <w:t>(%)</w:t>
            </w:r>
          </w:p>
        </w:tc>
        <w:tc>
          <w:tcPr>
            <w:tcW w:w="1419" w:type="dxa"/>
          </w:tcPr>
          <w:p w:rsidR="007176B8" w:rsidRPr="00545C33" w:rsidRDefault="007176B8" w:rsidP="002C018B">
            <w:pPr>
              <w:spacing w:line="276" w:lineRule="auto"/>
              <w:jc w:val="center"/>
              <w:rPr>
                <w:rFonts w:eastAsia="Calibri"/>
                <w:color w:val="auto"/>
              </w:rPr>
            </w:pPr>
          </w:p>
        </w:tc>
        <w:tc>
          <w:tcPr>
            <w:tcW w:w="1305" w:type="dxa"/>
          </w:tcPr>
          <w:p w:rsidR="007176B8" w:rsidRPr="00545C33" w:rsidRDefault="007176B8" w:rsidP="002C018B">
            <w:pPr>
              <w:spacing w:line="276" w:lineRule="auto"/>
              <w:jc w:val="center"/>
              <w:rPr>
                <w:rFonts w:eastAsia="Calibri"/>
                <w:color w:val="auto"/>
              </w:rPr>
            </w:pPr>
          </w:p>
        </w:tc>
        <w:tc>
          <w:tcPr>
            <w:tcW w:w="1713" w:type="dxa"/>
          </w:tcPr>
          <w:p w:rsidR="007176B8" w:rsidRPr="00545C33" w:rsidRDefault="007176B8" w:rsidP="002C018B">
            <w:pPr>
              <w:spacing w:line="276" w:lineRule="auto"/>
              <w:jc w:val="center"/>
              <w:rPr>
                <w:rFonts w:eastAsia="Calibri"/>
                <w:color w:val="auto"/>
              </w:rPr>
            </w:pPr>
          </w:p>
        </w:tc>
        <w:tc>
          <w:tcPr>
            <w:tcW w:w="1504" w:type="dxa"/>
          </w:tcPr>
          <w:p w:rsidR="007176B8" w:rsidRPr="00545C33" w:rsidRDefault="007176B8" w:rsidP="002C018B">
            <w:pPr>
              <w:spacing w:line="276" w:lineRule="auto"/>
              <w:jc w:val="center"/>
              <w:rPr>
                <w:rFonts w:eastAsia="Calibri"/>
                <w:color w:val="auto"/>
              </w:rPr>
            </w:pPr>
          </w:p>
        </w:tc>
      </w:tr>
      <w:tr w:rsidR="007176B8" w:rsidRPr="00545C33" w:rsidTr="002C018B">
        <w:tc>
          <w:tcPr>
            <w:tcW w:w="3085" w:type="dxa"/>
          </w:tcPr>
          <w:p w:rsidR="007176B8" w:rsidRPr="00545C33" w:rsidRDefault="007176B8" w:rsidP="002C018B">
            <w:pPr>
              <w:spacing w:line="276" w:lineRule="auto"/>
              <w:rPr>
                <w:rFonts w:eastAsia="Calibri"/>
                <w:i/>
                <w:color w:val="auto"/>
              </w:rPr>
            </w:pPr>
            <w:r w:rsidRPr="00545C33">
              <w:rPr>
                <w:rFonts w:eastAsia="Calibri"/>
                <w:i/>
                <w:color w:val="auto"/>
              </w:rPr>
              <w:tab/>
              <w:t>Clearance</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22.5</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35.6</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16.3</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15.4</w:t>
            </w:r>
          </w:p>
        </w:tc>
      </w:tr>
      <w:tr w:rsidR="007176B8" w:rsidRPr="00545C33" w:rsidTr="002C018B">
        <w:tc>
          <w:tcPr>
            <w:tcW w:w="3085" w:type="dxa"/>
          </w:tcPr>
          <w:p w:rsidR="007176B8" w:rsidRPr="00545C33" w:rsidRDefault="007176B8" w:rsidP="002C018B">
            <w:pPr>
              <w:spacing w:line="276" w:lineRule="auto"/>
              <w:rPr>
                <w:rFonts w:eastAsia="Calibri"/>
                <w:i/>
                <w:color w:val="auto"/>
              </w:rPr>
            </w:pPr>
            <w:r w:rsidRPr="00545C33">
              <w:rPr>
                <w:rFonts w:eastAsia="Calibri"/>
                <w:i/>
                <w:color w:val="auto"/>
              </w:rPr>
              <w:tab/>
              <w:t>Central volume</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14.2</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18.9</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r>
      <w:tr w:rsidR="007176B8" w:rsidRPr="00545C33" w:rsidTr="002C018B">
        <w:tc>
          <w:tcPr>
            <w:tcW w:w="3085" w:type="dxa"/>
          </w:tcPr>
          <w:p w:rsidR="007176B8" w:rsidRPr="00545C33" w:rsidRDefault="007176B8" w:rsidP="002C018B">
            <w:pPr>
              <w:spacing w:line="276" w:lineRule="auto"/>
              <w:rPr>
                <w:rFonts w:eastAsia="Calibri"/>
                <w:i/>
                <w:color w:val="auto"/>
              </w:rPr>
            </w:pPr>
            <w:r w:rsidRPr="00545C33">
              <w:rPr>
                <w:rFonts w:eastAsia="Calibri"/>
                <w:i/>
                <w:color w:val="auto"/>
              </w:rPr>
              <w:tab/>
              <w:t>Bioavailability</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10.7</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21.7</w:t>
            </w:r>
          </w:p>
        </w:tc>
      </w:tr>
      <w:tr w:rsidR="007176B8" w:rsidRPr="00545C33" w:rsidTr="002C018B">
        <w:tc>
          <w:tcPr>
            <w:tcW w:w="3085" w:type="dxa"/>
          </w:tcPr>
          <w:p w:rsidR="007176B8" w:rsidRPr="00545C33" w:rsidRDefault="007176B8" w:rsidP="002C018B">
            <w:pPr>
              <w:spacing w:line="276" w:lineRule="auto"/>
              <w:rPr>
                <w:rFonts w:eastAsia="Calibri"/>
                <w:i/>
                <w:color w:val="auto"/>
              </w:rPr>
            </w:pPr>
            <w:r w:rsidRPr="00545C33">
              <w:rPr>
                <w:rFonts w:eastAsia="Calibri"/>
                <w:i/>
                <w:color w:val="auto"/>
              </w:rPr>
              <w:tab/>
              <w:t>Absorption rate</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36.7</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84.7</w:t>
            </w:r>
          </w:p>
        </w:tc>
      </w:tr>
      <w:tr w:rsidR="007176B8" w:rsidRPr="00545C33" w:rsidTr="002C018B">
        <w:tc>
          <w:tcPr>
            <w:tcW w:w="3085" w:type="dxa"/>
          </w:tcPr>
          <w:p w:rsidR="007176B8" w:rsidRPr="00545C33" w:rsidRDefault="007176B8" w:rsidP="002C018B">
            <w:pPr>
              <w:spacing w:line="276" w:lineRule="auto"/>
              <w:rPr>
                <w:rFonts w:eastAsia="Calibri"/>
                <w:i/>
                <w:color w:val="auto"/>
              </w:rPr>
            </w:pPr>
            <w:r w:rsidRPr="00545C33">
              <w:rPr>
                <w:rFonts w:eastAsia="Calibri"/>
                <w:i/>
                <w:color w:val="auto"/>
              </w:rPr>
              <w:tab/>
              <w:t>Mean transit time</w:t>
            </w:r>
          </w:p>
        </w:tc>
        <w:tc>
          <w:tcPr>
            <w:tcW w:w="1419" w:type="dxa"/>
          </w:tcPr>
          <w:p w:rsidR="007176B8" w:rsidRPr="00545C33" w:rsidRDefault="007176B8" w:rsidP="002C018B">
            <w:pPr>
              <w:spacing w:line="276" w:lineRule="auto"/>
              <w:jc w:val="center"/>
              <w:rPr>
                <w:rFonts w:eastAsia="Calibri"/>
                <w:color w:val="auto"/>
              </w:rPr>
            </w:pPr>
          </w:p>
        </w:tc>
        <w:tc>
          <w:tcPr>
            <w:tcW w:w="1305" w:type="dxa"/>
          </w:tcPr>
          <w:p w:rsidR="007176B8" w:rsidRPr="00545C33" w:rsidRDefault="007176B8" w:rsidP="002C018B">
            <w:pPr>
              <w:spacing w:line="276" w:lineRule="auto"/>
              <w:jc w:val="center"/>
              <w:rPr>
                <w:rFonts w:eastAsia="Calibri"/>
                <w:color w:val="auto"/>
              </w:rPr>
            </w:pPr>
          </w:p>
        </w:tc>
        <w:tc>
          <w:tcPr>
            <w:tcW w:w="1713" w:type="dxa"/>
          </w:tcPr>
          <w:p w:rsidR="007176B8" w:rsidRPr="00545C33" w:rsidRDefault="007176B8" w:rsidP="002C018B">
            <w:pPr>
              <w:spacing w:line="276" w:lineRule="auto"/>
              <w:jc w:val="center"/>
              <w:rPr>
                <w:rFonts w:eastAsia="Calibri"/>
                <w:color w:val="auto"/>
              </w:rPr>
            </w:pP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24.5</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b/>
                <w:color w:val="auto"/>
              </w:rPr>
              <w:t>Between occasion variability (</w:t>
            </w:r>
            <w:r w:rsidRPr="00545C33">
              <w:rPr>
                <w:rFonts w:eastAsia="Calibri"/>
                <w:color w:val="auto"/>
              </w:rPr>
              <w:t>%)</w:t>
            </w:r>
          </w:p>
        </w:tc>
        <w:tc>
          <w:tcPr>
            <w:tcW w:w="1419" w:type="dxa"/>
          </w:tcPr>
          <w:p w:rsidR="007176B8" w:rsidRPr="00545C33" w:rsidRDefault="007176B8" w:rsidP="002C018B">
            <w:pPr>
              <w:spacing w:line="276" w:lineRule="auto"/>
              <w:jc w:val="center"/>
              <w:rPr>
                <w:rFonts w:eastAsia="Calibri"/>
                <w:color w:val="auto"/>
              </w:rPr>
            </w:pPr>
          </w:p>
        </w:tc>
        <w:tc>
          <w:tcPr>
            <w:tcW w:w="1305" w:type="dxa"/>
          </w:tcPr>
          <w:p w:rsidR="007176B8" w:rsidRPr="00545C33" w:rsidRDefault="007176B8" w:rsidP="002C018B">
            <w:pPr>
              <w:spacing w:line="276" w:lineRule="auto"/>
              <w:jc w:val="center"/>
              <w:rPr>
                <w:rFonts w:eastAsia="Calibri"/>
                <w:color w:val="auto"/>
              </w:rPr>
            </w:pPr>
          </w:p>
        </w:tc>
        <w:tc>
          <w:tcPr>
            <w:tcW w:w="1713" w:type="dxa"/>
          </w:tcPr>
          <w:p w:rsidR="007176B8" w:rsidRPr="00545C33" w:rsidRDefault="007176B8" w:rsidP="002C018B">
            <w:pPr>
              <w:spacing w:line="276" w:lineRule="auto"/>
              <w:jc w:val="center"/>
              <w:rPr>
                <w:rFonts w:eastAsia="Calibri"/>
                <w:color w:val="auto"/>
              </w:rPr>
            </w:pPr>
          </w:p>
        </w:tc>
        <w:tc>
          <w:tcPr>
            <w:tcW w:w="1504" w:type="dxa"/>
          </w:tcPr>
          <w:p w:rsidR="007176B8" w:rsidRPr="00545C33" w:rsidRDefault="007176B8" w:rsidP="002C018B">
            <w:pPr>
              <w:spacing w:line="276" w:lineRule="auto"/>
              <w:jc w:val="center"/>
              <w:rPr>
                <w:rFonts w:eastAsia="Calibri"/>
                <w:color w:val="auto"/>
              </w:rPr>
            </w:pPr>
          </w:p>
        </w:tc>
      </w:tr>
      <w:tr w:rsidR="007176B8" w:rsidRPr="00545C33" w:rsidTr="002C018B">
        <w:tc>
          <w:tcPr>
            <w:tcW w:w="3085" w:type="dxa"/>
          </w:tcPr>
          <w:p w:rsidR="007176B8" w:rsidRPr="00545C33" w:rsidRDefault="007176B8" w:rsidP="002C018B">
            <w:pPr>
              <w:spacing w:line="276" w:lineRule="auto"/>
              <w:rPr>
                <w:rFonts w:eastAsia="Calibri"/>
                <w:i/>
                <w:color w:val="auto"/>
              </w:rPr>
            </w:pPr>
            <w:r w:rsidRPr="00545C33">
              <w:rPr>
                <w:rFonts w:eastAsia="Calibri"/>
                <w:i/>
                <w:color w:val="auto"/>
              </w:rPr>
              <w:tab/>
              <w:t>Clearance</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21.9</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13.3</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r>
      <w:tr w:rsidR="007176B8" w:rsidRPr="00545C33" w:rsidTr="002C018B">
        <w:tc>
          <w:tcPr>
            <w:tcW w:w="3085" w:type="dxa"/>
          </w:tcPr>
          <w:p w:rsidR="007176B8" w:rsidRPr="00545C33" w:rsidRDefault="007176B8" w:rsidP="002C018B">
            <w:pPr>
              <w:spacing w:line="276" w:lineRule="auto"/>
              <w:rPr>
                <w:rFonts w:eastAsia="Calibri"/>
                <w:i/>
                <w:color w:val="auto"/>
              </w:rPr>
            </w:pPr>
            <w:r w:rsidRPr="00545C33">
              <w:rPr>
                <w:rFonts w:eastAsia="Calibri"/>
                <w:i/>
                <w:color w:val="auto"/>
              </w:rPr>
              <w:tab/>
              <w:t>Bioavailability</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11.0</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16.9</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11.9</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17.5</w:t>
            </w:r>
          </w:p>
        </w:tc>
      </w:tr>
      <w:tr w:rsidR="007176B8" w:rsidRPr="00545C33" w:rsidTr="002C018B">
        <w:tc>
          <w:tcPr>
            <w:tcW w:w="3085" w:type="dxa"/>
          </w:tcPr>
          <w:p w:rsidR="007176B8" w:rsidRPr="00545C33" w:rsidRDefault="007176B8" w:rsidP="002C018B">
            <w:pPr>
              <w:spacing w:line="276" w:lineRule="auto"/>
              <w:rPr>
                <w:rFonts w:eastAsia="Calibri"/>
                <w:i/>
                <w:color w:val="auto"/>
              </w:rPr>
            </w:pPr>
            <w:r w:rsidRPr="00545C33">
              <w:rPr>
                <w:rFonts w:eastAsia="Calibri"/>
                <w:i/>
                <w:color w:val="auto"/>
              </w:rPr>
              <w:tab/>
              <w:t>Absorption rate</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81.2</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84.0</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r>
      <w:tr w:rsidR="007176B8" w:rsidRPr="00545C33" w:rsidTr="002C018B">
        <w:tc>
          <w:tcPr>
            <w:tcW w:w="3085" w:type="dxa"/>
          </w:tcPr>
          <w:p w:rsidR="007176B8" w:rsidRPr="00545C33" w:rsidRDefault="007176B8" w:rsidP="002C018B">
            <w:pPr>
              <w:spacing w:line="276" w:lineRule="auto"/>
              <w:rPr>
                <w:rFonts w:eastAsia="Calibri"/>
                <w:i/>
                <w:color w:val="auto"/>
              </w:rPr>
            </w:pPr>
            <w:r w:rsidRPr="00545C33">
              <w:rPr>
                <w:rFonts w:eastAsia="Calibri"/>
                <w:i/>
                <w:color w:val="auto"/>
              </w:rPr>
              <w:lastRenderedPageBreak/>
              <w:tab/>
              <w:t>Mean transit time</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62.7</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52.9</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w:t>
            </w:r>
          </w:p>
        </w:tc>
      </w:tr>
      <w:tr w:rsidR="007176B8" w:rsidRPr="00545C33" w:rsidTr="002C018B">
        <w:tc>
          <w:tcPr>
            <w:tcW w:w="3085" w:type="dxa"/>
          </w:tcPr>
          <w:p w:rsidR="007176B8" w:rsidRPr="00545C33" w:rsidRDefault="007176B8" w:rsidP="002C018B">
            <w:pPr>
              <w:spacing w:line="276" w:lineRule="auto"/>
              <w:rPr>
                <w:rFonts w:eastAsia="Calibri"/>
                <w:b/>
                <w:color w:val="auto"/>
              </w:rPr>
            </w:pPr>
            <w:r w:rsidRPr="00545C33">
              <w:rPr>
                <w:rFonts w:eastAsia="Calibri"/>
                <w:b/>
                <w:color w:val="auto"/>
              </w:rPr>
              <w:t>Error</w:t>
            </w:r>
          </w:p>
        </w:tc>
        <w:tc>
          <w:tcPr>
            <w:tcW w:w="1419" w:type="dxa"/>
          </w:tcPr>
          <w:p w:rsidR="007176B8" w:rsidRPr="00545C33" w:rsidRDefault="007176B8" w:rsidP="002C018B">
            <w:pPr>
              <w:spacing w:line="276" w:lineRule="auto"/>
              <w:jc w:val="center"/>
              <w:rPr>
                <w:rFonts w:eastAsia="Calibri"/>
                <w:color w:val="auto"/>
              </w:rPr>
            </w:pPr>
          </w:p>
        </w:tc>
        <w:tc>
          <w:tcPr>
            <w:tcW w:w="1305" w:type="dxa"/>
          </w:tcPr>
          <w:p w:rsidR="007176B8" w:rsidRPr="00545C33" w:rsidRDefault="007176B8" w:rsidP="002C018B">
            <w:pPr>
              <w:spacing w:line="276" w:lineRule="auto"/>
              <w:jc w:val="center"/>
              <w:rPr>
                <w:rFonts w:eastAsia="Calibri"/>
                <w:color w:val="auto"/>
              </w:rPr>
            </w:pPr>
          </w:p>
        </w:tc>
        <w:tc>
          <w:tcPr>
            <w:tcW w:w="1713" w:type="dxa"/>
          </w:tcPr>
          <w:p w:rsidR="007176B8" w:rsidRPr="00545C33" w:rsidRDefault="007176B8" w:rsidP="002C018B">
            <w:pPr>
              <w:spacing w:line="276" w:lineRule="auto"/>
              <w:jc w:val="center"/>
              <w:rPr>
                <w:rFonts w:eastAsia="Calibri"/>
                <w:color w:val="auto"/>
              </w:rPr>
            </w:pPr>
          </w:p>
        </w:tc>
        <w:tc>
          <w:tcPr>
            <w:tcW w:w="1504" w:type="dxa"/>
          </w:tcPr>
          <w:p w:rsidR="007176B8" w:rsidRPr="00545C33" w:rsidRDefault="007176B8" w:rsidP="002C018B">
            <w:pPr>
              <w:spacing w:line="276" w:lineRule="auto"/>
              <w:jc w:val="center"/>
              <w:rPr>
                <w:rFonts w:eastAsia="Calibri"/>
                <w:color w:val="auto"/>
              </w:rPr>
            </w:pP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ab/>
              <w:t>Additive (mg/L)</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0.064</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0.02 fixed</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1.23</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0.0224</w:t>
            </w:r>
          </w:p>
        </w:tc>
      </w:tr>
      <w:tr w:rsidR="007176B8" w:rsidRPr="00545C33" w:rsidTr="002C018B">
        <w:tc>
          <w:tcPr>
            <w:tcW w:w="3085" w:type="dxa"/>
          </w:tcPr>
          <w:p w:rsidR="007176B8" w:rsidRPr="00545C33" w:rsidRDefault="007176B8" w:rsidP="002C018B">
            <w:pPr>
              <w:spacing w:line="276" w:lineRule="auto"/>
              <w:rPr>
                <w:rFonts w:eastAsia="Calibri"/>
                <w:color w:val="auto"/>
              </w:rPr>
            </w:pPr>
            <w:r w:rsidRPr="00545C33">
              <w:rPr>
                <w:rFonts w:eastAsia="Calibri"/>
                <w:color w:val="auto"/>
              </w:rPr>
              <w:tab/>
              <w:t>Coefficient of variation (%)</w:t>
            </w:r>
          </w:p>
        </w:tc>
        <w:tc>
          <w:tcPr>
            <w:tcW w:w="1419" w:type="dxa"/>
          </w:tcPr>
          <w:p w:rsidR="007176B8" w:rsidRPr="00545C33" w:rsidRDefault="007176B8" w:rsidP="002C018B">
            <w:pPr>
              <w:spacing w:line="276" w:lineRule="auto"/>
              <w:jc w:val="center"/>
              <w:rPr>
                <w:rFonts w:eastAsia="Calibri"/>
                <w:color w:val="auto"/>
              </w:rPr>
            </w:pPr>
            <w:r w:rsidRPr="00545C33">
              <w:rPr>
                <w:rFonts w:eastAsia="Calibri"/>
                <w:color w:val="auto"/>
              </w:rPr>
              <w:t>10.8</w:t>
            </w:r>
          </w:p>
        </w:tc>
        <w:tc>
          <w:tcPr>
            <w:tcW w:w="1305" w:type="dxa"/>
          </w:tcPr>
          <w:p w:rsidR="007176B8" w:rsidRPr="00545C33" w:rsidRDefault="007176B8" w:rsidP="002C018B">
            <w:pPr>
              <w:spacing w:line="276" w:lineRule="auto"/>
              <w:jc w:val="center"/>
              <w:rPr>
                <w:rFonts w:eastAsia="Calibri"/>
                <w:color w:val="auto"/>
              </w:rPr>
            </w:pPr>
            <w:r w:rsidRPr="00545C33">
              <w:rPr>
                <w:rFonts w:eastAsia="Calibri"/>
                <w:color w:val="auto"/>
              </w:rPr>
              <w:t>11.2</w:t>
            </w:r>
          </w:p>
        </w:tc>
        <w:tc>
          <w:tcPr>
            <w:tcW w:w="1713" w:type="dxa"/>
          </w:tcPr>
          <w:p w:rsidR="007176B8" w:rsidRPr="00545C33" w:rsidRDefault="007176B8" w:rsidP="002C018B">
            <w:pPr>
              <w:spacing w:line="276" w:lineRule="auto"/>
              <w:jc w:val="center"/>
              <w:rPr>
                <w:rFonts w:eastAsia="Calibri"/>
                <w:color w:val="auto"/>
              </w:rPr>
            </w:pPr>
            <w:r w:rsidRPr="00545C33">
              <w:rPr>
                <w:rFonts w:eastAsia="Calibri"/>
                <w:color w:val="auto"/>
              </w:rPr>
              <w:t>4.4</w:t>
            </w:r>
          </w:p>
        </w:tc>
        <w:tc>
          <w:tcPr>
            <w:tcW w:w="1504" w:type="dxa"/>
          </w:tcPr>
          <w:p w:rsidR="007176B8" w:rsidRPr="00545C33" w:rsidRDefault="007176B8" w:rsidP="002C018B">
            <w:pPr>
              <w:spacing w:line="276" w:lineRule="auto"/>
              <w:jc w:val="center"/>
              <w:rPr>
                <w:rFonts w:eastAsia="Calibri"/>
                <w:color w:val="auto"/>
              </w:rPr>
            </w:pPr>
            <w:r w:rsidRPr="00545C33">
              <w:rPr>
                <w:rFonts w:eastAsia="Calibri"/>
                <w:color w:val="auto"/>
              </w:rPr>
              <w:t>13.8</w:t>
            </w:r>
          </w:p>
        </w:tc>
      </w:tr>
    </w:tbl>
    <w:p w:rsidR="007176B8" w:rsidRPr="00545C33" w:rsidRDefault="007176B8" w:rsidP="007176B8">
      <w:pPr>
        <w:spacing w:line="276" w:lineRule="auto"/>
        <w:rPr>
          <w:rFonts w:ascii="Arial" w:eastAsia="Calibri" w:hAnsi="Arial" w:cs="Arial"/>
          <w:lang w:val="en-ZA"/>
        </w:rPr>
      </w:pPr>
      <w:proofErr w:type="spellStart"/>
      <w:proofErr w:type="gramStart"/>
      <w:r w:rsidRPr="00545C33">
        <w:rPr>
          <w:rFonts w:ascii="Arial" w:eastAsia="Calibri" w:hAnsi="Arial" w:cs="Arial"/>
          <w:vertAlign w:val="superscript"/>
          <w:lang w:val="en-ZA"/>
        </w:rPr>
        <w:t>a</w:t>
      </w:r>
      <w:r w:rsidRPr="00545C33">
        <w:rPr>
          <w:rFonts w:ascii="Arial" w:eastAsia="Calibri" w:hAnsi="Arial" w:cs="Arial"/>
          <w:lang w:val="en-ZA"/>
        </w:rPr>
        <w:t>TBHAART</w:t>
      </w:r>
      <w:proofErr w:type="spellEnd"/>
      <w:proofErr w:type="gramEnd"/>
      <w:r w:rsidRPr="00545C33">
        <w:rPr>
          <w:rFonts w:ascii="Arial" w:eastAsia="Calibri" w:hAnsi="Arial" w:cs="Arial"/>
          <w:lang w:val="en-ZA"/>
        </w:rPr>
        <w:t xml:space="preserve"> study.</w:t>
      </w:r>
    </w:p>
    <w:p w:rsidR="007176B8" w:rsidRPr="00545C33" w:rsidRDefault="007176B8" w:rsidP="007176B8">
      <w:pPr>
        <w:spacing w:line="276" w:lineRule="auto"/>
        <w:rPr>
          <w:rFonts w:ascii="Arial" w:eastAsia="Calibri" w:hAnsi="Arial" w:cs="Arial"/>
          <w:lang w:val="en-ZA"/>
        </w:rPr>
      </w:pPr>
      <w:proofErr w:type="spellStart"/>
      <w:proofErr w:type="gramStart"/>
      <w:r w:rsidRPr="00545C33">
        <w:rPr>
          <w:rFonts w:ascii="Arial" w:eastAsia="Calibri" w:hAnsi="Arial" w:cs="Arial"/>
          <w:vertAlign w:val="superscript"/>
          <w:lang w:val="en-ZA"/>
        </w:rPr>
        <w:t>b</w:t>
      </w:r>
      <w:r w:rsidRPr="00545C33">
        <w:rPr>
          <w:rFonts w:ascii="Arial" w:eastAsia="Calibri" w:hAnsi="Arial" w:cs="Arial"/>
          <w:lang w:val="en-ZA"/>
        </w:rPr>
        <w:t>RAFA</w:t>
      </w:r>
      <w:proofErr w:type="spellEnd"/>
      <w:proofErr w:type="gramEnd"/>
      <w:r w:rsidRPr="00545C33">
        <w:rPr>
          <w:rFonts w:ascii="Arial" w:eastAsia="Calibri" w:hAnsi="Arial" w:cs="Arial"/>
          <w:lang w:val="en-ZA"/>
        </w:rPr>
        <w:t xml:space="preserve"> study.</w:t>
      </w:r>
    </w:p>
    <w:p w:rsidR="007176B8" w:rsidRPr="00545C33" w:rsidRDefault="007176B8" w:rsidP="007176B8">
      <w:pPr>
        <w:spacing w:line="276" w:lineRule="auto"/>
        <w:rPr>
          <w:rFonts w:ascii="Arial" w:eastAsia="Calibri" w:hAnsi="Arial" w:cs="Arial"/>
          <w:lang w:val="en-ZA"/>
        </w:rPr>
      </w:pPr>
      <w:proofErr w:type="spellStart"/>
      <w:proofErr w:type="gramStart"/>
      <w:r w:rsidRPr="00545C33">
        <w:rPr>
          <w:rFonts w:ascii="Arial" w:eastAsia="Calibri" w:hAnsi="Arial" w:cs="Arial"/>
          <w:vertAlign w:val="superscript"/>
          <w:lang w:val="en-ZA"/>
        </w:rPr>
        <w:t>c</w:t>
      </w:r>
      <w:r w:rsidRPr="00545C33">
        <w:rPr>
          <w:rFonts w:ascii="Arial" w:eastAsia="Calibri" w:hAnsi="Arial" w:cs="Arial"/>
          <w:lang w:val="en-ZA"/>
        </w:rPr>
        <w:t>This</w:t>
      </w:r>
      <w:proofErr w:type="spellEnd"/>
      <w:proofErr w:type="gramEnd"/>
      <w:r w:rsidRPr="00545C33">
        <w:rPr>
          <w:rFonts w:ascii="Arial" w:eastAsia="Calibri" w:hAnsi="Arial" w:cs="Arial"/>
          <w:lang w:val="en-ZA"/>
        </w:rPr>
        <w:t xml:space="preserve"> parameter has been adjusted by </w:t>
      </w:r>
      <w:proofErr w:type="spellStart"/>
      <w:r w:rsidRPr="00545C33">
        <w:rPr>
          <w:rFonts w:ascii="Arial" w:eastAsia="Calibri" w:hAnsi="Arial" w:cs="Arial"/>
          <w:lang w:val="en-ZA"/>
        </w:rPr>
        <w:t>allometric</w:t>
      </w:r>
      <w:proofErr w:type="spellEnd"/>
      <w:r w:rsidRPr="00545C33">
        <w:rPr>
          <w:rFonts w:ascii="Arial" w:eastAsia="Calibri" w:hAnsi="Arial" w:cs="Arial"/>
          <w:lang w:val="en-ZA"/>
        </w:rPr>
        <w:t xml:space="preserve"> scaling, and the values reported refer</w:t>
      </w:r>
    </w:p>
    <w:p w:rsidR="007176B8" w:rsidRPr="00545C33" w:rsidRDefault="007176B8" w:rsidP="007176B8">
      <w:pPr>
        <w:spacing w:line="276" w:lineRule="auto"/>
        <w:rPr>
          <w:rFonts w:ascii="Arial" w:eastAsia="Calibri" w:hAnsi="Arial" w:cs="Arial"/>
          <w:lang w:val="en-ZA"/>
        </w:rPr>
      </w:pPr>
      <w:proofErr w:type="gramStart"/>
      <w:r w:rsidRPr="00545C33">
        <w:rPr>
          <w:rFonts w:ascii="Arial" w:eastAsia="Calibri" w:hAnsi="Arial" w:cs="Arial"/>
          <w:lang w:val="en-ZA"/>
        </w:rPr>
        <w:t>to</w:t>
      </w:r>
      <w:proofErr w:type="gramEnd"/>
      <w:r w:rsidRPr="00545C33">
        <w:rPr>
          <w:rFonts w:ascii="Arial" w:eastAsia="Calibri" w:hAnsi="Arial" w:cs="Arial"/>
          <w:lang w:val="en-ZA"/>
        </w:rPr>
        <w:t xml:space="preserve"> a subject with an FFM of 42 kg (TBHAART study) or 43.3 kg (RAFA study).</w:t>
      </w:r>
    </w:p>
    <w:p w:rsidR="007176B8" w:rsidRPr="00545C33" w:rsidRDefault="007176B8" w:rsidP="007176B8">
      <w:pPr>
        <w:spacing w:line="276" w:lineRule="auto"/>
        <w:rPr>
          <w:rFonts w:ascii="Arial" w:eastAsia="Calibri" w:hAnsi="Arial" w:cs="Arial"/>
          <w:lang w:val="en-ZA"/>
        </w:rPr>
      </w:pPr>
      <w:proofErr w:type="spellStart"/>
      <w:proofErr w:type="gramStart"/>
      <w:r w:rsidRPr="00545C33">
        <w:rPr>
          <w:rFonts w:ascii="Arial" w:eastAsia="Calibri" w:hAnsi="Arial" w:cs="Arial"/>
          <w:vertAlign w:val="superscript"/>
          <w:lang w:val="en-ZA"/>
        </w:rPr>
        <w:t>d</w:t>
      </w:r>
      <w:r w:rsidRPr="00545C33">
        <w:rPr>
          <w:rFonts w:ascii="Arial" w:eastAsia="Calibri" w:hAnsi="Arial" w:cs="Arial"/>
          <w:lang w:val="en-ZA"/>
        </w:rPr>
        <w:t>Maximum</w:t>
      </w:r>
      <w:proofErr w:type="spellEnd"/>
      <w:proofErr w:type="gramEnd"/>
      <w:r w:rsidRPr="00545C33">
        <w:rPr>
          <w:rFonts w:ascii="Arial" w:eastAsia="Calibri" w:hAnsi="Arial" w:cs="Arial"/>
          <w:lang w:val="en-ZA"/>
        </w:rPr>
        <w:t xml:space="preserve"> intrinsic clearance.</w:t>
      </w:r>
    </w:p>
    <w:p w:rsidR="007176B8" w:rsidRPr="00545C33" w:rsidRDefault="007176B8" w:rsidP="007176B8">
      <w:pPr>
        <w:spacing w:line="276" w:lineRule="auto"/>
        <w:rPr>
          <w:rFonts w:ascii="Arial" w:eastAsia="Calibri" w:hAnsi="Arial" w:cs="Arial"/>
          <w:lang w:val="en-ZA"/>
        </w:rPr>
      </w:pPr>
      <w:proofErr w:type="spellStart"/>
      <w:proofErr w:type="gramStart"/>
      <w:r w:rsidRPr="00545C33">
        <w:rPr>
          <w:rFonts w:ascii="Arial" w:eastAsia="Calibri" w:hAnsi="Arial" w:cs="Arial"/>
          <w:vertAlign w:val="superscript"/>
          <w:lang w:val="en-ZA"/>
        </w:rPr>
        <w:t>e</w:t>
      </w:r>
      <w:r w:rsidRPr="00545C33">
        <w:rPr>
          <w:rFonts w:ascii="Arial" w:eastAsia="Calibri" w:hAnsi="Arial" w:cs="Arial"/>
          <w:lang w:val="en-ZA"/>
        </w:rPr>
        <w:t>Intrinsic</w:t>
      </w:r>
      <w:proofErr w:type="spellEnd"/>
      <w:proofErr w:type="gramEnd"/>
      <w:r w:rsidRPr="00545C33">
        <w:rPr>
          <w:rFonts w:ascii="Arial" w:eastAsia="Calibri" w:hAnsi="Arial" w:cs="Arial"/>
          <w:lang w:val="en-ZA"/>
        </w:rPr>
        <w:t xml:space="preserve"> clearance.</w:t>
      </w:r>
    </w:p>
    <w:p w:rsidR="007176B8" w:rsidRPr="00545C33" w:rsidRDefault="007176B8" w:rsidP="007176B8">
      <w:pPr>
        <w:spacing w:line="276" w:lineRule="auto"/>
        <w:rPr>
          <w:rFonts w:ascii="Arial" w:eastAsia="Calibri" w:hAnsi="Arial" w:cs="Arial"/>
          <w:lang w:val="en-ZA"/>
        </w:rPr>
      </w:pPr>
      <w:proofErr w:type="spellStart"/>
      <w:proofErr w:type="gramStart"/>
      <w:r w:rsidRPr="00545C33">
        <w:rPr>
          <w:rFonts w:ascii="Arial" w:eastAsia="Calibri" w:hAnsi="Arial" w:cs="Arial"/>
          <w:vertAlign w:val="superscript"/>
          <w:lang w:val="en-ZA"/>
        </w:rPr>
        <w:t>f</w:t>
      </w:r>
      <w:r w:rsidRPr="00545C33">
        <w:rPr>
          <w:rFonts w:ascii="Arial" w:eastAsia="Calibri" w:hAnsi="Arial" w:cs="Arial"/>
          <w:lang w:val="en-ZA"/>
        </w:rPr>
        <w:t>Volume</w:t>
      </w:r>
      <w:proofErr w:type="spellEnd"/>
      <w:proofErr w:type="gramEnd"/>
      <w:r w:rsidRPr="00545C33">
        <w:rPr>
          <w:rFonts w:ascii="Arial" w:eastAsia="Calibri" w:hAnsi="Arial" w:cs="Arial"/>
          <w:lang w:val="en-ZA"/>
        </w:rPr>
        <w:t xml:space="preserve"> of liver and hepatic plasma flow were fixed to 1L and 50 L/h respectively, and </w:t>
      </w:r>
      <w:proofErr w:type="spellStart"/>
      <w:r w:rsidRPr="00545C33">
        <w:rPr>
          <w:rFonts w:ascii="Arial" w:eastAsia="Calibri" w:hAnsi="Arial" w:cs="Arial"/>
          <w:lang w:val="en-ZA"/>
        </w:rPr>
        <w:t>allometrically</w:t>
      </w:r>
      <w:proofErr w:type="spellEnd"/>
      <w:r w:rsidRPr="00545C33">
        <w:rPr>
          <w:rFonts w:ascii="Arial" w:eastAsia="Calibri" w:hAnsi="Arial" w:cs="Arial"/>
          <w:lang w:val="en-ZA"/>
        </w:rPr>
        <w:t xml:space="preserve"> scaled. </w:t>
      </w:r>
    </w:p>
    <w:p w:rsidR="007176B8" w:rsidRPr="00594B79" w:rsidRDefault="007176B8" w:rsidP="007176B8">
      <w:pPr>
        <w:spacing w:line="276" w:lineRule="auto"/>
        <w:rPr>
          <w:rFonts w:ascii="Arial" w:eastAsia="Calibri" w:hAnsi="Arial" w:cs="Arial"/>
          <w:lang w:val="en-ZA"/>
        </w:rPr>
      </w:pPr>
      <w:proofErr w:type="spellStart"/>
      <w:proofErr w:type="gramStart"/>
      <w:r w:rsidRPr="00545C33">
        <w:rPr>
          <w:rFonts w:ascii="Arial" w:eastAsia="Calibri" w:hAnsi="Arial" w:cs="Arial"/>
          <w:vertAlign w:val="superscript"/>
          <w:lang w:val="en-ZA"/>
        </w:rPr>
        <w:t>g</w:t>
      </w:r>
      <w:r w:rsidRPr="00545C33">
        <w:rPr>
          <w:rFonts w:ascii="Arial" w:eastAsia="Calibri" w:hAnsi="Arial" w:cs="Arial"/>
          <w:lang w:val="en-ZA"/>
        </w:rPr>
        <w:t>Selected</w:t>
      </w:r>
      <w:proofErr w:type="spellEnd"/>
      <w:proofErr w:type="gramEnd"/>
      <w:r w:rsidRPr="00545C33">
        <w:rPr>
          <w:rFonts w:ascii="Arial" w:eastAsia="Calibri" w:hAnsi="Arial" w:cs="Arial"/>
          <w:lang w:val="en-ZA"/>
        </w:rPr>
        <w:t xml:space="preserve"> covariate used for simulating exposure presented. Other covariates reported in previous publications were set to zero including the effect of </w:t>
      </w:r>
      <w:proofErr w:type="spellStart"/>
      <w:r w:rsidRPr="00545C33">
        <w:rPr>
          <w:rFonts w:ascii="Arial" w:eastAsia="Calibri" w:hAnsi="Arial" w:cs="Arial"/>
          <w:lang w:val="en-ZA"/>
        </w:rPr>
        <w:t>efavirenz</w:t>
      </w:r>
      <w:proofErr w:type="spellEnd"/>
      <w:r w:rsidRPr="00545C33">
        <w:rPr>
          <w:rFonts w:ascii="Arial" w:eastAsia="Calibri" w:hAnsi="Arial" w:cs="Arial"/>
          <w:lang w:val="en-ZA"/>
        </w:rPr>
        <w:t xml:space="preserve"> effect on acetylation clearance in fast </w:t>
      </w:r>
      <w:proofErr w:type="spellStart"/>
      <w:r w:rsidRPr="00545C33">
        <w:rPr>
          <w:rFonts w:ascii="Arial" w:eastAsia="Calibri" w:hAnsi="Arial" w:cs="Arial"/>
          <w:lang w:val="en-ZA"/>
        </w:rPr>
        <w:t>acetylators</w:t>
      </w:r>
      <w:proofErr w:type="spellEnd"/>
      <w:r w:rsidRPr="00545C33">
        <w:rPr>
          <w:rFonts w:ascii="Arial" w:eastAsia="Calibri" w:hAnsi="Arial" w:cs="Arial"/>
          <w:lang w:val="en-ZA"/>
        </w:rPr>
        <w:t>.</w:t>
      </w:r>
      <w:r w:rsidRPr="00545C33">
        <w:rPr>
          <w:rFonts w:ascii="Arial" w:hAnsi="Arial" w:cs="Arial"/>
        </w:rPr>
        <w:br w:type="page"/>
      </w:r>
    </w:p>
    <w:tbl>
      <w:tblPr>
        <w:tblStyle w:val="TableGrid"/>
        <w:tblW w:w="0" w:type="auto"/>
        <w:tblLook w:val="04A0" w:firstRow="1" w:lastRow="0" w:firstColumn="1" w:lastColumn="0" w:noHBand="0" w:noVBand="1"/>
      </w:tblPr>
      <w:tblGrid>
        <w:gridCol w:w="9010"/>
      </w:tblGrid>
      <w:tr w:rsidR="007176B8" w:rsidRPr="00545C33" w:rsidTr="002C018B">
        <w:tc>
          <w:tcPr>
            <w:tcW w:w="9010" w:type="dxa"/>
          </w:tcPr>
          <w:p w:rsidR="007176B8" w:rsidRPr="00545C33" w:rsidRDefault="007176B8" w:rsidP="002C01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auto"/>
              </w:rPr>
            </w:pPr>
            <w:r w:rsidRPr="00545C33">
              <w:rPr>
                <w:noProof/>
                <w:lang w:val="en-IN" w:eastAsia="en-IN"/>
              </w:rPr>
              <w:lastRenderedPageBreak/>
              <w:drawing>
                <wp:inline distT="0" distB="0" distL="0" distR="0" wp14:anchorId="5F9B7A53" wp14:editId="6AB0B983">
                  <wp:extent cx="4739640" cy="4620886"/>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741960" cy="4623148"/>
                          </a:xfrm>
                          <a:prstGeom prst="rect">
                            <a:avLst/>
                          </a:prstGeom>
                        </pic:spPr>
                      </pic:pic>
                    </a:graphicData>
                  </a:graphic>
                </wp:inline>
              </w:drawing>
            </w:r>
          </w:p>
        </w:tc>
      </w:tr>
      <w:tr w:rsidR="007176B8" w:rsidRPr="00545C33" w:rsidTr="002C018B">
        <w:tc>
          <w:tcPr>
            <w:tcW w:w="9010" w:type="dxa"/>
          </w:tcPr>
          <w:p w:rsidR="007176B8" w:rsidRPr="00545C33" w:rsidRDefault="007176B8" w:rsidP="002C01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auto"/>
              </w:rPr>
            </w:pPr>
            <w:r w:rsidRPr="00545C33">
              <w:rPr>
                <w:color w:val="auto"/>
              </w:rPr>
              <w:t xml:space="preserve">Figure </w:t>
            </w:r>
            <w:r>
              <w:rPr>
                <w:color w:val="auto"/>
              </w:rPr>
              <w:t>2</w:t>
            </w:r>
            <w:r w:rsidRPr="00545C33">
              <w:rPr>
                <w:color w:val="auto"/>
              </w:rPr>
              <w:t xml:space="preserve"> Prediction-corrected visual predictive check for a model describing the pharmacokinetics of </w:t>
            </w:r>
            <w:proofErr w:type="spellStart"/>
            <w:r w:rsidRPr="00545C33">
              <w:rPr>
                <w:color w:val="auto"/>
              </w:rPr>
              <w:t>rifampin</w:t>
            </w:r>
            <w:proofErr w:type="spellEnd"/>
            <w:r w:rsidRPr="00545C33">
              <w:rPr>
                <w:color w:val="auto"/>
              </w:rPr>
              <w:t xml:space="preserve"> stratified by days after the start of TB treatment.</w:t>
            </w:r>
          </w:p>
        </w:tc>
      </w:tr>
    </w:tbl>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bookmarkStart w:id="0" w:name="_GoBack"/>
      <w:bookmarkEnd w:id="0"/>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176B8" w:rsidRPr="00545C33" w:rsidTr="002C018B">
        <w:trPr>
          <w:trHeight w:val="4305"/>
        </w:trPr>
        <w:tc>
          <w:tcPr>
            <w:tcW w:w="8959" w:type="dxa"/>
          </w:tcPr>
          <w:p w:rsidR="007176B8" w:rsidRPr="00545C33" w:rsidRDefault="007176B8" w:rsidP="002C018B">
            <w:pPr>
              <w:spacing w:line="276" w:lineRule="auto"/>
              <w:jc w:val="center"/>
              <w:rPr>
                <w:rFonts w:ascii="Arial" w:hAnsi="Arial" w:cs="Arial"/>
              </w:rPr>
            </w:pPr>
            <w:r w:rsidRPr="00545C33">
              <w:rPr>
                <w:rFonts w:ascii="Arial" w:hAnsi="Arial" w:cs="Arial"/>
                <w:noProof/>
                <w:lang w:val="en-IN" w:eastAsia="en-IN"/>
              </w:rPr>
              <w:lastRenderedPageBreak/>
              <w:drawing>
                <wp:inline distT="0" distB="0" distL="0" distR="0" wp14:anchorId="18C9BDFE" wp14:editId="0E8A863A">
                  <wp:extent cx="5394960" cy="2697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4960" cy="2697480"/>
                          </a:xfrm>
                          <a:prstGeom prst="rect">
                            <a:avLst/>
                          </a:prstGeom>
                        </pic:spPr>
                      </pic:pic>
                    </a:graphicData>
                  </a:graphic>
                </wp:inline>
              </w:drawing>
            </w:r>
          </w:p>
        </w:tc>
      </w:tr>
      <w:tr w:rsidR="007176B8" w:rsidRPr="00545C33" w:rsidTr="002C018B">
        <w:trPr>
          <w:trHeight w:val="9015"/>
        </w:trPr>
        <w:tc>
          <w:tcPr>
            <w:tcW w:w="8959" w:type="dxa"/>
          </w:tcPr>
          <w:p w:rsidR="007176B8" w:rsidRPr="00545C33" w:rsidRDefault="007176B8" w:rsidP="002C018B">
            <w:pPr>
              <w:keepNext/>
              <w:spacing w:line="276" w:lineRule="auto"/>
              <w:rPr>
                <w:rFonts w:ascii="Arial" w:hAnsi="Arial" w:cs="Arial"/>
                <w:vanish/>
                <w:specVanish/>
              </w:rPr>
            </w:pPr>
            <w:bookmarkStart w:id="1" w:name="_Toc504660583"/>
            <w:r w:rsidRPr="00545C33">
              <w:rPr>
                <w:rFonts w:ascii="Arial" w:hAnsi="Arial" w:cs="Arial"/>
              </w:rPr>
              <w:t xml:space="preserve">Figure </w:t>
            </w:r>
            <w:r>
              <w:rPr>
                <w:rFonts w:ascii="Arial" w:hAnsi="Arial" w:cs="Arial"/>
              </w:rPr>
              <w:t>3</w:t>
            </w:r>
            <w:r w:rsidRPr="00545C33">
              <w:rPr>
                <w:rFonts w:ascii="Arial" w:hAnsi="Arial" w:cs="Arial"/>
              </w:rPr>
              <w:t xml:space="preserve"> Prediction-corrected visual predictive check for a model describing the pharmacokinetics of </w:t>
            </w:r>
            <w:proofErr w:type="spellStart"/>
            <w:r w:rsidRPr="00545C33">
              <w:rPr>
                <w:rFonts w:ascii="Arial" w:hAnsi="Arial" w:cs="Arial"/>
              </w:rPr>
              <w:t>ethambutol</w:t>
            </w:r>
            <w:proofErr w:type="spellEnd"/>
            <w:r w:rsidRPr="00545C33">
              <w:rPr>
                <w:rFonts w:ascii="Arial" w:hAnsi="Arial" w:cs="Arial"/>
              </w:rPr>
              <w:t>.</w:t>
            </w:r>
            <w:bookmarkEnd w:id="1"/>
            <w:r w:rsidRPr="00545C33">
              <w:rPr>
                <w:rFonts w:ascii="Arial" w:hAnsi="Arial" w:cs="Arial"/>
              </w:rPr>
              <w:t xml:space="preserve"> </w:t>
            </w:r>
          </w:p>
          <w:p w:rsidR="007176B8" w:rsidRPr="00545C33" w:rsidRDefault="007176B8" w:rsidP="002C018B">
            <w:pPr>
              <w:keepNext/>
              <w:spacing w:line="276" w:lineRule="auto"/>
              <w:rPr>
                <w:rFonts w:ascii="Arial" w:hAnsi="Arial" w:cs="Arial"/>
              </w:rPr>
            </w:pPr>
            <w:r w:rsidRPr="00545C33">
              <w:rPr>
                <w:rFonts w:ascii="Arial" w:hAnsi="Arial" w:cs="Arial"/>
                <w:noProof/>
              </w:rPr>
              <w:t xml:space="preserve"> The left panel</w:t>
            </w:r>
            <w:r w:rsidRPr="00545C33">
              <w:rPr>
                <w:rFonts w:ascii="Arial" w:hAnsi="Arial" w:cs="Arial"/>
              </w:rPr>
              <w:t xml:space="preserve"> is the VPC in the </w:t>
            </w:r>
            <w:r w:rsidRPr="00545C33">
              <w:rPr>
                <w:rFonts w:ascii="Arial" w:hAnsi="Arial" w:cs="Arial"/>
                <w:noProof/>
              </w:rPr>
              <w:t>normal</w:t>
            </w:r>
            <w:r w:rsidRPr="00545C33">
              <w:rPr>
                <w:rFonts w:ascii="Arial" w:hAnsi="Arial" w:cs="Arial"/>
              </w:rPr>
              <w:t xml:space="preserve"> scale and right panel in the VPC in the semi-log scale.</w:t>
            </w:r>
          </w:p>
          <w:p w:rsidR="007176B8" w:rsidRPr="00545C33" w:rsidRDefault="007176B8" w:rsidP="002C018B">
            <w:pPr>
              <w:keepNext/>
              <w:spacing w:line="276" w:lineRule="auto"/>
              <w:rPr>
                <w:rFonts w:ascii="Arial" w:hAnsi="Arial" w:cs="Arial"/>
              </w:rPr>
            </w:pPr>
          </w:p>
          <w:p w:rsidR="007176B8" w:rsidRPr="00545C33" w:rsidRDefault="007176B8" w:rsidP="002C018B">
            <w:pPr>
              <w:keepNext/>
              <w:spacing w:line="276" w:lineRule="auto"/>
              <w:rPr>
                <w:rFonts w:ascii="Arial" w:hAnsi="Arial" w:cs="Arial"/>
                <w:lang w:val="en-US"/>
              </w:rPr>
            </w:pPr>
            <w:r w:rsidRPr="00545C33">
              <w:rPr>
                <w:rFonts w:ascii="Arial" w:hAnsi="Arial" w:cs="Arial"/>
              </w:rPr>
              <w:t xml:space="preserve">Simulations were used to predict the number of 4-drug FDC tablets (using the widely available </w:t>
            </w:r>
            <w:proofErr w:type="spellStart"/>
            <w:r w:rsidRPr="00545C33">
              <w:rPr>
                <w:rFonts w:ascii="Arial" w:hAnsi="Arial" w:cs="Arial"/>
              </w:rPr>
              <w:t>rifampin</w:t>
            </w:r>
            <w:proofErr w:type="spellEnd"/>
            <w:r w:rsidRPr="00545C33">
              <w:rPr>
                <w:rFonts w:ascii="Arial" w:hAnsi="Arial" w:cs="Arial"/>
              </w:rPr>
              <w:t>/isoniazid/pyrazinamide/</w:t>
            </w:r>
            <w:proofErr w:type="spellStart"/>
            <w:r w:rsidRPr="00545C33">
              <w:rPr>
                <w:rFonts w:ascii="Arial" w:hAnsi="Arial" w:cs="Arial"/>
              </w:rPr>
              <w:t>ethambutol</w:t>
            </w:r>
            <w:proofErr w:type="spellEnd"/>
            <w:r w:rsidRPr="00545C33">
              <w:rPr>
                <w:rFonts w:ascii="Arial" w:hAnsi="Arial" w:cs="Arial"/>
              </w:rPr>
              <w:t xml:space="preserve"> 150/75/400/275 mg FDC) to achieve the most equitable drug exposures across weight bands. The </w:t>
            </w:r>
            <w:proofErr w:type="gramStart"/>
            <w:r w:rsidRPr="00545C33">
              <w:rPr>
                <w:rFonts w:ascii="Arial" w:hAnsi="Arial" w:cs="Arial"/>
              </w:rPr>
              <w:t>distributions  of</w:t>
            </w:r>
            <w:proofErr w:type="gramEnd"/>
            <w:r w:rsidRPr="00545C33">
              <w:rPr>
                <w:rFonts w:ascii="Arial" w:hAnsi="Arial" w:cs="Arial"/>
              </w:rPr>
              <w:t xml:space="preserve"> </w:t>
            </w:r>
            <w:r w:rsidRPr="00545C33">
              <w:rPr>
                <w:rFonts w:ascii="Arial" w:hAnsi="Arial" w:cs="Arial"/>
                <w:lang w:val="en-US"/>
              </w:rPr>
              <w:t>weight, height and sex among 1092 African patients with drug sensitive tuberculosis in our database, on which t</w:t>
            </w:r>
            <w:r w:rsidRPr="00545C33">
              <w:rPr>
                <w:rFonts w:ascii="Arial" w:hAnsi="Arial" w:cs="Arial"/>
              </w:rPr>
              <w:t>he simulations</w:t>
            </w:r>
            <w:r w:rsidRPr="00545C33">
              <w:rPr>
                <w:rFonts w:ascii="Arial" w:hAnsi="Arial" w:cs="Arial"/>
                <w:lang w:val="en-US"/>
              </w:rPr>
              <w:t xml:space="preserve"> were based, are described in Table </w:t>
            </w:r>
            <w:r>
              <w:rPr>
                <w:rFonts w:ascii="Arial" w:hAnsi="Arial" w:cs="Arial"/>
                <w:lang w:val="en-US"/>
              </w:rPr>
              <w:t>2</w:t>
            </w:r>
            <w:r w:rsidRPr="00545C33">
              <w:rPr>
                <w:rFonts w:ascii="Arial" w:hAnsi="Arial" w:cs="Arial"/>
                <w:lang w:val="en-US"/>
              </w:rPr>
              <w:t>.</w:t>
            </w:r>
          </w:p>
          <w:p w:rsidR="007176B8" w:rsidRPr="00545C33" w:rsidRDefault="007176B8" w:rsidP="002C018B">
            <w:pPr>
              <w:keepNext/>
              <w:spacing w:line="276" w:lineRule="auto"/>
              <w:rPr>
                <w:rFonts w:ascii="Arial" w:hAnsi="Arial" w:cs="Arial"/>
              </w:rPr>
            </w:pPr>
          </w:p>
          <w:p w:rsidR="007176B8" w:rsidRDefault="007176B8" w:rsidP="002C018B">
            <w:pPr>
              <w:keepNext/>
              <w:spacing w:line="276" w:lineRule="auto"/>
              <w:rPr>
                <w:rFonts w:ascii="Arial" w:hAnsi="Arial" w:cs="Arial"/>
                <w:lang w:val="en-US"/>
              </w:rPr>
            </w:pPr>
            <w:r w:rsidRPr="007335EE">
              <w:rPr>
                <w:rFonts w:ascii="Arial" w:hAnsi="Arial" w:cs="Arial"/>
              </w:rPr>
              <w:t>Table 2: W</w:t>
            </w:r>
            <w:r w:rsidRPr="007335EE">
              <w:rPr>
                <w:rFonts w:ascii="Arial" w:hAnsi="Arial" w:cs="Arial"/>
                <w:lang w:val="en-US"/>
              </w:rPr>
              <w:t>eight, height, fat-free mass, and sex on which t</w:t>
            </w:r>
            <w:r w:rsidRPr="007335EE">
              <w:rPr>
                <w:rFonts w:ascii="Arial" w:hAnsi="Arial" w:cs="Arial"/>
              </w:rPr>
              <w:t>he simulations</w:t>
            </w:r>
            <w:r w:rsidRPr="007335EE">
              <w:rPr>
                <w:rFonts w:ascii="Arial" w:hAnsi="Arial" w:cs="Arial"/>
                <w:lang w:val="en-US"/>
              </w:rPr>
              <w:t xml:space="preserve"> were based (N = 1092).</w:t>
            </w:r>
          </w:p>
          <w:p w:rsidR="007176B8" w:rsidRDefault="007176B8" w:rsidP="002C018B">
            <w:pPr>
              <w:keepNext/>
              <w:spacing w:line="276" w:lineRule="auto"/>
              <w:rPr>
                <w:rFonts w:ascii="Arial" w:hAnsi="Arial" w:cs="Arial"/>
                <w:lang w:val="en-US"/>
              </w:rPr>
            </w:pPr>
          </w:p>
          <w:p w:rsidR="007176B8" w:rsidRPr="007335EE" w:rsidRDefault="007176B8" w:rsidP="002C018B">
            <w:pPr>
              <w:keepNext/>
              <w:spacing w:line="276" w:lineRule="auto"/>
              <w:rPr>
                <w:rFonts w:ascii="Arial" w:hAnsi="Arial" w:cs="Arial"/>
              </w:rPr>
            </w:pPr>
          </w:p>
          <w:tbl>
            <w:tblPr>
              <w:tblStyle w:val="TableGrid"/>
              <w:tblW w:w="9177" w:type="dxa"/>
              <w:tblLook w:val="04A0" w:firstRow="1" w:lastRow="0" w:firstColumn="1" w:lastColumn="0" w:noHBand="0" w:noVBand="1"/>
            </w:tblPr>
            <w:tblGrid>
              <w:gridCol w:w="2000"/>
              <w:gridCol w:w="1794"/>
              <w:gridCol w:w="1794"/>
              <w:gridCol w:w="1794"/>
              <w:gridCol w:w="1795"/>
            </w:tblGrid>
            <w:tr w:rsidR="007176B8" w:rsidRPr="007335EE" w:rsidTr="002C018B">
              <w:trPr>
                <w:trHeight w:val="285"/>
              </w:trPr>
              <w:tc>
                <w:tcPr>
                  <w:tcW w:w="2000" w:type="dxa"/>
                </w:tcPr>
                <w:p w:rsidR="007176B8" w:rsidRPr="007335EE" w:rsidRDefault="007176B8" w:rsidP="002C018B">
                  <w:pPr>
                    <w:keepNext/>
                    <w:spacing w:line="276" w:lineRule="auto"/>
                    <w:rPr>
                      <w:rFonts w:ascii="Arial" w:hAnsi="Arial" w:cs="Arial"/>
                      <w:b/>
                      <w:color w:val="auto"/>
                    </w:rPr>
                  </w:pPr>
                  <w:r w:rsidRPr="007335EE">
                    <w:rPr>
                      <w:rFonts w:ascii="Arial" w:hAnsi="Arial" w:cs="Arial"/>
                      <w:b/>
                      <w:color w:val="auto"/>
                    </w:rPr>
                    <w:t>Weight band</w:t>
                  </w:r>
                </w:p>
              </w:tc>
              <w:tc>
                <w:tcPr>
                  <w:tcW w:w="1794" w:type="dxa"/>
                </w:tcPr>
                <w:p w:rsidR="007176B8" w:rsidRPr="007335EE" w:rsidRDefault="007176B8" w:rsidP="002C018B">
                  <w:pPr>
                    <w:keepNext/>
                    <w:spacing w:line="276" w:lineRule="auto"/>
                    <w:jc w:val="center"/>
                    <w:rPr>
                      <w:rFonts w:ascii="Arial" w:hAnsi="Arial" w:cs="Arial"/>
                      <w:b/>
                      <w:color w:val="auto"/>
                    </w:rPr>
                  </w:pPr>
                  <w:r w:rsidRPr="007335EE">
                    <w:rPr>
                      <w:rFonts w:ascii="Arial" w:hAnsi="Arial" w:cs="Arial"/>
                      <w:b/>
                      <w:color w:val="auto"/>
                    </w:rPr>
                    <w:t>30-37.4 kg</w:t>
                  </w:r>
                </w:p>
              </w:tc>
              <w:tc>
                <w:tcPr>
                  <w:tcW w:w="1794" w:type="dxa"/>
                </w:tcPr>
                <w:p w:rsidR="007176B8" w:rsidRPr="007335EE" w:rsidRDefault="007176B8" w:rsidP="002C018B">
                  <w:pPr>
                    <w:keepNext/>
                    <w:spacing w:line="276" w:lineRule="auto"/>
                    <w:jc w:val="center"/>
                    <w:rPr>
                      <w:rFonts w:ascii="Arial" w:hAnsi="Arial" w:cs="Arial"/>
                      <w:b/>
                      <w:color w:val="auto"/>
                    </w:rPr>
                  </w:pPr>
                  <w:r w:rsidRPr="007335EE">
                    <w:rPr>
                      <w:rFonts w:ascii="Arial" w:hAnsi="Arial" w:cs="Arial"/>
                      <w:b/>
                      <w:color w:val="auto"/>
                    </w:rPr>
                    <w:t>37.5-54.4 kg</w:t>
                  </w:r>
                </w:p>
              </w:tc>
              <w:tc>
                <w:tcPr>
                  <w:tcW w:w="1794" w:type="dxa"/>
                </w:tcPr>
                <w:p w:rsidR="007176B8" w:rsidRPr="007335EE" w:rsidRDefault="007176B8" w:rsidP="002C018B">
                  <w:pPr>
                    <w:keepNext/>
                    <w:spacing w:line="276" w:lineRule="auto"/>
                    <w:jc w:val="center"/>
                    <w:rPr>
                      <w:rFonts w:ascii="Arial" w:hAnsi="Arial" w:cs="Arial"/>
                      <w:b/>
                      <w:color w:val="auto"/>
                    </w:rPr>
                  </w:pPr>
                  <w:r w:rsidRPr="007335EE">
                    <w:rPr>
                      <w:rFonts w:ascii="Arial" w:hAnsi="Arial" w:cs="Arial"/>
                      <w:b/>
                      <w:color w:val="auto"/>
                    </w:rPr>
                    <w:t>54.5-70.4 kg</w:t>
                  </w:r>
                </w:p>
              </w:tc>
              <w:tc>
                <w:tcPr>
                  <w:tcW w:w="1795" w:type="dxa"/>
                </w:tcPr>
                <w:p w:rsidR="007176B8" w:rsidRPr="007335EE" w:rsidRDefault="007176B8" w:rsidP="002C018B">
                  <w:pPr>
                    <w:keepNext/>
                    <w:spacing w:line="276" w:lineRule="auto"/>
                    <w:jc w:val="center"/>
                    <w:rPr>
                      <w:rFonts w:ascii="Arial" w:hAnsi="Arial" w:cs="Arial"/>
                      <w:b/>
                      <w:color w:val="auto"/>
                    </w:rPr>
                  </w:pPr>
                  <w:r w:rsidRPr="007335EE">
                    <w:rPr>
                      <w:rFonts w:ascii="Arial" w:hAnsi="Arial" w:cs="Arial"/>
                      <w:b/>
                      <w:color w:val="auto"/>
                      <w:u w:val="single"/>
                    </w:rPr>
                    <w:t>&gt;</w:t>
                  </w:r>
                  <w:r w:rsidRPr="007335EE">
                    <w:rPr>
                      <w:rFonts w:ascii="Arial" w:hAnsi="Arial" w:cs="Arial"/>
                      <w:b/>
                      <w:color w:val="auto"/>
                    </w:rPr>
                    <w:t>70.5 kg</w:t>
                  </w:r>
                </w:p>
              </w:tc>
            </w:tr>
            <w:tr w:rsidR="007176B8" w:rsidRPr="007335EE" w:rsidTr="002C018B">
              <w:trPr>
                <w:trHeight w:val="585"/>
              </w:trPr>
              <w:tc>
                <w:tcPr>
                  <w:tcW w:w="2000" w:type="dxa"/>
                </w:tcPr>
                <w:p w:rsidR="007176B8" w:rsidRPr="007335EE" w:rsidRDefault="007176B8" w:rsidP="002C018B">
                  <w:pPr>
                    <w:keepNext/>
                    <w:spacing w:line="276" w:lineRule="auto"/>
                    <w:rPr>
                      <w:rFonts w:ascii="Arial" w:hAnsi="Arial" w:cs="Arial"/>
                      <w:color w:val="auto"/>
                    </w:rPr>
                  </w:pPr>
                  <w:r w:rsidRPr="007335EE">
                    <w:rPr>
                      <w:rFonts w:ascii="Arial" w:hAnsi="Arial" w:cs="Arial"/>
                      <w:color w:val="auto"/>
                    </w:rPr>
                    <w:t xml:space="preserve">No. of patients, </w:t>
                  </w:r>
                  <w:proofErr w:type="gramStart"/>
                  <w:r w:rsidRPr="007335EE">
                    <w:rPr>
                      <w:rFonts w:ascii="Arial" w:hAnsi="Arial" w:cs="Arial"/>
                      <w:color w:val="auto"/>
                    </w:rPr>
                    <w:t>n(</w:t>
                  </w:r>
                  <w:proofErr w:type="gramEnd"/>
                  <w:r w:rsidRPr="007335EE">
                    <w:rPr>
                      <w:rFonts w:ascii="Arial" w:hAnsi="Arial" w:cs="Arial"/>
                      <w:color w:val="auto"/>
                    </w:rPr>
                    <w:t>%)</w:t>
                  </w:r>
                </w:p>
              </w:tc>
              <w:tc>
                <w:tcPr>
                  <w:tcW w:w="1794" w:type="dxa"/>
                </w:tcPr>
                <w:p w:rsidR="007176B8" w:rsidRPr="007335EE" w:rsidDel="00AA7005" w:rsidRDefault="007176B8" w:rsidP="002C018B">
                  <w:pPr>
                    <w:keepNext/>
                    <w:spacing w:line="276" w:lineRule="auto"/>
                    <w:jc w:val="center"/>
                    <w:rPr>
                      <w:rFonts w:ascii="Arial" w:hAnsi="Arial" w:cs="Arial"/>
                      <w:color w:val="auto"/>
                    </w:rPr>
                  </w:pPr>
                  <w:r w:rsidRPr="007335EE">
                    <w:rPr>
                      <w:rFonts w:ascii="Arial" w:hAnsi="Arial" w:cs="Arial"/>
                      <w:color w:val="auto"/>
                    </w:rPr>
                    <w:t>38 (3.5)</w:t>
                  </w:r>
                </w:p>
              </w:tc>
              <w:tc>
                <w:tcPr>
                  <w:tcW w:w="1794" w:type="dxa"/>
                </w:tcPr>
                <w:p w:rsidR="007176B8" w:rsidRPr="007335EE" w:rsidDel="00AA7005" w:rsidRDefault="007176B8" w:rsidP="002C018B">
                  <w:pPr>
                    <w:keepNext/>
                    <w:spacing w:line="276" w:lineRule="auto"/>
                    <w:jc w:val="center"/>
                    <w:rPr>
                      <w:rFonts w:ascii="Arial" w:hAnsi="Arial" w:cs="Arial"/>
                      <w:color w:val="auto"/>
                    </w:rPr>
                  </w:pPr>
                  <w:r w:rsidRPr="007335EE">
                    <w:rPr>
                      <w:rFonts w:ascii="Arial" w:hAnsi="Arial" w:cs="Arial"/>
                      <w:color w:val="auto"/>
                    </w:rPr>
                    <w:t>582 (53.5)</w:t>
                  </w:r>
                </w:p>
              </w:tc>
              <w:tc>
                <w:tcPr>
                  <w:tcW w:w="1794" w:type="dxa"/>
                </w:tcPr>
                <w:p w:rsidR="007176B8" w:rsidRPr="007335EE" w:rsidDel="00AA7005" w:rsidRDefault="007176B8" w:rsidP="002C018B">
                  <w:pPr>
                    <w:keepNext/>
                    <w:spacing w:line="276" w:lineRule="auto"/>
                    <w:jc w:val="center"/>
                    <w:rPr>
                      <w:rFonts w:ascii="Arial" w:hAnsi="Arial" w:cs="Arial"/>
                      <w:color w:val="auto"/>
                    </w:rPr>
                  </w:pPr>
                  <w:r w:rsidRPr="007335EE">
                    <w:rPr>
                      <w:rFonts w:ascii="Arial" w:hAnsi="Arial" w:cs="Arial"/>
                      <w:color w:val="auto"/>
                    </w:rPr>
                    <w:t>429 (39.2)</w:t>
                  </w:r>
                </w:p>
              </w:tc>
              <w:tc>
                <w:tcPr>
                  <w:tcW w:w="1795" w:type="dxa"/>
                </w:tcPr>
                <w:p w:rsidR="007176B8" w:rsidRPr="007335EE" w:rsidDel="00AA7005" w:rsidRDefault="007176B8" w:rsidP="002C018B">
                  <w:pPr>
                    <w:keepNext/>
                    <w:spacing w:line="276" w:lineRule="auto"/>
                    <w:jc w:val="center"/>
                    <w:rPr>
                      <w:rFonts w:ascii="Arial" w:hAnsi="Arial" w:cs="Arial"/>
                      <w:color w:val="auto"/>
                    </w:rPr>
                  </w:pPr>
                  <w:r w:rsidRPr="007335EE">
                    <w:rPr>
                      <w:rFonts w:ascii="Arial" w:hAnsi="Arial" w:cs="Arial"/>
                      <w:color w:val="auto"/>
                    </w:rPr>
                    <w:t>43 (3.8)</w:t>
                  </w:r>
                </w:p>
              </w:tc>
            </w:tr>
            <w:tr w:rsidR="007176B8" w:rsidRPr="007335EE" w:rsidTr="002C018B">
              <w:trPr>
                <w:trHeight w:val="570"/>
              </w:trPr>
              <w:tc>
                <w:tcPr>
                  <w:tcW w:w="2000" w:type="dxa"/>
                </w:tcPr>
                <w:p w:rsidR="007176B8" w:rsidRPr="007335EE" w:rsidRDefault="007176B8" w:rsidP="002C018B">
                  <w:pPr>
                    <w:keepNext/>
                    <w:spacing w:line="276" w:lineRule="auto"/>
                    <w:rPr>
                      <w:rFonts w:ascii="Arial" w:hAnsi="Arial" w:cs="Arial"/>
                      <w:color w:val="auto"/>
                      <w:vertAlign w:val="superscript"/>
                    </w:rPr>
                  </w:pPr>
                  <w:r w:rsidRPr="007335EE">
                    <w:rPr>
                      <w:rFonts w:ascii="Arial" w:hAnsi="Arial" w:cs="Arial"/>
                      <w:color w:val="auto"/>
                    </w:rPr>
                    <w:t xml:space="preserve">Weight, </w:t>
                  </w:r>
                  <w:proofErr w:type="spellStart"/>
                  <w:r w:rsidRPr="007335EE">
                    <w:rPr>
                      <w:rFonts w:ascii="Arial" w:hAnsi="Arial" w:cs="Arial"/>
                      <w:color w:val="auto"/>
                    </w:rPr>
                    <w:t>kg</w:t>
                  </w:r>
                  <w:r w:rsidRPr="007335EE">
                    <w:rPr>
                      <w:rFonts w:ascii="Arial" w:hAnsi="Arial" w:cs="Arial"/>
                      <w:color w:val="auto"/>
                      <w:vertAlign w:val="superscript"/>
                    </w:rPr>
                    <w:t>a</w:t>
                  </w:r>
                  <w:proofErr w:type="spellEnd"/>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35.7 (30 – 37.4)</w:t>
                  </w:r>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48.2 (37.5 – 54.4)</w:t>
                  </w:r>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59.1 (54.5 – 70.4)</w:t>
                  </w:r>
                </w:p>
              </w:tc>
              <w:tc>
                <w:tcPr>
                  <w:tcW w:w="1795"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76.1 (70.5 - 102)</w:t>
                  </w:r>
                </w:p>
              </w:tc>
            </w:tr>
            <w:tr w:rsidR="007176B8" w:rsidRPr="007335EE" w:rsidTr="002C018B">
              <w:trPr>
                <w:trHeight w:val="570"/>
              </w:trPr>
              <w:tc>
                <w:tcPr>
                  <w:tcW w:w="2000" w:type="dxa"/>
                </w:tcPr>
                <w:p w:rsidR="007176B8" w:rsidRPr="007335EE" w:rsidRDefault="007176B8" w:rsidP="002C018B">
                  <w:pPr>
                    <w:keepNext/>
                    <w:spacing w:line="276" w:lineRule="auto"/>
                    <w:rPr>
                      <w:rFonts w:ascii="Arial" w:hAnsi="Arial" w:cs="Arial"/>
                      <w:color w:val="auto"/>
                    </w:rPr>
                  </w:pPr>
                  <w:r w:rsidRPr="007335EE">
                    <w:rPr>
                      <w:rFonts w:ascii="Arial" w:hAnsi="Arial" w:cs="Arial"/>
                      <w:color w:val="auto"/>
                    </w:rPr>
                    <w:t>Height, m</w:t>
                  </w:r>
                  <w:r w:rsidRPr="007335EE">
                    <w:rPr>
                      <w:rFonts w:ascii="Arial" w:hAnsi="Arial" w:cs="Arial"/>
                      <w:color w:val="auto"/>
                      <w:vertAlign w:val="superscript"/>
                    </w:rPr>
                    <w:t>a</w:t>
                  </w:r>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1.54 (1.44 – 1.80)</w:t>
                  </w:r>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1.63 (1.35 – 1.93)</w:t>
                  </w:r>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1.70 (1.41 – 1.98)</w:t>
                  </w:r>
                </w:p>
              </w:tc>
              <w:tc>
                <w:tcPr>
                  <w:tcW w:w="1795"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1.73 (1.42 – 1.94)</w:t>
                  </w:r>
                </w:p>
              </w:tc>
            </w:tr>
            <w:tr w:rsidR="007176B8" w:rsidRPr="007335EE" w:rsidTr="002C018B">
              <w:trPr>
                <w:trHeight w:val="585"/>
              </w:trPr>
              <w:tc>
                <w:tcPr>
                  <w:tcW w:w="2000" w:type="dxa"/>
                </w:tcPr>
                <w:p w:rsidR="007176B8" w:rsidRPr="007335EE" w:rsidRDefault="007176B8" w:rsidP="002C018B">
                  <w:pPr>
                    <w:keepNext/>
                    <w:spacing w:line="276" w:lineRule="auto"/>
                    <w:rPr>
                      <w:rFonts w:ascii="Arial" w:hAnsi="Arial" w:cs="Arial"/>
                      <w:color w:val="auto"/>
                    </w:rPr>
                  </w:pPr>
                  <w:r w:rsidRPr="007335EE">
                    <w:rPr>
                      <w:rFonts w:ascii="Arial" w:hAnsi="Arial" w:cs="Arial"/>
                      <w:color w:val="auto"/>
                    </w:rPr>
                    <w:t xml:space="preserve">Fat-free mass, </w:t>
                  </w:r>
                  <w:proofErr w:type="spellStart"/>
                  <w:r w:rsidRPr="007335EE">
                    <w:rPr>
                      <w:rFonts w:ascii="Arial" w:hAnsi="Arial" w:cs="Arial"/>
                      <w:color w:val="auto"/>
                    </w:rPr>
                    <w:t>kg</w:t>
                  </w:r>
                  <w:r w:rsidRPr="007335EE">
                    <w:rPr>
                      <w:rFonts w:ascii="Arial" w:hAnsi="Arial" w:cs="Arial"/>
                      <w:color w:val="auto"/>
                      <w:vertAlign w:val="superscript"/>
                    </w:rPr>
                    <w:t>a</w:t>
                  </w:r>
                  <w:proofErr w:type="spellEnd"/>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29.5 (24.2 – 34.3)</w:t>
                  </w:r>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37.4 (26.4 – 49.1)</w:t>
                  </w:r>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47.4 (35.1 – 60.2)</w:t>
                  </w:r>
                </w:p>
              </w:tc>
              <w:tc>
                <w:tcPr>
                  <w:tcW w:w="1795"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50.1 (38.9 – 71.7)</w:t>
                  </w:r>
                </w:p>
              </w:tc>
            </w:tr>
            <w:tr w:rsidR="007176B8" w:rsidRPr="007335EE" w:rsidTr="002C018B">
              <w:trPr>
                <w:trHeight w:val="285"/>
              </w:trPr>
              <w:tc>
                <w:tcPr>
                  <w:tcW w:w="2000" w:type="dxa"/>
                </w:tcPr>
                <w:p w:rsidR="007176B8" w:rsidRPr="007335EE" w:rsidRDefault="007176B8" w:rsidP="002C018B">
                  <w:pPr>
                    <w:keepNext/>
                    <w:spacing w:line="276" w:lineRule="auto"/>
                    <w:rPr>
                      <w:rFonts w:ascii="Arial" w:hAnsi="Arial" w:cs="Arial"/>
                      <w:color w:val="auto"/>
                    </w:rPr>
                  </w:pPr>
                  <w:r w:rsidRPr="007335EE">
                    <w:rPr>
                      <w:rFonts w:ascii="Arial" w:hAnsi="Arial" w:cs="Arial"/>
                      <w:color w:val="auto"/>
                    </w:rPr>
                    <w:t>Females, n (%)</w:t>
                  </w:r>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17 (44.7)</w:t>
                  </w:r>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268 (45.9)</w:t>
                  </w:r>
                </w:p>
              </w:tc>
              <w:tc>
                <w:tcPr>
                  <w:tcW w:w="1794"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171 (40.1)</w:t>
                  </w:r>
                </w:p>
              </w:tc>
              <w:tc>
                <w:tcPr>
                  <w:tcW w:w="1795" w:type="dxa"/>
                </w:tcPr>
                <w:p w:rsidR="007176B8" w:rsidRPr="007335EE" w:rsidRDefault="007176B8" w:rsidP="002C018B">
                  <w:pPr>
                    <w:keepNext/>
                    <w:spacing w:line="276" w:lineRule="auto"/>
                    <w:jc w:val="center"/>
                    <w:rPr>
                      <w:rFonts w:ascii="Arial" w:hAnsi="Arial" w:cs="Arial"/>
                      <w:color w:val="auto"/>
                    </w:rPr>
                  </w:pPr>
                  <w:r w:rsidRPr="007335EE">
                    <w:rPr>
                      <w:rFonts w:ascii="Arial" w:hAnsi="Arial" w:cs="Arial"/>
                      <w:color w:val="auto"/>
                    </w:rPr>
                    <w:t>24 (55.8)</w:t>
                  </w:r>
                </w:p>
              </w:tc>
            </w:tr>
          </w:tbl>
          <w:p w:rsidR="007176B8" w:rsidRDefault="007176B8" w:rsidP="002C018B">
            <w:pPr>
              <w:keepNext/>
              <w:spacing w:line="276" w:lineRule="auto"/>
              <w:rPr>
                <w:rFonts w:ascii="Arial" w:hAnsi="Arial" w:cs="Arial"/>
                <w:vertAlign w:val="superscript"/>
              </w:rPr>
            </w:pPr>
          </w:p>
          <w:p w:rsidR="007176B8" w:rsidRPr="007335EE" w:rsidRDefault="007176B8" w:rsidP="002C018B">
            <w:pPr>
              <w:keepNext/>
              <w:spacing w:line="276" w:lineRule="auto"/>
              <w:rPr>
                <w:rFonts w:ascii="Arial" w:hAnsi="Arial" w:cs="Arial"/>
                <w:lang w:val="en-US"/>
              </w:rPr>
            </w:pPr>
            <w:r w:rsidRPr="007335EE">
              <w:rPr>
                <w:rFonts w:ascii="Arial" w:hAnsi="Arial" w:cs="Arial"/>
                <w:vertAlign w:val="superscript"/>
              </w:rPr>
              <w:t>a</w:t>
            </w:r>
            <w:r w:rsidRPr="007335EE">
              <w:rPr>
                <w:rFonts w:ascii="Arial" w:hAnsi="Arial" w:cs="Arial"/>
              </w:rPr>
              <w:t xml:space="preserve"> median (minimum, maximum)</w:t>
            </w:r>
          </w:p>
          <w:p w:rsidR="007176B8" w:rsidRPr="00545C33" w:rsidRDefault="007176B8" w:rsidP="002C018B">
            <w:pPr>
              <w:keepNext/>
              <w:spacing w:line="276" w:lineRule="auto"/>
              <w:rPr>
                <w:rFonts w:ascii="Arial" w:hAnsi="Arial" w:cs="Arial"/>
              </w:rPr>
            </w:pPr>
          </w:p>
          <w:p w:rsidR="007176B8" w:rsidRPr="00545C33" w:rsidRDefault="007176B8" w:rsidP="002C018B">
            <w:pPr>
              <w:keepNext/>
              <w:spacing w:line="276" w:lineRule="auto"/>
              <w:rPr>
                <w:rFonts w:ascii="Arial" w:hAnsi="Arial" w:cs="Arial"/>
              </w:rPr>
            </w:pPr>
          </w:p>
        </w:tc>
      </w:tr>
    </w:tbl>
    <w:p w:rsidR="007176B8" w:rsidRPr="00545C33" w:rsidRDefault="007176B8" w:rsidP="007176B8">
      <w:pPr>
        <w:rPr>
          <w:rFonts w:ascii="Arial" w:hAnsi="Arial" w:cs="Arial"/>
          <w:vertAlign w:val="superscript"/>
        </w:rPr>
      </w:pP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rPr>
      </w:pPr>
    </w:p>
    <w:p w:rsidR="007176B8" w:rsidRPr="00545C33" w:rsidRDefault="007176B8" w:rsidP="007176B8">
      <w:pPr>
        <w:widowControl w:val="0"/>
        <w:autoSpaceDE w:val="0"/>
        <w:autoSpaceDN w:val="0"/>
        <w:adjustRightInd w:val="0"/>
        <w:spacing w:line="276" w:lineRule="auto"/>
        <w:ind w:left="640" w:hanging="640"/>
        <w:rPr>
          <w:rFonts w:ascii="Arial" w:hAnsi="Arial" w:cs="Arial"/>
          <w:noProof/>
        </w:rPr>
      </w:pPr>
      <w:r w:rsidRPr="00545C33">
        <w:rPr>
          <w:rFonts w:ascii="Arial" w:hAnsi="Arial" w:cs="Arial"/>
        </w:rPr>
        <w:fldChar w:fldCharType="begin" w:fldLock="1"/>
      </w:r>
      <w:r w:rsidRPr="00545C33">
        <w:rPr>
          <w:rFonts w:ascii="Arial" w:hAnsi="Arial" w:cs="Arial"/>
        </w:rPr>
        <w:instrText xml:space="preserve">ADDIN Mendeley Bibliography CSL_BIBLIOGRAPHY </w:instrText>
      </w:r>
      <w:r w:rsidRPr="00545C33">
        <w:rPr>
          <w:rFonts w:ascii="Arial" w:hAnsi="Arial" w:cs="Arial"/>
        </w:rPr>
        <w:fldChar w:fldCharType="separate"/>
      </w:r>
      <w:r w:rsidRPr="00545C33">
        <w:rPr>
          <w:rFonts w:ascii="Arial" w:hAnsi="Arial" w:cs="Arial"/>
          <w:noProof/>
        </w:rPr>
        <w:t xml:space="preserve">[1] </w:t>
      </w:r>
      <w:r w:rsidRPr="00545C33">
        <w:rPr>
          <w:rFonts w:ascii="Arial" w:hAnsi="Arial" w:cs="Arial"/>
          <w:noProof/>
        </w:rPr>
        <w:tab/>
        <w:t>McIlleron H, Rustomjee R, Vahedi M, et al. Reduced antituberculosis drug concentrations in HIV-infected patients who are men or have low weight: implications for international dosing guidelines. Antimicrob. Agents Chemother. 2012;56:3232–3238.</w:t>
      </w:r>
    </w:p>
    <w:p w:rsidR="007176B8" w:rsidRPr="00545C33" w:rsidRDefault="007176B8" w:rsidP="007176B8">
      <w:pPr>
        <w:widowControl w:val="0"/>
        <w:autoSpaceDE w:val="0"/>
        <w:autoSpaceDN w:val="0"/>
        <w:adjustRightInd w:val="0"/>
        <w:spacing w:line="276" w:lineRule="auto"/>
        <w:ind w:left="640" w:hanging="640"/>
        <w:rPr>
          <w:rFonts w:ascii="Arial" w:hAnsi="Arial" w:cs="Arial"/>
          <w:noProof/>
        </w:rPr>
      </w:pPr>
      <w:r w:rsidRPr="00545C33">
        <w:rPr>
          <w:rFonts w:ascii="Arial" w:hAnsi="Arial" w:cs="Arial"/>
          <w:noProof/>
        </w:rPr>
        <w:t xml:space="preserve">[2] </w:t>
      </w:r>
      <w:r w:rsidRPr="00545C33">
        <w:rPr>
          <w:rFonts w:ascii="Arial" w:hAnsi="Arial" w:cs="Arial"/>
          <w:noProof/>
        </w:rPr>
        <w:tab/>
        <w:t>Chirehwa MT, McIlleron H, Wiesner L, et al. Effect of efavirenz-based antiretroviral therapy and high-dose rifampicin on the pharmacokinetics of isoniazid and acetyl-isoniazid. J. Antimicrob. Chemother. 2018;In press.</w:t>
      </w:r>
    </w:p>
    <w:p w:rsidR="007176B8" w:rsidRPr="00545C33" w:rsidRDefault="007176B8" w:rsidP="007176B8">
      <w:pPr>
        <w:widowControl w:val="0"/>
        <w:autoSpaceDE w:val="0"/>
        <w:autoSpaceDN w:val="0"/>
        <w:adjustRightInd w:val="0"/>
        <w:spacing w:line="276" w:lineRule="auto"/>
        <w:ind w:left="640" w:hanging="640"/>
        <w:rPr>
          <w:rFonts w:ascii="Arial" w:hAnsi="Arial" w:cs="Arial"/>
          <w:noProof/>
        </w:rPr>
      </w:pPr>
      <w:r w:rsidRPr="00545C33">
        <w:rPr>
          <w:rFonts w:ascii="Arial" w:hAnsi="Arial" w:cs="Arial"/>
          <w:noProof/>
        </w:rPr>
        <w:t xml:space="preserve">[3] </w:t>
      </w:r>
      <w:r w:rsidRPr="00545C33">
        <w:rPr>
          <w:rFonts w:ascii="Arial" w:hAnsi="Arial" w:cs="Arial"/>
          <w:noProof/>
        </w:rPr>
        <w:tab/>
        <w:t>Chirehwa MT, Rustomjee R, Mthiyane T, et al. Model-Based Evaluation of Higher Doses of Rifampin Using a Semimechanistic Model Incorporating Autoinduction and Saturation of Hepatic Extraction. Antimicrob. Agents Chemother. 2016;60:487–494.</w:t>
      </w:r>
    </w:p>
    <w:p w:rsidR="007176B8" w:rsidRPr="00545C33" w:rsidRDefault="007176B8" w:rsidP="007176B8">
      <w:pPr>
        <w:widowControl w:val="0"/>
        <w:autoSpaceDE w:val="0"/>
        <w:autoSpaceDN w:val="0"/>
        <w:adjustRightInd w:val="0"/>
        <w:spacing w:line="276" w:lineRule="auto"/>
        <w:ind w:left="640" w:hanging="640"/>
        <w:rPr>
          <w:rFonts w:ascii="Arial" w:hAnsi="Arial" w:cs="Arial"/>
          <w:noProof/>
        </w:rPr>
      </w:pPr>
      <w:r w:rsidRPr="00545C33">
        <w:rPr>
          <w:rFonts w:ascii="Arial" w:hAnsi="Arial" w:cs="Arial"/>
          <w:noProof/>
        </w:rPr>
        <w:t xml:space="preserve">[4] </w:t>
      </w:r>
      <w:r w:rsidRPr="00545C33">
        <w:rPr>
          <w:rFonts w:ascii="Arial" w:hAnsi="Arial" w:cs="Arial"/>
          <w:noProof/>
        </w:rPr>
        <w:tab/>
        <w:t>Cockcroft DW, Gault H. Prediction of Creatinine Clearance from Serum Creatinine. Nephron. 1976;16:31–41.</w:t>
      </w:r>
    </w:p>
    <w:p w:rsidR="007176B8" w:rsidRPr="00545C33" w:rsidRDefault="007176B8" w:rsidP="00717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sz w:val="22"/>
          <w:szCs w:val="22"/>
        </w:rPr>
      </w:pPr>
      <w:r w:rsidRPr="00545C33">
        <w:rPr>
          <w:rFonts w:ascii="Arial" w:hAnsi="Arial" w:cs="Arial"/>
        </w:rPr>
        <w:fldChar w:fldCharType="end"/>
      </w:r>
    </w:p>
    <w:p w:rsidR="007176B8" w:rsidRPr="00545C33" w:rsidRDefault="007176B8" w:rsidP="007176B8"/>
    <w:p w:rsidR="00D80DFE" w:rsidRDefault="00D80DFE"/>
    <w:sectPr w:rsidR="00D80DFE" w:rsidSect="001F12AA">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B91"/>
    <w:rsid w:val="004B4B91"/>
    <w:rsid w:val="007176B8"/>
    <w:rsid w:val="00D80D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E9CA28-0C0C-49EF-B869-6856FAAA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6B8"/>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76B8"/>
    <w:pPr>
      <w:spacing w:after="0" w:line="240" w:lineRule="auto"/>
    </w:pPr>
    <w:rPr>
      <w:rFonts w:ascii="Arial" w:hAnsi="Arial" w:cs="Arial"/>
      <w:color w:val="333333"/>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176B8"/>
    <w:pPr>
      <w:spacing w:after="0" w:line="240" w:lineRule="auto"/>
    </w:pPr>
    <w:rPr>
      <w:rFonts w:ascii="Times New Roman" w:hAnsi="Times New Roman" w:cs="Times New Roman"/>
      <w:sz w:val="24"/>
      <w:szCs w:val="24"/>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176B8"/>
    <w:pPr>
      <w:spacing w:after="0" w:line="240" w:lineRule="auto"/>
    </w:pPr>
    <w:rPr>
      <w:rFonts w:ascii="Arial" w:hAnsi="Arial" w:cs="Arial"/>
      <w:color w:val="333333"/>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3410</Words>
  <Characters>19437</Characters>
  <Application>Microsoft Office Word</Application>
  <DocSecurity>0</DocSecurity>
  <Lines>161</Lines>
  <Paragraphs>45</Paragraphs>
  <ScaleCrop>false</ScaleCrop>
  <Company/>
  <LinksUpToDate>false</LinksUpToDate>
  <CharactersWithSpaces>22802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Anandaraj Selvam, Integra-PDY, IN</dc:creator>
  <cp:keywords/>
  <dc:description/>
  <cp:lastModifiedBy>Anandaraj Selvam, Integra-PDY, IN</cp:lastModifiedBy>
  <cp:revision>2</cp:revision>
  <dcterms:created xsi:type="dcterms:W3CDTF">2018-12-11T10:30:00Z</dcterms:created>
  <dcterms:modified xsi:type="dcterms:W3CDTF">2018-12-11T10:31:00Z</dcterms:modified>
</cp:coreProperties>
</file>