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CC86" w14:textId="77777777" w:rsidR="000B33EA" w:rsidRDefault="00766744" w:rsidP="00766744">
      <w:pPr>
        <w:spacing w:line="360" w:lineRule="auto"/>
        <w:rPr>
          <w:rFonts w:ascii="Times New Roman" w:eastAsia="宋体" w:hAnsi="Times New Roman" w:cs="Times New Roman" w:hint="eastAsia"/>
          <w:b/>
          <w:szCs w:val="24"/>
        </w:rPr>
      </w:pPr>
      <w:r>
        <w:rPr>
          <w:rFonts w:ascii="Times New Roman" w:eastAsia="宋体" w:hAnsi="Times New Roman" w:cs="Times New Roman"/>
          <w:b/>
          <w:szCs w:val="24"/>
        </w:rPr>
        <w:t>Appendix 1</w:t>
      </w:r>
      <w:r w:rsidR="000B33EA">
        <w:rPr>
          <w:rFonts w:ascii="Times New Roman" w:eastAsia="宋体" w:hAnsi="Times New Roman" w:cs="Times New Roman" w:hint="eastAsia"/>
          <w:b/>
          <w:szCs w:val="24"/>
        </w:rPr>
        <w:t>:</w:t>
      </w:r>
    </w:p>
    <w:p w14:paraId="7A6A9F63" w14:textId="66716917" w:rsidR="00E22271" w:rsidRPr="00766744" w:rsidRDefault="00E22271" w:rsidP="000B33EA">
      <w:pPr>
        <w:spacing w:line="360" w:lineRule="auto"/>
        <w:jc w:val="center"/>
        <w:rPr>
          <w:rFonts w:ascii="Times New Roman" w:eastAsia="宋体" w:hAnsi="Times New Roman" w:cs="Times New Roman"/>
          <w:b/>
          <w:szCs w:val="24"/>
        </w:rPr>
      </w:pPr>
      <w:r w:rsidRPr="00766744">
        <w:rPr>
          <w:rFonts w:ascii="Times New Roman" w:eastAsia="宋体" w:hAnsi="Times New Roman" w:cs="Times New Roman"/>
          <w:b/>
          <w:szCs w:val="24"/>
        </w:rPr>
        <w:t xml:space="preserve">Socioeconomic </w:t>
      </w:r>
      <w:r w:rsidR="00766744" w:rsidRPr="00766744">
        <w:rPr>
          <w:rFonts w:ascii="Times New Roman" w:eastAsia="宋体" w:hAnsi="Times New Roman" w:cs="Times New Roman"/>
          <w:b/>
          <w:szCs w:val="24"/>
        </w:rPr>
        <w:t>character</w:t>
      </w:r>
      <w:r w:rsidR="00766744">
        <w:rPr>
          <w:rFonts w:ascii="Times New Roman" w:eastAsia="宋体" w:hAnsi="Times New Roman" w:cs="Times New Roman"/>
          <w:b/>
          <w:szCs w:val="24"/>
        </w:rPr>
        <w:t>i</w:t>
      </w:r>
      <w:r w:rsidR="00766744" w:rsidRPr="00766744">
        <w:rPr>
          <w:rFonts w:ascii="Times New Roman" w:eastAsia="宋体" w:hAnsi="Times New Roman" w:cs="Times New Roman"/>
          <w:b/>
          <w:szCs w:val="24"/>
        </w:rPr>
        <w:t>stics of Dangyang and Zhijiang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708"/>
        <w:gridCol w:w="2708"/>
      </w:tblGrid>
      <w:tr w:rsidR="00E22271" w:rsidRPr="00E22271" w14:paraId="774BE514" w14:textId="77777777" w:rsidTr="00A943E3">
        <w:trPr>
          <w:trHeight w:val="1925"/>
          <w:jc w:val="center"/>
        </w:trPr>
        <w:tc>
          <w:tcPr>
            <w:tcW w:w="1743" w:type="pct"/>
            <w:shd w:val="clear" w:color="auto" w:fill="auto"/>
          </w:tcPr>
          <w:p w14:paraId="109BD854" w14:textId="77777777" w:rsidR="00E22271" w:rsidRPr="00E22271" w:rsidRDefault="00E22271" w:rsidP="00E2227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22271">
              <w:rPr>
                <w:rFonts w:ascii="等线" w:eastAsia="等线" w:hAnsi="等线" w:cs="Times New Roman"/>
                <w:noProof/>
                <w:kern w:val="0"/>
                <w:sz w:val="20"/>
                <w:szCs w:val="24"/>
              </w:rPr>
              <w:drawing>
                <wp:inline distT="0" distB="0" distL="0" distR="0" wp14:anchorId="5652C925" wp14:editId="076FB97E">
                  <wp:extent cx="1648838" cy="1201002"/>
                  <wp:effectExtent l="0" t="0" r="8890" b="0"/>
                  <wp:docPr id="42" name="图片 42" descr="说明: E:\我的坚果云\GIS\新建文件夹\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E:\我的坚果云\GIS\新建文件夹\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52" cy="123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pct"/>
            <w:vMerge w:val="restart"/>
            <w:tcBorders>
              <w:right w:val="nil"/>
            </w:tcBorders>
            <w:shd w:val="clear" w:color="auto" w:fill="auto"/>
          </w:tcPr>
          <w:p w14:paraId="5A1515B3" w14:textId="38232F8F" w:rsidR="00E22271" w:rsidRPr="00E22271" w:rsidRDefault="00A943E3" w:rsidP="00E2227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66744">
              <w:rPr>
                <w:rFonts w:ascii="Times New Roman" w:eastAsia="宋体" w:hAnsi="Times New Roman" w:cs="Times New Roman"/>
                <w:noProof/>
                <w:kern w:val="0"/>
                <w:sz w:val="15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9C6A2" wp14:editId="2C00031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1701800</wp:posOffset>
                      </wp:positionV>
                      <wp:extent cx="647700" cy="447675"/>
                      <wp:effectExtent l="0" t="0" r="19050" b="285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34pt" to="134.6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" strokecolor="red" strokeweight=".5pt">
                      <v:stroke joinstyle="miter"/>
                    </v:line>
                  </w:pict>
                </mc:Fallback>
              </mc:AlternateContent>
            </w:r>
            <w:r w:rsidRPr="00766744">
              <w:rPr>
                <w:rFonts w:ascii="Times New Roman" w:eastAsia="宋体" w:hAnsi="Times New Roman" w:cs="Times New Roman"/>
                <w:noProof/>
                <w:kern w:val="0"/>
                <w:sz w:val="15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F1C9E" wp14:editId="38E45E3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161925</wp:posOffset>
                      </wp:positionV>
                      <wp:extent cx="647700" cy="44767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2.75pt" to="134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" strokecolor="red" strokeweight=".5pt">
                      <v:stroke joinstyle="miter"/>
                    </v:line>
                  </w:pict>
                </mc:Fallback>
              </mc:AlternateContent>
            </w:r>
            <w:r w:rsidR="00E22271">
              <w:rPr>
                <w:rFonts w:ascii="等线" w:eastAsia="等线" w:hAnsi="等线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B2D15" wp14:editId="0ABB44C7">
                      <wp:simplePos x="0" y="0"/>
                      <wp:positionH relativeFrom="column">
                        <wp:posOffset>1909785</wp:posOffset>
                      </wp:positionH>
                      <wp:positionV relativeFrom="paragraph">
                        <wp:posOffset>435439</wp:posOffset>
                      </wp:positionV>
                      <wp:extent cx="300251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2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34.3pt" to="174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22271" w:rsidRPr="00E22271">
              <w:rPr>
                <w:rFonts w:ascii="等线" w:eastAsia="等线" w:hAnsi="等线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0800DFA4" wp14:editId="52706696">
                  <wp:extent cx="1664018" cy="2702257"/>
                  <wp:effectExtent l="0" t="0" r="0" b="3175"/>
                  <wp:docPr id="41" name="图片 41" descr="县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县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018" cy="27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C175" w14:textId="2B5E8E49" w:rsidR="00766744" w:rsidRPr="00766744" w:rsidRDefault="00766744" w:rsidP="00E2227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8"/>
                <w:szCs w:val="24"/>
              </w:rPr>
            </w:pPr>
            <w:r w:rsidRPr="00766744">
              <w:rPr>
                <w:rFonts w:ascii="Times New Roman" w:eastAsia="宋体" w:hAnsi="Times New Roman" w:cs="Times New Roman"/>
                <w:sz w:val="15"/>
                <w:szCs w:val="24"/>
              </w:rPr>
              <w:t>Socioeconomic characteristics of Dangyang</w:t>
            </w:r>
          </w:p>
          <w:p w14:paraId="1CC5A578" w14:textId="7A9B8C4A" w:rsidR="00E22271" w:rsidRPr="00E22271" w:rsidRDefault="00A943E3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(1)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Administrative districts: 10 towns</w:t>
            </w:r>
          </w:p>
          <w:p w14:paraId="6569B56C" w14:textId="148966D0" w:rsidR="00E22271" w:rsidRPr="00E22271" w:rsidRDefault="00A943E3" w:rsidP="00E2227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(2)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opulation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: 486 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thousand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 </w:t>
            </w:r>
          </w:p>
          <w:p w14:paraId="2361DF5B" w14:textId="26A391AE" w:rsidR="00E22271" w:rsidRPr="00E22271" w:rsidRDefault="00A943E3" w:rsidP="00E2227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(3)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Aging population rate: 18.7% </w:t>
            </w:r>
          </w:p>
          <w:p w14:paraId="7CC267D8" w14:textId="01C1B11D" w:rsidR="00E22271" w:rsidRPr="00E22271" w:rsidRDefault="00A943E3" w:rsidP="00E2227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(4)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Urbanization rate: 50.0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%</w:t>
            </w:r>
          </w:p>
          <w:p w14:paraId="45C6D0FA" w14:textId="11EE86DF" w:rsidR="00E22271" w:rsidRPr="00E22271" w:rsidRDefault="00A943E3" w:rsidP="00E22271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(5)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Per capita annual income (urban/rural): 27433/16928</w:t>
            </w:r>
            <w:r w:rsidR="007667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 yuan</w:t>
            </w:r>
          </w:p>
        </w:tc>
      </w:tr>
      <w:tr w:rsidR="00E22271" w:rsidRPr="00E22271" w14:paraId="4C1102BC" w14:textId="77777777" w:rsidTr="00A943E3">
        <w:trPr>
          <w:jc w:val="center"/>
        </w:trPr>
        <w:tc>
          <w:tcPr>
            <w:tcW w:w="1743" w:type="pct"/>
            <w:shd w:val="clear" w:color="auto" w:fill="auto"/>
          </w:tcPr>
          <w:p w14:paraId="35A01D70" w14:textId="77777777" w:rsidR="00E22271" w:rsidRPr="00E22271" w:rsidRDefault="00E22271" w:rsidP="00E2227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22271">
              <w:rPr>
                <w:rFonts w:ascii="等线" w:eastAsia="等线" w:hAnsi="等线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514A2C2B" wp14:editId="0F6AC389">
                  <wp:extent cx="1696737" cy="1303362"/>
                  <wp:effectExtent l="0" t="0" r="0" b="0"/>
                  <wp:docPr id="40" name="图片 40" descr="说明: E:\我的坚果云\GIS\新建文件夹\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E:\我的坚果云\GIS\新建文件夹\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98" cy="130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pct"/>
            <w:vMerge/>
            <w:tcBorders>
              <w:right w:val="nil"/>
            </w:tcBorders>
            <w:shd w:val="clear" w:color="auto" w:fill="auto"/>
          </w:tcPr>
          <w:p w14:paraId="68F11B57" w14:textId="77777777" w:rsidR="00E22271" w:rsidRPr="00E22271" w:rsidRDefault="00E22271" w:rsidP="00E22271">
            <w:pPr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4F42" w14:textId="1BBBDDF2" w:rsidR="00E22271" w:rsidRDefault="00E22271" w:rsidP="00E22271">
            <w:pPr>
              <w:spacing w:line="240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</w:pPr>
          </w:p>
          <w:p w14:paraId="70656F03" w14:textId="7F1BCEBC" w:rsidR="00E22271" w:rsidRDefault="00766744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 w:rsidRPr="00766744">
              <w:rPr>
                <w:rFonts w:ascii="Times New Roman" w:eastAsia="宋体" w:hAnsi="Times New Roman" w:cs="Times New Roman"/>
                <w:sz w:val="15"/>
                <w:szCs w:val="24"/>
              </w:rPr>
              <w:t xml:space="preserve">Socioeconomic characteristics of </w:t>
            </w:r>
            <w:r>
              <w:rPr>
                <w:rFonts w:ascii="Times New Roman" w:eastAsia="宋体" w:hAnsi="Times New Roman" w:cs="Times New Roman"/>
                <w:sz w:val="15"/>
                <w:szCs w:val="24"/>
              </w:rPr>
              <w:t>Zhijiang</w:t>
            </w:r>
          </w:p>
          <w:p w14:paraId="5A281F4A" w14:textId="212F0FF2" w:rsidR="00E22271" w:rsidRPr="00E22271" w:rsidRDefault="00A943E3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(1)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Administrative districts: 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 towns</w:t>
            </w:r>
          </w:p>
          <w:p w14:paraId="50453478" w14:textId="3E6A066E" w:rsidR="00E22271" w:rsidRPr="00E22271" w:rsidRDefault="00A943E3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(2)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opulation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: 4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9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6 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thousand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 </w:t>
            </w:r>
          </w:p>
          <w:p w14:paraId="09FAD097" w14:textId="11579E90" w:rsidR="00E22271" w:rsidRPr="00E22271" w:rsidRDefault="00A943E3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(3)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Aging population rate: 1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5.2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% </w:t>
            </w:r>
          </w:p>
          <w:p w14:paraId="7620E108" w14:textId="3BAE3AA9" w:rsidR="00E22271" w:rsidRPr="00E22271" w:rsidRDefault="00A943E3" w:rsidP="00A943E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(4)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Urbanization rate: 5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4.0</w:t>
            </w:r>
            <w:r w:rsidR="00E22271" w:rsidRPr="00E22271"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%</w:t>
            </w:r>
          </w:p>
          <w:p w14:paraId="5A961E30" w14:textId="6414BFEB" w:rsidR="00E22271" w:rsidRPr="00E22271" w:rsidRDefault="00A943E3" w:rsidP="00A943E3">
            <w:pPr>
              <w:spacing w:line="240" w:lineRule="exac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24"/>
              </w:rPr>
              <w:t>(5)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Per capita annual income (urban/rural): 2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3675</w:t>
            </w:r>
            <w:r w:rsidR="00E22271" w:rsidRP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/1</w:t>
            </w:r>
            <w:r w:rsidR="00E22271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>5285</w:t>
            </w:r>
            <w:r w:rsidR="00766744">
              <w:rPr>
                <w:rFonts w:ascii="Times New Roman" w:eastAsia="宋体" w:hAnsi="Times New Roman" w:cs="Times New Roman"/>
                <w:kern w:val="0"/>
                <w:sz w:val="15"/>
                <w:szCs w:val="24"/>
              </w:rPr>
              <w:t xml:space="preserve"> yuan</w:t>
            </w:r>
          </w:p>
        </w:tc>
      </w:tr>
    </w:tbl>
    <w:p w14:paraId="7C6DD0FA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6F1D1F9E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43E2E3F0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64D33A00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3B2B0C96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63971B00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4038E865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2170C0B0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05E2CA1D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3B25472D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4A2CA631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00ECEAC5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73BB4808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650362C3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25B2DA29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09B2D58C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0505313B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782729AD" w14:textId="77777777" w:rsidR="00766744" w:rsidRDefault="00766744" w:rsidP="00E911FB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</w:p>
    <w:p w14:paraId="2306839B" w14:textId="47A986C0" w:rsidR="003D3C2A" w:rsidRPr="003D3C2A" w:rsidRDefault="003D3C2A" w:rsidP="003D3C2A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noProof/>
          <w:sz w:val="24"/>
          <w:szCs w:val="24"/>
        </w:rPr>
      </w:pP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w:t>Appendix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 xml:space="preserve"> 2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 xml:space="preserve">: </w:t>
      </w:r>
    </w:p>
    <w:p w14:paraId="4BF3987D" w14:textId="0D65C5B6" w:rsidR="003D3C2A" w:rsidRPr="003D3C2A" w:rsidRDefault="003D3C2A" w:rsidP="003D3C2A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 w:hint="eastAsia"/>
          <w:b/>
          <w:noProof/>
          <w:sz w:val="24"/>
          <w:szCs w:val="24"/>
        </w:rPr>
      </w:pP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1.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>PSM model</w:t>
      </w:r>
    </w:p>
    <w:p w14:paraId="145E9084" w14:textId="5993675A" w:rsidR="003D3C2A" w:rsidRPr="003D3C2A" w:rsidRDefault="003D3C2A" w:rsidP="003D3C2A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noProof/>
          <w:sz w:val="24"/>
          <w:szCs w:val="24"/>
          <w:vertAlign w:val="superscript"/>
        </w:rPr>
      </w:pP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1.1  PSM model setting</w:t>
      </w:r>
      <w:r w:rsidR="00A943E3">
        <w:rPr>
          <w:rFonts w:ascii="Times New Roman" w:eastAsia="宋体" w:hAnsi="Times New Roman" w:cs="Times New Roman" w:hint="eastAsia"/>
          <w:b/>
          <w:noProof/>
          <w:sz w:val="24"/>
          <w:szCs w:val="24"/>
          <w:vertAlign w:val="superscript"/>
        </w:rPr>
        <w:t>[21-23]</w:t>
      </w:r>
    </w:p>
    <w:p w14:paraId="5B2DE2AD" w14:textId="77777777" w:rsidR="003D3C2A" w:rsidRPr="003D3C2A" w:rsidRDefault="003D3C2A" w:rsidP="003D3C2A">
      <w:pPr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noProof/>
          <w:sz w:val="24"/>
          <w:szCs w:val="24"/>
        </w:rPr>
      </w:pP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A propensity score is the probability of a unit (e.g. person, classroom, school) being assigned to a particular treatment given a set of observed covariates. Propensity scores are used to reduce selection bias by equating groups based on these covariates.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For the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marked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individual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I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, suppose that we have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a binary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treatment T (T=0 denotes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being assigned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to the control group, T=1 denotes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being attached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to the control group), an outcome Y (Propensity Score), and background variables X</w:t>
      </w:r>
      <w:r w:rsidRPr="003D3C2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(Sex, age, annual income and blood pressure).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The propensity score is defined as the conditional probability of treatment given background variables:</w:t>
      </w:r>
    </w:p>
    <w:p w14:paraId="0A5DFCF0" w14:textId="77777777" w:rsidR="003D3C2A" w:rsidRPr="003D3C2A" w:rsidRDefault="003D3C2A" w:rsidP="003D3C2A">
      <w:pPr>
        <w:tabs>
          <w:tab w:val="left" w:pos="776"/>
        </w:tabs>
        <w:spacing w:line="360" w:lineRule="auto"/>
        <w:jc w:val="left"/>
        <w:rPr>
          <w:rFonts w:ascii="Calibri" w:eastAsia="宋体" w:hAnsi="Calibri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noProof/>
              <w:sz w:val="24"/>
            </w:rPr>
            <m:t>p</m:t>
          </m:r>
          <m:d>
            <m:dPr>
              <m:begChr m:val="（"/>
              <m:endChr m:val="）"/>
              <m:ctrlPr>
                <w:rPr>
                  <w:rFonts w:ascii="Cambria Math" w:eastAsia="宋体" w:hAnsi="Cambria Math" w:cs="Times New Roman"/>
                  <w:sz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=≝</m:t>
          </m:r>
          <m:func>
            <m:funcPr>
              <m:ctrlPr>
                <w:rPr>
                  <w:rFonts w:ascii="Cambria Math" w:eastAsia="宋体" w:hAnsi="Cambria Math" w:cs="Times New Roman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="宋体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</w:rPr>
                    <m:t>T=1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</w:rPr>
                    <m:t>X=x</m:t>
                  </m:r>
                </m:e>
              </m:d>
            </m:e>
          </m:func>
          <m:r>
            <w:rPr>
              <w:rFonts w:ascii="Cambria Math" w:eastAsia="宋体" w:hAnsi="Cambria Math" w:cs="Times New Roman"/>
              <w:sz w:val="24"/>
            </w:rPr>
            <m:t xml:space="preserve">              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（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1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）</m:t>
          </m:r>
        </m:oMath>
      </m:oMathPara>
    </w:p>
    <w:p w14:paraId="52BD40DA" w14:textId="77777777" w:rsidR="003D3C2A" w:rsidRPr="003D3C2A" w:rsidRDefault="003D3C2A" w:rsidP="003D3C2A">
      <w:pPr>
        <w:tabs>
          <w:tab w:val="left" w:pos="776"/>
          <w:tab w:val="left" w:pos="2977"/>
        </w:tabs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</w:rPr>
      </w:pPr>
      <w:r w:rsidRPr="003D3C2A">
        <w:rPr>
          <w:rFonts w:ascii="Times New Roman" w:eastAsia="宋体" w:hAnsi="Times New Roman" w:cs="Times New Roman"/>
          <w:sz w:val="24"/>
        </w:rPr>
        <w:t>Let Y</w:t>
      </w:r>
      <w:r w:rsidRPr="003D3C2A">
        <w:rPr>
          <w:rFonts w:ascii="Times New Roman" w:eastAsia="宋体" w:hAnsi="Times New Roman" w:cs="Times New Roman" w:hint="eastAsia"/>
          <w:sz w:val="24"/>
        </w:rPr>
        <w:t>(0)</w:t>
      </w:r>
      <w:r w:rsidRPr="003D3C2A">
        <w:rPr>
          <w:rFonts w:ascii="Times New Roman" w:eastAsia="宋体" w:hAnsi="Times New Roman" w:cs="Times New Roman"/>
          <w:sz w:val="24"/>
        </w:rPr>
        <w:t xml:space="preserve"> and Y(1) denote the potential outcomes under control and treatment, respectively. Then treatment assignment</w:t>
      </w:r>
      <w:bookmarkStart w:id="0" w:name="_GoBack"/>
      <w:bookmarkEnd w:id="0"/>
      <w:r w:rsidRPr="003D3C2A">
        <w:rPr>
          <w:rFonts w:ascii="Times New Roman" w:eastAsia="宋体" w:hAnsi="Times New Roman" w:cs="Times New Roman"/>
          <w:sz w:val="24"/>
        </w:rPr>
        <w:t xml:space="preserve"> is (conditionally) unconfounded </w:t>
      </w:r>
      <w:r w:rsidRPr="003D3C2A">
        <w:rPr>
          <w:rFonts w:ascii="Times New Roman" w:eastAsia="宋体" w:hAnsi="Times New Roman" w:cs="Times New Roman"/>
          <w:noProof/>
          <w:sz w:val="24"/>
        </w:rPr>
        <w:t>if possible results</w:t>
      </w:r>
      <w:r w:rsidRPr="003D3C2A">
        <w:rPr>
          <w:rFonts w:ascii="Times New Roman" w:eastAsia="宋体" w:hAnsi="Times New Roman" w:cs="Times New Roman"/>
          <w:sz w:val="24"/>
        </w:rPr>
        <w:t xml:space="preserve"> a</w:t>
      </w:r>
      <w:r w:rsidRPr="003D3C2A">
        <w:rPr>
          <w:rFonts w:ascii="Times New Roman" w:eastAsia="宋体" w:hAnsi="Times New Roman" w:cs="Times New Roman"/>
          <w:noProof/>
          <w:sz w:val="24"/>
        </w:rPr>
        <w:t>re</w:t>
      </w:r>
      <w:r w:rsidRPr="003D3C2A">
        <w:rPr>
          <w:rFonts w:ascii="Times New Roman" w:eastAsia="宋体" w:hAnsi="Times New Roman" w:cs="Times New Roman"/>
          <w:sz w:val="24"/>
        </w:rPr>
        <w:t xml:space="preserve"> independent of treatment conditional on background variables X. </w:t>
      </w:r>
      <w:r w:rsidRPr="003D3C2A">
        <w:rPr>
          <w:rFonts w:ascii="Times New Roman" w:eastAsia="宋体" w:hAnsi="Times New Roman" w:cs="Times New Roman"/>
          <w:noProof/>
          <w:sz w:val="24"/>
        </w:rPr>
        <w:t>This</w:t>
      </w:r>
      <w:r w:rsidRPr="003D3C2A">
        <w:rPr>
          <w:rFonts w:ascii="Times New Roman" w:eastAsia="宋体" w:hAnsi="Times New Roman" w:cs="Times New Roman"/>
          <w:sz w:val="24"/>
        </w:rPr>
        <w:t xml:space="preserve"> can be written compactly as:</w:t>
      </w:r>
    </w:p>
    <w:p w14:paraId="416DD7D7" w14:textId="77777777" w:rsidR="003D3C2A" w:rsidRPr="003D3C2A" w:rsidRDefault="003D3C2A" w:rsidP="003D3C2A">
      <w:pPr>
        <w:tabs>
          <w:tab w:val="left" w:pos="776"/>
          <w:tab w:val="left" w:pos="2977"/>
        </w:tabs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Y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（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0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），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Y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（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1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）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w:sym w:font="Symbol" w:char="F05E"/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 xml:space="preserve">T|X                           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（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2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）</m:t>
          </m:r>
        </m:oMath>
      </m:oMathPara>
    </w:p>
    <w:p w14:paraId="2DFE3B7B" w14:textId="77777777" w:rsidR="003D3C2A" w:rsidRPr="003D3C2A" w:rsidRDefault="003D3C2A" w:rsidP="003D3C2A">
      <w:pPr>
        <w:tabs>
          <w:tab w:val="left" w:pos="776"/>
        </w:tabs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D3C2A">
        <w:rPr>
          <w:rFonts w:ascii="Times New Roman" w:eastAsia="宋体" w:hAnsi="Times New Roman" w:cs="Times New Roman"/>
          <w:noProof/>
          <w:sz w:val="24"/>
          <w:szCs w:val="24"/>
          <w:shd w:val="clear" w:color="auto" w:fill="FFFFFF"/>
        </w:rPr>
        <w:t>Where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 xml:space="preserve"> </w:t>
      </w:r>
      <w:r w:rsidRPr="003D3C2A">
        <w:rPr>
          <w:rFonts w:ascii="Symbol" w:eastAsia="宋体" w:hAnsi="Symbol" w:cs="Times New Roman" w:hint="eastAsia"/>
          <w:noProof/>
          <w:sz w:val="24"/>
          <w:szCs w:val="24"/>
        </w:rPr>
        <w:sym w:font="Symbol" w:char="F05E"/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 xml:space="preserve"> denotes statistical independence.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D3CB880" w14:textId="77777777" w:rsidR="003D3C2A" w:rsidRPr="003D3C2A" w:rsidRDefault="003D3C2A" w:rsidP="003D3C2A">
      <w:pPr>
        <w:tabs>
          <w:tab w:val="left" w:pos="776"/>
        </w:tabs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D3C2A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If unconfoundedness holds, then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6D7EBFAB" w14:textId="77777777" w:rsidR="003D3C2A" w:rsidRPr="003D3C2A" w:rsidRDefault="003D3C2A" w:rsidP="003D3C2A">
      <w:pPr>
        <w:tabs>
          <w:tab w:val="left" w:pos="776"/>
        </w:tabs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Y</m:t>
          </m:r>
          <m:d>
            <m:dPr>
              <m:begChr m:val="（"/>
              <m:endChr m:val="）"/>
              <m:ctrlPr>
                <w:rPr>
                  <w:rFonts w:ascii="Cambria Math" w:eastAsia="宋体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，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Y</m:t>
          </m:r>
          <m:d>
            <m:dPr>
              <m:begChr m:val="（"/>
              <m:endChr m:val="）"/>
              <m:ctrlPr>
                <w:rPr>
                  <w:rFonts w:ascii="Cambria Math" w:eastAsia="宋体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w:sym w:font="Symbol" w:char="F05E"/>
          </m:r>
          <m:d>
            <m:dPr>
              <m:ctrlPr>
                <w:rPr>
                  <w:rFonts w:ascii="Cambria Math" w:eastAsia="宋体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T</m:t>
              </m:r>
            </m:e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</w:rPr>
                <m:t>p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宋体" w:hAnsi="Cambria Math" w:cs="Times New Roman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4"/>
                    </w:rPr>
                    <m:t>x</m:t>
                  </m:r>
                </m:e>
              </m:d>
            </m:e>
          </m:d>
          <m:r>
            <w:rPr>
              <w:rFonts w:ascii="Cambria Math" w:eastAsia="宋体" w:hAnsi="Cambria Math" w:cs="Times New Roman"/>
              <w:sz w:val="24"/>
            </w:rPr>
            <m:t xml:space="preserve">                           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（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3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</w:rPr>
            <m:t>）</m:t>
          </m:r>
        </m:oMath>
      </m:oMathPara>
    </w:p>
    <w:p w14:paraId="328BF3AA" w14:textId="624008D4" w:rsidR="003D3C2A" w:rsidRPr="003D3C2A" w:rsidRDefault="003D3C2A" w:rsidP="003D3C2A">
      <w:pPr>
        <w:spacing w:line="360" w:lineRule="auto"/>
        <w:ind w:firstLineChars="100" w:firstLine="241"/>
        <w:jc w:val="left"/>
        <w:rPr>
          <w:rFonts w:ascii="Times New Roman" w:eastAsia="宋体" w:hAnsi="Times New Roman" w:cs="Times New Roman"/>
          <w:b/>
          <w:noProof/>
          <w:sz w:val="24"/>
          <w:szCs w:val="24"/>
        </w:rPr>
      </w:pP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1.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>2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 xml:space="preserve">  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 xml:space="preserve">The 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parameter setting of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 xml:space="preserve"> 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S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 xml:space="preserve">tandardized 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>D</w:t>
      </w:r>
      <w:r w:rsidRPr="003D3C2A">
        <w:rPr>
          <w:rFonts w:ascii="Times New Roman" w:eastAsia="宋体" w:hAnsi="Times New Roman" w:cs="Times New Roman"/>
          <w:b/>
          <w:noProof/>
          <w:sz w:val="24"/>
          <w:szCs w:val="24"/>
        </w:rPr>
        <w:t>ifference</w:t>
      </w:r>
      <w:r w:rsidRPr="003D3C2A">
        <w:rPr>
          <w:rFonts w:ascii="Times New Roman" w:eastAsia="宋体" w:hAnsi="Times New Roman" w:cs="Times New Roman" w:hint="eastAsia"/>
          <w:b/>
          <w:noProof/>
          <w:sz w:val="24"/>
          <w:szCs w:val="24"/>
        </w:rPr>
        <w:t xml:space="preserve"> in PSM</w:t>
      </w:r>
    </w:p>
    <w:p w14:paraId="3E0F93DB" w14:textId="77777777" w:rsidR="003D3C2A" w:rsidRPr="003D3C2A" w:rsidRDefault="003D3C2A" w:rsidP="003D3C2A">
      <w:pPr>
        <w:spacing w:line="360" w:lineRule="auto"/>
        <w:ind w:firstLineChars="100" w:firstLine="240"/>
        <w:rPr>
          <w:rFonts w:ascii="Times New Roman" w:eastAsia="等线" w:hAnsi="Times New Roman" w:cs="Times New Roman"/>
          <w:sz w:val="24"/>
        </w:rPr>
      </w:pPr>
      <w:r w:rsidRPr="003D3C2A">
        <w:rPr>
          <w:rFonts w:ascii="Times New Roman" w:eastAsia="等线" w:hAnsi="Times New Roman" w:cs="Times New Roman"/>
          <w:sz w:val="24"/>
        </w:rPr>
        <w:t>For dichotomous variables, the standardized difference is defined as</w:t>
      </w:r>
    </w:p>
    <w:p w14:paraId="76A7FCE4" w14:textId="77777777" w:rsidR="003D3C2A" w:rsidRPr="003D3C2A" w:rsidRDefault="003D3C2A" w:rsidP="003D3C2A">
      <w:pPr>
        <w:spacing w:line="360" w:lineRule="auto"/>
        <w:rPr>
          <w:rFonts w:ascii="Times New Roman" w:eastAsia="等线" w:hAnsi="Times New Roman" w:cs="Times New Roman"/>
          <w:sz w:val="22"/>
        </w:rPr>
      </w:pPr>
      <m:oMathPara>
        <m:oMath>
          <m:r>
            <w:rPr>
              <w:rFonts w:ascii="Cambria Math" w:eastAsia="等线" w:hAnsi="Cambria Math" w:cs="Times New Roman"/>
              <w:sz w:val="24"/>
            </w:rPr>
            <m:t>d=</m:t>
          </m:r>
          <m:f>
            <m:fPr>
              <m:ctrlPr>
                <w:rPr>
                  <w:rFonts w:ascii="Cambria Math" w:eastAsia="等线" w:hAnsi="Cambria Math" w:cs="Times New Roman"/>
                  <w:sz w:val="24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sz w:val="24"/>
                </w:rPr>
                <m:t>100(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</w:rPr>
                    <m:t>T</m:t>
                  </m:r>
                </m:sub>
              </m:sSub>
              <m:r>
                <w:rPr>
                  <w:rFonts w:ascii="Cambria Math" w:eastAsia="等线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</w:rPr>
                    <m:t>C</m:t>
                  </m:r>
                </m:sub>
              </m:sSub>
              <m:r>
                <w:rPr>
                  <w:rFonts w:ascii="Cambria Math" w:eastAsia="等线" w:hAnsi="Cambria Math" w:cs="Times New Roman"/>
                  <w:sz w:val="24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等线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等线" w:hAnsi="Cambria Math" w:cs="Times New Roman"/>
                          <w:i/>
                          <w:iCs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等线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等线 Light" w:hAnsi="Cambria Math" w:cs="Times New Roman"/>
                          <w:sz w:val="24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eastAsia="等线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T</m:t>
                          </m:r>
                        </m:sub>
                      </m:sSub>
                    </m:e>
                  </m:d>
                  <m:r>
                    <w:rPr>
                      <w:rFonts w:ascii="Cambria Math" w:eastAsia="等线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i/>
                          <w:iCs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等线" w:hAnsi="Cambria Math" w:cs="Times New Roman"/>
                          <w:i/>
                          <w:iCs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="等线" w:hAnsi="Cambria Math" w:cs="Times New Roman"/>
                              <w:i/>
                              <w:iCs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等线" w:hAnsi="Cambria Math" w:cs="Times New Roman"/>
                              <w:sz w:val="24"/>
                            </w:rPr>
                            <m:t>C</m:t>
                          </m:r>
                        </m:sub>
                      </m:sSub>
                    </m:e>
                  </m:d>
                </m:e>
              </m:rad>
            </m:den>
          </m:f>
          <m:r>
            <w:rPr>
              <w:rFonts w:ascii="Cambria Math" w:eastAsia="等线" w:hAnsi="Cambria Math" w:cs="Times New Roman"/>
              <w:sz w:val="24"/>
            </w:rPr>
            <m:t xml:space="preserve">       </m:t>
          </m:r>
          <m:r>
            <m:rPr>
              <m:sty m:val="p"/>
            </m:rPr>
            <w:rPr>
              <w:rFonts w:ascii="Cambria Math" w:eastAsia="等线" w:hAnsi="Cambria Math" w:cs="Times New Roman" w:hint="eastAsia"/>
              <w:sz w:val="24"/>
            </w:rPr>
            <m:t>（</m:t>
          </m:r>
          <m:r>
            <m:rPr>
              <m:sty m:val="p"/>
            </m:rPr>
            <w:rPr>
              <w:rFonts w:ascii="Cambria Math" w:eastAsia="等线" w:hAnsi="Cambria Math" w:cs="Times New Roman" w:hint="eastAsia"/>
              <w:sz w:val="24"/>
            </w:rPr>
            <m:t>4</m:t>
          </m:r>
          <m:r>
            <m:rPr>
              <m:sty m:val="p"/>
            </m:rPr>
            <w:rPr>
              <w:rFonts w:ascii="Cambria Math" w:eastAsia="等线" w:hAnsi="Cambria Math" w:cs="Times New Roman" w:hint="eastAsia"/>
              <w:sz w:val="24"/>
            </w:rPr>
            <m:t>）</m:t>
          </m:r>
        </m:oMath>
      </m:oMathPara>
    </w:p>
    <w:p w14:paraId="259DA9D8" w14:textId="77777777" w:rsidR="003D3C2A" w:rsidRPr="003D3C2A" w:rsidRDefault="003D3C2A" w:rsidP="003D3C2A">
      <w:pPr>
        <w:spacing w:line="360" w:lineRule="auto"/>
        <w:ind w:firstLineChars="100" w:firstLine="240"/>
        <w:rPr>
          <w:rFonts w:ascii="Times New Roman" w:eastAsia="等线" w:hAnsi="Times New Roman" w:cs="Times New Roman"/>
          <w:sz w:val="24"/>
        </w:rPr>
      </w:pPr>
      <w:r w:rsidRPr="003D3C2A">
        <w:rPr>
          <w:rFonts w:ascii="Times New Roman" w:eastAsia="等线" w:hAnsi="Times New Roman" w:cs="Times New Roman"/>
          <w:sz w:val="24"/>
        </w:rPr>
        <w:t>In formula (4), p</w:t>
      </w:r>
      <w:r w:rsidRPr="003D3C2A">
        <w:rPr>
          <w:rFonts w:ascii="Times New Roman" w:eastAsia="等线" w:hAnsi="Times New Roman" w:cs="Times New Roman"/>
          <w:sz w:val="24"/>
          <w:vertAlign w:val="subscript"/>
        </w:rPr>
        <w:t>T</w:t>
      </w:r>
      <w:r w:rsidRPr="003D3C2A">
        <w:rPr>
          <w:rFonts w:ascii="Times New Roman" w:eastAsia="等线" w:hAnsi="Times New Roman" w:cs="Times New Roman"/>
          <w:sz w:val="24"/>
        </w:rPr>
        <w:t xml:space="preserve"> and p</w:t>
      </w:r>
      <w:r w:rsidRPr="003D3C2A">
        <w:rPr>
          <w:rFonts w:ascii="Times New Roman" w:eastAsia="等线" w:hAnsi="Times New Roman" w:cs="Times New Roman"/>
          <w:sz w:val="24"/>
          <w:vertAlign w:val="subscript"/>
        </w:rPr>
        <w:t>C</w:t>
      </w:r>
      <w:r w:rsidRPr="003D3C2A">
        <w:rPr>
          <w:rFonts w:ascii="Times New Roman" w:eastAsia="等线" w:hAnsi="Times New Roman" w:cs="Times New Roman"/>
          <w:sz w:val="24"/>
        </w:rPr>
        <w:t xml:space="preserve"> denote the proportion of treated and untreated subjects, respectively, for whom the condition denoted by the dichotomous variables is present.</w:t>
      </w:r>
    </w:p>
    <w:p w14:paraId="2C89966A" w14:textId="77777777" w:rsidR="003D3C2A" w:rsidRPr="003D3C2A" w:rsidRDefault="003D3C2A" w:rsidP="003D3C2A">
      <w:pPr>
        <w:spacing w:line="360" w:lineRule="auto"/>
        <w:rPr>
          <w:rFonts w:ascii="Times New Roman" w:eastAsia="等线" w:hAnsi="Times New Roman" w:cs="Times New Roman"/>
          <w:sz w:val="24"/>
        </w:rPr>
      </w:pPr>
      <w:r w:rsidRPr="003D3C2A">
        <w:rPr>
          <w:rFonts w:ascii="Times New Roman" w:eastAsia="等线" w:hAnsi="Times New Roman" w:cs="Times New Roman"/>
          <w:sz w:val="24"/>
        </w:rPr>
        <w:t>For continuous variables, the standardized difference is defined as</w:t>
      </w:r>
    </w:p>
    <w:p w14:paraId="355C3D45" w14:textId="77777777" w:rsidR="003D3C2A" w:rsidRPr="003D3C2A" w:rsidRDefault="003D3C2A" w:rsidP="003D3C2A">
      <w:pPr>
        <w:spacing w:line="360" w:lineRule="auto"/>
        <w:rPr>
          <w:rFonts w:ascii="Times New Roman" w:eastAsia="等线" w:hAnsi="Times New Roman" w:cs="Times New Roman"/>
          <w:sz w:val="22"/>
        </w:rPr>
      </w:pPr>
      <m:oMathPara>
        <m:oMath>
          <m:r>
            <w:rPr>
              <w:rFonts w:ascii="Cambria Math" w:eastAsia="等线" w:hAnsi="Cambria Math" w:cs="Times New Roman"/>
              <w:sz w:val="22"/>
            </w:rPr>
            <w:lastRenderedPageBreak/>
            <m:t>d=</m:t>
          </m:r>
          <m:f>
            <m:fPr>
              <m:ctrlPr>
                <w:rPr>
                  <w:rFonts w:ascii="Cambria Math" w:eastAsia="等线" w:hAnsi="Cambria Math" w:cs="Times New Roman"/>
                  <w:sz w:val="22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sz w:val="22"/>
                </w:rPr>
                <m:t>100(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i/>
                      <w:sz w:val="2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等线" w:hAnsi="Cambria Math" w:cs="Times New Roman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等线" w:hAnsi="Cambria Math" w:cs="Times New Roman"/>
                      <w:sz w:val="22"/>
                    </w:rPr>
                    <m:t>treatment</m:t>
                  </m:r>
                </m:sub>
              </m:sSub>
              <m:r>
                <w:rPr>
                  <w:rFonts w:ascii="Cambria Math" w:eastAsia="等线" w:hAnsi="Cambria Math" w:cs="Times New Roman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i/>
                      <w:sz w:val="2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等线" w:hAnsi="Cambria Math" w:cs="Times New Roman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="等线" w:hAnsi="Cambria Math" w:cs="Times New Roman"/>
                      <w:sz w:val="22"/>
                    </w:rPr>
                    <m:t>control</m:t>
                  </m:r>
                </m:sub>
              </m:sSub>
              <m:r>
                <w:rPr>
                  <w:rFonts w:ascii="Cambria Math" w:eastAsia="等线" w:hAnsi="Cambria Math" w:cs="Times New Roman"/>
                  <w:sz w:val="22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等线" w:hAnsi="Cambria Math" w:cs="Times New Roman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="等线" w:hAnsi="Cambria Math" w:cs="Times New Roman"/>
                      <w:sz w:val="22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="等线" w:hAnsi="Cambria Math" w:cs="Times New Roman"/>
                          <w:i/>
                          <w:iCs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treatment</m:t>
                      </m:r>
                    </m:sub>
                    <m:sup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等线" w:hAnsi="Cambria Math" w:cs="Times New Roman"/>
                      <w:sz w:val="22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等线" w:hAnsi="Cambria Math" w:cs="Times New Roman"/>
                          <w:i/>
                          <w:iCs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control</m:t>
                      </m:r>
                    </m:sub>
                    <m:sup>
                      <m:r>
                        <w:rPr>
                          <w:rFonts w:ascii="Cambria Math" w:eastAsia="等线" w:hAnsi="Cambria Math" w:cs="Times New Roman"/>
                          <w:sz w:val="22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等线" w:hAnsi="Cambria Math" w:cs="Times New Roman"/>
                      <w:sz w:val="22"/>
                    </w:rPr>
                    <m:t>)/2</m:t>
                  </m:r>
                </m:e>
              </m:rad>
            </m:den>
          </m:f>
          <m:r>
            <w:rPr>
              <w:rFonts w:ascii="Cambria Math" w:eastAsia="等线" w:hAnsi="Cambria Math" w:cs="Times New Roman"/>
              <w:sz w:val="22"/>
            </w:rPr>
            <m:t xml:space="preserve">                (5)</m:t>
          </m:r>
        </m:oMath>
      </m:oMathPara>
    </w:p>
    <w:p w14:paraId="2EA754F6" w14:textId="77777777" w:rsidR="003D3C2A" w:rsidRPr="003D3C2A" w:rsidRDefault="003D3C2A" w:rsidP="003D3C2A">
      <w:pPr>
        <w:spacing w:line="360" w:lineRule="auto"/>
        <w:rPr>
          <w:rFonts w:ascii="Times New Roman" w:eastAsia="等线" w:hAnsi="Times New Roman" w:cs="Times New Roman"/>
          <w:sz w:val="24"/>
        </w:rPr>
      </w:pPr>
    </w:p>
    <w:p w14:paraId="6473337D" w14:textId="77777777" w:rsidR="003D3C2A" w:rsidRPr="003D3C2A" w:rsidRDefault="003D3C2A" w:rsidP="003D3C2A">
      <w:pPr>
        <w:spacing w:line="360" w:lineRule="auto"/>
        <w:ind w:firstLineChars="100" w:firstLine="240"/>
        <w:rPr>
          <w:rFonts w:ascii="Times New Roman" w:eastAsia="等线" w:hAnsi="Times New Roman" w:cs="Times New Roman"/>
          <w:sz w:val="24"/>
        </w:rPr>
      </w:pPr>
      <w:r w:rsidRPr="003D3C2A">
        <w:rPr>
          <w:rFonts w:ascii="Times New Roman" w:eastAsia="等线" w:hAnsi="Times New Roman" w:cs="Times New Roman"/>
          <w:sz w:val="24"/>
        </w:rPr>
        <w:t xml:space="preserve">In formula (5), </w:t>
      </w:r>
      <m:oMath>
        <m:sSub>
          <m:sSubPr>
            <m:ctrlPr>
              <w:rPr>
                <w:rFonts w:ascii="Cambria Math" w:eastAsia="等线" w:hAnsi="Cambria Math" w:cs="Times New Roman"/>
                <w:i/>
                <w:sz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等线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="等线" w:hAnsi="Cambria Math" w:cs="Times New Roman"/>
                    <w:sz w:val="22"/>
                  </w:rPr>
                  <m:t>x</m:t>
                </m:r>
              </m:e>
            </m:acc>
          </m:e>
          <m:sub>
            <m:r>
              <w:rPr>
                <w:rFonts w:ascii="Cambria Math" w:eastAsia="等线" w:hAnsi="Cambria Math" w:cs="Times New Roman"/>
                <w:sz w:val="22"/>
              </w:rPr>
              <m:t>treatment</m:t>
            </m:r>
          </m:sub>
        </m:sSub>
      </m:oMath>
      <w:r w:rsidRPr="003D3C2A">
        <w:rPr>
          <w:rFonts w:ascii="Times New Roman" w:eastAsia="等线" w:hAnsi="Times New Roman" w:cs="Times New Roman"/>
          <w:sz w:val="24"/>
        </w:rPr>
        <w:t xml:space="preserve"> and </w:t>
      </w:r>
      <m:oMath>
        <m:sSub>
          <m:sSubPr>
            <m:ctrlPr>
              <w:rPr>
                <w:rFonts w:ascii="Cambria Math" w:eastAsia="等线" w:hAnsi="Cambria Math" w:cs="Times New Roman"/>
                <w:i/>
                <w:sz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等线" w:hAnsi="Cambria Math" w:cs="Times New Roman"/>
                    <w:i/>
                    <w:sz w:val="22"/>
                  </w:rPr>
                </m:ctrlPr>
              </m:accPr>
              <m:e>
                <m:r>
                  <w:rPr>
                    <w:rFonts w:ascii="Cambria Math" w:eastAsia="等线" w:hAnsi="Cambria Math" w:cs="Times New Roman"/>
                    <w:sz w:val="22"/>
                  </w:rPr>
                  <m:t>x</m:t>
                </m:r>
              </m:e>
            </m:acc>
          </m:e>
          <m:sub>
            <m:r>
              <w:rPr>
                <w:rFonts w:ascii="Cambria Math" w:eastAsia="等线" w:hAnsi="Cambria Math" w:cs="Times New Roman"/>
                <w:sz w:val="22"/>
              </w:rPr>
              <m:t>control</m:t>
            </m:r>
          </m:sub>
        </m:sSub>
      </m:oMath>
      <w:r w:rsidRPr="003D3C2A">
        <w:rPr>
          <w:rFonts w:ascii="Times New Roman" w:eastAsia="等线" w:hAnsi="Times New Roman" w:cs="Times New Roman" w:hint="eastAsia"/>
          <w:sz w:val="22"/>
        </w:rPr>
        <w:t xml:space="preserve"> </w:t>
      </w:r>
      <w:r w:rsidRPr="003D3C2A">
        <w:rPr>
          <w:rFonts w:ascii="Times New Roman" w:eastAsia="等线" w:hAnsi="Times New Roman" w:cs="Times New Roman"/>
          <w:sz w:val="24"/>
        </w:rPr>
        <w:t xml:space="preserve">denote the mean of the continuous variable in treated and untreated subjects, respectively. </w:t>
      </w:r>
      <m:oMath>
        <m:sSubSup>
          <m:sSubSupPr>
            <m:ctrlPr>
              <w:rPr>
                <w:rFonts w:ascii="Cambria Math" w:eastAsia="等线" w:hAnsi="Cambria Math" w:cs="Times New Roman"/>
                <w:i/>
                <w:iCs/>
                <w:sz w:val="22"/>
              </w:rPr>
            </m:ctrlPr>
          </m:sSubSupPr>
          <m:e>
            <m:r>
              <w:rPr>
                <w:rFonts w:ascii="Cambria Math" w:eastAsia="等线" w:hAnsi="Cambria Math" w:cs="Times New Roman"/>
                <w:sz w:val="22"/>
              </w:rPr>
              <m:t>S</m:t>
            </m:r>
          </m:e>
          <m:sub>
            <m:r>
              <w:rPr>
                <w:rFonts w:ascii="Cambria Math" w:eastAsia="等线" w:hAnsi="Cambria Math" w:cs="Times New Roman"/>
                <w:sz w:val="22"/>
              </w:rPr>
              <m:t>treatment</m:t>
            </m:r>
          </m:sub>
          <m:sup>
            <m:r>
              <w:rPr>
                <w:rFonts w:ascii="Cambria Math" w:eastAsia="等线" w:hAnsi="Cambria Math" w:cs="Times New Roman"/>
                <w:sz w:val="22"/>
              </w:rPr>
              <m:t>2</m:t>
            </m:r>
          </m:sup>
        </m:sSubSup>
      </m:oMath>
      <w:r w:rsidRPr="003D3C2A">
        <w:rPr>
          <w:rFonts w:ascii="Times New Roman" w:eastAsia="等线" w:hAnsi="Times New Roman" w:cs="Times New Roman"/>
          <w:sz w:val="24"/>
        </w:rPr>
        <w:t xml:space="preserve"> and </w:t>
      </w:r>
      <m:oMath>
        <m:sSubSup>
          <m:sSubSupPr>
            <m:ctrlPr>
              <w:rPr>
                <w:rFonts w:ascii="Cambria Math" w:eastAsia="等线" w:hAnsi="Cambria Math" w:cs="Times New Roman"/>
                <w:i/>
                <w:iCs/>
                <w:sz w:val="22"/>
              </w:rPr>
            </m:ctrlPr>
          </m:sSubSupPr>
          <m:e>
            <m:r>
              <w:rPr>
                <w:rFonts w:ascii="Cambria Math" w:eastAsia="等线" w:hAnsi="Cambria Math" w:cs="Times New Roman"/>
                <w:sz w:val="22"/>
              </w:rPr>
              <m:t>S</m:t>
            </m:r>
          </m:e>
          <m:sub>
            <m:r>
              <w:rPr>
                <w:rFonts w:ascii="Cambria Math" w:eastAsia="等线" w:hAnsi="Cambria Math" w:cs="Times New Roman"/>
                <w:sz w:val="22"/>
              </w:rPr>
              <m:t>control</m:t>
            </m:r>
          </m:sub>
          <m:sup>
            <m:r>
              <w:rPr>
                <w:rFonts w:ascii="Cambria Math" w:eastAsia="等线" w:hAnsi="Cambria Math" w:cs="Times New Roman"/>
                <w:sz w:val="22"/>
              </w:rPr>
              <m:t>2</m:t>
            </m:r>
          </m:sup>
        </m:sSubSup>
      </m:oMath>
      <w:r w:rsidRPr="003D3C2A">
        <w:rPr>
          <w:rFonts w:ascii="Times New Roman" w:eastAsia="等线" w:hAnsi="Times New Roman" w:cs="Times New Roman"/>
          <w:sz w:val="24"/>
        </w:rPr>
        <w:t>denote the variances of the continuous variable in the treated and untreated subjects, respectively. It has been suggested that a standardized difference of greater than 10 percent represents meaningful imbalance in a given variable between treatment groups.</w:t>
      </w:r>
    </w:p>
    <w:p w14:paraId="1872AA9B" w14:textId="45E1D771" w:rsidR="00E911FB" w:rsidRPr="003D3C2A" w:rsidRDefault="003D3C2A" w:rsidP="00E911FB">
      <w:pPr>
        <w:tabs>
          <w:tab w:val="left" w:pos="776"/>
        </w:tabs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3D3C2A">
        <w:rPr>
          <w:rFonts w:ascii="Times New Roman" w:eastAsia="黑体" w:hAnsi="Times New Roman" w:cs="Times New Roman" w:hint="eastAsia"/>
          <w:b/>
          <w:bCs/>
          <w:sz w:val="24"/>
          <w:szCs w:val="32"/>
        </w:rPr>
        <w:t xml:space="preserve">2. </w:t>
      </w:r>
      <w:r w:rsidR="00E911FB" w:rsidRPr="003D3C2A">
        <w:rPr>
          <w:rFonts w:ascii="Times New Roman" w:eastAsia="黑体" w:hAnsi="Times New Roman" w:cs="Times New Roman"/>
          <w:b/>
          <w:bCs/>
          <w:sz w:val="24"/>
          <w:szCs w:val="32"/>
        </w:rPr>
        <w:t>Difference-in-differences model</w:t>
      </w:r>
      <w:r w:rsidRPr="003D3C2A">
        <w:rPr>
          <w:rFonts w:ascii="Times New Roman" w:eastAsia="黑体" w:hAnsi="Times New Roman" w:cs="Times New Roman" w:hint="eastAsia"/>
          <w:b/>
          <w:bCs/>
          <w:sz w:val="24"/>
          <w:szCs w:val="32"/>
        </w:rPr>
        <w:t xml:space="preserve"> setting</w:t>
      </w:r>
      <w:r w:rsidR="00E911FB" w:rsidRPr="003D3C2A">
        <w:rPr>
          <w:rFonts w:ascii="Times New Roman" w:eastAsia="黑体" w:hAnsi="Times New Roman" w:cs="Times New Roman"/>
          <w:b/>
          <w:bCs/>
          <w:sz w:val="24"/>
          <w:szCs w:val="32"/>
        </w:rPr>
        <w:t xml:space="preserve"> </w:t>
      </w:r>
      <w:r w:rsidR="00E911FB" w:rsidRPr="003D3C2A">
        <w:rPr>
          <w:rFonts w:ascii="Times New Roman" w:eastAsia="黑体" w:hAnsi="Times New Roman" w:cs="Times New Roman"/>
          <w:bCs/>
          <w:sz w:val="24"/>
          <w:szCs w:val="32"/>
          <w:vertAlign w:val="superscript"/>
        </w:rPr>
        <w:t>[2</w:t>
      </w:r>
      <w:r w:rsidR="00A943E3">
        <w:rPr>
          <w:rFonts w:ascii="Times New Roman" w:eastAsia="黑体" w:hAnsi="Times New Roman" w:cs="Times New Roman" w:hint="eastAsia"/>
          <w:bCs/>
          <w:sz w:val="24"/>
          <w:szCs w:val="32"/>
          <w:vertAlign w:val="superscript"/>
        </w:rPr>
        <w:t>4, 25</w:t>
      </w:r>
      <w:r w:rsidR="00E911FB" w:rsidRPr="003D3C2A">
        <w:rPr>
          <w:rFonts w:ascii="Times New Roman" w:eastAsia="黑体" w:hAnsi="Times New Roman" w:cs="Times New Roman"/>
          <w:bCs/>
          <w:sz w:val="24"/>
          <w:szCs w:val="32"/>
          <w:vertAlign w:val="superscript"/>
        </w:rPr>
        <w:t>]</w:t>
      </w:r>
    </w:p>
    <w:p w14:paraId="0207B675" w14:textId="0186A472" w:rsidR="00E911FB" w:rsidRPr="003D3C2A" w:rsidRDefault="00E911FB" w:rsidP="00E911FB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3D3C2A" w:rsidRPr="003D3C2A">
        <w:rPr>
          <w:rFonts w:ascii="Times New Roman" w:eastAsia="宋体" w:hAnsi="Times New Roman" w:cs="Times New Roman" w:hint="eastAsia"/>
          <w:sz w:val="24"/>
          <w:szCs w:val="24"/>
        </w:rPr>
        <w:t xml:space="preserve">DID 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method pretends to capture the effects related </w:t>
      </w:r>
      <w:r w:rsidRPr="003D3C2A">
        <w:rPr>
          <w:rFonts w:ascii="Times New Roman" w:eastAsia="宋体" w:hAnsi="Times New Roman" w:cs="Times New Roman"/>
          <w:noProof/>
          <w:sz w:val="24"/>
          <w:szCs w:val="24"/>
        </w:rPr>
        <w:t>to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 event through time</w:t>
      </w:r>
      <w:r w:rsidR="003D3C2A" w:rsidRPr="003D3C2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3D3C2A">
        <w:rPr>
          <w:rFonts w:ascii="Times New Roman" w:eastAsia="宋体" w:hAnsi="Times New Roman" w:cs="Times New Roman"/>
          <w:sz w:val="24"/>
          <w:szCs w:val="24"/>
        </w:rPr>
        <w:t xml:space="preserve">between a treatment group and a control group. For the observed individual </w:t>
      </w:r>
      <w:r w:rsidRPr="003D3C2A">
        <w:rPr>
          <w:rFonts w:ascii="Times New Roman" w:eastAsia="宋体" w:hAnsi="Times New Roman" w:cs="Times New Roman"/>
          <w:i/>
          <w:noProof/>
          <w:sz w:val="24"/>
          <w:szCs w:val="24"/>
        </w:rPr>
        <w:t>I</w:t>
      </w:r>
      <w:r w:rsidRPr="003D3C2A">
        <w:rPr>
          <w:rFonts w:ascii="Times New Roman" w:eastAsia="宋体" w:hAnsi="Times New Roman" w:cs="Times New Roman"/>
          <w:sz w:val="24"/>
          <w:szCs w:val="24"/>
        </w:rPr>
        <w:t>, the basic settings for DID model were:</w:t>
      </w:r>
    </w:p>
    <w:p w14:paraId="7CEF582E" w14:textId="77777777" w:rsidR="00E911FB" w:rsidRPr="003D3C2A" w:rsidRDefault="00E911FB" w:rsidP="00A943E3">
      <w:pPr>
        <w:autoSpaceDE w:val="0"/>
        <w:autoSpaceDN w:val="0"/>
        <w:adjustRightInd w:val="0"/>
        <w:spacing w:before="240" w:after="240"/>
        <w:ind w:firstLineChars="100" w:firstLine="24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y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= β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0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+ β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1</w:t>
      </w:r>
      <w:r w:rsidRPr="003D3C2A">
        <w:rPr>
          <w:rFonts w:ascii="Times New Roman" w:eastAsia="宋体" w:hAnsi="Times New Roman" w:cs="Times New Roman"/>
          <w:kern w:val="0"/>
          <w:szCs w:val="24"/>
        </w:rPr>
        <w:t>·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time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+ γ</w:t>
      </w:r>
      <w:r w:rsidRPr="003D3C2A">
        <w:rPr>
          <w:rFonts w:ascii="Times New Roman" w:eastAsia="宋体" w:hAnsi="Times New Roman" w:cs="Times New Roman"/>
          <w:kern w:val="0"/>
          <w:szCs w:val="24"/>
        </w:rPr>
        <w:t>·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group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+ δ</w:t>
      </w:r>
      <w:r w:rsidRPr="003D3C2A">
        <w:rPr>
          <w:rFonts w:ascii="Times New Roman" w:eastAsia="宋体" w:hAnsi="Times New Roman" w:cs="Times New Roman"/>
          <w:kern w:val="0"/>
          <w:szCs w:val="24"/>
        </w:rPr>
        <w:t>·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group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kern w:val="0"/>
          <w:szCs w:val="24"/>
        </w:rPr>
        <w:t>·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time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+ε</w: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i.</w:t>
      </w:r>
    </w:p>
    <w:p w14:paraId="0516C6F7" w14:textId="77777777" w:rsidR="00E911FB" w:rsidRPr="003D3C2A" w:rsidRDefault="00E911FB" w:rsidP="00E911FB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estimated coefficients in this linear regression had the following interpretation: </w:t>
      </w:r>
    </w:p>
    <w:p w14:paraId="55DBABA6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position w:val="-6"/>
        </w:rPr>
        <w:object w:dxaOrig="270" w:dyaOrig="465" w14:anchorId="7EC65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23.1pt" o:ole="">
            <v:imagedata r:id="rId10" o:title=""/>
          </v:shape>
          <o:OLEObject Type="Embed" ProgID="Equation.3" ShapeID="_x0000_i1025" DrawAspect="Content" ObjectID="_1603098177" r:id="rId11"/>
        </w:objec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Mean outcome for the control group at baseline.</w:t>
      </w:r>
    </w:p>
    <w:p w14:paraId="6754E8CD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position w:val="-6"/>
        </w:rPr>
        <w:object w:dxaOrig="270" w:dyaOrig="465" w14:anchorId="197AF8B4">
          <v:shape id="_x0000_i1026" type="#_x0000_t75" style="width:12.9pt;height:23.1pt" o:ole="">
            <v:imagedata r:id="rId10" o:title=""/>
          </v:shape>
          <o:OLEObject Type="Embed" ProgID="Equation.3" ShapeID="_x0000_i1026" DrawAspect="Content" ObjectID="_1603098178" r:id="rId12"/>
        </w:objec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+</w:t>
      </w:r>
      <w:r w:rsidRPr="003D3C2A">
        <w:rPr>
          <w:rFonts w:ascii="Calibri" w:eastAsia="宋体" w:hAnsi="Calibri" w:cs="Times New Roman"/>
          <w:position w:val="-6"/>
        </w:rPr>
        <w:object w:dxaOrig="270" w:dyaOrig="465" w14:anchorId="1DA3DA26">
          <v:shape id="_x0000_i1027" type="#_x0000_t75" style="width:12.9pt;height:23.1pt" o:ole="">
            <v:imagedata r:id="rId13" o:title=""/>
          </v:shape>
          <o:OLEObject Type="Embed" ProgID="Equation.3" ShapeID="_x0000_i1027" DrawAspect="Content" ObjectID="_1603098179" r:id="rId14"/>
        </w:objec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: Mean 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outcome</w: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the control group at follow-up.</w:t>
      </w:r>
    </w:p>
    <w:p w14:paraId="3F73F716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position w:val="-8"/>
        </w:rPr>
        <w:object w:dxaOrig="210" w:dyaOrig="510" w14:anchorId="31F4A598">
          <v:shape id="_x0000_i1028" type="#_x0000_t75" style="width:9.65pt;height:24.7pt" o:ole="">
            <v:imagedata r:id="rId15" o:title=""/>
          </v:shape>
          <o:OLEObject Type="Embed" ProgID="Equation.3" ShapeID="_x0000_i1028" DrawAspect="Content" ObjectID="_1603098180" r:id="rId16"/>
        </w:objec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The single difference between treatment and control groups at baseline.</w:t>
      </w:r>
    </w:p>
    <w:p w14:paraId="5EDACF12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position w:val="-6"/>
        </w:rPr>
        <w:object w:dxaOrig="270" w:dyaOrig="465" w14:anchorId="11817E21">
          <v:shape id="_x0000_i1029" type="#_x0000_t75" style="width:12.9pt;height:23.1pt" o:ole="">
            <v:imagedata r:id="rId10" o:title=""/>
          </v:shape>
          <o:OLEObject Type="Embed" ProgID="Equation.3" ShapeID="_x0000_i1029" DrawAspect="Content" ObjectID="_1603098181" r:id="rId17"/>
        </w:objec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+</w:t>
      </w:r>
      <w:r w:rsidRPr="003D3C2A">
        <w:rPr>
          <w:rFonts w:ascii="Calibri" w:eastAsia="宋体" w:hAnsi="Calibri" w:cs="Times New Roman"/>
          <w:position w:val="-8"/>
        </w:rPr>
        <w:object w:dxaOrig="210" w:dyaOrig="510" w14:anchorId="2FD07D86">
          <v:shape id="_x0000_i1030" type="#_x0000_t75" style="width:9.65pt;height:24.7pt" o:ole="">
            <v:imagedata r:id="rId15" o:title=""/>
          </v:shape>
          <o:OLEObject Type="Embed" ProgID="Equation.3" ShapeID="_x0000_i1030" DrawAspect="Content" ObjectID="_1603098182" r:id="rId18"/>
        </w:objec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: Mean 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outcome</w: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the treatment group at baseline.</w:t>
      </w:r>
    </w:p>
    <w:p w14:paraId="0B46DBB4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position w:val="-6"/>
        </w:rPr>
        <w:object w:dxaOrig="270" w:dyaOrig="465" w14:anchorId="6C6C46BB">
          <v:shape id="_x0000_i1031" type="#_x0000_t75" style="width:12.9pt;height:23.1pt" o:ole="">
            <v:imagedata r:id="rId10" o:title=""/>
          </v:shape>
          <o:OLEObject Type="Embed" ProgID="Equation.3" ShapeID="_x0000_i1031" DrawAspect="Content" ObjectID="_1603098183" r:id="rId19"/>
        </w:objec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+</w:t>
      </w:r>
      <w:r w:rsidRPr="003D3C2A">
        <w:rPr>
          <w:rFonts w:ascii="Calibri" w:eastAsia="宋体" w:hAnsi="Calibri" w:cs="Times New Roman"/>
          <w:position w:val="-6"/>
        </w:rPr>
        <w:object w:dxaOrig="270" w:dyaOrig="465" w14:anchorId="10E277F6">
          <v:shape id="_x0000_i1032" type="#_x0000_t75" style="width:12.9pt;height:23.1pt" o:ole="">
            <v:imagedata r:id="rId13" o:title=""/>
          </v:shape>
          <o:OLEObject Type="Embed" ProgID="Equation.3" ShapeID="_x0000_i1032" DrawAspect="Content" ObjectID="_1603098184" r:id="rId20"/>
        </w:objec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+</w:t>
      </w:r>
      <w:r w:rsidRPr="003D3C2A">
        <w:rPr>
          <w:rFonts w:ascii="Calibri" w:eastAsia="宋体" w:hAnsi="Calibri" w:cs="Times New Roman"/>
          <w:position w:val="-8"/>
        </w:rPr>
        <w:object w:dxaOrig="210" w:dyaOrig="510" w14:anchorId="5B20CDF1">
          <v:shape id="_x0000_i1033" type="#_x0000_t75" style="width:9.65pt;height:24.7pt" o:ole="">
            <v:imagedata r:id="rId15" o:title=""/>
          </v:shape>
          <o:OLEObject Type="Embed" ProgID="Equation.3" ShapeID="_x0000_i1033" DrawAspect="Content" ObjectID="_1603098185" r:id="rId21"/>
        </w:object>
      </w:r>
      <w:r w:rsidRPr="003D3C2A">
        <w:rPr>
          <w:rFonts w:ascii="Times New Roman" w:eastAsia="宋体" w:hAnsi="Times New Roman" w:cs="Times New Roman"/>
          <w:i/>
          <w:kern w:val="0"/>
          <w:sz w:val="24"/>
          <w:szCs w:val="24"/>
        </w:rPr>
        <w:t>+</w:t>
      </w:r>
      <w:r w:rsidRPr="003D3C2A">
        <w:rPr>
          <w:rFonts w:ascii="Calibri" w:eastAsia="宋体" w:hAnsi="Calibri" w:cs="Times New Roman"/>
          <w:position w:val="-4"/>
        </w:rPr>
        <w:object w:dxaOrig="180" w:dyaOrig="450" w14:anchorId="14896B86">
          <v:shape id="_x0000_i1034" type="#_x0000_t75" style="width:9.65pt;height:22.55pt" o:ole="">
            <v:imagedata r:id="rId22" o:title=""/>
          </v:shape>
          <o:OLEObject Type="Embed" ProgID="Equation.3" ShapeID="_x0000_i1034" DrawAspect="Content" ObjectID="_1603098186" r:id="rId23"/>
        </w:object>
      </w:r>
      <w:r w:rsidRPr="003D3C2A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Mean outcome for the treatment group at follow-up.</w:t>
      </w:r>
    </w:p>
    <w:p w14:paraId="38674D07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D3C2A">
        <w:rPr>
          <w:rFonts w:ascii="Calibri" w:eastAsia="宋体" w:hAnsi="Calibri" w:cs="Times New Roman"/>
          <w:noProof/>
          <w:position w:val="-4"/>
        </w:rPr>
        <w:object w:dxaOrig="180" w:dyaOrig="450" w14:anchorId="76EEA667">
          <v:shape id="_x0000_i1035" type="#_x0000_t75" style="width:9.65pt;height:22.55pt" o:ole="">
            <v:imagedata r:id="rId22" o:title=""/>
          </v:shape>
          <o:OLEObject Type="Embed" ProgID="Equation.3" ShapeID="_x0000_i1035" DrawAspect="Content" ObjectID="_1603098187" r:id="rId24"/>
        </w:objec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: The DID or impact of the intervention.</w:t>
      </w:r>
    </w:p>
    <w:p w14:paraId="6E02C7B4" w14:textId="77777777" w:rsidR="00E911FB" w:rsidRPr="003D3C2A" w:rsidRDefault="00E911FB" w:rsidP="00A943E3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D3C2A">
        <w:rPr>
          <w:rFonts w:ascii="Times New Roman" w:eastAsia="宋体" w:hAnsi="Times New Roman" w:cs="Times New Roman"/>
          <w:i/>
          <w:noProof/>
          <w:kern w:val="0"/>
          <w:sz w:val="24"/>
          <w:szCs w:val="24"/>
        </w:rPr>
        <w:t>ε</w:t>
      </w:r>
      <w:r w:rsidRPr="003D3C2A">
        <w:rPr>
          <w:rFonts w:ascii="Times New Roman" w:eastAsia="宋体" w:hAnsi="Times New Roman" w:cs="Times New Roman"/>
          <w:i/>
          <w:noProof/>
          <w:kern w:val="0"/>
          <w:sz w:val="24"/>
          <w:szCs w:val="24"/>
          <w:vertAlign w:val="subscript"/>
        </w:rPr>
        <w:t>i</w:t>
      </w:r>
      <w:r w:rsidRPr="003D3C2A">
        <w:rPr>
          <w:rFonts w:ascii="Times New Roman" w:eastAsia="宋体" w:hAnsi="Times New Roman" w:cs="Times New Roman"/>
          <w:noProof/>
          <w:kern w:val="0"/>
          <w:sz w:val="24"/>
          <w:szCs w:val="24"/>
        </w:rPr>
        <w:t>: The random error.</w:t>
      </w:r>
    </w:p>
    <w:p w14:paraId="48F45F22" w14:textId="77777777" w:rsidR="00F12FB6" w:rsidRPr="00E911FB" w:rsidRDefault="00F12FB6"/>
    <w:sectPr w:rsidR="00F12FB6" w:rsidRPr="00E9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84610" w14:textId="77777777" w:rsidR="005C0D3D" w:rsidRDefault="005C0D3D" w:rsidP="00E911FB">
      <w:r>
        <w:separator/>
      </w:r>
    </w:p>
  </w:endnote>
  <w:endnote w:type="continuationSeparator" w:id="0">
    <w:p w14:paraId="3DEFC2EE" w14:textId="77777777" w:rsidR="005C0D3D" w:rsidRDefault="005C0D3D" w:rsidP="00E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9713" w14:textId="77777777" w:rsidR="005C0D3D" w:rsidRDefault="005C0D3D" w:rsidP="00E911FB">
      <w:r>
        <w:separator/>
      </w:r>
    </w:p>
  </w:footnote>
  <w:footnote w:type="continuationSeparator" w:id="0">
    <w:p w14:paraId="0BAE4777" w14:textId="77777777" w:rsidR="005C0D3D" w:rsidRDefault="005C0D3D" w:rsidP="00E9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6"/>
    <w:rsid w:val="000B33EA"/>
    <w:rsid w:val="003D3C2A"/>
    <w:rsid w:val="005C0D3D"/>
    <w:rsid w:val="00766744"/>
    <w:rsid w:val="00980A8A"/>
    <w:rsid w:val="00A943E3"/>
    <w:rsid w:val="00DE5E27"/>
    <w:rsid w:val="00E22271"/>
    <w:rsid w:val="00E911FB"/>
    <w:rsid w:val="00F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6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1FB"/>
    <w:rPr>
      <w:sz w:val="18"/>
      <w:szCs w:val="18"/>
    </w:rPr>
  </w:style>
  <w:style w:type="table" w:styleId="a5">
    <w:name w:val="Table Grid"/>
    <w:basedOn w:val="a1"/>
    <w:uiPriority w:val="39"/>
    <w:rsid w:val="00E22271"/>
    <w:rPr>
      <w:rFonts w:ascii="Calibri" w:eastAsia="宋体" w:hAnsi="Calibri" w:cs="Times New Roman"/>
      <w:kern w:val="0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6">
    <w:name w:val="Balloon Text"/>
    <w:basedOn w:val="a"/>
    <w:link w:val="Char1"/>
    <w:uiPriority w:val="99"/>
    <w:semiHidden/>
    <w:unhideWhenUsed/>
    <w:rsid w:val="003D3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1FB"/>
    <w:rPr>
      <w:sz w:val="18"/>
      <w:szCs w:val="18"/>
    </w:rPr>
  </w:style>
  <w:style w:type="table" w:styleId="a5">
    <w:name w:val="Table Grid"/>
    <w:basedOn w:val="a1"/>
    <w:uiPriority w:val="39"/>
    <w:rsid w:val="00E22271"/>
    <w:rPr>
      <w:rFonts w:ascii="Calibri" w:eastAsia="宋体" w:hAnsi="Calibri" w:cs="Times New Roman"/>
      <w:kern w:val="0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6">
    <w:name w:val="Balloon Text"/>
    <w:basedOn w:val="a"/>
    <w:link w:val="Char1"/>
    <w:uiPriority w:val="99"/>
    <w:semiHidden/>
    <w:unhideWhenUsed/>
    <w:rsid w:val="003D3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豫东</dc:creator>
  <cp:keywords/>
  <dc:description/>
  <cp:lastModifiedBy>Windows 用户</cp:lastModifiedBy>
  <cp:revision>6</cp:revision>
  <dcterms:created xsi:type="dcterms:W3CDTF">2018-11-06T09:39:00Z</dcterms:created>
  <dcterms:modified xsi:type="dcterms:W3CDTF">2018-11-07T04:12:00Z</dcterms:modified>
</cp:coreProperties>
</file>