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B2" w:rsidRDefault="008B42B2">
      <w:pPr>
        <w:rPr>
          <w:b/>
        </w:rPr>
      </w:pPr>
      <w:r>
        <w:rPr>
          <w:b/>
        </w:rPr>
        <w:t xml:space="preserve">This file contains </w:t>
      </w:r>
      <w:r w:rsidR="00700A86">
        <w:rPr>
          <w:b/>
        </w:rPr>
        <w:t>supplementary material</w:t>
      </w:r>
      <w:r w:rsidR="002329E8">
        <w:rPr>
          <w:b/>
        </w:rPr>
        <w:t>s of</w:t>
      </w:r>
      <w:r w:rsidR="00700A86">
        <w:rPr>
          <w:b/>
        </w:rPr>
        <w:t xml:space="preserve"> </w:t>
      </w:r>
      <w:r w:rsidR="001077B2">
        <w:rPr>
          <w:b/>
        </w:rPr>
        <w:t>Figure S1</w:t>
      </w:r>
      <w:r w:rsidR="003D23BD">
        <w:rPr>
          <w:b/>
        </w:rPr>
        <w:t xml:space="preserve"> and</w:t>
      </w:r>
      <w:r w:rsidR="0068659D">
        <w:rPr>
          <w:b/>
        </w:rPr>
        <w:t xml:space="preserve"> Table S1.</w:t>
      </w:r>
      <w:bookmarkStart w:id="0" w:name="_GoBack"/>
      <w:bookmarkEnd w:id="0"/>
      <w:r w:rsidR="001077B2">
        <w:rPr>
          <w:b/>
        </w:rPr>
        <w:br/>
      </w:r>
    </w:p>
    <w:p w:rsidR="001077B2" w:rsidRDefault="001077B2">
      <w:pPr>
        <w:rPr>
          <w:b/>
        </w:rPr>
      </w:pPr>
      <w:r w:rsidRPr="00ED75A8">
        <w:rPr>
          <w:b/>
          <w:u w:val="single"/>
        </w:rPr>
        <w:t>Figure S1:</w:t>
      </w:r>
      <w:r>
        <w:rPr>
          <w:b/>
        </w:rPr>
        <w:t xml:space="preserve"> </w:t>
      </w:r>
      <w:r w:rsidR="00ED75A8">
        <w:rPr>
          <w:b/>
        </w:rPr>
        <w:br/>
      </w:r>
      <w:r w:rsidRPr="00044413">
        <w:rPr>
          <w:b/>
        </w:rPr>
        <w:t>Residual diagnostic plots</w:t>
      </w:r>
      <w:r w:rsidR="00BD0639">
        <w:rPr>
          <w:b/>
        </w:rPr>
        <w:t>, and AIC values,</w:t>
      </w:r>
      <w:r w:rsidRPr="00044413">
        <w:rPr>
          <w:b/>
        </w:rPr>
        <w:t xml:space="preserve"> </w:t>
      </w:r>
      <w:r>
        <w:rPr>
          <w:b/>
        </w:rPr>
        <w:t xml:space="preserve">for each of the </w:t>
      </w:r>
      <w:r w:rsidR="003C71B5">
        <w:rPr>
          <w:b/>
        </w:rPr>
        <w:t xml:space="preserve">alternatively </w:t>
      </w:r>
      <w:r>
        <w:rPr>
          <w:b/>
        </w:rPr>
        <w:t>CPUE error models</w:t>
      </w:r>
      <w:r w:rsidR="003C71B5">
        <w:rPr>
          <w:b/>
        </w:rPr>
        <w:t xml:space="preserve"> </w:t>
      </w:r>
      <w:r w:rsidR="00A64A28">
        <w:rPr>
          <w:b/>
        </w:rPr>
        <w:t xml:space="preserve">(main effects) of </w:t>
      </w:r>
      <w:r w:rsidR="00A64A28" w:rsidRPr="00A64A28">
        <w:rPr>
          <w:b/>
        </w:rPr>
        <w:t>gamma inverse</w:t>
      </w:r>
      <w:r w:rsidR="00A64A28">
        <w:rPr>
          <w:b/>
        </w:rPr>
        <w:t>-link</w:t>
      </w:r>
      <w:r w:rsidR="00A64A28" w:rsidRPr="00A64A28">
        <w:rPr>
          <w:b/>
        </w:rPr>
        <w:t xml:space="preserve">, lognormal, </w:t>
      </w:r>
      <w:r w:rsidR="00A64A28">
        <w:rPr>
          <w:b/>
        </w:rPr>
        <w:t xml:space="preserve">and </w:t>
      </w:r>
      <w:r w:rsidR="00A64A28" w:rsidRPr="00A64A28">
        <w:rPr>
          <w:b/>
        </w:rPr>
        <w:t>normal</w:t>
      </w:r>
      <w:r w:rsidR="00A64A28">
        <w:rPr>
          <w:b/>
        </w:rPr>
        <w:t>.</w:t>
      </w:r>
      <w:r w:rsidR="00A64A28" w:rsidRPr="00424D8E">
        <w:t xml:space="preserve"> </w:t>
      </w:r>
      <w:r w:rsidR="000B1EC9" w:rsidRPr="00424D8E">
        <w:t>(</w:t>
      </w:r>
      <w:r w:rsidR="00A64A28" w:rsidRPr="00424D8E">
        <w:t>These</w:t>
      </w:r>
      <w:r w:rsidR="008B42B2" w:rsidRPr="00424D8E">
        <w:t xml:space="preserve"> plots can be compared with those</w:t>
      </w:r>
      <w:r w:rsidR="00A64A28" w:rsidRPr="00424D8E">
        <w:t xml:space="preserve"> of the final model </w:t>
      </w:r>
      <w:r w:rsidR="00E20FBC" w:rsidRPr="00424D8E">
        <w:t xml:space="preserve">in the text </w:t>
      </w:r>
      <w:r w:rsidR="008B42B2" w:rsidRPr="00424D8E">
        <w:t>shown in Figure S2</w:t>
      </w:r>
      <w:r w:rsidR="000B1EC9" w:rsidRPr="00424D8E">
        <w:t xml:space="preserve"> </w:t>
      </w:r>
      <w:r w:rsidR="00E20FBC" w:rsidRPr="00424D8E">
        <w:t>for</w:t>
      </w:r>
      <w:r w:rsidR="000B1EC9" w:rsidRPr="00424D8E">
        <w:t xml:space="preserve"> the gamma log-link</w:t>
      </w:r>
      <w:r w:rsidR="00E20FBC" w:rsidRPr="00424D8E">
        <w:t xml:space="preserve"> error model</w:t>
      </w:r>
      <w:r w:rsidR="0066598C" w:rsidRPr="00424D8E">
        <w:t>, which had an AIC value of 21179</w:t>
      </w:r>
      <w:r w:rsidRPr="00424D8E">
        <w:t>.</w:t>
      </w:r>
      <w:r w:rsidR="000B1EC9" w:rsidRPr="00424D8E">
        <w:t xml:space="preserve">) </w:t>
      </w:r>
    </w:p>
    <w:p w:rsidR="00BB1C33" w:rsidRDefault="00BB1C33">
      <w:pPr>
        <w:rPr>
          <w:b/>
        </w:rPr>
      </w:pPr>
      <w:r>
        <w:rPr>
          <w:b/>
        </w:rPr>
        <w:t xml:space="preserve">Gamma inverse-link (AIC = </w:t>
      </w:r>
      <w:r w:rsidR="008C7A36" w:rsidRPr="008C7A36">
        <w:rPr>
          <w:b/>
        </w:rPr>
        <w:t>34192</w:t>
      </w:r>
      <w:r w:rsidR="008C7A36">
        <w:rPr>
          <w:b/>
        </w:rPr>
        <w:t>):</w:t>
      </w:r>
    </w:p>
    <w:p w:rsidR="008C7A36" w:rsidRDefault="00ED75A8">
      <w:pPr>
        <w:rPr>
          <w:b/>
        </w:rPr>
      </w:pPr>
      <w:r w:rsidRPr="00ED75A8">
        <w:rPr>
          <w:noProof/>
          <w:lang w:eastAsia="en-AU"/>
        </w:rPr>
        <w:drawing>
          <wp:inline distT="0" distB="0" distL="0" distR="0" wp14:anchorId="1C283C29" wp14:editId="33DC8ABF">
            <wp:extent cx="5994400" cy="180374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52"/>
                    <a:stretch/>
                  </pic:blipFill>
                  <pic:spPr bwMode="auto">
                    <a:xfrm>
                      <a:off x="0" y="0"/>
                      <a:ext cx="6066407" cy="1825415"/>
                    </a:xfrm>
                    <a:prstGeom prst="rect">
                      <a:avLst/>
                    </a:prstGeom>
                    <a:ln>
                      <a:noFill/>
                    </a:ln>
                    <a:extLst>
                      <a:ext uri="{53640926-AAD7-44D8-BBD7-CCE9431645EC}">
                        <a14:shadowObscured xmlns:a14="http://schemas.microsoft.com/office/drawing/2010/main"/>
                      </a:ext>
                    </a:extLst>
                  </pic:spPr>
                </pic:pic>
              </a:graphicData>
            </a:graphic>
          </wp:inline>
        </w:drawing>
      </w:r>
    </w:p>
    <w:p w:rsidR="00E20FBC" w:rsidRDefault="00E20FBC" w:rsidP="00E20FBC">
      <w:pPr>
        <w:rPr>
          <w:b/>
        </w:rPr>
      </w:pPr>
      <w:r>
        <w:rPr>
          <w:b/>
        </w:rPr>
        <w:t xml:space="preserve">Lognormal (AIC = </w:t>
      </w:r>
      <w:r w:rsidRPr="00E20FBC">
        <w:rPr>
          <w:b/>
        </w:rPr>
        <w:t>568038</w:t>
      </w:r>
      <w:r w:rsidR="001F2A0F">
        <w:rPr>
          <w:b/>
        </w:rPr>
        <w:t>):</w:t>
      </w:r>
      <w:r w:rsidR="00F522D4">
        <w:rPr>
          <w:b/>
        </w:rPr>
        <w:t xml:space="preserve"> </w:t>
      </w:r>
      <w:r w:rsidR="001F2A0F" w:rsidRPr="00287910">
        <w:rPr>
          <w:b/>
        </w:rPr>
        <w:t>Note:</w:t>
      </w:r>
      <w:r w:rsidR="001F2A0F" w:rsidRPr="00287910">
        <w:t xml:space="preserve"> AIC is</w:t>
      </w:r>
      <w:r w:rsidRPr="00287910">
        <w:t xml:space="preserve"> </w:t>
      </w:r>
      <w:r w:rsidR="00755C0B" w:rsidRPr="00287910">
        <w:t>not comparable</w:t>
      </w:r>
      <w:r w:rsidRPr="00287910">
        <w:t xml:space="preserve"> to </w:t>
      </w:r>
      <w:r w:rsidR="001F2A0F" w:rsidRPr="00287910">
        <w:t xml:space="preserve">the AIC of the </w:t>
      </w:r>
      <w:r w:rsidRPr="00287910">
        <w:t xml:space="preserve">gamma and normal models because the dependent </w:t>
      </w:r>
      <w:r w:rsidR="003D23BD">
        <w:t>data</w:t>
      </w:r>
      <w:r w:rsidRPr="00287910">
        <w:t xml:space="preserve"> is different, i.e. log(CPUE) instead of CPUE</w:t>
      </w:r>
      <w:r w:rsidR="001F2A0F" w:rsidRPr="00287910">
        <w:t>.</w:t>
      </w:r>
    </w:p>
    <w:p w:rsidR="00755C0B" w:rsidRDefault="008A40CB" w:rsidP="00E20FBC">
      <w:pPr>
        <w:rPr>
          <w:b/>
        </w:rPr>
      </w:pPr>
      <w:r w:rsidRPr="008A40CB">
        <w:rPr>
          <w:noProof/>
          <w:lang w:eastAsia="en-AU"/>
        </w:rPr>
        <w:drawing>
          <wp:inline distT="0" distB="0" distL="0" distR="0" wp14:anchorId="7CB8C63D" wp14:editId="3BFDF088">
            <wp:extent cx="5961188" cy="18129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8552" cy="1827329"/>
                    </a:xfrm>
                    <a:prstGeom prst="rect">
                      <a:avLst/>
                    </a:prstGeom>
                  </pic:spPr>
                </pic:pic>
              </a:graphicData>
            </a:graphic>
          </wp:inline>
        </w:drawing>
      </w:r>
    </w:p>
    <w:p w:rsidR="00F665B9" w:rsidRDefault="008A40CB">
      <w:pPr>
        <w:rPr>
          <w:b/>
        </w:rPr>
      </w:pPr>
      <w:r>
        <w:rPr>
          <w:b/>
        </w:rPr>
        <w:t xml:space="preserve">Normal (AIC = </w:t>
      </w:r>
      <w:r w:rsidRPr="008A40CB">
        <w:rPr>
          <w:b/>
        </w:rPr>
        <w:t>254637</w:t>
      </w:r>
      <w:r>
        <w:rPr>
          <w:b/>
        </w:rPr>
        <w:t>):</w:t>
      </w:r>
    </w:p>
    <w:p w:rsidR="001077B2" w:rsidRDefault="00AF4A83">
      <w:pPr>
        <w:rPr>
          <w:b/>
        </w:rPr>
      </w:pPr>
      <w:r w:rsidRPr="00AF4A83">
        <w:rPr>
          <w:noProof/>
          <w:lang w:eastAsia="en-AU"/>
        </w:rPr>
        <w:drawing>
          <wp:inline distT="0" distB="0" distL="0" distR="0" wp14:anchorId="1B52D176" wp14:editId="48290AD8">
            <wp:extent cx="5960745" cy="1841848"/>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88618" cy="1850461"/>
                    </a:xfrm>
                    <a:prstGeom prst="rect">
                      <a:avLst/>
                    </a:prstGeom>
                  </pic:spPr>
                </pic:pic>
              </a:graphicData>
            </a:graphic>
          </wp:inline>
        </w:drawing>
      </w:r>
      <w:r w:rsidR="001077B2">
        <w:rPr>
          <w:b/>
        </w:rPr>
        <w:br w:type="page"/>
      </w:r>
    </w:p>
    <w:p w:rsidR="008A40CB" w:rsidRDefault="008A40CB">
      <w:pPr>
        <w:rPr>
          <w:b/>
        </w:rPr>
      </w:pPr>
    </w:p>
    <w:p w:rsidR="001077B2" w:rsidRDefault="001077B2">
      <w:pPr>
        <w:rPr>
          <w:b/>
        </w:rPr>
      </w:pPr>
    </w:p>
    <w:p w:rsidR="00E26F11" w:rsidRDefault="001077B2">
      <w:pPr>
        <w:rPr>
          <w:b/>
        </w:rPr>
      </w:pPr>
      <w:r w:rsidRPr="001849D0">
        <w:rPr>
          <w:b/>
          <w:u w:val="single"/>
        </w:rPr>
        <w:t xml:space="preserve">Table S1: </w:t>
      </w:r>
      <w:r w:rsidR="001849D0">
        <w:rPr>
          <w:b/>
        </w:rPr>
        <w:br/>
      </w:r>
      <w:r w:rsidR="00FB0512">
        <w:rPr>
          <w:b/>
        </w:rPr>
        <w:t>Formulae for</w:t>
      </w:r>
      <w:r w:rsidR="00E26F11" w:rsidRPr="00E26F11">
        <w:rPr>
          <w:b/>
        </w:rPr>
        <w:t xml:space="preserve"> the </w:t>
      </w:r>
      <w:r w:rsidR="00E25104">
        <w:rPr>
          <w:b/>
        </w:rPr>
        <w:t xml:space="preserve">influence </w:t>
      </w:r>
      <w:r w:rsidR="00E26F11" w:rsidRPr="00E26F11">
        <w:rPr>
          <w:b/>
        </w:rPr>
        <w:t>indices</w:t>
      </w:r>
      <w:r w:rsidR="00FB0512">
        <w:rPr>
          <w:b/>
        </w:rPr>
        <w:t xml:space="preserve"> </w:t>
      </w:r>
      <w:r w:rsidR="00E26F11" w:rsidRPr="00E26F11">
        <w:rPr>
          <w:b/>
        </w:rPr>
        <w:t xml:space="preserve">and </w:t>
      </w:r>
      <w:r w:rsidR="00916904">
        <w:rPr>
          <w:b/>
        </w:rPr>
        <w:t>other quantities</w:t>
      </w:r>
      <w:r w:rsidR="00E26F11" w:rsidRPr="00E26F11">
        <w:rPr>
          <w:b/>
        </w:rPr>
        <w:t xml:space="preserve"> </w:t>
      </w:r>
      <w:r w:rsidR="00A67FE6">
        <w:rPr>
          <w:b/>
        </w:rPr>
        <w:t>described in the Methods of</w:t>
      </w:r>
      <w:r w:rsidR="00E26F11" w:rsidRPr="00E26F11">
        <w:rPr>
          <w:b/>
        </w:rPr>
        <w:t xml:space="preserve"> the text.</w:t>
      </w:r>
      <w:r w:rsidR="00916E2A">
        <w:rPr>
          <w:b/>
        </w:rPr>
        <w:br/>
      </w:r>
      <w:r w:rsidR="00916E2A" w:rsidRPr="00916E2A">
        <w:t xml:space="preserve">(The formula for </w:t>
      </w:r>
      <w:r w:rsidR="00916E2A" w:rsidRPr="00916E2A">
        <w:rPr>
          <w:i/>
        </w:rPr>
        <w:t>V</w:t>
      </w:r>
      <w:r w:rsidR="00916E2A" w:rsidRPr="00916E2A">
        <w:t xml:space="preserve"> is presented in the text.)</w:t>
      </w:r>
    </w:p>
    <w:p w:rsidR="00916E2A" w:rsidRDefault="00916E2A">
      <w:pPr>
        <w:rPr>
          <w:b/>
        </w:rPr>
      </w:pPr>
    </w:p>
    <w:tbl>
      <w:tblPr>
        <w:tblStyle w:val="TableGrid"/>
        <w:tblW w:w="9092" w:type="dxa"/>
        <w:tblLook w:val="04A0" w:firstRow="1" w:lastRow="0" w:firstColumn="1" w:lastColumn="0" w:noHBand="0" w:noVBand="1"/>
      </w:tblPr>
      <w:tblGrid>
        <w:gridCol w:w="9092"/>
      </w:tblGrid>
      <w:tr w:rsidR="00303CA8" w:rsidTr="00303CA8">
        <w:trPr>
          <w:trHeight w:val="1134"/>
        </w:trPr>
        <w:tc>
          <w:tcPr>
            <w:tcW w:w="9092" w:type="dxa"/>
          </w:tcPr>
          <w:p w:rsidR="00303CA8" w:rsidRDefault="00303CA8" w:rsidP="00303CA8">
            <w:pPr>
              <w:rPr>
                <w:b/>
              </w:rPr>
            </w:pPr>
            <w:r>
              <w:rPr>
                <w:b/>
              </w:rPr>
              <w:t xml:space="preserve">Influence index for the </w:t>
            </w:r>
            <w:r w:rsidRPr="00395045">
              <w:rPr>
                <w:b/>
                <w:i/>
              </w:rPr>
              <w:t>Vessel</w:t>
            </w:r>
            <w:r>
              <w:rPr>
                <w:b/>
              </w:rPr>
              <w:t xml:space="preserve"> effect</w:t>
            </w:r>
          </w:p>
          <w:p w:rsidR="00303CA8" w:rsidRPr="00492718" w:rsidRDefault="00303CA8" w:rsidP="00303CA8">
            <w:pPr>
              <w:rPr>
                <w:b/>
              </w:rPr>
            </w:pPr>
            <w:r w:rsidRPr="00E518F6">
              <w:rPr>
                <w:position w:val="-64"/>
              </w:rPr>
              <w:object w:dxaOrig="1719"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6pt;height:81.95pt" o:ole="">
                  <v:imagedata r:id="rId7" o:title=""/>
                </v:shape>
                <o:OLEObject Type="Embed" ProgID="Equation.DSMT4" ShapeID="_x0000_i1025" DrawAspect="Content" ObjectID="_1602177899" r:id="rId8"/>
              </w:object>
            </w:r>
          </w:p>
          <w:p w:rsidR="00303CA8" w:rsidRDefault="00303CA8" w:rsidP="00303CA8">
            <w:r>
              <w:t>where</w:t>
            </w:r>
            <w:r w:rsidRPr="0075313C">
              <w:rPr>
                <w:position w:val="-14"/>
              </w:rPr>
              <w:object w:dxaOrig="260" w:dyaOrig="380">
                <v:shape id="_x0000_i1026" type="#_x0000_t75" style="width:16.05pt;height:21.6pt" o:ole="">
                  <v:imagedata r:id="rId9" o:title=""/>
                </v:shape>
                <o:OLEObject Type="Embed" ProgID="Equation.DSMT4" ShapeID="_x0000_i1026" DrawAspect="Content" ObjectID="_1602177900" r:id="rId10"/>
              </w:object>
            </w:r>
            <w:r>
              <w:t xml:space="preserve">= number of data points in the data set of fishing year </w:t>
            </w:r>
            <w:r w:rsidRPr="0075313C">
              <w:rPr>
                <w:i/>
              </w:rPr>
              <w:t>y</w:t>
            </w:r>
            <w:r>
              <w:t xml:space="preserve">, </w:t>
            </w:r>
            <w:r w:rsidRPr="00F514D3">
              <w:rPr>
                <w:position w:val="-6"/>
              </w:rPr>
              <w:object w:dxaOrig="180" w:dyaOrig="180">
                <v:shape id="_x0000_i1027" type="#_x0000_t75" style="width:11.1pt;height:9.95pt" o:ole="">
                  <v:imagedata r:id="rId11" o:title=""/>
                </v:shape>
                <o:OLEObject Type="Embed" ProgID="Equation.DSMT4" ShapeID="_x0000_i1027" DrawAspect="Content" ObjectID="_1602177901" r:id="rId12"/>
              </w:object>
            </w:r>
            <w:r>
              <w:t>= number of data points in the data set spanning 1978-2014, and</w:t>
            </w:r>
            <w:r w:rsidRPr="00115500">
              <w:rPr>
                <w:position w:val="-14"/>
              </w:rPr>
              <w:object w:dxaOrig="560" w:dyaOrig="380">
                <v:shape id="_x0000_i1028" type="#_x0000_t75" style="width:36.55pt;height:24.9pt" o:ole="">
                  <v:imagedata r:id="rId13" o:title=""/>
                </v:shape>
                <o:OLEObject Type="Embed" ProgID="Equation.DSMT4" ShapeID="_x0000_i1028" DrawAspect="Content" ObjectID="_1602177902" r:id="rId14"/>
              </w:object>
            </w:r>
            <w:r>
              <w:t xml:space="preserve">and </w:t>
            </w:r>
            <w:r w:rsidRPr="00E518F6">
              <w:rPr>
                <w:position w:val="-14"/>
              </w:rPr>
              <w:object w:dxaOrig="580" w:dyaOrig="380">
                <v:shape id="_x0000_i1029" type="#_x0000_t75" style="width:38.2pt;height:24.9pt" o:ole="">
                  <v:imagedata r:id="rId15" o:title=""/>
                </v:shape>
                <o:OLEObject Type="Embed" ProgID="Equation.DSMT4" ShapeID="_x0000_i1029" DrawAspect="Content" ObjectID="_1602177903" r:id="rId16"/>
              </w:object>
            </w:r>
            <w:r>
              <w:t xml:space="preserve">are estimated coefficients values of the </w:t>
            </w:r>
            <w:r>
              <w:rPr>
                <w:i/>
              </w:rPr>
              <w:t>V</w:t>
            </w:r>
            <w:r w:rsidRPr="00841BA9">
              <w:rPr>
                <w:i/>
              </w:rPr>
              <w:t>essel</w:t>
            </w:r>
            <w:r>
              <w:t xml:space="preserve"> effect for vessels</w:t>
            </w:r>
            <w:r w:rsidRPr="00DF6ED0">
              <w:rPr>
                <w:position w:val="-12"/>
              </w:rPr>
              <w:object w:dxaOrig="220" w:dyaOrig="360">
                <v:shape id="_x0000_i1030" type="#_x0000_t75" style="width:16.6pt;height:27.7pt" o:ole="">
                  <v:imagedata r:id="rId17" o:title=""/>
                </v:shape>
                <o:OLEObject Type="Embed" ProgID="Equation.DSMT4" ShapeID="_x0000_i1030" DrawAspect="Content" ObjectID="_1602177904" r:id="rId18"/>
              </w:object>
            </w:r>
            <w:r>
              <w:t>and</w:t>
            </w:r>
            <w:r w:rsidRPr="00FA6FA9">
              <w:rPr>
                <w:position w:val="-12"/>
              </w:rPr>
              <w:object w:dxaOrig="240" w:dyaOrig="360">
                <v:shape id="_x0000_i1031" type="#_x0000_t75" style="width:18.3pt;height:27.7pt" o:ole="">
                  <v:imagedata r:id="rId19" o:title=""/>
                </v:shape>
                <o:OLEObject Type="Embed" ProgID="Equation.DSMT4" ShapeID="_x0000_i1031" DrawAspect="Content" ObjectID="_1602177905" r:id="rId20"/>
              </w:object>
            </w:r>
            <w:r>
              <w:t xml:space="preserve">respectively. Analogous formulations apply for each of the covariate effects of </w:t>
            </w:r>
            <w:r w:rsidRPr="00492718">
              <w:rPr>
                <w:i/>
              </w:rPr>
              <w:t>Fisher</w:t>
            </w:r>
            <w:r>
              <w:t xml:space="preserve"> (</w:t>
            </w:r>
            <w:r w:rsidRPr="00171FBA">
              <w:rPr>
                <w:position w:val="-14"/>
              </w:rPr>
              <w:object w:dxaOrig="300" w:dyaOrig="400">
                <v:shape id="_x0000_i1032" type="#_x0000_t75" style="width:14.95pt;height:19.95pt" o:ole="">
                  <v:imagedata r:id="rId21" o:title=""/>
                </v:shape>
                <o:OLEObject Type="Embed" ProgID="Equation.DSMT4" ShapeID="_x0000_i1032" DrawAspect="Content" ObjectID="_1602177906" r:id="rId22"/>
              </w:object>
            </w:r>
            <w:r>
              <w:t xml:space="preserve">), </w:t>
            </w:r>
            <w:r w:rsidRPr="008C5D8C">
              <w:rPr>
                <w:i/>
              </w:rPr>
              <w:t>Month</w:t>
            </w:r>
            <w:r>
              <w:t xml:space="preserve"> (</w:t>
            </w:r>
            <w:r w:rsidRPr="00171FBA">
              <w:rPr>
                <w:position w:val="-14"/>
              </w:rPr>
              <w:object w:dxaOrig="340" w:dyaOrig="400">
                <v:shape id="_x0000_i1033" type="#_x0000_t75" style="width:17.15pt;height:19.95pt" o:ole="">
                  <v:imagedata r:id="rId23" o:title=""/>
                </v:shape>
                <o:OLEObject Type="Embed" ProgID="Equation.DSMT4" ShapeID="_x0000_i1033" DrawAspect="Content" ObjectID="_1602177907" r:id="rId24"/>
              </w:object>
            </w:r>
            <w:r>
              <w:t xml:space="preserve">), </w:t>
            </w:r>
            <w:r w:rsidRPr="008C5D8C">
              <w:rPr>
                <w:i/>
              </w:rPr>
              <w:t>Region</w:t>
            </w:r>
            <w:r>
              <w:t xml:space="preserve"> (</w:t>
            </w:r>
            <w:r w:rsidRPr="00171FBA">
              <w:rPr>
                <w:position w:val="-14"/>
              </w:rPr>
              <w:object w:dxaOrig="300" w:dyaOrig="400">
                <v:shape id="_x0000_i1034" type="#_x0000_t75" style="width:14.95pt;height:19.95pt" o:ole="">
                  <v:imagedata r:id="rId25" o:title=""/>
                </v:shape>
                <o:OLEObject Type="Embed" ProgID="Equation.DSMT4" ShapeID="_x0000_i1034" DrawAspect="Content" ObjectID="_1602177908" r:id="rId26"/>
              </w:object>
            </w:r>
            <w:r>
              <w:t xml:space="preserve">), and </w:t>
            </w:r>
            <w:r w:rsidRPr="008C5D8C">
              <w:rPr>
                <w:i/>
              </w:rPr>
              <w:t>Depth</w:t>
            </w:r>
            <w:r>
              <w:t xml:space="preserve"> (</w:t>
            </w:r>
            <w:r w:rsidRPr="00171FBA">
              <w:rPr>
                <w:position w:val="-14"/>
              </w:rPr>
              <w:object w:dxaOrig="300" w:dyaOrig="400">
                <v:shape id="_x0000_i1035" type="#_x0000_t75" style="width:14.95pt;height:19.95pt" o:ole="">
                  <v:imagedata r:id="rId27" o:title=""/>
                </v:shape>
                <o:OLEObject Type="Embed" ProgID="Equation.DSMT4" ShapeID="_x0000_i1035" DrawAspect="Content" ObjectID="_1602177909" r:id="rId28"/>
              </w:object>
            </w:r>
            <w:r>
              <w:t>). Note that the definition of influence index used here is identical to that of Bentley et al (2012) equation number 4 (i.e.</w:t>
            </w:r>
            <w:r w:rsidRPr="00171FBA">
              <w:rPr>
                <w:position w:val="-14"/>
              </w:rPr>
              <w:object w:dxaOrig="320" w:dyaOrig="400">
                <v:shape id="_x0000_i1036" type="#_x0000_t75" style="width:16.05pt;height:19.95pt" o:ole="">
                  <v:imagedata r:id="rId29" o:title=""/>
                </v:shape>
                <o:OLEObject Type="Embed" ProgID="Equation.DSMT4" ShapeID="_x0000_i1036" DrawAspect="Content" ObjectID="_1602177910" r:id="rId30"/>
              </w:object>
            </w:r>
            <w:r>
              <w:t>for variable X), which can be seen after algebraic rearrangement.</w:t>
            </w:r>
          </w:p>
          <w:p w:rsidR="00303CA8" w:rsidRDefault="00303CA8" w:rsidP="00303CA8"/>
        </w:tc>
      </w:tr>
      <w:tr w:rsidR="00303CA8" w:rsidTr="00303CA8">
        <w:trPr>
          <w:trHeight w:val="1134"/>
        </w:trPr>
        <w:tc>
          <w:tcPr>
            <w:tcW w:w="9092" w:type="dxa"/>
          </w:tcPr>
          <w:p w:rsidR="00303CA8" w:rsidRPr="00303CA8" w:rsidRDefault="00303CA8">
            <w:pPr>
              <w:rPr>
                <w:b/>
              </w:rPr>
            </w:pPr>
            <w:r w:rsidRPr="00303CA8">
              <w:rPr>
                <w:b/>
              </w:rPr>
              <w:t>Influence index for “Non-vessel” combined effects</w:t>
            </w:r>
            <w:r w:rsidRPr="00303CA8">
              <w:rPr>
                <w:b/>
              </w:rPr>
              <w:br/>
            </w:r>
            <w:r w:rsidRPr="0038031C">
              <w:rPr>
                <w:position w:val="-14"/>
              </w:rPr>
              <w:object w:dxaOrig="1740" w:dyaOrig="400">
                <v:shape id="_x0000_i1037" type="#_x0000_t75" style="width:99.7pt;height:21.6pt" o:ole="">
                  <v:imagedata r:id="rId31" o:title=""/>
                </v:shape>
                <o:OLEObject Type="Embed" ProgID="Equation.DSMT4" ShapeID="_x0000_i1037" DrawAspect="Content" ObjectID="_1602177911" r:id="rId32"/>
              </w:object>
            </w:r>
          </w:p>
        </w:tc>
      </w:tr>
      <w:tr w:rsidR="00303CA8" w:rsidTr="00303CA8">
        <w:trPr>
          <w:trHeight w:val="1134"/>
        </w:trPr>
        <w:tc>
          <w:tcPr>
            <w:tcW w:w="9092" w:type="dxa"/>
          </w:tcPr>
          <w:p w:rsidR="00303CA8" w:rsidRPr="00303CA8" w:rsidRDefault="00303CA8">
            <w:pPr>
              <w:rPr>
                <w:b/>
              </w:rPr>
            </w:pPr>
            <w:r w:rsidRPr="00303CA8">
              <w:rPr>
                <w:b/>
              </w:rPr>
              <w:t>Influence index for “All factors” combined effects (total catchability)</w:t>
            </w:r>
            <w:r w:rsidRPr="00303CA8">
              <w:rPr>
                <w:b/>
              </w:rPr>
              <w:br/>
            </w:r>
            <w:r w:rsidRPr="0038031C">
              <w:rPr>
                <w:position w:val="-14"/>
              </w:rPr>
              <w:object w:dxaOrig="1820" w:dyaOrig="400">
                <v:shape id="_x0000_i1038" type="#_x0000_t75" style="width:104.7pt;height:21.6pt" o:ole="">
                  <v:imagedata r:id="rId33" o:title=""/>
                </v:shape>
                <o:OLEObject Type="Embed" ProgID="Equation.DSMT4" ShapeID="_x0000_i1038" DrawAspect="Content" ObjectID="_1602177912" r:id="rId34"/>
              </w:object>
            </w:r>
            <w:r w:rsidRPr="00303CA8">
              <w:rPr>
                <w:b/>
              </w:rPr>
              <w:br/>
            </w:r>
          </w:p>
        </w:tc>
      </w:tr>
      <w:tr w:rsidR="00303CA8" w:rsidTr="00303CA8">
        <w:trPr>
          <w:trHeight w:val="1181"/>
        </w:trPr>
        <w:tc>
          <w:tcPr>
            <w:tcW w:w="9092" w:type="dxa"/>
          </w:tcPr>
          <w:p w:rsidR="00172A88" w:rsidRDefault="00303CA8" w:rsidP="00172A88">
            <w:r w:rsidRPr="00303CA8">
              <w:rPr>
                <w:b/>
              </w:rPr>
              <w:t>“Exiting” vessel influence</w:t>
            </w:r>
            <w:r w:rsidRPr="00303CA8">
              <w:rPr>
                <w:b/>
              </w:rPr>
              <w:br/>
            </w:r>
            <w:r w:rsidR="00172A88">
              <w:t>(continued on next page)</w:t>
            </w:r>
          </w:p>
          <w:p w:rsidR="00172A88" w:rsidRDefault="00172A88" w:rsidP="00172A88"/>
          <w:p w:rsidR="00172A88" w:rsidRDefault="00172A88" w:rsidP="00172A88"/>
          <w:p w:rsidR="00172A88" w:rsidRDefault="00172A88" w:rsidP="00172A88"/>
          <w:p w:rsidR="00172A88" w:rsidRDefault="00172A88" w:rsidP="00172A88"/>
          <w:p w:rsidR="00172A88" w:rsidRDefault="00172A88" w:rsidP="00172A88"/>
          <w:p w:rsidR="00303CA8" w:rsidRPr="00303CA8" w:rsidRDefault="00303CA8" w:rsidP="00172A88">
            <w:pPr>
              <w:rPr>
                <w:b/>
              </w:rPr>
            </w:pPr>
            <w:r w:rsidRPr="00224FF0">
              <w:rPr>
                <w:position w:val="-64"/>
              </w:rPr>
              <w:object w:dxaOrig="4000" w:dyaOrig="1820">
                <v:shape id="_x0000_i1039" type="#_x0000_t75" style="width:263.65pt;height:112.45pt" o:ole="">
                  <v:imagedata r:id="rId35" o:title=""/>
                </v:shape>
                <o:OLEObject Type="Embed" ProgID="Equation.DSMT4" ShapeID="_x0000_i1039" DrawAspect="Content" ObjectID="_1602177913" r:id="rId36"/>
              </w:object>
            </w:r>
            <w:r>
              <w:br/>
            </w:r>
            <w:r w:rsidRPr="00172A88">
              <w:t xml:space="preserve">where </w:t>
            </w:r>
            <w:r w:rsidR="00172A88" w:rsidRPr="00172A88">
              <w:rPr>
                <w:position w:val="-14"/>
              </w:rPr>
              <w:object w:dxaOrig="260" w:dyaOrig="380">
                <v:shape id="_x0000_i1040" type="#_x0000_t75" style="width:16.05pt;height:21.6pt" o:ole="">
                  <v:imagedata r:id="rId37" o:title=""/>
                </v:shape>
                <o:OLEObject Type="Embed" ProgID="Equation.DSMT4" ShapeID="_x0000_i1040" DrawAspect="Content" ObjectID="_1602177914" r:id="rId38"/>
              </w:object>
            </w:r>
            <w:r w:rsidR="00172A88" w:rsidRPr="00172A88">
              <w:t>=</w:t>
            </w:r>
            <w:r w:rsidRPr="00172A88">
              <w:t xml:space="preserve"> number of data points in the data set of fishing year </w:t>
            </w:r>
            <w:r w:rsidRPr="00172A88">
              <w:rPr>
                <w:i/>
              </w:rPr>
              <w:t>y</w:t>
            </w:r>
            <w:r w:rsidRPr="00172A88">
              <w:t xml:space="preserve"> involving vessels that have been in the fishery for more than one year and that are exiting in year </w:t>
            </w:r>
            <w:r w:rsidRPr="00172A88">
              <w:rPr>
                <w:i/>
              </w:rPr>
              <w:t>y</w:t>
            </w:r>
            <w:r w:rsidRPr="00172A88">
              <w:t xml:space="preserve">, </w:t>
            </w:r>
            <w:r w:rsidR="00172A88" w:rsidRPr="0075313C">
              <w:rPr>
                <w:position w:val="-14"/>
              </w:rPr>
              <w:object w:dxaOrig="380" w:dyaOrig="380">
                <v:shape id="_x0000_i1041" type="#_x0000_t75" style="width:23.25pt;height:21.6pt" o:ole="">
                  <v:imagedata r:id="rId39" o:title=""/>
                </v:shape>
                <o:OLEObject Type="Embed" ProgID="Equation.DSMT4" ShapeID="_x0000_i1041" DrawAspect="Content" ObjectID="_1602177915" r:id="rId40"/>
              </w:object>
            </w:r>
            <w:r w:rsidRPr="00172A88">
              <w:t xml:space="preserve"> = same definition as </w:t>
            </w:r>
            <w:r w:rsidR="00172A88" w:rsidRPr="0075313C">
              <w:rPr>
                <w:position w:val="-14"/>
              </w:rPr>
              <w:object w:dxaOrig="260" w:dyaOrig="380">
                <v:shape id="_x0000_i1042" type="#_x0000_t75" style="width:16.05pt;height:21.6pt" o:ole="">
                  <v:imagedata r:id="rId41" o:title=""/>
                </v:shape>
                <o:OLEObject Type="Embed" ProgID="Equation.DSMT4" ShapeID="_x0000_i1042" DrawAspect="Content" ObjectID="_1602177916" r:id="rId42"/>
              </w:object>
            </w:r>
            <w:r w:rsidR="00172A88">
              <w:br/>
            </w:r>
            <w:r w:rsidRPr="00172A88">
              <w:t xml:space="preserve"> but for year </w:t>
            </w:r>
            <w:r w:rsidRPr="00172A88">
              <w:rPr>
                <w:i/>
              </w:rPr>
              <w:t>y</w:t>
            </w:r>
            <w:r w:rsidRPr="00172A88">
              <w:t xml:space="preserve">-1 , </w:t>
            </w:r>
            <w:r w:rsidR="00172A88" w:rsidRPr="00F514D3">
              <w:rPr>
                <w:position w:val="-6"/>
              </w:rPr>
              <w:object w:dxaOrig="200" w:dyaOrig="220">
                <v:shape id="_x0000_i1043" type="#_x0000_t75" style="width:12.75pt;height:12.75pt" o:ole="">
                  <v:imagedata r:id="rId43" o:title=""/>
                </v:shape>
                <o:OLEObject Type="Embed" ProgID="Equation.DSMT4" ShapeID="_x0000_i1043" DrawAspect="Content" ObjectID="_1602177917" r:id="rId44"/>
              </w:object>
            </w:r>
            <w:r w:rsidRPr="00172A88">
              <w:t xml:space="preserve"> = number of data points in the data set spanning 1979-2013 involving vessels that have been in the fishery for more than one year, and </w:t>
            </w:r>
            <w:r w:rsidR="00172A88" w:rsidRPr="00115500">
              <w:rPr>
                <w:position w:val="-14"/>
              </w:rPr>
              <w:object w:dxaOrig="560" w:dyaOrig="380">
                <v:shape id="_x0000_i1044" type="#_x0000_t75" style="width:36.55pt;height:24.9pt" o:ole="">
                  <v:imagedata r:id="rId45" o:title=""/>
                </v:shape>
                <o:OLEObject Type="Embed" ProgID="Equation.DSMT4" ShapeID="_x0000_i1044" DrawAspect="Content" ObjectID="_1602177918" r:id="rId46"/>
              </w:object>
            </w:r>
            <w:r w:rsidRPr="00172A88">
              <w:t xml:space="preserve">, </w:t>
            </w:r>
            <w:r w:rsidR="00172A88" w:rsidRPr="00115500">
              <w:rPr>
                <w:position w:val="-14"/>
              </w:rPr>
              <w:object w:dxaOrig="580" w:dyaOrig="380">
                <v:shape id="_x0000_i1045" type="#_x0000_t75" style="width:38.2pt;height:24.9pt" o:ole="">
                  <v:imagedata r:id="rId47" o:title=""/>
                </v:shape>
                <o:OLEObject Type="Embed" ProgID="Equation.DSMT4" ShapeID="_x0000_i1045" DrawAspect="Content" ObjectID="_1602177919" r:id="rId48"/>
              </w:object>
            </w:r>
            <w:r w:rsidR="00172A88">
              <w:t xml:space="preserve">, </w:t>
            </w:r>
            <w:r w:rsidRPr="00172A88">
              <w:t xml:space="preserve">and </w:t>
            </w:r>
            <w:r w:rsidR="00172A88" w:rsidRPr="00224FF0">
              <w:rPr>
                <w:position w:val="-14"/>
              </w:rPr>
              <w:object w:dxaOrig="580" w:dyaOrig="380">
                <v:shape id="_x0000_i1046" type="#_x0000_t75" style="width:38.2pt;height:24.9pt" o:ole="">
                  <v:imagedata r:id="rId49" o:title=""/>
                </v:shape>
                <o:OLEObject Type="Embed" ProgID="Equation.DSMT4" ShapeID="_x0000_i1046" DrawAspect="Content" ObjectID="_1602177920" r:id="rId50"/>
              </w:object>
            </w:r>
            <w:r w:rsidRPr="00172A88">
              <w:t xml:space="preserve">are estimated coefficients values of the </w:t>
            </w:r>
            <w:r w:rsidRPr="00987B49">
              <w:rPr>
                <w:i/>
              </w:rPr>
              <w:t>Vessel</w:t>
            </w:r>
            <w:r w:rsidRPr="00172A88">
              <w:t xml:space="preserve"> effect for vessels </w:t>
            </w:r>
            <w:r w:rsidR="009667CB">
              <w:t>indexed by</w:t>
            </w:r>
            <w:r w:rsidR="00172A88" w:rsidRPr="00DF6ED0">
              <w:rPr>
                <w:position w:val="-12"/>
              </w:rPr>
              <w:object w:dxaOrig="220" w:dyaOrig="360">
                <v:shape id="_x0000_i1047" type="#_x0000_t75" style="width:16.6pt;height:27.7pt" o:ole="">
                  <v:imagedata r:id="rId17" o:title=""/>
                </v:shape>
                <o:OLEObject Type="Embed" ProgID="Equation.DSMT4" ShapeID="_x0000_i1047" DrawAspect="Content" ObjectID="_1602177921" r:id="rId51"/>
              </w:object>
            </w:r>
            <w:r w:rsidR="00172A88">
              <w:t>,</w:t>
            </w:r>
            <w:r w:rsidR="00172A88" w:rsidRPr="00FA6FA9">
              <w:rPr>
                <w:position w:val="-12"/>
              </w:rPr>
              <w:object w:dxaOrig="240" w:dyaOrig="360">
                <v:shape id="_x0000_i1048" type="#_x0000_t75" style="width:18.3pt;height:27.7pt" o:ole="">
                  <v:imagedata r:id="rId19" o:title=""/>
                </v:shape>
                <o:OLEObject Type="Embed" ProgID="Equation.DSMT4" ShapeID="_x0000_i1048" DrawAspect="Content" ObjectID="_1602177922" r:id="rId52"/>
              </w:object>
            </w:r>
            <w:r w:rsidR="00172A88">
              <w:t>, and</w:t>
            </w:r>
            <w:r w:rsidR="00172A88" w:rsidRPr="00FA6FA9">
              <w:rPr>
                <w:position w:val="-12"/>
              </w:rPr>
              <w:object w:dxaOrig="240" w:dyaOrig="360">
                <v:shape id="_x0000_i1049" type="#_x0000_t75" style="width:18.3pt;height:27.7pt" o:ole="">
                  <v:imagedata r:id="rId53" o:title=""/>
                </v:shape>
                <o:OLEObject Type="Embed" ProgID="Equation.DSMT4" ShapeID="_x0000_i1049" DrawAspect="Content" ObjectID="_1602177923" r:id="rId54"/>
              </w:object>
            </w:r>
            <w:r w:rsidRPr="00172A88">
              <w:t xml:space="preserve">respectively. </w:t>
            </w:r>
            <w:r w:rsidR="00172A88" w:rsidRPr="00172A88">
              <w:t>Analogous formulations apply for the “Entering” and “Remaining” groups of vessels.</w:t>
            </w:r>
          </w:p>
        </w:tc>
      </w:tr>
      <w:tr w:rsidR="00303CA8" w:rsidTr="00303CA8">
        <w:trPr>
          <w:trHeight w:val="1134"/>
        </w:trPr>
        <w:tc>
          <w:tcPr>
            <w:tcW w:w="9092" w:type="dxa"/>
          </w:tcPr>
          <w:p w:rsidR="00303CA8" w:rsidRPr="00867426" w:rsidRDefault="00867426">
            <w:pPr>
              <w:rPr>
                <w:b/>
              </w:rPr>
            </w:pPr>
            <w:r w:rsidRPr="00867426">
              <w:rPr>
                <w:b/>
              </w:rPr>
              <w:lastRenderedPageBreak/>
              <w:t>Yearly nominal CPUE</w:t>
            </w:r>
            <w:r w:rsidRPr="00867426">
              <w:rPr>
                <w:b/>
              </w:rPr>
              <w:br/>
            </w:r>
            <w:r w:rsidRPr="000038DA">
              <w:rPr>
                <w:position w:val="-64"/>
              </w:rPr>
              <w:object w:dxaOrig="2200" w:dyaOrig="1400">
                <v:shape id="_x0000_i1050" type="#_x0000_t75" style="width:108pt;height:64.25pt" o:ole="">
                  <v:imagedata r:id="rId55" o:title=""/>
                </v:shape>
                <o:OLEObject Type="Embed" ProgID="Equation.DSMT4" ShapeID="_x0000_i1050" DrawAspect="Content" ObjectID="_1602177924" r:id="rId56"/>
              </w:object>
            </w:r>
            <w:r>
              <w:br/>
            </w:r>
            <w:r w:rsidRPr="00867426">
              <w:t xml:space="preserve">where </w:t>
            </w:r>
            <w:r w:rsidRPr="0075313C">
              <w:rPr>
                <w:position w:val="-14"/>
              </w:rPr>
              <w:object w:dxaOrig="260" w:dyaOrig="380">
                <v:shape id="_x0000_i1051" type="#_x0000_t75" style="width:16.05pt;height:21.6pt" o:ole="">
                  <v:imagedata r:id="rId9" o:title=""/>
                </v:shape>
                <o:OLEObject Type="Embed" ProgID="Equation.DSMT4" ShapeID="_x0000_i1051" DrawAspect="Content" ObjectID="_1602177925" r:id="rId57"/>
              </w:object>
            </w:r>
            <w:r w:rsidRPr="00867426">
              <w:t xml:space="preserve"> = number of data points in fishing year </w:t>
            </w:r>
            <w:r w:rsidRPr="00867426">
              <w:rPr>
                <w:i/>
              </w:rPr>
              <w:t>y</w:t>
            </w:r>
            <w:r w:rsidRPr="00867426">
              <w:t xml:space="preserve">, and </w:t>
            </w:r>
            <w:r w:rsidRPr="00315417">
              <w:rPr>
                <w:i/>
                <w:position w:val="-14"/>
              </w:rPr>
              <w:object w:dxaOrig="820" w:dyaOrig="400">
                <v:shape id="_x0000_i1052" type="#_x0000_t75" style="width:41pt;height:19.95pt" o:ole="">
                  <v:imagedata r:id="rId58" o:title=""/>
                </v:shape>
                <o:OLEObject Type="Embed" ProgID="Equation.DSMT4" ShapeID="_x0000_i1052" DrawAspect="Content" ObjectID="_1602177926" r:id="rId59"/>
              </w:object>
            </w:r>
            <w:r>
              <w:t xml:space="preserve"> and </w:t>
            </w:r>
            <w:r w:rsidRPr="00315417">
              <w:rPr>
                <w:i/>
                <w:position w:val="-14"/>
              </w:rPr>
              <w:object w:dxaOrig="820" w:dyaOrig="400">
                <v:shape id="_x0000_i1053" type="#_x0000_t75" style="width:41pt;height:19.95pt" o:ole="">
                  <v:imagedata r:id="rId60" o:title=""/>
                </v:shape>
                <o:OLEObject Type="Embed" ProgID="Equation.DSMT4" ShapeID="_x0000_i1053" DrawAspect="Content" ObjectID="_1602177927" r:id="rId61"/>
              </w:object>
            </w:r>
            <w:r w:rsidRPr="00867426">
              <w:t xml:space="preserve"> are respectively the weight of landed lobsters and number of pot-lifts per fishing trip </w:t>
            </w:r>
            <w:r w:rsidRPr="009D67C6">
              <w:rPr>
                <w:i/>
              </w:rPr>
              <w:t>i</w:t>
            </w:r>
            <w:r w:rsidRPr="00867426">
              <w:t xml:space="preserve"> in year</w:t>
            </w:r>
            <w:r w:rsidRPr="00867426">
              <w:rPr>
                <w:i/>
              </w:rPr>
              <w:t xml:space="preserve"> y</w:t>
            </w:r>
            <w:r w:rsidRPr="00867426">
              <w:t>.</w:t>
            </w:r>
          </w:p>
        </w:tc>
      </w:tr>
      <w:tr w:rsidR="00303CA8" w:rsidTr="00303CA8">
        <w:trPr>
          <w:trHeight w:val="1134"/>
        </w:trPr>
        <w:tc>
          <w:tcPr>
            <w:tcW w:w="9092" w:type="dxa"/>
          </w:tcPr>
          <w:p w:rsidR="00303CA8" w:rsidRPr="009D67C6" w:rsidRDefault="009D67C6" w:rsidP="009D67C6">
            <w:r>
              <w:rPr>
                <w:b/>
              </w:rPr>
              <w:t>Yearly standardised CPUE</w:t>
            </w:r>
            <w:r>
              <w:br/>
            </w:r>
            <w:r w:rsidRPr="00295667">
              <w:rPr>
                <w:position w:val="-90"/>
              </w:rPr>
              <w:object w:dxaOrig="3400" w:dyaOrig="1920">
                <v:shape id="_x0000_i1054" type="#_x0000_t75" style="width:166.7pt;height:88.05pt" o:ole="">
                  <v:imagedata r:id="rId62" o:title=""/>
                </v:shape>
                <o:OLEObject Type="Embed" ProgID="Equation.DSMT4" ShapeID="_x0000_i1054" DrawAspect="Content" ObjectID="_1602177928" r:id="rId63"/>
              </w:object>
            </w:r>
            <w:r>
              <w:br/>
            </w:r>
            <w:r w:rsidRPr="009D67C6">
              <w:t xml:space="preserve">where </w:t>
            </w:r>
            <w:r w:rsidRPr="009D67C6">
              <w:rPr>
                <w:i/>
              </w:rPr>
              <w:t>y1</w:t>
            </w:r>
            <w:r w:rsidRPr="009D67C6">
              <w:t xml:space="preserve"> = 1978, </w:t>
            </w:r>
            <w:r w:rsidRPr="009D67C6">
              <w:rPr>
                <w:i/>
              </w:rPr>
              <w:t>y2</w:t>
            </w:r>
            <w:r w:rsidRPr="009D67C6">
              <w:t xml:space="preserve"> = 2014, </w:t>
            </w:r>
            <w:r w:rsidRPr="009D67C6">
              <w:rPr>
                <w:i/>
              </w:rPr>
              <w:t>Y</w:t>
            </w:r>
            <w:r w:rsidRPr="009D67C6">
              <w:t xml:space="preserve"> = the number of years = 2014-1978+1 = 37, and </w:t>
            </w:r>
            <w:r w:rsidRPr="00F116AF">
              <w:rPr>
                <w:position w:val="-14"/>
              </w:rPr>
              <w:object w:dxaOrig="380" w:dyaOrig="380">
                <v:shape id="_x0000_i1055" type="#_x0000_t75" style="width:23.25pt;height:23.25pt" o:ole="">
                  <v:imagedata r:id="rId64" o:title=""/>
                </v:shape>
                <o:OLEObject Type="Embed" ProgID="Equation.DSMT4" ShapeID="_x0000_i1055" DrawAspect="Content" ObjectID="_1602177929" r:id="rId65"/>
              </w:object>
            </w:r>
            <w:r w:rsidRPr="009D67C6">
              <w:t xml:space="preserve">is the estimated coefficient value of the </w:t>
            </w:r>
            <w:r w:rsidRPr="009D67C6">
              <w:rPr>
                <w:i/>
              </w:rPr>
              <w:t>Year</w:t>
            </w:r>
            <w:r w:rsidRPr="009D67C6">
              <w:t xml:space="preserve"> effect for year </w:t>
            </w:r>
            <w:r w:rsidRPr="009D67C6">
              <w:rPr>
                <w:i/>
              </w:rPr>
              <w:t>y</w:t>
            </w:r>
            <w:r w:rsidRPr="009D67C6">
              <w:t>.</w:t>
            </w:r>
          </w:p>
        </w:tc>
      </w:tr>
      <w:tr w:rsidR="00303CA8" w:rsidTr="00303CA8">
        <w:trPr>
          <w:trHeight w:val="1134"/>
        </w:trPr>
        <w:tc>
          <w:tcPr>
            <w:tcW w:w="9092" w:type="dxa"/>
          </w:tcPr>
          <w:p w:rsidR="00303CA8" w:rsidRPr="006E14B4" w:rsidRDefault="006E14B4">
            <w:pPr>
              <w:rPr>
                <w:b/>
              </w:rPr>
            </w:pPr>
            <w:r w:rsidRPr="006E14B4">
              <w:rPr>
                <w:b/>
              </w:rPr>
              <w:t>AIC</w:t>
            </w:r>
            <w:r w:rsidRPr="006E14B4">
              <w:rPr>
                <w:b/>
              </w:rPr>
              <w:br/>
            </w:r>
            <w:r w:rsidRPr="007136A9">
              <w:rPr>
                <w:position w:val="-10"/>
              </w:rPr>
              <w:object w:dxaOrig="2120" w:dyaOrig="320">
                <v:shape id="_x0000_i1056" type="#_x0000_t75" style="width:121.85pt;height:17.15pt" o:ole="">
                  <v:imagedata r:id="rId66" o:title=""/>
                </v:shape>
                <o:OLEObject Type="Embed" ProgID="Equation.DSMT4" ShapeID="_x0000_i1056" DrawAspect="Content" ObjectID="_1602177930" r:id="rId67"/>
              </w:object>
            </w:r>
            <w:r>
              <w:br/>
            </w:r>
            <w:r w:rsidRPr="006E14B4">
              <w:t xml:space="preserve">where </w:t>
            </w:r>
            <w:r>
              <w:t>log</w:t>
            </w:r>
            <w:r w:rsidRPr="006E14B4">
              <w:t xml:space="preserve"> = natural logarithm, </w:t>
            </w:r>
            <w:r w:rsidRPr="006E14B4">
              <w:rPr>
                <w:i/>
              </w:rPr>
              <w:t>L</w:t>
            </w:r>
            <w:r w:rsidRPr="006E14B4">
              <w:t xml:space="preserve"> = maximised likelihood, and </w:t>
            </w:r>
            <w:r w:rsidRPr="006E14B4">
              <w:rPr>
                <w:i/>
              </w:rPr>
              <w:t>p</w:t>
            </w:r>
            <w:r>
              <w:t xml:space="preserve"> </w:t>
            </w:r>
            <w:r w:rsidRPr="006E14B4">
              <w:t>is the number of estimated parameters in the model. It was calculated using the “AIC()” function in R’s stats package.</w:t>
            </w:r>
          </w:p>
        </w:tc>
      </w:tr>
      <w:tr w:rsidR="00303CA8" w:rsidTr="00303CA8">
        <w:trPr>
          <w:trHeight w:val="1134"/>
        </w:trPr>
        <w:tc>
          <w:tcPr>
            <w:tcW w:w="9092" w:type="dxa"/>
          </w:tcPr>
          <w:p w:rsidR="00303CA8" w:rsidRDefault="00B31EC6">
            <w:r w:rsidRPr="00902B67">
              <w:rPr>
                <w:b/>
              </w:rPr>
              <w:t>R</w:t>
            </w:r>
            <w:r w:rsidRPr="00902B67">
              <w:rPr>
                <w:b/>
                <w:vertAlign w:val="superscript"/>
              </w:rPr>
              <w:t>2</w:t>
            </w:r>
            <w:r>
              <w:t xml:space="preserve"> </w:t>
            </w:r>
            <w:r>
              <w:br/>
            </w:r>
            <w:r w:rsidRPr="00870AD1">
              <w:rPr>
                <w:position w:val="-30"/>
              </w:rPr>
              <w:object w:dxaOrig="1880" w:dyaOrig="720">
                <v:shape id="_x0000_i1057" type="#_x0000_t75" style="width:92.5pt;height:33.8pt" o:ole="">
                  <v:imagedata r:id="rId68" o:title=""/>
                </v:shape>
                <o:OLEObject Type="Embed" ProgID="Equation.DSMT4" ShapeID="_x0000_i1057" DrawAspect="Content" ObjectID="_1602177931" r:id="rId69"/>
              </w:object>
            </w:r>
            <w:r>
              <w:br/>
            </w:r>
            <w:r w:rsidRPr="00B31EC6">
              <w:t xml:space="preserve">where </w:t>
            </w:r>
            <w:r w:rsidRPr="00870AD1">
              <w:rPr>
                <w:position w:val="-12"/>
              </w:rPr>
              <w:object w:dxaOrig="520" w:dyaOrig="380">
                <v:shape id="_x0000_i1058" type="#_x0000_t75" style="width:26.05pt;height:18.85pt" o:ole="">
                  <v:imagedata r:id="rId70" o:title=""/>
                </v:shape>
                <o:OLEObject Type="Embed" ProgID="Equation.DSMT4" ShapeID="_x0000_i1058" DrawAspect="Content" ObjectID="_1602177932" r:id="rId71"/>
              </w:object>
            </w:r>
            <w:r w:rsidRPr="00B31EC6">
              <w:t xml:space="preserve"> is the deviance of the null model (intercept only), and </w:t>
            </w:r>
            <w:r w:rsidRPr="006C0BC0">
              <w:rPr>
                <w:position w:val="-12"/>
              </w:rPr>
              <w:object w:dxaOrig="639" w:dyaOrig="380">
                <v:shape id="_x0000_i1059" type="#_x0000_t75" style="width:32.1pt;height:18.85pt" o:ole="">
                  <v:imagedata r:id="rId72" o:title=""/>
                </v:shape>
                <o:OLEObject Type="Embed" ProgID="Equation.DSMT4" ShapeID="_x0000_i1059" DrawAspect="Content" ObjectID="_1602177933" r:id="rId73"/>
              </w:object>
            </w:r>
            <w:r w:rsidRPr="00B31EC6">
              <w:t xml:space="preserve"> is the deviance of the fitted model. Deviance = -2 times the maximised log-likelihood, and values for </w:t>
            </w:r>
            <w:r w:rsidRPr="006C0BC0">
              <w:rPr>
                <w:position w:val="-12"/>
              </w:rPr>
              <w:object w:dxaOrig="520" w:dyaOrig="380">
                <v:shape id="_x0000_i1060" type="#_x0000_t75" style="width:26.05pt;height:18.85pt" o:ole="">
                  <v:imagedata r:id="rId74" o:title=""/>
                </v:shape>
                <o:OLEObject Type="Embed" ProgID="Equation.DSMT4" ShapeID="_x0000_i1060" DrawAspect="Content" ObjectID="_1602177934" r:id="rId75"/>
              </w:object>
            </w:r>
            <w:r>
              <w:t>and</w:t>
            </w:r>
            <w:r w:rsidRPr="006C0BC0">
              <w:rPr>
                <w:position w:val="-12"/>
              </w:rPr>
              <w:object w:dxaOrig="639" w:dyaOrig="380">
                <v:shape id="_x0000_i1061" type="#_x0000_t75" style="width:32.1pt;height:18.85pt" o:ole="">
                  <v:imagedata r:id="rId72" o:title=""/>
                </v:shape>
                <o:OLEObject Type="Embed" ProgID="Equation.DSMT4" ShapeID="_x0000_i1061" DrawAspect="Content" ObjectID="_1602177935" r:id="rId76"/>
              </w:object>
            </w:r>
            <w:r w:rsidRPr="00B31EC6">
              <w:t xml:space="preserve"> were taken directly from the specified (in the text) model object as returned by the “glm()” function implemented in R’s stats package, specifically the object’s components “deviance” and “null.deviance”.</w:t>
            </w:r>
          </w:p>
        </w:tc>
      </w:tr>
      <w:tr w:rsidR="00303CA8" w:rsidTr="00303CA8">
        <w:trPr>
          <w:trHeight w:val="1134"/>
        </w:trPr>
        <w:tc>
          <w:tcPr>
            <w:tcW w:w="9092" w:type="dxa"/>
          </w:tcPr>
          <w:p w:rsidR="00303CA8" w:rsidRPr="00B31EC6" w:rsidRDefault="00B31EC6">
            <w:pPr>
              <w:rPr>
                <w:b/>
              </w:rPr>
            </w:pPr>
            <w:r w:rsidRPr="00B31EC6">
              <w:rPr>
                <w:b/>
              </w:rPr>
              <w:lastRenderedPageBreak/>
              <w:t>Pearson and Spearman correlations</w:t>
            </w:r>
            <w:r w:rsidRPr="00B31EC6">
              <w:rPr>
                <w:b/>
              </w:rPr>
              <w:br/>
            </w:r>
            <w:r w:rsidRPr="00B31EC6">
              <w:t xml:space="preserve">Formulae for these may be found in many textbooks on elementary statistics (e.g. “Statistics in a Nutshell”, 2nd edition, 2012). They were calculated using the “cor.test()” function in R’s stats package, with option “method” set to either “pearson” or "spearman". The two series input into function “cor.test()” were the </w:t>
            </w:r>
            <w:r w:rsidRPr="00B31EC6">
              <w:rPr>
                <w:i/>
              </w:rPr>
              <w:t>Vessel</w:t>
            </w:r>
            <w:r w:rsidRPr="00B31EC6">
              <w:t xml:space="preserve"> and </w:t>
            </w:r>
            <w:r w:rsidRPr="00B31EC6">
              <w:rPr>
                <w:i/>
              </w:rPr>
              <w:t>Fisher</w:t>
            </w:r>
            <w:r w:rsidRPr="00B31EC6">
              <w:t xml:space="preserve"> term vectors from the “fit” component of the object returned by R’s “predict()” function run with option “type” set to “terms”.</w:t>
            </w:r>
          </w:p>
        </w:tc>
      </w:tr>
    </w:tbl>
    <w:p w:rsidR="00B73003" w:rsidRDefault="00B73003"/>
    <w:p w:rsidR="00EA2ACF" w:rsidRDefault="00EA2ACF" w:rsidP="00395045">
      <w:pPr>
        <w:rPr>
          <w:b/>
        </w:rPr>
      </w:pPr>
    </w:p>
    <w:sectPr w:rsidR="00EA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11"/>
    <w:rsid w:val="00001867"/>
    <w:rsid w:val="000038DA"/>
    <w:rsid w:val="000213C7"/>
    <w:rsid w:val="00055164"/>
    <w:rsid w:val="000B1EC9"/>
    <w:rsid w:val="000C7E3C"/>
    <w:rsid w:val="000D3EA8"/>
    <w:rsid w:val="00101202"/>
    <w:rsid w:val="001077B2"/>
    <w:rsid w:val="00107C79"/>
    <w:rsid w:val="001102FA"/>
    <w:rsid w:val="00115500"/>
    <w:rsid w:val="00165C7F"/>
    <w:rsid w:val="00171455"/>
    <w:rsid w:val="00171FBA"/>
    <w:rsid w:val="00172A88"/>
    <w:rsid w:val="001849D0"/>
    <w:rsid w:val="0019122B"/>
    <w:rsid w:val="001B76B2"/>
    <w:rsid w:val="001F2A0F"/>
    <w:rsid w:val="002027B5"/>
    <w:rsid w:val="00207729"/>
    <w:rsid w:val="00216247"/>
    <w:rsid w:val="00224FF0"/>
    <w:rsid w:val="002329E8"/>
    <w:rsid w:val="00247AB6"/>
    <w:rsid w:val="00284B46"/>
    <w:rsid w:val="00287910"/>
    <w:rsid w:val="00295667"/>
    <w:rsid w:val="002D146A"/>
    <w:rsid w:val="002E65E0"/>
    <w:rsid w:val="00303CA8"/>
    <w:rsid w:val="00315417"/>
    <w:rsid w:val="00354507"/>
    <w:rsid w:val="0038031C"/>
    <w:rsid w:val="00395045"/>
    <w:rsid w:val="003A4766"/>
    <w:rsid w:val="003A5B4D"/>
    <w:rsid w:val="003B6C2C"/>
    <w:rsid w:val="003C007C"/>
    <w:rsid w:val="003C71B5"/>
    <w:rsid w:val="003D23BD"/>
    <w:rsid w:val="003E6534"/>
    <w:rsid w:val="003F4DFC"/>
    <w:rsid w:val="00401F55"/>
    <w:rsid w:val="0041650C"/>
    <w:rsid w:val="00416CCD"/>
    <w:rsid w:val="00424D8E"/>
    <w:rsid w:val="00457471"/>
    <w:rsid w:val="00492718"/>
    <w:rsid w:val="00633542"/>
    <w:rsid w:val="00650B69"/>
    <w:rsid w:val="0066598C"/>
    <w:rsid w:val="0068659D"/>
    <w:rsid w:val="006942B0"/>
    <w:rsid w:val="006B3FD1"/>
    <w:rsid w:val="006C06AF"/>
    <w:rsid w:val="006C0BC0"/>
    <w:rsid w:val="006E14B4"/>
    <w:rsid w:val="006F4376"/>
    <w:rsid w:val="00700A86"/>
    <w:rsid w:val="007136A9"/>
    <w:rsid w:val="00750D36"/>
    <w:rsid w:val="0075313C"/>
    <w:rsid w:val="00755C0B"/>
    <w:rsid w:val="00776BDD"/>
    <w:rsid w:val="00787749"/>
    <w:rsid w:val="007B0B6E"/>
    <w:rsid w:val="007C364D"/>
    <w:rsid w:val="00815D33"/>
    <w:rsid w:val="00835243"/>
    <w:rsid w:val="00841BA9"/>
    <w:rsid w:val="0086708E"/>
    <w:rsid w:val="00867426"/>
    <w:rsid w:val="00870AD1"/>
    <w:rsid w:val="00894D77"/>
    <w:rsid w:val="008A40CB"/>
    <w:rsid w:val="008B42B2"/>
    <w:rsid w:val="008B746F"/>
    <w:rsid w:val="008C1C29"/>
    <w:rsid w:val="008C5D8C"/>
    <w:rsid w:val="008C7326"/>
    <w:rsid w:val="008C7A36"/>
    <w:rsid w:val="00902B67"/>
    <w:rsid w:val="009056DA"/>
    <w:rsid w:val="009121B3"/>
    <w:rsid w:val="009153A0"/>
    <w:rsid w:val="00916904"/>
    <w:rsid w:val="00916E2A"/>
    <w:rsid w:val="0092077E"/>
    <w:rsid w:val="00954E30"/>
    <w:rsid w:val="00961B06"/>
    <w:rsid w:val="009667CB"/>
    <w:rsid w:val="009744C6"/>
    <w:rsid w:val="0098010B"/>
    <w:rsid w:val="00983767"/>
    <w:rsid w:val="00987B49"/>
    <w:rsid w:val="00993FC6"/>
    <w:rsid w:val="009B3A3C"/>
    <w:rsid w:val="009D67C6"/>
    <w:rsid w:val="009E34A5"/>
    <w:rsid w:val="00A12C87"/>
    <w:rsid w:val="00A13637"/>
    <w:rsid w:val="00A56969"/>
    <w:rsid w:val="00A56A65"/>
    <w:rsid w:val="00A64A28"/>
    <w:rsid w:val="00A67FE6"/>
    <w:rsid w:val="00A96289"/>
    <w:rsid w:val="00AD0F7A"/>
    <w:rsid w:val="00AF4A83"/>
    <w:rsid w:val="00AF6973"/>
    <w:rsid w:val="00AF761A"/>
    <w:rsid w:val="00B31EC6"/>
    <w:rsid w:val="00B73003"/>
    <w:rsid w:val="00BB1C33"/>
    <w:rsid w:val="00BD0639"/>
    <w:rsid w:val="00C83A14"/>
    <w:rsid w:val="00C83F2F"/>
    <w:rsid w:val="00CB47DA"/>
    <w:rsid w:val="00CE05C3"/>
    <w:rsid w:val="00CE3C87"/>
    <w:rsid w:val="00D00924"/>
    <w:rsid w:val="00DB322A"/>
    <w:rsid w:val="00DE2CDF"/>
    <w:rsid w:val="00DF6ED0"/>
    <w:rsid w:val="00E1393F"/>
    <w:rsid w:val="00E20FBC"/>
    <w:rsid w:val="00E216CD"/>
    <w:rsid w:val="00E25104"/>
    <w:rsid w:val="00E26F11"/>
    <w:rsid w:val="00E518F6"/>
    <w:rsid w:val="00E61EE8"/>
    <w:rsid w:val="00E65F35"/>
    <w:rsid w:val="00E679D7"/>
    <w:rsid w:val="00E876E5"/>
    <w:rsid w:val="00EA2ACF"/>
    <w:rsid w:val="00EB19DC"/>
    <w:rsid w:val="00ED75A8"/>
    <w:rsid w:val="00F116AF"/>
    <w:rsid w:val="00F34898"/>
    <w:rsid w:val="00F514D3"/>
    <w:rsid w:val="00F522D4"/>
    <w:rsid w:val="00F665B9"/>
    <w:rsid w:val="00FA6FA9"/>
    <w:rsid w:val="00FB0512"/>
    <w:rsid w:val="00FC24E5"/>
    <w:rsid w:val="00FC3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D10D6-D9C6-441C-925C-492D603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4.wmf"/><Relationship Id="rId50" Type="http://schemas.openxmlformats.org/officeDocument/2006/relationships/oleObject" Target="embeddings/oleObject22.bin"/><Relationship Id="rId55" Type="http://schemas.openxmlformats.org/officeDocument/2006/relationships/image" Target="media/image27.wmf"/><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oleObject" Target="embeddings/oleObject37.bin"/><Relationship Id="rId7" Type="http://schemas.openxmlformats.org/officeDocument/2006/relationships/image" Target="media/image4.wmf"/><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image" Target="media/image15.wmf"/><Relationship Id="rId11" Type="http://schemas.openxmlformats.org/officeDocument/2006/relationships/image" Target="media/image6.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9.wmf"/><Relationship Id="rId40" Type="http://schemas.openxmlformats.org/officeDocument/2006/relationships/oleObject" Target="embeddings/oleObject17.bin"/><Relationship Id="rId45" Type="http://schemas.openxmlformats.org/officeDocument/2006/relationships/image" Target="media/image23.wmf"/><Relationship Id="rId53" Type="http://schemas.openxmlformats.org/officeDocument/2006/relationships/image" Target="media/image26.wmf"/><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5"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5.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4.wmf"/><Relationship Id="rId30" Type="http://schemas.openxmlformats.org/officeDocument/2006/relationships/oleObject" Target="embeddings/oleObject12.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5.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Feenstra</dc:creator>
  <cp:keywords/>
  <dc:description/>
  <cp:lastModifiedBy>John Feenstra</cp:lastModifiedBy>
  <cp:revision>109</cp:revision>
  <dcterms:created xsi:type="dcterms:W3CDTF">2018-10-20T05:47:00Z</dcterms:created>
  <dcterms:modified xsi:type="dcterms:W3CDTF">2018-10-27T09:47:00Z</dcterms:modified>
</cp:coreProperties>
</file>