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28" w:rsidRPr="00221F88" w:rsidRDefault="00314028" w:rsidP="00314028">
      <w:pPr>
        <w:spacing w:line="360" w:lineRule="auto"/>
        <w:jc w:val="both"/>
        <w:rPr>
          <w:b/>
          <w:color w:val="FF0000"/>
          <w:sz w:val="28"/>
        </w:rPr>
      </w:pPr>
      <w:bookmarkStart w:id="0" w:name="_GoBack"/>
      <w:bookmarkEnd w:id="0"/>
      <w:r w:rsidRPr="006F2FB1">
        <w:rPr>
          <w:b/>
          <w:sz w:val="24"/>
          <w:szCs w:val="24"/>
        </w:rPr>
        <w:t xml:space="preserve">Supplemetary </w:t>
      </w:r>
      <w:r w:rsidRPr="006F2FB1">
        <w:rPr>
          <w:b/>
          <w:sz w:val="28"/>
        </w:rPr>
        <w:t xml:space="preserve">Table. The COPSOQ-TR dimension definitions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14"/>
        <w:gridCol w:w="8505"/>
        <w:gridCol w:w="709"/>
        <w:gridCol w:w="992"/>
        <w:gridCol w:w="992"/>
        <w:gridCol w:w="709"/>
      </w:tblGrid>
      <w:tr w:rsidR="00314028" w:rsidRPr="003143E6" w:rsidTr="006C246D">
        <w:trPr>
          <w:trHeight w:val="433"/>
        </w:trPr>
        <w:tc>
          <w:tcPr>
            <w:tcW w:w="704" w:type="dxa"/>
            <w:shd w:val="clear" w:color="auto" w:fill="auto"/>
          </w:tcPr>
          <w:p w:rsidR="00314028" w:rsidRPr="003143E6" w:rsidRDefault="00314028" w:rsidP="006C246D">
            <w:pPr>
              <w:spacing w:line="276" w:lineRule="auto"/>
              <w:jc w:val="both"/>
              <w:rPr>
                <w:b/>
              </w:rPr>
            </w:pPr>
          </w:p>
        </w:tc>
        <w:tc>
          <w:tcPr>
            <w:tcW w:w="1814" w:type="dxa"/>
            <w:shd w:val="clear" w:color="auto" w:fill="auto"/>
          </w:tcPr>
          <w:p w:rsidR="00314028" w:rsidRPr="003143E6" w:rsidRDefault="00314028" w:rsidP="006C246D">
            <w:pPr>
              <w:spacing w:line="276" w:lineRule="auto"/>
              <w:rPr>
                <w:b/>
              </w:rPr>
            </w:pPr>
            <w:r w:rsidRPr="003143E6">
              <w:rPr>
                <w:b/>
              </w:rPr>
              <w:t>Name of the dimension</w:t>
            </w:r>
          </w:p>
        </w:tc>
        <w:tc>
          <w:tcPr>
            <w:tcW w:w="8505" w:type="dxa"/>
            <w:shd w:val="clear" w:color="auto" w:fill="auto"/>
          </w:tcPr>
          <w:p w:rsidR="00314028" w:rsidRPr="003143E6" w:rsidRDefault="00314028" w:rsidP="006C246D">
            <w:pPr>
              <w:spacing w:line="276" w:lineRule="auto"/>
              <w:jc w:val="both"/>
              <w:rPr>
                <w:b/>
              </w:rPr>
            </w:pPr>
            <w:r w:rsidRPr="003143E6">
              <w:rPr>
                <w:b/>
              </w:rPr>
              <w:t>Meaning of the dimension</w:t>
            </w:r>
          </w:p>
        </w:tc>
        <w:tc>
          <w:tcPr>
            <w:tcW w:w="3402" w:type="dxa"/>
            <w:gridSpan w:val="4"/>
          </w:tcPr>
          <w:p w:rsidR="00314028" w:rsidRPr="003143E6" w:rsidRDefault="00314028" w:rsidP="006C246D">
            <w:pPr>
              <w:spacing w:line="276" w:lineRule="auto"/>
              <w:jc w:val="both"/>
              <w:rPr>
                <w:b/>
              </w:rPr>
            </w:pPr>
            <w:r w:rsidRPr="003143E6">
              <w:rPr>
                <w:b/>
              </w:rPr>
              <w:t>Number of questions</w:t>
            </w:r>
          </w:p>
        </w:tc>
      </w:tr>
      <w:tr w:rsidR="00314028" w:rsidRPr="003143E6" w:rsidTr="006C246D">
        <w:trPr>
          <w:trHeight w:val="433"/>
        </w:trPr>
        <w:tc>
          <w:tcPr>
            <w:tcW w:w="704" w:type="dxa"/>
            <w:shd w:val="clear" w:color="auto" w:fill="auto"/>
          </w:tcPr>
          <w:p w:rsidR="00314028" w:rsidRPr="003143E6" w:rsidRDefault="00314028" w:rsidP="006C246D">
            <w:pPr>
              <w:spacing w:line="276" w:lineRule="auto"/>
              <w:jc w:val="both"/>
              <w:rPr>
                <w:b/>
              </w:rPr>
            </w:pPr>
          </w:p>
        </w:tc>
        <w:tc>
          <w:tcPr>
            <w:tcW w:w="1814" w:type="dxa"/>
            <w:shd w:val="clear" w:color="auto" w:fill="auto"/>
          </w:tcPr>
          <w:p w:rsidR="00314028" w:rsidRPr="003143E6" w:rsidRDefault="00314028" w:rsidP="006C246D">
            <w:pPr>
              <w:spacing w:line="276" w:lineRule="auto"/>
              <w:rPr>
                <w:b/>
              </w:rPr>
            </w:pPr>
          </w:p>
        </w:tc>
        <w:tc>
          <w:tcPr>
            <w:tcW w:w="8505" w:type="dxa"/>
            <w:shd w:val="clear" w:color="auto" w:fill="auto"/>
          </w:tcPr>
          <w:p w:rsidR="00314028" w:rsidRPr="003143E6" w:rsidRDefault="00314028" w:rsidP="006C246D">
            <w:pPr>
              <w:spacing w:line="276" w:lineRule="auto"/>
              <w:jc w:val="both"/>
              <w:rPr>
                <w:b/>
              </w:rPr>
            </w:pP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TR</w:t>
            </w:r>
          </w:p>
        </w:tc>
        <w:tc>
          <w:tcPr>
            <w:tcW w:w="992"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Long**</w:t>
            </w:r>
          </w:p>
        </w:tc>
        <w:tc>
          <w:tcPr>
            <w:tcW w:w="992" w:type="dxa"/>
          </w:tcPr>
          <w:p w:rsidR="00314028" w:rsidRPr="003143E6" w:rsidRDefault="00314028" w:rsidP="006C246D">
            <w:pPr>
              <w:pStyle w:val="EndNoteBibliographyTitle"/>
              <w:spacing w:line="480" w:lineRule="auto"/>
              <w:rPr>
                <w:rFonts w:ascii="Times New Roman" w:hAnsi="Times New Roman"/>
                <w:b/>
                <w:sz w:val="20"/>
              </w:rPr>
            </w:pPr>
            <w:r>
              <w:rPr>
                <w:rFonts w:ascii="Times New Roman" w:hAnsi="Times New Roman"/>
                <w:b/>
                <w:sz w:val="20"/>
              </w:rPr>
              <w:t>Medium</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Short</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w:t>
            </w:r>
          </w:p>
        </w:tc>
        <w:tc>
          <w:tcPr>
            <w:tcW w:w="1814" w:type="dxa"/>
            <w:shd w:val="clear" w:color="auto" w:fill="auto"/>
          </w:tcPr>
          <w:p w:rsidR="00314028" w:rsidRPr="003143E6" w:rsidRDefault="00314028" w:rsidP="006C246D">
            <w:pPr>
              <w:spacing w:line="276" w:lineRule="auto"/>
            </w:pPr>
            <w:r w:rsidRPr="003143E6">
              <w:t>Work pace</w:t>
            </w:r>
          </w:p>
        </w:tc>
        <w:tc>
          <w:tcPr>
            <w:tcW w:w="8505" w:type="dxa"/>
            <w:shd w:val="clear" w:color="auto" w:fill="auto"/>
          </w:tcPr>
          <w:p w:rsidR="00314028" w:rsidRPr="003143E6" w:rsidRDefault="00314028" w:rsidP="006C246D">
            <w:pPr>
              <w:spacing w:line="276" w:lineRule="auto"/>
              <w:jc w:val="both"/>
            </w:pPr>
            <w:r w:rsidRPr="003143E6">
              <w:t>It specifies the pace that the employees should be able to handle while performing their tasks.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2</w:t>
            </w:r>
          </w:p>
        </w:tc>
        <w:tc>
          <w:tcPr>
            <w:tcW w:w="1814" w:type="dxa"/>
            <w:shd w:val="clear" w:color="auto" w:fill="auto"/>
          </w:tcPr>
          <w:p w:rsidR="00314028" w:rsidRPr="003143E6" w:rsidRDefault="00314028" w:rsidP="006C246D">
            <w:pPr>
              <w:spacing w:line="276" w:lineRule="auto"/>
            </w:pPr>
            <w:r w:rsidRPr="003143E6">
              <w:t>Quantitative demands</w:t>
            </w:r>
          </w:p>
        </w:tc>
        <w:tc>
          <w:tcPr>
            <w:tcW w:w="8505" w:type="dxa"/>
            <w:shd w:val="clear" w:color="auto" w:fill="auto"/>
          </w:tcPr>
          <w:p w:rsidR="00314028" w:rsidRPr="003143E6" w:rsidRDefault="00314028" w:rsidP="006C246D">
            <w:pPr>
              <w:spacing w:line="276" w:lineRule="auto"/>
              <w:jc w:val="both"/>
            </w:pPr>
            <w:r w:rsidRPr="003143E6">
              <w:t>It refers to how much work the employees have to do their duties.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3</w:t>
            </w:r>
          </w:p>
        </w:tc>
        <w:tc>
          <w:tcPr>
            <w:tcW w:w="1814" w:type="dxa"/>
            <w:shd w:val="clear" w:color="auto" w:fill="auto"/>
          </w:tcPr>
          <w:p w:rsidR="00314028" w:rsidRPr="003143E6" w:rsidRDefault="00314028" w:rsidP="006C246D">
            <w:pPr>
              <w:spacing w:line="276" w:lineRule="auto"/>
            </w:pPr>
            <w:r w:rsidRPr="003143E6">
              <w:t>Cognitive demands</w:t>
            </w:r>
          </w:p>
        </w:tc>
        <w:tc>
          <w:tcPr>
            <w:tcW w:w="8505" w:type="dxa"/>
            <w:shd w:val="clear" w:color="auto" w:fill="auto"/>
          </w:tcPr>
          <w:p w:rsidR="00314028" w:rsidRPr="003143E6" w:rsidRDefault="00314028" w:rsidP="006C246D">
            <w:pPr>
              <w:spacing w:line="276" w:lineRule="auto"/>
              <w:jc w:val="both"/>
            </w:pPr>
            <w:r w:rsidRPr="003143E6">
              <w:t>It refers to the demands that the employees experience on their cognitive abilities.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4</w:t>
            </w:r>
          </w:p>
        </w:tc>
        <w:tc>
          <w:tcPr>
            <w:tcW w:w="1814" w:type="dxa"/>
            <w:shd w:val="clear" w:color="auto" w:fill="auto"/>
          </w:tcPr>
          <w:p w:rsidR="00314028" w:rsidRPr="003143E6" w:rsidRDefault="00314028" w:rsidP="006C246D">
            <w:pPr>
              <w:spacing w:line="276" w:lineRule="auto"/>
            </w:pPr>
            <w:r w:rsidRPr="003143E6">
              <w:t>Emotional demands</w:t>
            </w:r>
          </w:p>
        </w:tc>
        <w:tc>
          <w:tcPr>
            <w:tcW w:w="8505" w:type="dxa"/>
            <w:shd w:val="clear" w:color="auto" w:fill="auto"/>
          </w:tcPr>
          <w:p w:rsidR="00314028" w:rsidRPr="003143E6" w:rsidRDefault="00314028" w:rsidP="006C246D">
            <w:pPr>
              <w:spacing w:line="276" w:lineRule="auto"/>
              <w:jc w:val="both"/>
            </w:pPr>
            <w:r w:rsidRPr="003143E6">
              <w:t xml:space="preserve">It refers to the demands that require the employee to cope with when they experience conflict with their own or other people's emotions. </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5</w:t>
            </w:r>
          </w:p>
        </w:tc>
        <w:tc>
          <w:tcPr>
            <w:tcW w:w="1814" w:type="dxa"/>
            <w:shd w:val="clear" w:color="auto" w:fill="auto"/>
          </w:tcPr>
          <w:p w:rsidR="00314028" w:rsidRPr="003143E6" w:rsidRDefault="00314028" w:rsidP="006C246D">
            <w:pPr>
              <w:spacing w:line="276" w:lineRule="auto"/>
            </w:pPr>
            <w:r w:rsidRPr="003143E6">
              <w:t>Demands for hiding emotions</w:t>
            </w:r>
          </w:p>
        </w:tc>
        <w:tc>
          <w:tcPr>
            <w:tcW w:w="8505" w:type="dxa"/>
            <w:shd w:val="clear" w:color="auto" w:fill="auto"/>
          </w:tcPr>
          <w:p w:rsidR="00314028" w:rsidRPr="003143E6" w:rsidRDefault="00314028" w:rsidP="006C246D">
            <w:pPr>
              <w:spacing w:line="276" w:lineRule="auto"/>
              <w:jc w:val="both"/>
            </w:pPr>
            <w:r w:rsidRPr="003143E6">
              <w:t>It refers to the presence of demands requiring the employees to hide their feelings from other people.</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r>
      <w:tr w:rsidR="00314028" w:rsidRPr="003143E6" w:rsidTr="006C246D">
        <w:trPr>
          <w:trHeight w:val="410"/>
        </w:trPr>
        <w:tc>
          <w:tcPr>
            <w:tcW w:w="704" w:type="dxa"/>
            <w:shd w:val="clear" w:color="auto" w:fill="auto"/>
          </w:tcPr>
          <w:p w:rsidR="00314028" w:rsidRPr="003143E6" w:rsidRDefault="00314028" w:rsidP="006C246D">
            <w:pPr>
              <w:spacing w:line="276" w:lineRule="auto"/>
              <w:jc w:val="both"/>
            </w:pPr>
            <w:r w:rsidRPr="003143E6">
              <w:t>6</w:t>
            </w:r>
          </w:p>
        </w:tc>
        <w:tc>
          <w:tcPr>
            <w:tcW w:w="1814" w:type="dxa"/>
            <w:shd w:val="clear" w:color="auto" w:fill="auto"/>
          </w:tcPr>
          <w:p w:rsidR="00314028" w:rsidRPr="003143E6" w:rsidRDefault="00314028" w:rsidP="006C246D">
            <w:pPr>
              <w:spacing w:line="276" w:lineRule="auto"/>
            </w:pPr>
            <w:r w:rsidRPr="003143E6">
              <w:t>Influence at work</w:t>
            </w:r>
          </w:p>
        </w:tc>
        <w:tc>
          <w:tcPr>
            <w:tcW w:w="8505" w:type="dxa"/>
            <w:shd w:val="clear" w:color="auto" w:fill="auto"/>
          </w:tcPr>
          <w:p w:rsidR="00314028" w:rsidRPr="003143E6" w:rsidRDefault="00314028" w:rsidP="006C246D">
            <w:pPr>
              <w:spacing w:line="276" w:lineRule="auto"/>
              <w:jc w:val="both"/>
            </w:pPr>
            <w:r w:rsidRPr="003143E6">
              <w:t>It refers to the situation where the employees may influence their own activities such as planning their work and prioritizing their duties.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7</w:t>
            </w:r>
          </w:p>
        </w:tc>
        <w:tc>
          <w:tcPr>
            <w:tcW w:w="1814" w:type="dxa"/>
            <w:shd w:val="clear" w:color="auto" w:fill="auto"/>
          </w:tcPr>
          <w:p w:rsidR="00314028" w:rsidRPr="003143E6" w:rsidRDefault="00314028" w:rsidP="006C246D">
            <w:pPr>
              <w:spacing w:line="276" w:lineRule="auto"/>
            </w:pPr>
            <w:r w:rsidRPr="003143E6">
              <w:t>Possibilities for development</w:t>
            </w:r>
          </w:p>
        </w:tc>
        <w:tc>
          <w:tcPr>
            <w:tcW w:w="8505" w:type="dxa"/>
            <w:shd w:val="clear" w:color="auto" w:fill="auto"/>
          </w:tcPr>
          <w:p w:rsidR="00314028" w:rsidRPr="003143E6" w:rsidRDefault="00314028" w:rsidP="006C246D">
            <w:pPr>
              <w:spacing w:line="276" w:lineRule="auto"/>
              <w:jc w:val="both"/>
            </w:pPr>
            <w:r w:rsidRPr="003143E6">
              <w:t>It refers to the situation where the employees learn their work duties and contribute to their personal development.</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8</w:t>
            </w:r>
          </w:p>
        </w:tc>
        <w:tc>
          <w:tcPr>
            <w:tcW w:w="1814" w:type="dxa"/>
            <w:shd w:val="clear" w:color="auto" w:fill="auto"/>
          </w:tcPr>
          <w:p w:rsidR="00314028" w:rsidRPr="003143E6" w:rsidRDefault="00314028" w:rsidP="006C246D">
            <w:pPr>
              <w:spacing w:line="276" w:lineRule="auto"/>
            </w:pPr>
            <w:r w:rsidRPr="003143E6">
              <w:t>Control over working time</w:t>
            </w:r>
          </w:p>
        </w:tc>
        <w:tc>
          <w:tcPr>
            <w:tcW w:w="8505" w:type="dxa"/>
            <w:shd w:val="clear" w:color="auto" w:fill="auto"/>
          </w:tcPr>
          <w:p w:rsidR="00314028" w:rsidRPr="003143E6" w:rsidRDefault="00314028" w:rsidP="006C246D">
            <w:pPr>
              <w:spacing w:line="276" w:lineRule="auto"/>
              <w:jc w:val="both"/>
            </w:pPr>
            <w:r w:rsidRPr="003143E6">
              <w:t>It addresses the extent to which the employee can affect factors such as holidays, working days, or length of working hours.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9</w:t>
            </w:r>
          </w:p>
        </w:tc>
        <w:tc>
          <w:tcPr>
            <w:tcW w:w="1814" w:type="dxa"/>
            <w:shd w:val="clear" w:color="auto" w:fill="auto"/>
          </w:tcPr>
          <w:p w:rsidR="00314028" w:rsidRPr="003143E6" w:rsidRDefault="00314028" w:rsidP="006C246D">
            <w:pPr>
              <w:spacing w:line="276" w:lineRule="auto"/>
            </w:pPr>
            <w:r w:rsidRPr="003143E6">
              <w:t>Meaning of work</w:t>
            </w:r>
          </w:p>
        </w:tc>
        <w:tc>
          <w:tcPr>
            <w:tcW w:w="8505" w:type="dxa"/>
            <w:shd w:val="clear" w:color="auto" w:fill="auto"/>
          </w:tcPr>
          <w:p w:rsidR="00314028" w:rsidRPr="003143E6" w:rsidRDefault="00314028" w:rsidP="006C246D">
            <w:pPr>
              <w:spacing w:line="276" w:lineRule="auto"/>
              <w:jc w:val="both"/>
            </w:pPr>
            <w:r w:rsidRPr="003143E6">
              <w:t xml:space="preserve">It refers to all concerns related to the aims and content of tasks included in the work. </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10</w:t>
            </w:r>
          </w:p>
        </w:tc>
        <w:tc>
          <w:tcPr>
            <w:tcW w:w="1814" w:type="dxa"/>
            <w:shd w:val="clear" w:color="auto" w:fill="auto"/>
          </w:tcPr>
          <w:p w:rsidR="00314028" w:rsidRPr="003143E6" w:rsidRDefault="00314028" w:rsidP="006C246D">
            <w:pPr>
              <w:spacing w:line="276" w:lineRule="auto"/>
            </w:pPr>
            <w:r w:rsidRPr="003143E6">
              <w:t>Commitment to the workplace</w:t>
            </w:r>
          </w:p>
        </w:tc>
        <w:tc>
          <w:tcPr>
            <w:tcW w:w="8505" w:type="dxa"/>
            <w:shd w:val="clear" w:color="auto" w:fill="auto"/>
          </w:tcPr>
          <w:p w:rsidR="00314028" w:rsidRPr="003143E6" w:rsidRDefault="00314028" w:rsidP="006C246D">
            <w:pPr>
              <w:spacing w:line="276" w:lineRule="auto"/>
              <w:jc w:val="both"/>
            </w:pPr>
            <w:r w:rsidRPr="003143E6">
              <w:t xml:space="preserve">It addresses the extent to which the employees commit themselves to their workplace according to their experiences. </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11</w:t>
            </w:r>
          </w:p>
        </w:tc>
        <w:tc>
          <w:tcPr>
            <w:tcW w:w="1814" w:type="dxa"/>
            <w:shd w:val="clear" w:color="auto" w:fill="auto"/>
          </w:tcPr>
          <w:p w:rsidR="00314028" w:rsidRPr="003143E6" w:rsidRDefault="00314028" w:rsidP="006C246D">
            <w:pPr>
              <w:spacing w:line="276" w:lineRule="auto"/>
            </w:pPr>
            <w:r w:rsidRPr="003143E6">
              <w:t>Predictability</w:t>
            </w:r>
          </w:p>
          <w:p w:rsidR="00314028" w:rsidRPr="003143E6" w:rsidRDefault="00314028" w:rsidP="006C246D">
            <w:pPr>
              <w:spacing w:line="276" w:lineRule="auto"/>
            </w:pPr>
          </w:p>
        </w:tc>
        <w:tc>
          <w:tcPr>
            <w:tcW w:w="8505" w:type="dxa"/>
            <w:shd w:val="clear" w:color="auto" w:fill="auto"/>
          </w:tcPr>
          <w:p w:rsidR="00314028" w:rsidRPr="003143E6" w:rsidRDefault="00314028" w:rsidP="006C246D">
            <w:pPr>
              <w:spacing w:line="276" w:lineRule="auto"/>
              <w:jc w:val="both"/>
            </w:pPr>
            <w:r w:rsidRPr="003143E6">
              <w:t>It refers to the situations where the employees receive the appropriate information at the right time and avoiding uncertainty and insecurity.</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12</w:t>
            </w:r>
          </w:p>
        </w:tc>
        <w:tc>
          <w:tcPr>
            <w:tcW w:w="1814" w:type="dxa"/>
            <w:shd w:val="clear" w:color="auto" w:fill="auto"/>
          </w:tcPr>
          <w:p w:rsidR="00314028" w:rsidRPr="003143E6" w:rsidRDefault="00314028" w:rsidP="006C246D">
            <w:pPr>
              <w:spacing w:line="276" w:lineRule="auto"/>
            </w:pPr>
            <w:r w:rsidRPr="003143E6">
              <w:t>Recognition</w:t>
            </w:r>
          </w:p>
        </w:tc>
        <w:tc>
          <w:tcPr>
            <w:tcW w:w="8505" w:type="dxa"/>
            <w:shd w:val="clear" w:color="auto" w:fill="auto"/>
          </w:tcPr>
          <w:p w:rsidR="00314028" w:rsidRPr="003143E6" w:rsidRDefault="00314028" w:rsidP="006C246D">
            <w:pPr>
              <w:spacing w:line="276" w:lineRule="auto"/>
              <w:jc w:val="both"/>
            </w:pPr>
            <w:r w:rsidRPr="003143E6">
              <w:t>It addresses the management's understanding of an employee's effort at the workplace.</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13</w:t>
            </w:r>
          </w:p>
        </w:tc>
        <w:tc>
          <w:tcPr>
            <w:tcW w:w="1814" w:type="dxa"/>
            <w:shd w:val="clear" w:color="auto" w:fill="auto"/>
          </w:tcPr>
          <w:p w:rsidR="00314028" w:rsidRPr="003143E6" w:rsidRDefault="00314028" w:rsidP="006C246D">
            <w:pPr>
              <w:spacing w:line="276" w:lineRule="auto"/>
            </w:pPr>
            <w:r w:rsidRPr="003143E6">
              <w:t>Role-clarity</w:t>
            </w:r>
          </w:p>
        </w:tc>
        <w:tc>
          <w:tcPr>
            <w:tcW w:w="8505" w:type="dxa"/>
            <w:shd w:val="clear" w:color="auto" w:fill="auto"/>
          </w:tcPr>
          <w:p w:rsidR="00314028" w:rsidRPr="003143E6" w:rsidRDefault="00314028" w:rsidP="006C246D">
            <w:pPr>
              <w:spacing w:line="276" w:lineRule="auto"/>
              <w:jc w:val="both"/>
            </w:pPr>
            <w:r w:rsidRPr="003143E6">
              <w:t>It addresses the employees' understanding of their roles such as expectations and responsibilities and the content of their duties at the workplace.</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14</w:t>
            </w:r>
          </w:p>
        </w:tc>
        <w:tc>
          <w:tcPr>
            <w:tcW w:w="1814" w:type="dxa"/>
            <w:shd w:val="clear" w:color="auto" w:fill="auto"/>
          </w:tcPr>
          <w:p w:rsidR="00314028" w:rsidRPr="003143E6" w:rsidRDefault="00314028" w:rsidP="006C246D">
            <w:pPr>
              <w:spacing w:line="276" w:lineRule="auto"/>
            </w:pPr>
            <w:r w:rsidRPr="003143E6">
              <w:t>Role-conflicts</w:t>
            </w:r>
          </w:p>
        </w:tc>
        <w:tc>
          <w:tcPr>
            <w:tcW w:w="8505" w:type="dxa"/>
            <w:shd w:val="clear" w:color="auto" w:fill="auto"/>
          </w:tcPr>
          <w:p w:rsidR="00314028" w:rsidRPr="003143E6" w:rsidRDefault="00314028" w:rsidP="006C246D">
            <w:pPr>
              <w:spacing w:line="276" w:lineRule="auto"/>
              <w:jc w:val="both"/>
            </w:pPr>
            <w:r w:rsidRPr="003143E6">
              <w:t>It refers to the presence of demands conflicting with the nature of task or the conflict over the priority of tasks.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15</w:t>
            </w:r>
          </w:p>
        </w:tc>
        <w:tc>
          <w:tcPr>
            <w:tcW w:w="1814" w:type="dxa"/>
            <w:shd w:val="clear" w:color="auto" w:fill="auto"/>
          </w:tcPr>
          <w:p w:rsidR="00314028" w:rsidRPr="003143E6" w:rsidRDefault="00314028" w:rsidP="006C246D">
            <w:pPr>
              <w:spacing w:line="276" w:lineRule="auto"/>
            </w:pPr>
            <w:r w:rsidRPr="003143E6">
              <w:t>Quality of leadership</w:t>
            </w:r>
          </w:p>
        </w:tc>
        <w:tc>
          <w:tcPr>
            <w:tcW w:w="8505" w:type="dxa"/>
            <w:shd w:val="clear" w:color="auto" w:fill="auto"/>
          </w:tcPr>
          <w:p w:rsidR="00314028" w:rsidRPr="003143E6" w:rsidRDefault="00314028" w:rsidP="006C246D">
            <w:pPr>
              <w:spacing w:line="276" w:lineRule="auto"/>
              <w:jc w:val="both"/>
            </w:pPr>
            <w:r w:rsidRPr="003143E6">
              <w:t>It addresses the skills of the employees' superior in different contexts and spheres of influence.</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16</w:t>
            </w:r>
          </w:p>
        </w:tc>
        <w:tc>
          <w:tcPr>
            <w:tcW w:w="1814" w:type="dxa"/>
            <w:shd w:val="clear" w:color="auto" w:fill="auto"/>
          </w:tcPr>
          <w:p w:rsidR="00314028" w:rsidRPr="003143E6" w:rsidRDefault="00314028" w:rsidP="006C246D">
            <w:pPr>
              <w:spacing w:line="276" w:lineRule="auto"/>
            </w:pPr>
            <w:r w:rsidRPr="003143E6">
              <w:t>Social support from colleagues</w:t>
            </w:r>
          </w:p>
        </w:tc>
        <w:tc>
          <w:tcPr>
            <w:tcW w:w="8505" w:type="dxa"/>
            <w:shd w:val="clear" w:color="auto" w:fill="auto"/>
          </w:tcPr>
          <w:p w:rsidR="00314028" w:rsidRPr="003143E6" w:rsidRDefault="00314028" w:rsidP="006C246D">
            <w:pPr>
              <w:spacing w:line="276" w:lineRule="auto"/>
              <w:jc w:val="both"/>
            </w:pPr>
            <w:r w:rsidRPr="003143E6">
              <w:t xml:space="preserve">It addresses the opinions of employees about the opportunities to receive support from their colleagues when needed. </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17</w:t>
            </w:r>
          </w:p>
        </w:tc>
        <w:tc>
          <w:tcPr>
            <w:tcW w:w="1814" w:type="dxa"/>
            <w:shd w:val="clear" w:color="auto" w:fill="auto"/>
          </w:tcPr>
          <w:p w:rsidR="00314028" w:rsidRPr="003143E6" w:rsidRDefault="00314028" w:rsidP="006C246D">
            <w:pPr>
              <w:spacing w:line="276" w:lineRule="auto"/>
            </w:pPr>
            <w:r w:rsidRPr="003143E6">
              <w:t>Social support from supervisors</w:t>
            </w:r>
          </w:p>
        </w:tc>
        <w:tc>
          <w:tcPr>
            <w:tcW w:w="8505" w:type="dxa"/>
            <w:shd w:val="clear" w:color="auto" w:fill="auto"/>
          </w:tcPr>
          <w:p w:rsidR="00314028" w:rsidRPr="003143E6" w:rsidRDefault="00314028" w:rsidP="006C246D">
            <w:pPr>
              <w:spacing w:line="276" w:lineRule="auto"/>
              <w:jc w:val="both"/>
            </w:pPr>
            <w:r w:rsidRPr="003143E6">
              <w:t>It addresses the opinions of employees about the opportunities to receive support from their supervisors when needed.</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18</w:t>
            </w:r>
          </w:p>
        </w:tc>
        <w:tc>
          <w:tcPr>
            <w:tcW w:w="1814" w:type="dxa"/>
            <w:shd w:val="clear" w:color="auto" w:fill="auto"/>
          </w:tcPr>
          <w:p w:rsidR="00314028" w:rsidRPr="003143E6" w:rsidRDefault="00314028" w:rsidP="006C246D">
            <w:pPr>
              <w:spacing w:line="276" w:lineRule="auto"/>
            </w:pPr>
            <w:r w:rsidRPr="003143E6">
              <w:t>Sense of community</w:t>
            </w:r>
          </w:p>
        </w:tc>
        <w:tc>
          <w:tcPr>
            <w:tcW w:w="8505" w:type="dxa"/>
            <w:shd w:val="clear" w:color="auto" w:fill="auto"/>
          </w:tcPr>
          <w:p w:rsidR="00314028" w:rsidRPr="003143E6" w:rsidRDefault="00314028" w:rsidP="006C246D">
            <w:pPr>
              <w:spacing w:line="276" w:lineRule="auto"/>
              <w:jc w:val="both"/>
            </w:pPr>
            <w:r w:rsidRPr="003143E6">
              <w:t>It refers to the employee's feeling of being part of a community in the workplace.</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19</w:t>
            </w:r>
          </w:p>
        </w:tc>
        <w:tc>
          <w:tcPr>
            <w:tcW w:w="1814" w:type="dxa"/>
            <w:shd w:val="clear" w:color="auto" w:fill="auto"/>
          </w:tcPr>
          <w:p w:rsidR="00314028" w:rsidRPr="003143E6" w:rsidRDefault="00314028" w:rsidP="006C246D">
            <w:pPr>
              <w:spacing w:line="276" w:lineRule="auto"/>
            </w:pPr>
            <w:r w:rsidRPr="003143E6">
              <w:t>Insecurity over employment</w:t>
            </w:r>
          </w:p>
        </w:tc>
        <w:tc>
          <w:tcPr>
            <w:tcW w:w="8505" w:type="dxa"/>
            <w:shd w:val="clear" w:color="auto" w:fill="auto"/>
          </w:tcPr>
          <w:p w:rsidR="00314028" w:rsidRPr="003143E6" w:rsidRDefault="00314028" w:rsidP="006C246D">
            <w:pPr>
              <w:spacing w:line="276" w:lineRule="auto"/>
              <w:jc w:val="both"/>
            </w:pPr>
            <w:r w:rsidRPr="003143E6">
              <w:t>It refers to the employees' opinion about work security in cases of dismissal from the job or the possibility of finding a new job if dismissed.</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20</w:t>
            </w:r>
          </w:p>
        </w:tc>
        <w:tc>
          <w:tcPr>
            <w:tcW w:w="1814" w:type="dxa"/>
            <w:shd w:val="clear" w:color="auto" w:fill="auto"/>
          </w:tcPr>
          <w:p w:rsidR="00314028" w:rsidRPr="003143E6" w:rsidRDefault="00314028" w:rsidP="006C246D">
            <w:pPr>
              <w:spacing w:line="276" w:lineRule="auto"/>
            </w:pPr>
            <w:r w:rsidRPr="003143E6">
              <w:t>Insecurity over working conditions</w:t>
            </w:r>
          </w:p>
        </w:tc>
        <w:tc>
          <w:tcPr>
            <w:tcW w:w="8505" w:type="dxa"/>
            <w:shd w:val="clear" w:color="auto" w:fill="auto"/>
          </w:tcPr>
          <w:p w:rsidR="00314028" w:rsidRPr="003143E6" w:rsidRDefault="00314028" w:rsidP="006C246D">
            <w:pPr>
              <w:spacing w:line="276" w:lineRule="auto"/>
              <w:jc w:val="both"/>
            </w:pPr>
            <w:r w:rsidRPr="003143E6">
              <w:t>It refers to the employee's opinion about work security in cases of working conditions such as the content of work. For example, reducing working hours or salary in the event that the company passes into other hands.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21</w:t>
            </w:r>
          </w:p>
        </w:tc>
        <w:tc>
          <w:tcPr>
            <w:tcW w:w="1814" w:type="dxa"/>
            <w:shd w:val="clear" w:color="auto" w:fill="auto"/>
          </w:tcPr>
          <w:p w:rsidR="00314028" w:rsidRPr="003143E6" w:rsidRDefault="00314028" w:rsidP="006C246D">
            <w:pPr>
              <w:spacing w:line="276" w:lineRule="auto"/>
            </w:pPr>
            <w:r w:rsidRPr="003143E6">
              <w:t>Work-life conflict</w:t>
            </w:r>
          </w:p>
        </w:tc>
        <w:tc>
          <w:tcPr>
            <w:tcW w:w="8505" w:type="dxa"/>
            <w:shd w:val="clear" w:color="auto" w:fill="auto"/>
          </w:tcPr>
          <w:p w:rsidR="00314028" w:rsidRPr="003143E6" w:rsidRDefault="00314028" w:rsidP="006C246D">
            <w:pPr>
              <w:spacing w:line="276" w:lineRule="auto"/>
              <w:jc w:val="both"/>
            </w:pPr>
            <w:r w:rsidRPr="003143E6">
              <w:t xml:space="preserve">It addresses the potential effects of working on family and personal life. </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22</w:t>
            </w:r>
          </w:p>
        </w:tc>
        <w:tc>
          <w:tcPr>
            <w:tcW w:w="1814" w:type="dxa"/>
            <w:shd w:val="clear" w:color="auto" w:fill="auto"/>
          </w:tcPr>
          <w:p w:rsidR="00314028" w:rsidRPr="003143E6" w:rsidRDefault="00314028" w:rsidP="006C246D">
            <w:pPr>
              <w:spacing w:line="276" w:lineRule="auto"/>
            </w:pPr>
            <w:r w:rsidRPr="003143E6">
              <w:t>Trust</w:t>
            </w:r>
          </w:p>
        </w:tc>
        <w:tc>
          <w:tcPr>
            <w:tcW w:w="8505" w:type="dxa"/>
            <w:shd w:val="clear" w:color="auto" w:fill="auto"/>
          </w:tcPr>
          <w:p w:rsidR="00314028" w:rsidRPr="003143E6" w:rsidRDefault="00314028" w:rsidP="006C246D">
            <w:pPr>
              <w:spacing w:line="276" w:lineRule="auto"/>
              <w:jc w:val="both"/>
            </w:pPr>
            <w:r w:rsidRPr="003143E6">
              <w:t>It addresses whether the employees trust each other and the management in their daily work routine.</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23</w:t>
            </w:r>
          </w:p>
        </w:tc>
        <w:tc>
          <w:tcPr>
            <w:tcW w:w="1814" w:type="dxa"/>
            <w:shd w:val="clear" w:color="auto" w:fill="auto"/>
          </w:tcPr>
          <w:p w:rsidR="00314028" w:rsidRPr="003143E6" w:rsidRDefault="00314028" w:rsidP="006C246D">
            <w:pPr>
              <w:spacing w:line="276" w:lineRule="auto"/>
            </w:pPr>
            <w:r w:rsidRPr="003143E6">
              <w:t>Organizational justice</w:t>
            </w:r>
          </w:p>
        </w:tc>
        <w:tc>
          <w:tcPr>
            <w:tcW w:w="8505" w:type="dxa"/>
            <w:shd w:val="clear" w:color="auto" w:fill="auto"/>
          </w:tcPr>
          <w:p w:rsidR="00314028" w:rsidRPr="003143E6" w:rsidRDefault="00314028" w:rsidP="006C246D">
            <w:pPr>
              <w:spacing w:line="276" w:lineRule="auto"/>
              <w:jc w:val="both"/>
            </w:pPr>
            <w:r w:rsidRPr="003143E6">
              <w:t>It refers to treating employees fairly and respectfully at the workplace.</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2</w:t>
            </w:r>
          </w:p>
        </w:tc>
      </w:tr>
      <w:tr w:rsidR="00314028" w:rsidRPr="003143E6" w:rsidTr="006C246D">
        <w:trPr>
          <w:trHeight w:val="426"/>
        </w:trPr>
        <w:tc>
          <w:tcPr>
            <w:tcW w:w="704" w:type="dxa"/>
            <w:shd w:val="clear" w:color="auto" w:fill="auto"/>
          </w:tcPr>
          <w:p w:rsidR="00314028" w:rsidRPr="003143E6" w:rsidRDefault="00314028" w:rsidP="006C246D">
            <w:pPr>
              <w:spacing w:line="276" w:lineRule="auto"/>
              <w:jc w:val="both"/>
            </w:pPr>
            <w:r w:rsidRPr="003143E6">
              <w:t>24</w:t>
            </w:r>
          </w:p>
        </w:tc>
        <w:tc>
          <w:tcPr>
            <w:tcW w:w="1814" w:type="dxa"/>
            <w:shd w:val="clear" w:color="auto" w:fill="auto"/>
          </w:tcPr>
          <w:p w:rsidR="00314028" w:rsidRPr="003143E6" w:rsidRDefault="00314028" w:rsidP="006C246D">
            <w:pPr>
              <w:spacing w:line="276" w:lineRule="auto"/>
            </w:pPr>
            <w:r w:rsidRPr="003143E6">
              <w:t>Job Satisfaction</w:t>
            </w:r>
          </w:p>
        </w:tc>
        <w:tc>
          <w:tcPr>
            <w:tcW w:w="8505" w:type="dxa"/>
            <w:shd w:val="clear" w:color="auto" w:fill="auto"/>
          </w:tcPr>
          <w:p w:rsidR="00314028" w:rsidRPr="003143E6" w:rsidRDefault="00314028" w:rsidP="006C246D">
            <w:pPr>
              <w:spacing w:line="276" w:lineRule="auto"/>
              <w:jc w:val="both"/>
            </w:pPr>
            <w:r w:rsidRPr="003143E6">
              <w:t>It addresses the satisfaction of employees in various aspects of the work.</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1</w:t>
            </w:r>
          </w:p>
        </w:tc>
      </w:tr>
      <w:tr w:rsidR="00314028" w:rsidRPr="003143E6" w:rsidTr="006C246D">
        <w:trPr>
          <w:trHeight w:val="426"/>
        </w:trPr>
        <w:tc>
          <w:tcPr>
            <w:tcW w:w="704" w:type="dxa"/>
            <w:shd w:val="clear" w:color="auto" w:fill="auto"/>
          </w:tcPr>
          <w:p w:rsidR="00314028" w:rsidRPr="003143E6" w:rsidRDefault="00314028" w:rsidP="006C246D">
            <w:pPr>
              <w:jc w:val="both"/>
            </w:pPr>
            <w:r w:rsidRPr="003143E6">
              <w:t>25</w:t>
            </w:r>
          </w:p>
        </w:tc>
        <w:tc>
          <w:tcPr>
            <w:tcW w:w="1814" w:type="dxa"/>
            <w:shd w:val="clear" w:color="auto" w:fill="auto"/>
          </w:tcPr>
          <w:p w:rsidR="00314028" w:rsidRPr="003143E6" w:rsidRDefault="00314028" w:rsidP="006C246D">
            <w:r w:rsidRPr="003143E6">
              <w:t>Burnout</w:t>
            </w:r>
          </w:p>
        </w:tc>
        <w:tc>
          <w:tcPr>
            <w:tcW w:w="8505" w:type="dxa"/>
            <w:shd w:val="clear" w:color="auto" w:fill="auto"/>
          </w:tcPr>
          <w:p w:rsidR="00314028" w:rsidRPr="003143E6" w:rsidRDefault="00314028" w:rsidP="006C246D">
            <w:pPr>
              <w:jc w:val="both"/>
            </w:pPr>
            <w:r w:rsidRPr="003143E6">
              <w:t>It refers to the physical and mental fatigue levels of employees.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4</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w:t>
            </w:r>
          </w:p>
        </w:tc>
      </w:tr>
      <w:tr w:rsidR="00314028" w:rsidRPr="003143E6" w:rsidTr="006C246D">
        <w:trPr>
          <w:trHeight w:val="426"/>
        </w:trPr>
        <w:tc>
          <w:tcPr>
            <w:tcW w:w="704" w:type="dxa"/>
            <w:shd w:val="clear" w:color="auto" w:fill="auto"/>
          </w:tcPr>
          <w:p w:rsidR="00314028" w:rsidRPr="003143E6" w:rsidRDefault="00314028" w:rsidP="006C246D">
            <w:pPr>
              <w:jc w:val="both"/>
            </w:pPr>
          </w:p>
        </w:tc>
        <w:tc>
          <w:tcPr>
            <w:tcW w:w="1814" w:type="dxa"/>
            <w:shd w:val="clear" w:color="auto" w:fill="auto"/>
          </w:tcPr>
          <w:p w:rsidR="00314028" w:rsidRPr="003143E6" w:rsidRDefault="00314028" w:rsidP="006C246D"/>
        </w:tc>
        <w:tc>
          <w:tcPr>
            <w:tcW w:w="8505" w:type="dxa"/>
            <w:shd w:val="clear" w:color="auto" w:fill="auto"/>
          </w:tcPr>
          <w:p w:rsidR="00314028" w:rsidRPr="003143E6" w:rsidRDefault="00314028" w:rsidP="006C246D">
            <w:pPr>
              <w:jc w:val="both"/>
            </w:pPr>
            <w:r w:rsidRPr="003143E6">
              <w:rPr>
                <w:b/>
              </w:rPr>
              <w:t>Total number of questions</w:t>
            </w:r>
          </w:p>
        </w:tc>
        <w:tc>
          <w:tcPr>
            <w:tcW w:w="709" w:type="dxa"/>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88</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89</w:t>
            </w:r>
          </w:p>
        </w:tc>
        <w:tc>
          <w:tcPr>
            <w:tcW w:w="992"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59</w:t>
            </w:r>
          </w:p>
        </w:tc>
        <w:tc>
          <w:tcPr>
            <w:tcW w:w="709" w:type="dxa"/>
            <w:vAlign w:val="center"/>
          </w:tcPr>
          <w:p w:rsidR="00314028" w:rsidRPr="003143E6" w:rsidRDefault="00314028" w:rsidP="006C246D">
            <w:pPr>
              <w:pStyle w:val="EndNoteBibliographyTitle"/>
              <w:spacing w:line="480" w:lineRule="auto"/>
              <w:rPr>
                <w:rFonts w:ascii="Times New Roman" w:hAnsi="Times New Roman"/>
                <w:b/>
                <w:sz w:val="20"/>
              </w:rPr>
            </w:pPr>
            <w:r w:rsidRPr="003143E6">
              <w:rPr>
                <w:rFonts w:ascii="Times New Roman" w:hAnsi="Times New Roman"/>
                <w:b/>
                <w:sz w:val="20"/>
              </w:rPr>
              <w:t>31</w:t>
            </w:r>
          </w:p>
        </w:tc>
      </w:tr>
    </w:tbl>
    <w:p w:rsidR="00314028" w:rsidRPr="008204CA" w:rsidRDefault="00314028" w:rsidP="00314028">
      <w:pPr>
        <w:autoSpaceDE/>
        <w:autoSpaceDN/>
        <w:spacing w:after="200" w:line="276" w:lineRule="auto"/>
        <w:rPr>
          <w:sz w:val="24"/>
          <w:szCs w:val="24"/>
        </w:rPr>
      </w:pPr>
      <w:r w:rsidRPr="008204CA">
        <w:rPr>
          <w:sz w:val="24"/>
          <w:szCs w:val="24"/>
        </w:rPr>
        <w:t xml:space="preserve">*One of the items in the meaning of work dimension, "Do you feel motivated and involved in your work?", which was not included in the COPSOQ-3, </w:t>
      </w:r>
      <w:r w:rsidRPr="00AD360C">
        <w:rPr>
          <w:sz w:val="24"/>
          <w:szCs w:val="24"/>
        </w:rPr>
        <w:t>was taken from COPSOQ-2</w:t>
      </w:r>
      <w:r w:rsidRPr="008204CA">
        <w:rPr>
          <w:sz w:val="24"/>
          <w:szCs w:val="24"/>
        </w:rPr>
        <w:t xml:space="preserve"> (17).</w:t>
      </w:r>
    </w:p>
    <w:p w:rsidR="00314028" w:rsidRPr="008204CA" w:rsidRDefault="00314028" w:rsidP="00314028">
      <w:pPr>
        <w:autoSpaceDE/>
        <w:autoSpaceDN/>
        <w:spacing w:after="200" w:line="276" w:lineRule="auto"/>
        <w:rPr>
          <w:sz w:val="24"/>
          <w:szCs w:val="24"/>
        </w:rPr>
      </w:pPr>
      <w:r w:rsidRPr="008204CA">
        <w:rPr>
          <w:sz w:val="24"/>
          <w:szCs w:val="24"/>
        </w:rPr>
        <w:t>**The long version of questionnaire includes 15 more dimensions not included in this study.</w:t>
      </w:r>
    </w:p>
    <w:p w:rsidR="00314028" w:rsidRPr="008544DE" w:rsidRDefault="00314028" w:rsidP="00314028">
      <w:pPr>
        <w:autoSpaceDE/>
        <w:autoSpaceDN/>
        <w:spacing w:after="200" w:line="276" w:lineRule="auto"/>
        <w:rPr>
          <w:b/>
          <w:sz w:val="24"/>
          <w:szCs w:val="24"/>
        </w:rPr>
      </w:pPr>
    </w:p>
    <w:p w:rsidR="00314028" w:rsidRDefault="00314028" w:rsidP="00314028"/>
    <w:p w:rsidR="00D55529" w:rsidRDefault="00D55529"/>
    <w:sectPr w:rsidR="00D55529" w:rsidSect="002B0D47">
      <w:footerReference w:type="default" r:id="rId6"/>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FD" w:rsidRDefault="00AC48FD">
      <w:r>
        <w:separator/>
      </w:r>
    </w:p>
  </w:endnote>
  <w:endnote w:type="continuationSeparator" w:id="0">
    <w:p w:rsidR="00AC48FD" w:rsidRDefault="00AC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46" w:rsidRDefault="00314028">
    <w:pPr>
      <w:jc w:val="center"/>
    </w:pPr>
    <w:r>
      <w:fldChar w:fldCharType="begin"/>
    </w:r>
    <w:r>
      <w:instrText xml:space="preserve"> PAGE   \* MERGEFORMAT </w:instrText>
    </w:r>
    <w:r>
      <w:fldChar w:fldCharType="separate"/>
    </w:r>
    <w:r w:rsidR="007F1480">
      <w:rPr>
        <w:noProof/>
      </w:rPr>
      <w:t>1</w:t>
    </w:r>
    <w:r>
      <w:fldChar w:fldCharType="end"/>
    </w:r>
  </w:p>
  <w:p w:rsidR="00593E46" w:rsidRDefault="00AC48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FD" w:rsidRDefault="00AC48FD">
      <w:r>
        <w:separator/>
      </w:r>
    </w:p>
  </w:footnote>
  <w:footnote w:type="continuationSeparator" w:id="0">
    <w:p w:rsidR="00AC48FD" w:rsidRDefault="00AC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28"/>
    <w:rsid w:val="00314028"/>
    <w:rsid w:val="007F1480"/>
    <w:rsid w:val="00AC48FD"/>
    <w:rsid w:val="00D55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E89C-4A8F-4506-A1A7-BB41362A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28"/>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314028"/>
    <w:pPr>
      <w:jc w:val="center"/>
    </w:pPr>
    <w:rPr>
      <w:rFonts w:ascii="Cambria" w:hAnsi="Cambria"/>
      <w:noProof/>
      <w:sz w:val="28"/>
    </w:rPr>
  </w:style>
  <w:style w:type="character" w:customStyle="1" w:styleId="EndNoteBibliographyTitleChar">
    <w:name w:val="EndNote Bibliography Title Char"/>
    <w:link w:val="EndNoteBibliographyTitle"/>
    <w:rsid w:val="00314028"/>
    <w:rPr>
      <w:rFonts w:ascii="Cambria" w:eastAsia="Times New Roman" w:hAnsi="Cambria" w:cs="Times New Roman"/>
      <w:noProof/>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TOSHIBA-PC</cp:lastModifiedBy>
  <cp:revision>2</cp:revision>
  <dcterms:created xsi:type="dcterms:W3CDTF">2018-06-08T08:42:00Z</dcterms:created>
  <dcterms:modified xsi:type="dcterms:W3CDTF">2018-06-08T08:42:00Z</dcterms:modified>
</cp:coreProperties>
</file>