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8" w:rsidRDefault="002C77C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CLEAN COPY – SUPPLEMENTAL MATERIAL FILE</w:t>
      </w:r>
    </w:p>
    <w:p w:rsidR="002C77C8" w:rsidRDefault="002C77C8">
      <w:pPr>
        <w:rPr>
          <w:rFonts w:ascii="Times New Roman" w:hAnsi="Times New Roman" w:cs="Times New Roman"/>
          <w:b/>
          <w:sz w:val="36"/>
          <w:szCs w:val="36"/>
        </w:rPr>
      </w:pPr>
    </w:p>
    <w:p w:rsidR="002C77C8" w:rsidRPr="002C77C8" w:rsidRDefault="002C77C8">
      <w:pPr>
        <w:rPr>
          <w:rFonts w:ascii="Times New Roman" w:hAnsi="Times New Roman" w:cs="Times New Roman"/>
          <w:b/>
          <w:sz w:val="36"/>
          <w:szCs w:val="36"/>
        </w:rPr>
      </w:pPr>
    </w:p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p w:rsidR="002C77C8" w:rsidRDefault="002C77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527"/>
      </w:tblGrid>
      <w:tr w:rsidR="00362E10" w:rsidRPr="002C77C8" w:rsidTr="00C25361">
        <w:trPr>
          <w:trHeight w:val="239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Supplemental T</w:t>
            </w:r>
            <w:r w:rsidRPr="00C10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10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E0A6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henotypic characteristics of </w:t>
            </w:r>
            <w:r w:rsidR="009F3152" w:rsidRPr="009774AF">
              <w:rPr>
                <w:rFonts w:ascii="Times New Roman" w:hAnsi="Times New Roman" w:cs="Times New Roman"/>
                <w:i/>
                <w:sz w:val="20"/>
                <w:szCs w:val="20"/>
              </w:rPr>
              <w:t>P. aeruginosa</w:t>
            </w:r>
            <w:r w:rsidR="009F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isolates (n=56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62E10" w:rsidRPr="002C77C8" w:rsidTr="00C25361">
        <w:trPr>
          <w:trHeight w:val="239"/>
        </w:trPr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E10" w:rsidRPr="00B04691" w:rsidTr="00C25361">
        <w:trPr>
          <w:trHeight w:val="239"/>
        </w:trPr>
        <w:tc>
          <w:tcPr>
            <w:tcW w:w="3527" w:type="dxa"/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0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Isolate phenotype </w:t>
            </w:r>
          </w:p>
        </w:tc>
        <w:tc>
          <w:tcPr>
            <w:tcW w:w="3527" w:type="dxa"/>
            <w:vAlign w:val="center"/>
          </w:tcPr>
          <w:p w:rsidR="00362E10" w:rsidRPr="00C101F0" w:rsidRDefault="009F0F23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</w:tr>
      <w:tr w:rsidR="00362E10" w:rsidRPr="00B04691" w:rsidTr="00C25361">
        <w:trPr>
          <w:trHeight w:val="239"/>
        </w:trPr>
        <w:tc>
          <w:tcPr>
            <w:tcW w:w="3527" w:type="dxa"/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Mucoid</w:t>
            </w:r>
            <w:r w:rsidR="008E4E9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F0F23">
              <w:rPr>
                <w:rFonts w:ascii="Times New Roman" w:hAnsi="Times New Roman" w:cs="Times New Roman"/>
                <w:sz w:val="20"/>
                <w:szCs w:val="20"/>
              </w:rPr>
              <w:t xml:space="preserve"> (yes)</w:t>
            </w:r>
          </w:p>
        </w:tc>
        <w:tc>
          <w:tcPr>
            <w:tcW w:w="3527" w:type="dxa"/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2E10" w:rsidRPr="00B04691" w:rsidTr="00C25361">
        <w:trPr>
          <w:trHeight w:val="239"/>
        </w:trPr>
        <w:tc>
          <w:tcPr>
            <w:tcW w:w="3527" w:type="dxa"/>
            <w:vAlign w:val="center"/>
          </w:tcPr>
          <w:p w:rsidR="00362E10" w:rsidRPr="00C101F0" w:rsidRDefault="009F0F23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Metallic sheen (present)</w:t>
            </w:r>
          </w:p>
        </w:tc>
        <w:tc>
          <w:tcPr>
            <w:tcW w:w="3527" w:type="dxa"/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(18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2E10" w:rsidRPr="00C101F0" w:rsidTr="00C25361">
        <w:trPr>
          <w:trHeight w:val="239"/>
        </w:trPr>
        <w:tc>
          <w:tcPr>
            <w:tcW w:w="3527" w:type="dxa"/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Colony lysi</w:t>
            </w:r>
            <w:r w:rsidR="009F0F23">
              <w:rPr>
                <w:rFonts w:ascii="Times New Roman" w:hAnsi="Times New Roman" w:cs="Times New Roman"/>
                <w:sz w:val="20"/>
                <w:szCs w:val="20"/>
              </w:rPr>
              <w:t>s (present)</w:t>
            </w:r>
          </w:p>
        </w:tc>
        <w:tc>
          <w:tcPr>
            <w:tcW w:w="3527" w:type="dxa"/>
            <w:vAlign w:val="center"/>
          </w:tcPr>
          <w:p w:rsidR="00362E10" w:rsidRPr="00C101F0" w:rsidRDefault="00362E10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4691" w:rsidRPr="00B04691" w:rsidTr="00C25361">
        <w:trPr>
          <w:trHeight w:val="239"/>
        </w:trPr>
        <w:tc>
          <w:tcPr>
            <w:tcW w:w="3527" w:type="dxa"/>
            <w:vAlign w:val="center"/>
          </w:tcPr>
          <w:p w:rsidR="00B04691" w:rsidRPr="00C101F0" w:rsidRDefault="00B04691" w:rsidP="00B0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Pigment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9F0F23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527" w:type="dxa"/>
            <w:vAlign w:val="center"/>
          </w:tcPr>
          <w:p w:rsidR="00B04691" w:rsidRPr="00C101F0" w:rsidRDefault="00B04691" w:rsidP="007D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(38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4691" w:rsidRPr="00B04691" w:rsidTr="00C25361">
        <w:trPr>
          <w:trHeight w:val="239"/>
        </w:trPr>
        <w:tc>
          <w:tcPr>
            <w:tcW w:w="3527" w:type="dxa"/>
            <w:vAlign w:val="center"/>
          </w:tcPr>
          <w:p w:rsidR="00B04691" w:rsidRPr="00C101F0" w:rsidRDefault="00B04691" w:rsidP="00B0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F0F23">
              <w:rPr>
                <w:rFonts w:ascii="Times New Roman" w:hAnsi="Times New Roman" w:cs="Times New Roman"/>
                <w:sz w:val="20"/>
                <w:szCs w:val="20"/>
              </w:rPr>
              <w:t xml:space="preserve"> Blue-green</w:t>
            </w:r>
          </w:p>
        </w:tc>
        <w:tc>
          <w:tcPr>
            <w:tcW w:w="3527" w:type="dxa"/>
            <w:vAlign w:val="center"/>
          </w:tcPr>
          <w:p w:rsidR="00B04691" w:rsidRPr="00C101F0" w:rsidRDefault="00B04691" w:rsidP="007D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04691" w:rsidRPr="00B04691" w:rsidTr="00C25361">
        <w:trPr>
          <w:trHeight w:val="239"/>
        </w:trPr>
        <w:tc>
          <w:tcPr>
            <w:tcW w:w="3527" w:type="dxa"/>
            <w:vAlign w:val="center"/>
          </w:tcPr>
          <w:p w:rsidR="00B04691" w:rsidRPr="00C101F0" w:rsidRDefault="009F0F23" w:rsidP="00B0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Yellow</w:t>
            </w:r>
          </w:p>
        </w:tc>
        <w:tc>
          <w:tcPr>
            <w:tcW w:w="3527" w:type="dxa"/>
            <w:vAlign w:val="center"/>
          </w:tcPr>
          <w:p w:rsidR="00B04691" w:rsidRPr="00C101F0" w:rsidRDefault="00B04691" w:rsidP="007D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(11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4691" w:rsidRPr="00B04691" w:rsidTr="00C25361">
        <w:trPr>
          <w:trHeight w:val="239"/>
        </w:trPr>
        <w:tc>
          <w:tcPr>
            <w:tcW w:w="3527" w:type="dxa"/>
            <w:vAlign w:val="center"/>
          </w:tcPr>
          <w:p w:rsidR="00B04691" w:rsidRPr="00C101F0" w:rsidRDefault="009F0F23" w:rsidP="00B0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Red</w:t>
            </w:r>
          </w:p>
        </w:tc>
        <w:tc>
          <w:tcPr>
            <w:tcW w:w="3527" w:type="dxa"/>
            <w:vAlign w:val="center"/>
          </w:tcPr>
          <w:p w:rsidR="00B04691" w:rsidRPr="00C101F0" w:rsidRDefault="00B04691" w:rsidP="007D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(11</w:t>
            </w: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4691" w:rsidRPr="00B04691" w:rsidTr="00C25361">
        <w:trPr>
          <w:trHeight w:val="239"/>
        </w:trPr>
        <w:tc>
          <w:tcPr>
            <w:tcW w:w="3527" w:type="dxa"/>
            <w:vAlign w:val="center"/>
          </w:tcPr>
          <w:p w:rsidR="00B04691" w:rsidRPr="00C101F0" w:rsidRDefault="009F0F23" w:rsidP="00B0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Brown</w:t>
            </w:r>
          </w:p>
        </w:tc>
        <w:tc>
          <w:tcPr>
            <w:tcW w:w="3527" w:type="dxa"/>
            <w:vAlign w:val="center"/>
          </w:tcPr>
          <w:p w:rsidR="00B04691" w:rsidRPr="00C101F0" w:rsidRDefault="00B04691" w:rsidP="007D7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1F0">
              <w:rPr>
                <w:rFonts w:ascii="Times New Roman" w:hAnsi="Times New Roman" w:cs="Times New Roman"/>
                <w:sz w:val="20"/>
                <w:szCs w:val="20"/>
              </w:rPr>
              <w:t>8 (14)</w:t>
            </w:r>
          </w:p>
        </w:tc>
      </w:tr>
      <w:tr w:rsidR="00B04691" w:rsidRPr="00B04691" w:rsidTr="00C25361">
        <w:trPr>
          <w:trHeight w:val="239"/>
        </w:trPr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691" w:rsidRPr="00C101F0" w:rsidRDefault="00B04691" w:rsidP="00C253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4691" w:rsidRPr="00C101F0" w:rsidRDefault="00B04691" w:rsidP="00C25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E10" w:rsidRPr="00B04691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B04691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B04691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C77C8" w:rsidRDefault="002C77C8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C77C8" w:rsidRDefault="002C77C8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C77C8" w:rsidRDefault="002C77C8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C77C8" w:rsidRDefault="002C77C8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C77C8" w:rsidRDefault="002C77C8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C77C8" w:rsidRPr="00B04691" w:rsidRDefault="002C77C8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362E10" w:rsidRPr="00B04691" w:rsidRDefault="00362E10" w:rsidP="00362E10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1814"/>
        <w:gridCol w:w="1814"/>
        <w:gridCol w:w="132"/>
        <w:gridCol w:w="1683"/>
        <w:gridCol w:w="302"/>
        <w:gridCol w:w="1512"/>
      </w:tblGrid>
      <w:tr w:rsidR="00356A1A" w:rsidRPr="002C77C8" w:rsidTr="00816E52">
        <w:tc>
          <w:tcPr>
            <w:tcW w:w="9468" w:type="dxa"/>
            <w:gridSpan w:val="7"/>
            <w:tcBorders>
              <w:bottom w:val="single" w:sz="4" w:space="0" w:color="auto"/>
            </w:tcBorders>
          </w:tcPr>
          <w:p w:rsidR="00356A1A" w:rsidRDefault="00356A1A" w:rsidP="001D46CD">
            <w:pPr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Supplemental Table 2</w:t>
            </w:r>
            <w:r w:rsidRPr="00BC1B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A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Frequency distribution 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MIC’s of  </w:t>
            </w:r>
            <w:r w:rsidR="008477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quality-</w:t>
            </w: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control</w:t>
            </w:r>
            <w:r w:rsidR="008477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strains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among categories on target, within tar</w:t>
            </w:r>
            <w:r w:rsidR="001D46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get range or off  range among 10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repeated measurements.</w:t>
            </w:r>
          </w:p>
        </w:tc>
      </w:tr>
      <w:tr w:rsidR="008E4E97" w:rsidRPr="002C77C8" w:rsidTr="00816E52">
        <w:tc>
          <w:tcPr>
            <w:tcW w:w="2211" w:type="dxa"/>
            <w:tcBorders>
              <w:top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E4E97" w:rsidRPr="00816E52" w:rsidTr="007577BD">
        <w:tc>
          <w:tcPr>
            <w:tcW w:w="2211" w:type="dxa"/>
          </w:tcPr>
          <w:p w:rsidR="008E4E97" w:rsidRPr="00EE049F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60" w:type="dxa"/>
            <w:gridSpan w:val="3"/>
          </w:tcPr>
          <w:p w:rsidR="008E4E97" w:rsidRPr="008E4E97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8E4E9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Pseudomonas aeruginosa</w:t>
            </w:r>
            <w:r w:rsidRPr="008E4E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 ATCC27853</w:t>
            </w:r>
          </w:p>
        </w:tc>
        <w:tc>
          <w:tcPr>
            <w:tcW w:w="1985" w:type="dxa"/>
            <w:gridSpan w:val="2"/>
          </w:tcPr>
          <w:p w:rsidR="008E4E97" w:rsidRPr="00EE049F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12" w:type="dxa"/>
          </w:tcPr>
          <w:p w:rsidR="008E4E97" w:rsidRPr="00EE049F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8E4E97" w:rsidTr="007577BD">
        <w:tc>
          <w:tcPr>
            <w:tcW w:w="2211" w:type="dxa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133DA2" w:rsidRPr="00356A1A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EUCAST target (range)</w:t>
            </w:r>
            <w:r w:rsidR="008E4E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 mg/L</w:t>
            </w:r>
            <w:r w:rsidR="005179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14" w:type="dxa"/>
          </w:tcPr>
          <w:p w:rsidR="00133DA2" w:rsidRPr="00EE049F" w:rsidRDefault="007628EB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 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target </w:t>
            </w:r>
          </w:p>
        </w:tc>
        <w:tc>
          <w:tcPr>
            <w:tcW w:w="1815" w:type="dxa"/>
            <w:gridSpan w:val="2"/>
          </w:tcPr>
          <w:p w:rsidR="00133DA2" w:rsidRPr="00EE049F" w:rsidRDefault="007628EB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ithin 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target range </w:t>
            </w:r>
          </w:p>
        </w:tc>
        <w:tc>
          <w:tcPr>
            <w:tcW w:w="1814" w:type="dxa"/>
            <w:gridSpan w:val="2"/>
          </w:tcPr>
          <w:p w:rsidR="00133DA2" w:rsidRPr="00EE049F" w:rsidRDefault="007628EB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off </w:t>
            </w:r>
            <w:r w:rsidR="00133D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range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4E97" w:rsidTr="007577BD">
        <w:tc>
          <w:tcPr>
            <w:tcW w:w="2211" w:type="dxa"/>
          </w:tcPr>
          <w:p w:rsidR="00133DA2" w:rsidRPr="00EE049F" w:rsidRDefault="009F0F23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olistin </w:t>
            </w:r>
          </w:p>
        </w:tc>
        <w:tc>
          <w:tcPr>
            <w:tcW w:w="1814" w:type="dxa"/>
          </w:tcPr>
          <w:p w:rsidR="00133DA2" w:rsidRPr="00EE049F" w:rsidRDefault="00356A1A" w:rsidP="005179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1-2 (0.5-4)</w:t>
            </w:r>
          </w:p>
        </w:tc>
        <w:tc>
          <w:tcPr>
            <w:tcW w:w="1814" w:type="dxa"/>
          </w:tcPr>
          <w:p w:rsidR="00133DA2" w:rsidRPr="00EE049F" w:rsidRDefault="00133DA2" w:rsidP="00356A1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815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4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4E97" w:rsidTr="007577BD">
        <w:tc>
          <w:tcPr>
            <w:tcW w:w="2211" w:type="dxa"/>
          </w:tcPr>
          <w:p w:rsidR="00133DA2" w:rsidRPr="00EE049F" w:rsidRDefault="009F0F23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iperacillin-tazobactam</w:t>
            </w:r>
          </w:p>
        </w:tc>
        <w:tc>
          <w:tcPr>
            <w:tcW w:w="1814" w:type="dxa"/>
          </w:tcPr>
          <w:p w:rsidR="00133DA2" w:rsidRPr="00356A1A" w:rsidRDefault="005179C1" w:rsidP="005179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5179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5179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33DA2" w:rsidRPr="00EE049F" w:rsidRDefault="00356A1A" w:rsidP="00356A1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815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4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4E97" w:rsidTr="007577BD">
        <w:tc>
          <w:tcPr>
            <w:tcW w:w="2211" w:type="dxa"/>
          </w:tcPr>
          <w:p w:rsidR="00133DA2" w:rsidRPr="00EE049F" w:rsidRDefault="009F0F23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eftolozane-tazobactam</w:t>
            </w:r>
          </w:p>
        </w:tc>
        <w:tc>
          <w:tcPr>
            <w:tcW w:w="1814" w:type="dxa"/>
          </w:tcPr>
          <w:p w:rsidR="00133DA2" w:rsidRPr="00EE049F" w:rsidRDefault="005179C1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9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5179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0.25-1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A826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33DA2" w:rsidRPr="00EE049F" w:rsidRDefault="00133DA2" w:rsidP="00356A1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815" w:type="dxa"/>
            <w:gridSpan w:val="2"/>
          </w:tcPr>
          <w:p w:rsidR="00133DA2" w:rsidRPr="00EE049F" w:rsidRDefault="00133DA2" w:rsidP="008E4E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4E97" w:rsidTr="007577BD">
        <w:tc>
          <w:tcPr>
            <w:tcW w:w="2211" w:type="dxa"/>
          </w:tcPr>
          <w:p w:rsidR="00133DA2" w:rsidRPr="00EE049F" w:rsidRDefault="009F0F23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eftazidime-avibactam</w:t>
            </w:r>
          </w:p>
        </w:tc>
        <w:tc>
          <w:tcPr>
            <w:tcW w:w="1814" w:type="dxa"/>
          </w:tcPr>
          <w:p w:rsidR="00133DA2" w:rsidRPr="005179C1" w:rsidRDefault="005179C1" w:rsidP="005179C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79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5179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0.5-4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33DA2" w:rsidRPr="00EE049F" w:rsidRDefault="00133DA2" w:rsidP="00356A1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815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4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4E97" w:rsidTr="007577BD">
        <w:tc>
          <w:tcPr>
            <w:tcW w:w="2211" w:type="dxa"/>
          </w:tcPr>
          <w:p w:rsidR="00133DA2" w:rsidRPr="00EE049F" w:rsidRDefault="009F0F23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eropenem</w:t>
            </w:r>
          </w:p>
        </w:tc>
        <w:tc>
          <w:tcPr>
            <w:tcW w:w="1814" w:type="dxa"/>
          </w:tcPr>
          <w:p w:rsidR="00133DA2" w:rsidRPr="00EE049F" w:rsidRDefault="00356F5D" w:rsidP="00356F5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356F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0.25-1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133DA2" w:rsidRPr="00EE049F" w:rsidRDefault="00133DA2" w:rsidP="00356A1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815" w:type="dxa"/>
            <w:gridSpan w:val="2"/>
          </w:tcPr>
          <w:p w:rsidR="00133DA2" w:rsidRPr="00EE049F" w:rsidRDefault="00133DA2" w:rsidP="008E4E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14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4E97" w:rsidTr="007577BD">
        <w:tc>
          <w:tcPr>
            <w:tcW w:w="2211" w:type="dxa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E97" w:rsidTr="007577BD">
        <w:tc>
          <w:tcPr>
            <w:tcW w:w="2211" w:type="dxa"/>
          </w:tcPr>
          <w:p w:rsidR="008E4E97" w:rsidRPr="00EE049F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28" w:type="dxa"/>
            <w:gridSpan w:val="2"/>
          </w:tcPr>
          <w:p w:rsidR="008E4E97" w:rsidRPr="008E4E97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8E4E9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Escherichia coli</w:t>
            </w:r>
            <w:r w:rsidRPr="008E4E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 NCTC13846  </w:t>
            </w:r>
          </w:p>
        </w:tc>
        <w:tc>
          <w:tcPr>
            <w:tcW w:w="1815" w:type="dxa"/>
            <w:gridSpan w:val="2"/>
          </w:tcPr>
          <w:p w:rsidR="008E4E97" w:rsidRPr="00EE049F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8E4E97" w:rsidRPr="00EE049F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E97" w:rsidTr="007577BD">
        <w:tc>
          <w:tcPr>
            <w:tcW w:w="2211" w:type="dxa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4" w:type="dxa"/>
          </w:tcPr>
          <w:p w:rsidR="00133DA2" w:rsidRPr="00EE049F" w:rsidRDefault="008E4E97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EUCAST target (range) in mg/L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14" w:type="dxa"/>
          </w:tcPr>
          <w:p w:rsidR="00133DA2" w:rsidRPr="00EE049F" w:rsidRDefault="007628EB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 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target </w:t>
            </w:r>
          </w:p>
        </w:tc>
        <w:tc>
          <w:tcPr>
            <w:tcW w:w="1815" w:type="dxa"/>
            <w:gridSpan w:val="2"/>
          </w:tcPr>
          <w:p w:rsidR="00133DA2" w:rsidRPr="00EE049F" w:rsidRDefault="007628EB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ithin 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target range </w:t>
            </w:r>
          </w:p>
        </w:tc>
        <w:tc>
          <w:tcPr>
            <w:tcW w:w="1814" w:type="dxa"/>
            <w:gridSpan w:val="2"/>
          </w:tcPr>
          <w:p w:rsidR="00133DA2" w:rsidRPr="00EE049F" w:rsidRDefault="007628EB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off </w:t>
            </w:r>
            <w:r w:rsidR="00133D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range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4E97" w:rsidTr="007577BD">
        <w:tc>
          <w:tcPr>
            <w:tcW w:w="2211" w:type="dxa"/>
          </w:tcPr>
          <w:p w:rsidR="00133DA2" w:rsidRPr="00EE049F" w:rsidRDefault="009F0F23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="00133DA2"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olistin </w:t>
            </w:r>
          </w:p>
        </w:tc>
        <w:tc>
          <w:tcPr>
            <w:tcW w:w="1814" w:type="dxa"/>
          </w:tcPr>
          <w:p w:rsidR="00133DA2" w:rsidRPr="00EE049F" w:rsidRDefault="00356F5D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(2-8)</w:t>
            </w:r>
          </w:p>
        </w:tc>
        <w:tc>
          <w:tcPr>
            <w:tcW w:w="1814" w:type="dxa"/>
          </w:tcPr>
          <w:p w:rsidR="00133DA2" w:rsidRPr="00EE049F" w:rsidRDefault="00133DA2" w:rsidP="00356A1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815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4" w:type="dxa"/>
            <w:gridSpan w:val="2"/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04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4E97" w:rsidTr="007577BD">
        <w:tc>
          <w:tcPr>
            <w:tcW w:w="2211" w:type="dxa"/>
            <w:tcBorders>
              <w:bottom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133DA2" w:rsidRPr="00EE049F" w:rsidRDefault="00133DA2" w:rsidP="00C2536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5179C1" w:rsidRDefault="005179C1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356A1A"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  <w:lang w:val="en-US"/>
        </w:rPr>
        <w:t>1</w:t>
      </w:r>
      <w:r w:rsidR="00356A1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Derived </w:t>
      </w:r>
      <w:r w:rsidR="00356A1A" w:rsidRPr="00816E5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from: </w:t>
      </w:r>
      <w:hyperlink r:id="rId8" w:history="1">
        <w:r w:rsidR="008E4E97" w:rsidRPr="00816E52">
          <w:rPr>
            <w:rStyle w:val="Hyperlink"/>
            <w:color w:val="auto"/>
            <w:sz w:val="18"/>
            <w:szCs w:val="18"/>
            <w:u w:val="none"/>
            <w:lang w:val="en-US"/>
          </w:rPr>
          <w:t>http://www.eucast.org/fileadmin/src/media/PDFs/EUCAST_files/QC/v_7.0_EUCAST_QC_tables_routine_and_</w:t>
        </w:r>
        <w:r w:rsidR="008E4E97" w:rsidRPr="00816E52">
          <w:rPr>
            <w:rStyle w:val="Hyperlink"/>
            <w:color w:val="auto"/>
            <w:sz w:val="18"/>
            <w:szCs w:val="18"/>
            <w:u w:val="none"/>
            <w:lang w:val="en-US"/>
          </w:rPr>
          <w:br/>
          <w:t>extended_QC.pdf</w:t>
        </w:r>
      </w:hyperlink>
      <w:r w:rsidRPr="00816E52">
        <w:rPr>
          <w:rFonts w:ascii="Times New Roman" w:hAnsi="Times New Roman" w:cs="Times New Roman"/>
          <w:bCs/>
          <w:sz w:val="18"/>
          <w:szCs w:val="18"/>
          <w:lang w:val="en-US"/>
        </w:rPr>
        <w:t>, acce</w:t>
      </w:r>
      <w:r w:rsidR="008E4E97" w:rsidRPr="00816E5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ssed </w:t>
      </w:r>
      <w:r w:rsidR="008E4E97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J</w:t>
      </w:r>
      <w:r w:rsidRPr="00356A1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u</w:t>
      </w:r>
      <w:r w:rsidR="008E4E97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ne </w:t>
      </w:r>
      <w:r w:rsidRPr="00356A1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2017</w:t>
      </w:r>
      <w:r w:rsidR="008E4E97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. </w:t>
      </w:r>
      <w:r w:rsidRPr="00356A1A">
        <w:rPr>
          <w:rFonts w:ascii="Times New Roman" w:hAnsi="Times New Roman" w:cs="Times New Roman"/>
          <w:bCs/>
          <w:color w:val="000000"/>
          <w:sz w:val="18"/>
          <w:szCs w:val="18"/>
          <w:vertAlign w:val="superscript"/>
          <w:lang w:val="en-US"/>
        </w:rPr>
        <w:t>2</w:t>
      </w:r>
      <w:r w:rsidRPr="00356A1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P. aeruginosa</w:t>
      </w:r>
      <w:r w:rsidRPr="00356A1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ATCC 27853 cannot be used to check </w:t>
      </w:r>
      <w:r w:rsidR="00A51F96" w:rsidRPr="00356A1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for the inhibitor component of c</w:t>
      </w:r>
      <w:r w:rsidRPr="00356A1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eftazidime-avibactam</w:t>
      </w:r>
      <w:r w:rsidR="008E4E97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, or piperacillin-</w:t>
      </w:r>
      <w:r w:rsidRPr="00356A1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tazobactam</w:t>
      </w: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76644" w:rsidRPr="002C77C8" w:rsidTr="00ED3A49">
        <w:tc>
          <w:tcPr>
            <w:tcW w:w="9468" w:type="dxa"/>
            <w:tcBorders>
              <w:bottom w:val="single" w:sz="4" w:space="0" w:color="auto"/>
            </w:tcBorders>
          </w:tcPr>
          <w:p w:rsidR="00376644" w:rsidRDefault="00376644" w:rsidP="006669D1">
            <w:pPr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Supplemental </w:t>
            </w:r>
            <w:r w:rsidRPr="006F36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Table 3. </w:t>
            </w:r>
            <w:r w:rsidR="006669D1" w:rsidRPr="006F36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Colistin MIC c</w:t>
            </w:r>
            <w:r w:rsidR="00F06DC0" w:rsidRPr="006F36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ross tabulation tables between VIZION™ and visual MIC readout </w:t>
            </w:r>
            <w:r w:rsidR="006669D1" w:rsidRPr="006F36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06DC0" w:rsidRPr="006F36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after 24 and 48 h incubation.</w:t>
            </w:r>
          </w:p>
        </w:tc>
      </w:tr>
    </w:tbl>
    <w:p w:rsidR="00376644" w:rsidRDefault="00376644" w:rsidP="00376644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tbl>
      <w:tblPr>
        <w:tblW w:w="8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653"/>
        <w:gridCol w:w="376"/>
        <w:gridCol w:w="629"/>
        <w:gridCol w:w="1005"/>
        <w:gridCol w:w="1005"/>
        <w:gridCol w:w="1005"/>
        <w:gridCol w:w="1005"/>
        <w:gridCol w:w="1005"/>
        <w:gridCol w:w="1005"/>
        <w:gridCol w:w="72"/>
      </w:tblGrid>
      <w:tr w:rsidR="0037347A" w:rsidRPr="002C77C8" w:rsidTr="00601FFB">
        <w:trPr>
          <w:trHeight w:val="351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47A" w:rsidRPr="00F06DC0" w:rsidRDefault="00F06DC0" w:rsidP="003734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nl-NL"/>
              </w:rPr>
            </w:pPr>
            <w:r w:rsidRPr="00F06D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nl-NL"/>
              </w:rPr>
              <w:t>24 hours</w:t>
            </w:r>
          </w:p>
          <w:p w:rsidR="00F06DC0" w:rsidRPr="0037347A" w:rsidRDefault="00F06DC0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47A" w:rsidRDefault="00514798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>VIZION</w:t>
            </w:r>
            <w:r w:rsidR="0040384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="0037347A"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>MIC readout (mg/L)</w:t>
            </w:r>
          </w:p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37347A" w:rsidRPr="0037347A" w:rsidTr="00601FFB">
        <w:trPr>
          <w:gridAfter w:val="1"/>
          <w:wAfter w:w="72" w:type="dxa"/>
          <w:trHeight w:val="286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7347A" w:rsidRPr="00F06DC0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bottom"/>
          </w:tcPr>
          <w:p w:rsidR="0037347A" w:rsidRPr="0037347A" w:rsidRDefault="0037347A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47A" w:rsidRPr="0037347A" w:rsidRDefault="0037347A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47A" w:rsidRPr="0037347A" w:rsidRDefault="0037347A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47A" w:rsidRPr="0037347A" w:rsidRDefault="0037347A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47A" w:rsidRPr="0037347A" w:rsidRDefault="0037347A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47A" w:rsidRPr="0037347A" w:rsidRDefault="0037347A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47A" w:rsidRPr="0037347A" w:rsidRDefault="0037347A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&gt;8</w:t>
            </w:r>
          </w:p>
        </w:tc>
      </w:tr>
      <w:tr w:rsidR="0037347A" w:rsidRPr="0037347A" w:rsidTr="00601FFB">
        <w:trPr>
          <w:gridAfter w:val="1"/>
          <w:wAfter w:w="72" w:type="dxa"/>
          <w:cantSplit/>
          <w:trHeight w:val="324"/>
        </w:trPr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>Visual MIC readout (mg/L)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37347A" w:rsidRPr="0037347A" w:rsidTr="00601FFB">
        <w:trPr>
          <w:gridAfter w:val="1"/>
          <w:wAfter w:w="72" w:type="dxa"/>
          <w:cantSplit/>
          <w:trHeight w:val="324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37347A" w:rsidRPr="0037347A" w:rsidTr="00601FFB">
        <w:trPr>
          <w:gridAfter w:val="1"/>
          <w:wAfter w:w="72" w:type="dxa"/>
          <w:cantSplit/>
          <w:trHeight w:val="324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37347A" w:rsidRPr="0037347A" w:rsidTr="00601FFB">
        <w:trPr>
          <w:gridAfter w:val="1"/>
          <w:wAfter w:w="72" w:type="dxa"/>
          <w:cantSplit/>
          <w:trHeight w:val="324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37347A" w:rsidRPr="0037347A" w:rsidTr="00601FFB">
        <w:trPr>
          <w:gridAfter w:val="1"/>
          <w:wAfter w:w="72" w:type="dxa"/>
          <w:cantSplit/>
          <w:trHeight w:val="324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37347A" w:rsidRPr="0037347A" w:rsidTr="00601FFB">
        <w:trPr>
          <w:gridAfter w:val="1"/>
          <w:wAfter w:w="72" w:type="dxa"/>
          <w:cantSplit/>
          <w:trHeight w:val="324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37347A" w:rsidRPr="0037347A" w:rsidTr="00601FFB">
        <w:trPr>
          <w:gridAfter w:val="1"/>
          <w:wAfter w:w="72" w:type="dxa"/>
          <w:cantSplit/>
          <w:trHeight w:val="324"/>
        </w:trPr>
        <w:tc>
          <w:tcPr>
            <w:tcW w:w="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7A" w:rsidRPr="0037347A" w:rsidRDefault="0037347A" w:rsidP="00373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≥8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47A" w:rsidRPr="0037347A" w:rsidRDefault="0037347A" w:rsidP="00373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</w:tr>
    </w:tbl>
    <w:p w:rsidR="00376644" w:rsidRDefault="00376644" w:rsidP="00376644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76644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tbl>
      <w:tblPr>
        <w:tblW w:w="85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659"/>
        <w:gridCol w:w="379"/>
        <w:gridCol w:w="635"/>
        <w:gridCol w:w="1014"/>
        <w:gridCol w:w="1014"/>
        <w:gridCol w:w="1014"/>
        <w:gridCol w:w="1014"/>
        <w:gridCol w:w="1014"/>
        <w:gridCol w:w="1014"/>
        <w:gridCol w:w="72"/>
      </w:tblGrid>
      <w:tr w:rsidR="00F06DC0" w:rsidRPr="002C77C8" w:rsidTr="00601FFB">
        <w:trPr>
          <w:trHeight w:val="352"/>
        </w:trPr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DC0" w:rsidRPr="00F06DC0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nl-NL"/>
              </w:rPr>
              <w:t>48</w:t>
            </w:r>
            <w:r w:rsidRPr="00F06D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nl-NL"/>
              </w:rPr>
              <w:t xml:space="preserve"> hours</w:t>
            </w:r>
          </w:p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DC0" w:rsidRDefault="00F50116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>VIZION</w:t>
            </w:r>
            <w:r w:rsidR="00F06DC0"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 xml:space="preserve"> MIC readout (mg/L)</w:t>
            </w:r>
          </w:p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</w:tc>
      </w:tr>
      <w:tr w:rsidR="00F06DC0" w:rsidRPr="0037347A" w:rsidTr="00601FFB">
        <w:trPr>
          <w:gridAfter w:val="1"/>
          <w:wAfter w:w="72" w:type="dxa"/>
          <w:trHeight w:val="28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06DC0" w:rsidRPr="00F06DC0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1014" w:type="dxa"/>
            <w:gridSpan w:val="2"/>
            <w:shd w:val="clear" w:color="auto" w:fill="auto"/>
            <w:noWrap/>
            <w:vAlign w:val="bottom"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&gt;8</w:t>
            </w:r>
          </w:p>
        </w:tc>
      </w:tr>
      <w:tr w:rsidR="00F06DC0" w:rsidRPr="0037347A" w:rsidTr="00601FFB">
        <w:trPr>
          <w:gridAfter w:val="1"/>
          <w:wAfter w:w="72" w:type="dxa"/>
          <w:cantSplit/>
          <w:trHeight w:val="326"/>
        </w:trPr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F06DC0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</w:p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nl-NL"/>
              </w:rPr>
              <w:t>Visual MIC readout (mg/L)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0.25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F06DC0" w:rsidRPr="0037347A" w:rsidTr="00601FFB">
        <w:trPr>
          <w:gridAfter w:val="1"/>
          <w:wAfter w:w="72" w:type="dxa"/>
          <w:cantSplit/>
          <w:trHeight w:val="326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0.50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F06DC0" w:rsidRPr="0037347A" w:rsidTr="00601FFB">
        <w:trPr>
          <w:gridAfter w:val="1"/>
          <w:wAfter w:w="72" w:type="dxa"/>
          <w:cantSplit/>
          <w:trHeight w:val="326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F06DC0" w:rsidRPr="0037347A" w:rsidTr="00601FFB">
        <w:trPr>
          <w:gridAfter w:val="1"/>
          <w:wAfter w:w="72" w:type="dxa"/>
          <w:cantSplit/>
          <w:trHeight w:val="326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F06DC0" w:rsidRPr="0037347A" w:rsidTr="00601FFB">
        <w:trPr>
          <w:gridAfter w:val="1"/>
          <w:wAfter w:w="72" w:type="dxa"/>
          <w:cantSplit/>
          <w:trHeight w:val="326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200BC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F06DC0" w:rsidRPr="0037347A" w:rsidTr="00601FFB">
        <w:trPr>
          <w:gridAfter w:val="1"/>
          <w:wAfter w:w="72" w:type="dxa"/>
          <w:cantSplit/>
          <w:trHeight w:val="326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F06DC0" w:rsidRPr="0037347A" w:rsidTr="00601FFB">
        <w:trPr>
          <w:gridAfter w:val="1"/>
          <w:wAfter w:w="72" w:type="dxa"/>
          <w:cantSplit/>
          <w:trHeight w:val="326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DC0" w:rsidRPr="0037347A" w:rsidRDefault="00F06DC0" w:rsidP="00ED3A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≥8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37347A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6DC0" w:rsidRPr="0037347A" w:rsidRDefault="00F06DC0" w:rsidP="00ED3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</w:t>
            </w:r>
          </w:p>
        </w:tc>
      </w:tr>
    </w:tbl>
    <w:p w:rsidR="00F06DC0" w:rsidRDefault="00F06DC0" w:rsidP="00F06DC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Pr="00F06DC0" w:rsidRDefault="00376644" w:rsidP="00362E10">
      <w:pP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376644" w:rsidRDefault="00376644" w:rsidP="00F06DC0">
      <w:pPr>
        <w:pBdr>
          <w:top w:val="single" w:sz="4" w:space="1" w:color="auto"/>
        </w:pBd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376644" w:rsidRPr="00356A1A" w:rsidRDefault="00376644" w:rsidP="00362E10">
      <w:pP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sectPr w:rsidR="00376644" w:rsidRPr="00356A1A" w:rsidSect="008A6BD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2E10" w:rsidRPr="00473F7B" w:rsidRDefault="00362E10" w:rsidP="007577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473F7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>Supplemental Figure 1.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Flowchart of study design</w:t>
      </w:r>
    </w:p>
    <w:p w:rsidR="00362E10" w:rsidRPr="00473F7B" w:rsidRDefault="00362E10" w:rsidP="007577BD">
      <w:pPr>
        <w:spacing w:line="240" w:lineRule="auto"/>
        <w:rPr>
          <w:lang w:val="en-US"/>
        </w:rPr>
      </w:pPr>
    </w:p>
    <w:p w:rsidR="007577BD" w:rsidRDefault="00362E10" w:rsidP="007577BD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634EBC8F" wp14:editId="5EA49955">
            <wp:extent cx="5779698" cy="2214731"/>
            <wp:effectExtent l="0" t="0" r="0" b="0"/>
            <wp:docPr id="6148" name="Afbeelding 6148" descr="\\ds.umcutrecht.nl\Data\LA\microbiologie\Users\bfranss2\BasF\Results\flow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ds.umcutrecht.nl\Data\LA\microbiologie\Users\bfranss2\BasF\Results\flowch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10" cy="22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BD" w:rsidRDefault="007577BD" w:rsidP="007577BD">
      <w:pPr>
        <w:spacing w:line="240" w:lineRule="auto"/>
      </w:pPr>
    </w:p>
    <w:p w:rsidR="00362E10" w:rsidRPr="00816E52" w:rsidRDefault="007577BD" w:rsidP="007577BD">
      <w:pPr>
        <w:pBdr>
          <w:top w:val="single" w:sz="4" w:space="1" w:color="auto"/>
        </w:pBdr>
        <w:spacing w:line="240" w:lineRule="auto"/>
        <w:rPr>
          <w:lang w:val="en-US"/>
        </w:rPr>
      </w:pPr>
      <w:r w:rsidRPr="007577BD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TSA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;</w:t>
      </w:r>
      <w:r w:rsidRPr="007577BD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5% SB: Tryptone Soya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Agar </w:t>
      </w:r>
      <w:r w:rsidRPr="007577BD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with 5% Sheep Blood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, MH; Mueller-Hinton, EURGNCOL; freeze dried 96 well round bottom with antibiotic dilutions, VIZION; readout system and </w:t>
      </w:r>
      <w:r w:rsidR="009774AF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SWIN software provided by ThermoFischer Scientific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.  </w:t>
      </w: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7577BD" w:rsidRDefault="007577BD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7577BD" w:rsidRDefault="007577BD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7577BD" w:rsidRPr="00473F7B" w:rsidRDefault="007577BD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BB6611" w:rsidRPr="00473F7B" w:rsidRDefault="00BB6611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</w:p>
    <w:p w:rsidR="00362E10" w:rsidRPr="003A1EE6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362E10" w:rsidRPr="003A1EE6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7577BD" w:rsidRDefault="00362E10" w:rsidP="007577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3A1EE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>Supplemental Figure 2</w:t>
      </w:r>
      <w:r w:rsidR="009F3152" w:rsidRPr="003A1EE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. </w:t>
      </w:r>
      <w:r w:rsidR="003A1EE6" w:rsidRPr="003A1EE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Phenotypic diversity of  patient derived </w:t>
      </w:r>
      <w:r w:rsidR="003A1EE6" w:rsidRPr="003A1EE6">
        <w:rPr>
          <w:rFonts w:ascii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P. aeruginosa </w:t>
      </w:r>
      <w:r w:rsidR="003A1EE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isolates</w:t>
      </w:r>
      <w:r w:rsidR="007577BD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.</w:t>
      </w:r>
      <w:r w:rsidRPr="003A1EE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ab/>
      </w:r>
      <w:r w:rsidRPr="003A1EE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ab/>
      </w: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473F7B">
        <w:rPr>
          <w:rFonts w:ascii="Times New Roman" w:hAnsi="Times New Roman" w:cs="Times New Roman"/>
          <w:bCs/>
          <w:color w:val="000000"/>
          <w:u w:val="single"/>
          <w:lang w:val="en-US"/>
        </w:rPr>
        <w:br/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1.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6B9B347B" wp14:editId="3C395463">
            <wp:extent cx="1867767" cy="1917291"/>
            <wp:effectExtent l="0" t="0" r="0" b="6985"/>
            <wp:docPr id="13" name="Afbeelding 13" descr="C:\Users\bfranss2\AppData\Local\Microsoft\Windows\Temporary Internet Files\Content.Word\20170414_09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bfranss2\AppData\Local\Microsoft\Windows\Temporary Internet Files\Content.Word\20170414_091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0" r="20697" b="6872"/>
                    <a:stretch/>
                  </pic:blipFill>
                  <pic:spPr bwMode="auto">
                    <a:xfrm>
                      <a:off x="0" y="0"/>
                      <a:ext cx="1869218" cy="19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 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2.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7E671D9F" wp14:editId="54E85DCA">
            <wp:extent cx="2015765" cy="1918800"/>
            <wp:effectExtent l="0" t="0" r="3810" b="5715"/>
            <wp:docPr id="11" name="Afbeelding 11" descr="C:\Users\bfranss2\AppData\Local\Microsoft\Windows\Temporary Internet Files\Content.Word\20170414_09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bfranss2\AppData\Local\Microsoft\Windows\Temporary Internet Files\Content.Word\20170414_091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9" r="21726"/>
                    <a:stretch/>
                  </pic:blipFill>
                  <pic:spPr bwMode="auto">
                    <a:xfrm>
                      <a:off x="0" y="0"/>
                      <a:ext cx="2015765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3F7B">
        <w:rPr>
          <w:rFonts w:ascii="Times New Roman" w:hAnsi="Times New Roman" w:cs="Times New Roman"/>
          <w:bCs/>
          <w:color w:val="000000"/>
          <w:u w:val="single"/>
          <w:lang w:val="en-US"/>
        </w:rPr>
        <w:br/>
      </w:r>
    </w:p>
    <w:p w:rsidR="00362E10" w:rsidRPr="00473F7B" w:rsidRDefault="00362E10" w:rsidP="00362E10">
      <w:pPr>
        <w:spacing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3. </w:t>
      </w:r>
      <w:r>
        <w:rPr>
          <w:noProof/>
          <w:lang w:val="en-US"/>
        </w:rPr>
        <w:drawing>
          <wp:inline distT="0" distB="0" distL="0" distR="0" wp14:anchorId="7162E020" wp14:editId="793D3258">
            <wp:extent cx="1921120" cy="1918800"/>
            <wp:effectExtent l="0" t="0" r="3175" b="5715"/>
            <wp:docPr id="9" name="Afbeelding 9" descr="C:\Users\bfranss2\AppData\Local\Microsoft\Windows\Temporary Internet Files\Content.Word\20170414_09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bfranss2\AppData\Local\Microsoft\Windows\Temporary Internet Files\Content.Word\20170414_091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5" r="28624"/>
                    <a:stretch/>
                  </pic:blipFill>
                  <pic:spPr bwMode="auto">
                    <a:xfrm>
                      <a:off x="0" y="0"/>
                      <a:ext cx="192112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 4. </w:t>
      </w:r>
      <w:r>
        <w:rPr>
          <w:noProof/>
          <w:lang w:val="en-US"/>
        </w:rPr>
        <w:drawing>
          <wp:inline distT="0" distB="0" distL="0" distR="0" wp14:anchorId="3BC14A96" wp14:editId="015736A3">
            <wp:extent cx="2002226" cy="1918800"/>
            <wp:effectExtent l="0" t="0" r="0" b="5715"/>
            <wp:docPr id="8" name="Afbeelding 8" descr="C:\Users\bfranss2\AppData\Local\Microsoft\Windows\Temporary Internet Files\Content.Word\20170414_09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bfranss2\AppData\Local\Microsoft\Windows\Temporary Internet Files\Content.Word\20170414_091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2" r="23980"/>
                    <a:stretch/>
                  </pic:blipFill>
                  <pic:spPr bwMode="auto">
                    <a:xfrm>
                      <a:off x="0" y="0"/>
                      <a:ext cx="2002226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3F7B">
        <w:rPr>
          <w:rFonts w:ascii="Times New Roman" w:hAnsi="Times New Roman" w:cs="Times New Roman"/>
          <w:bCs/>
          <w:color w:val="000000"/>
          <w:lang w:val="en-US"/>
        </w:rPr>
        <w:br/>
      </w:r>
    </w:p>
    <w:p w:rsidR="00362E10" w:rsidRPr="00473F7B" w:rsidRDefault="00362E10" w:rsidP="007577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5. </w:t>
      </w:r>
      <w:r>
        <w:rPr>
          <w:noProof/>
          <w:lang w:val="en-US"/>
        </w:rPr>
        <w:drawing>
          <wp:inline distT="0" distB="0" distL="0" distR="0" wp14:anchorId="09D7AC09" wp14:editId="31EF9E2D">
            <wp:extent cx="1934226" cy="1918800"/>
            <wp:effectExtent l="0" t="0" r="8890" b="5715"/>
            <wp:docPr id="7" name="Afbeelding 7" descr="C:\Users\bfranss2\AppData\Local\Microsoft\Windows\Temporary Internet Files\Content.Word\20170414_09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bfranss2\AppData\Local\Microsoft\Windows\Temporary Internet Files\Content.Word\20170414_091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6" r="26829"/>
                    <a:stretch/>
                  </pic:blipFill>
                  <pic:spPr bwMode="auto">
                    <a:xfrm>
                      <a:off x="0" y="0"/>
                      <a:ext cx="1934226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 6. </w:t>
      </w:r>
      <w:r>
        <w:rPr>
          <w:noProof/>
          <w:lang w:val="en-US"/>
        </w:rPr>
        <w:drawing>
          <wp:inline distT="0" distB="0" distL="0" distR="0" wp14:anchorId="5093FF92" wp14:editId="58C076B7">
            <wp:extent cx="1925030" cy="1918800"/>
            <wp:effectExtent l="0" t="0" r="0" b="5715"/>
            <wp:docPr id="1" name="Afbeelding 1" descr="C:\Users\bfranss2\AppData\Local\Microsoft\Windows\Temporary Internet Files\Content.Word\20170414_09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bfranss2\AppData\Local\Microsoft\Windows\Temporary Internet Files\Content.Word\20170414_092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8" t="2737" r="31304" b="3619"/>
                    <a:stretch/>
                  </pic:blipFill>
                  <pic:spPr bwMode="auto">
                    <a:xfrm>
                      <a:off x="0" y="0"/>
                      <a:ext cx="192503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3F7B">
        <w:rPr>
          <w:rFonts w:ascii="Times New Roman" w:hAnsi="Times New Roman" w:cs="Times New Roman"/>
          <w:bCs/>
          <w:color w:val="000000"/>
          <w:lang w:val="en-US"/>
        </w:rPr>
        <w:br/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br/>
        <w:t>1. Mucoid</w:t>
      </w:r>
      <w:r w:rsidR="000E40E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absent, pigment blue-green, metallic sheen present, colony lysis absent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br/>
        <w:t>2. Mucoid</w:t>
      </w:r>
      <w:r w:rsidR="000E40E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absent, pigment yellow, metallic sheen absent, colony lysis absent 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br/>
        <w:t>3. Mucoid</w:t>
      </w:r>
      <w:r w:rsidR="000E40E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present, pigment brown, metallic sheen absent, colony lysis absent 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br/>
        <w:t>4. Mucoid</w:t>
      </w:r>
      <w:r w:rsidR="000E40E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absent, pigment absent, metallic sheen absent, colony lysis absent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br/>
        <w:t>5. Mucoid</w:t>
      </w:r>
      <w:r w:rsidR="000E40E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absent, pigment red, metallic sheen present, colony lysis present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br/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6. Mucoid</w:t>
      </w:r>
      <w:r w:rsidR="000E40E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y</w:t>
      </w:r>
      <w:r w:rsidRPr="00473F7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absent, pigment blue-green, metallic sheen present, colony lysis present</w:t>
      </w:r>
      <w:r w:rsidR="007577BD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br/>
      </w:r>
    </w:p>
    <w:p w:rsidR="00EC1043" w:rsidRPr="00473F7B" w:rsidRDefault="00EC1043" w:rsidP="00362E10">
      <w:pPr>
        <w:spacing w:line="480" w:lineRule="auto"/>
        <w:rPr>
          <w:lang w:val="en-US"/>
        </w:rPr>
      </w:pPr>
    </w:p>
    <w:p w:rsidR="00362E10" w:rsidRPr="00473F7B" w:rsidRDefault="00362E10" w:rsidP="00362E10">
      <w:pPr>
        <w:spacing w:line="480" w:lineRule="auto"/>
        <w:rPr>
          <w:lang w:val="en-US"/>
        </w:rPr>
      </w:pP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473F7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 xml:space="preserve">Extended Material and Methods </w:t>
      </w:r>
    </w:p>
    <w:p w:rsidR="00362E10" w:rsidRPr="00473F7B" w:rsidRDefault="00362E10" w:rsidP="00362E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:rsidR="00362E10" w:rsidRPr="00E4274D" w:rsidRDefault="00362E10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473F7B">
        <w:rPr>
          <w:rFonts w:ascii="Times New Roman" w:hAnsi="Times New Roman" w:cs="Times New Roman"/>
          <w:bCs/>
          <w:color w:val="000000"/>
          <w:u w:val="single"/>
          <w:lang w:val="en-US"/>
        </w:rPr>
        <w:t xml:space="preserve">Selection of </w:t>
      </w:r>
      <w:r w:rsidRPr="009774AF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>Pseudomonas aeruginosa</w:t>
      </w:r>
      <w:r w:rsidRPr="00473F7B">
        <w:rPr>
          <w:rFonts w:ascii="Times New Roman" w:hAnsi="Times New Roman" w:cs="Times New Roman"/>
          <w:bCs/>
          <w:color w:val="000000"/>
          <w:u w:val="single"/>
          <w:lang w:val="en-US"/>
        </w:rPr>
        <w:t xml:space="preserve"> and quality control isolates</w:t>
      </w:r>
      <w:r w:rsidRPr="00473F7B">
        <w:rPr>
          <w:rFonts w:ascii="Times New Roman" w:hAnsi="Times New Roman" w:cs="Times New Roman"/>
          <w:bCs/>
          <w:color w:val="000000"/>
          <w:u w:val="single"/>
          <w:lang w:val="en-US"/>
        </w:rPr>
        <w:br/>
      </w:r>
      <w:r w:rsidR="00EF634C">
        <w:rPr>
          <w:rFonts w:ascii="Times New Roman" w:hAnsi="Times New Roman" w:cs="Times New Roman"/>
          <w:bCs/>
          <w:i/>
          <w:color w:val="000000"/>
          <w:lang w:val="en-US"/>
        </w:rPr>
        <w:t xml:space="preserve">Sixty-one </w:t>
      </w:r>
      <w:r w:rsidR="00277942" w:rsidRPr="00816E52">
        <w:rPr>
          <w:rFonts w:ascii="Times New Roman" w:hAnsi="Times New Roman" w:cs="Times New Roman"/>
          <w:bCs/>
          <w:i/>
          <w:color w:val="000000"/>
          <w:lang w:val="en-US"/>
        </w:rPr>
        <w:t xml:space="preserve">P. aeruginosa 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>isolates</w:t>
      </w:r>
      <w:r w:rsidR="00EF634C">
        <w:rPr>
          <w:rFonts w:ascii="Times New Roman" w:hAnsi="Times New Roman" w:cs="Times New Roman"/>
          <w:bCs/>
          <w:color w:val="000000"/>
          <w:lang w:val="en-US"/>
        </w:rPr>
        <w:t>,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 xml:space="preserve"> obtained from</w:t>
      </w:r>
      <w:r w:rsidR="00E4274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>respiratory secretions from CF patients collected at the University Medical Center Utrecht, the Netherlands</w:t>
      </w:r>
      <w:r w:rsidR="00EF634C">
        <w:rPr>
          <w:rFonts w:ascii="Times New Roman" w:hAnsi="Times New Roman" w:cs="Times New Roman"/>
          <w:bCs/>
          <w:color w:val="000000"/>
          <w:lang w:val="en-US"/>
        </w:rPr>
        <w:t xml:space="preserve"> (one last isolate per patient), were thawed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r w:rsidR="00EF634C">
        <w:rPr>
          <w:rFonts w:ascii="Times New Roman" w:hAnsi="Times New Roman" w:cs="Times New Roman"/>
          <w:bCs/>
          <w:color w:val="000000"/>
          <w:lang w:val="en-US"/>
        </w:rPr>
        <w:t xml:space="preserve">All 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 xml:space="preserve">isolates </w:t>
      </w:r>
      <w:r w:rsidR="00EF634C">
        <w:rPr>
          <w:rFonts w:ascii="Times New Roman" w:hAnsi="Times New Roman" w:cs="Times New Roman"/>
          <w:bCs/>
          <w:color w:val="000000"/>
          <w:lang w:val="en-US"/>
        </w:rPr>
        <w:t xml:space="preserve">were 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 xml:space="preserve">collected between September 2012 and February 2017. Of these 61 isolates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8 were </w:t>
      </w:r>
      <w:r w:rsidR="007E47EB">
        <w:rPr>
          <w:rFonts w:ascii="Times New Roman" w:hAnsi="Times New Roman" w:cs="Times New Roman"/>
          <w:bCs/>
          <w:color w:val="000000"/>
          <w:lang w:val="en-US"/>
        </w:rPr>
        <w:t xml:space="preserve">selected for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colistin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-</w:t>
      </w:r>
      <w:r w:rsidR="007E47EB">
        <w:rPr>
          <w:rFonts w:ascii="Times New Roman" w:hAnsi="Times New Roman" w:cs="Times New Roman"/>
          <w:bCs/>
          <w:color w:val="000000"/>
          <w:lang w:val="en-US"/>
        </w:rPr>
        <w:t>resistance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.</w:t>
      </w:r>
      <w:r w:rsidR="007E47EB">
        <w:rPr>
          <w:rFonts w:ascii="Times New Roman" w:hAnsi="Times New Roman" w:cs="Times New Roman"/>
          <w:bCs/>
          <w:color w:val="000000"/>
          <w:lang w:val="en-US"/>
        </w:rPr>
        <w:t xml:space="preserve"> Therefore, the</w:t>
      </w:r>
      <w:r w:rsidR="006F4D8E">
        <w:rPr>
          <w:rFonts w:ascii="Times New Roman" w:hAnsi="Times New Roman" w:cs="Times New Roman"/>
          <w:bCs/>
          <w:color w:val="000000"/>
          <w:lang w:val="en-US"/>
        </w:rPr>
        <w:t xml:space="preserve"> selection does not fully represent consecutive isolates</w:t>
      </w:r>
      <w:r w:rsidR="007E47EB">
        <w:rPr>
          <w:rFonts w:ascii="Times New Roman" w:hAnsi="Times New Roman" w:cs="Times New Roman"/>
          <w:bCs/>
          <w:color w:val="000000"/>
          <w:lang w:val="en-US"/>
        </w:rPr>
        <w:t>.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 xml:space="preserve"> After thawing, identity of </w:t>
      </w:r>
      <w:r w:rsidR="00277942" w:rsidRPr="00816E52">
        <w:rPr>
          <w:rFonts w:ascii="Times New Roman" w:hAnsi="Times New Roman" w:cs="Times New Roman"/>
          <w:bCs/>
          <w:i/>
          <w:color w:val="000000"/>
          <w:lang w:val="en-US"/>
        </w:rPr>
        <w:t>P. aeruginosa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 xml:space="preserve"> was reconfirmed for all isolates using matrix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-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 xml:space="preserve">assisted laser desorption/ionization time of flight mass spectrometry (MALDI-TOF MS). Isolates with no growth in positive control wells of the broth </w:t>
      </w:r>
      <w:r w:rsidR="009774AF">
        <w:rPr>
          <w:rFonts w:ascii="Times New Roman" w:hAnsi="Times New Roman" w:cs="Times New Roman"/>
          <w:bCs/>
          <w:color w:val="000000"/>
          <w:lang w:val="en-US"/>
        </w:rPr>
        <w:t>micro</w:t>
      </w:r>
      <w:r w:rsidR="00B04691">
        <w:rPr>
          <w:rFonts w:ascii="Times New Roman" w:hAnsi="Times New Roman" w:cs="Times New Roman"/>
          <w:bCs/>
          <w:color w:val="000000"/>
          <w:lang w:val="en-US"/>
        </w:rPr>
        <w:t>dilution assay after 24h</w:t>
      </w:r>
      <w:r w:rsidR="00277942" w:rsidRPr="00816E52">
        <w:rPr>
          <w:rFonts w:ascii="Times New Roman" w:hAnsi="Times New Roman" w:cs="Times New Roman"/>
          <w:bCs/>
          <w:color w:val="000000"/>
          <w:lang w:val="en-US"/>
        </w:rPr>
        <w:t xml:space="preserve"> incubation were excluded (n=5) resulting in 56 isolates available for analyses.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473F7B">
        <w:rPr>
          <w:rFonts w:ascii="Times New Roman" w:hAnsi="Times New Roman" w:cs="Times New Roman"/>
          <w:bCs/>
          <w:i/>
          <w:color w:val="000000"/>
          <w:lang w:val="en-US"/>
        </w:rPr>
        <w:t>P. aeruginosa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American Type Culture Collection (ATCC) strain 27853 and </w:t>
      </w:r>
      <w:r w:rsidRPr="00473F7B">
        <w:rPr>
          <w:rFonts w:ascii="Times New Roman" w:hAnsi="Times New Roman" w:cs="Times New Roman"/>
          <w:bCs/>
          <w:i/>
          <w:color w:val="000000"/>
          <w:lang w:val="en-US"/>
        </w:rPr>
        <w:t>E</w:t>
      </w:r>
      <w:r w:rsidR="00E4274D">
        <w:rPr>
          <w:rFonts w:ascii="Times New Roman" w:hAnsi="Times New Roman" w:cs="Times New Roman"/>
          <w:bCs/>
          <w:i/>
          <w:color w:val="000000"/>
          <w:lang w:val="en-US"/>
        </w:rPr>
        <w:t>.</w:t>
      </w:r>
      <w:r w:rsidRPr="00473F7B">
        <w:rPr>
          <w:rFonts w:ascii="Times New Roman" w:hAnsi="Times New Roman" w:cs="Times New Roman"/>
          <w:bCs/>
          <w:i/>
          <w:color w:val="000000"/>
          <w:lang w:val="en-US"/>
        </w:rPr>
        <w:t xml:space="preserve"> coli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National Collection Type of Cultures (NCTC) strain 13846 were included for quality control.</w:t>
      </w:r>
      <w:r w:rsidR="00E4274D" w:rsidRPr="005E7303">
        <w:rPr>
          <w:rFonts w:ascii="Times New Roman" w:hAnsi="Times New Roman" w:cs="Times New Roman"/>
          <w:bCs/>
          <w:i/>
          <w:color w:val="000000"/>
          <w:lang w:val="en-US"/>
        </w:rPr>
        <w:t xml:space="preserve"> K. pneumoniae</w:t>
      </w:r>
      <w:r w:rsidR="00E4274D" w:rsidRPr="005E7303">
        <w:rPr>
          <w:rFonts w:ascii="Times New Roman" w:hAnsi="Times New Roman" w:cs="Times New Roman"/>
          <w:bCs/>
          <w:color w:val="000000"/>
          <w:lang w:val="en-US"/>
        </w:rPr>
        <w:t xml:space="preserve"> ATCC700603</w:t>
      </w:r>
      <w:r w:rsidR="005E7303">
        <w:rPr>
          <w:rFonts w:ascii="Times New Roman" w:hAnsi="Times New Roman" w:cs="Times New Roman"/>
          <w:bCs/>
          <w:color w:val="000000"/>
          <w:lang w:val="en-US"/>
        </w:rPr>
        <w:t>,</w:t>
      </w:r>
      <w:r w:rsidR="005E7303" w:rsidRPr="005E7303">
        <w:rPr>
          <w:rFonts w:ascii="Times New Roman" w:hAnsi="Times New Roman" w:cs="Times New Roman"/>
          <w:bCs/>
          <w:lang w:val="en-US"/>
        </w:rPr>
        <w:t xml:space="preserve"> required for quality-control of the inhibitory component of </w:t>
      </w:r>
      <w:r w:rsidR="005E7303" w:rsidRPr="00C32714">
        <w:rPr>
          <w:rFonts w:ascii="Times New Roman" w:hAnsi="Times New Roman" w:cs="Times New Roman"/>
        </w:rPr>
        <w:t>β</w:t>
      </w:r>
      <w:r w:rsidR="005E7303" w:rsidRPr="005E7303">
        <w:rPr>
          <w:rFonts w:ascii="Times New Roman" w:hAnsi="Times New Roman" w:cs="Times New Roman"/>
          <w:lang w:val="en-US"/>
        </w:rPr>
        <w:t>-lactam-</w:t>
      </w:r>
      <w:r w:rsidR="005E7303" w:rsidRPr="00C32714">
        <w:rPr>
          <w:rFonts w:ascii="Times New Roman" w:hAnsi="Times New Roman" w:cs="Times New Roman"/>
        </w:rPr>
        <w:t>β</w:t>
      </w:r>
      <w:r w:rsidR="005E7303" w:rsidRPr="005E7303">
        <w:rPr>
          <w:rFonts w:ascii="Times New Roman" w:hAnsi="Times New Roman" w:cs="Times New Roman"/>
          <w:lang w:val="en-US"/>
        </w:rPr>
        <w:t xml:space="preserve">-lactamase inhibitor </w:t>
      </w:r>
      <w:r w:rsidR="005E7303" w:rsidRPr="005E7303">
        <w:rPr>
          <w:rFonts w:ascii="Times New Roman" w:hAnsi="Times New Roman" w:cs="Times New Roman"/>
          <w:bCs/>
          <w:lang w:val="en-US"/>
        </w:rPr>
        <w:t>combination antibiotic drugs,</w:t>
      </w:r>
      <w:r w:rsidR="005E7303" w:rsidRPr="005E7303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E4274D" w:rsidRPr="005E7303">
        <w:rPr>
          <w:rFonts w:ascii="Times New Roman" w:hAnsi="Times New Roman" w:cs="Times New Roman"/>
          <w:bCs/>
          <w:color w:val="000000"/>
          <w:lang w:val="en-US"/>
        </w:rPr>
        <w:t>was not included</w:t>
      </w:r>
      <w:r w:rsidR="00E4274D" w:rsidRPr="005E7303">
        <w:rPr>
          <w:rFonts w:ascii="Times New Roman" w:hAnsi="Times New Roman" w:cs="Times New Roman"/>
          <w:lang w:val="en-US"/>
        </w:rPr>
        <w:t xml:space="preserve"> due to a limited availability of freeze dried antibiotic panels</w:t>
      </w:r>
      <w:r w:rsidR="00E4274D">
        <w:rPr>
          <w:rFonts w:ascii="Times New Roman" w:hAnsi="Times New Roman" w:cs="Times New Roman"/>
          <w:lang w:val="en-US"/>
        </w:rPr>
        <w:t>.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9774AF">
        <w:rPr>
          <w:rFonts w:ascii="Times New Roman" w:hAnsi="Times New Roman" w:cs="Times New Roman"/>
          <w:bCs/>
          <w:color w:val="000000"/>
          <w:lang w:val="en-US"/>
        </w:rPr>
        <w:t xml:space="preserve">Laboratory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473F7B">
        <w:rPr>
          <w:rFonts w:ascii="Times New Roman" w:hAnsi="Times New Roman" w:cs="Times New Roman"/>
          <w:bCs/>
          <w:i/>
          <w:color w:val="000000"/>
          <w:lang w:val="en-US"/>
        </w:rPr>
        <w:t>P. aeruginosa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strain </w:t>
      </w:r>
      <w:r w:rsidR="008F37D1" w:rsidRPr="00473F7B">
        <w:rPr>
          <w:rFonts w:ascii="Times New Roman" w:hAnsi="Times New Roman" w:cs="Times New Roman"/>
          <w:bCs/>
          <w:color w:val="000000"/>
          <w:lang w:val="en-US"/>
        </w:rPr>
        <w:t>P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A</w:t>
      </w:r>
      <w:r w:rsidR="008F37D1" w:rsidRPr="00473F7B">
        <w:rPr>
          <w:rFonts w:ascii="Times New Roman" w:hAnsi="Times New Roman" w:cs="Times New Roman"/>
          <w:bCs/>
          <w:color w:val="000000"/>
          <w:lang w:val="en-US"/>
        </w:rPr>
        <w:t xml:space="preserve">01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was included for analyses concerning growth rate. </w:t>
      </w:r>
    </w:p>
    <w:p w:rsidR="00362E10" w:rsidRPr="00473F7B" w:rsidRDefault="00362E10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6B0014">
        <w:rPr>
          <w:rFonts w:ascii="Times New Roman" w:hAnsi="Times New Roman" w:cs="Times New Roman"/>
          <w:bCs/>
          <w:color w:val="000000"/>
          <w:u w:val="single"/>
          <w:lang w:val="en-US"/>
        </w:rPr>
        <w:t xml:space="preserve">Growth curve analysis and phenotypic characterization of </w:t>
      </w:r>
      <w:r w:rsidRPr="006B0014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>Pseudomonas aeruginosa</w:t>
      </w:r>
      <w:r w:rsidR="006B0014" w:rsidRPr="006B001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Pr="006B0014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br/>
      </w:r>
      <w:r w:rsidR="00190892">
        <w:rPr>
          <w:rFonts w:ascii="Times New Roman" w:hAnsi="Times New Roman" w:cs="Times New Roman"/>
          <w:bCs/>
          <w:color w:val="000000"/>
          <w:lang w:val="en-US"/>
        </w:rPr>
        <w:t>For growth curve analyses,</w:t>
      </w:r>
      <w:r w:rsidR="00277942" w:rsidRPr="00473F7B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77942">
        <w:rPr>
          <w:rFonts w:ascii="Times New Roman" w:hAnsi="Times New Roman" w:cs="Times New Roman"/>
          <w:bCs/>
          <w:color w:val="000000"/>
          <w:lang w:val="en-US"/>
        </w:rPr>
        <w:t>all isolates were inoculated and sub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>cultured on Trypticase Soy</w:t>
      </w:r>
      <w:r w:rsidR="00277942">
        <w:rPr>
          <w:rFonts w:ascii="Times New Roman" w:hAnsi="Times New Roman" w:cs="Times New Roman"/>
          <w:bCs/>
          <w:color w:val="000000"/>
          <w:lang w:val="en-US"/>
        </w:rPr>
        <w:t xml:space="preserve"> Agar (TSA)</w:t>
      </w:r>
      <w:r w:rsidR="00277942" w:rsidRPr="00277942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77942">
        <w:rPr>
          <w:rFonts w:ascii="Times New Roman" w:hAnsi="Times New Roman" w:cs="Times New Roman"/>
          <w:bCs/>
          <w:color w:val="000000"/>
          <w:lang w:val="en-US"/>
        </w:rPr>
        <w:t xml:space="preserve">with 5% Sheep Blood. Subsequently, 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 xml:space="preserve">from each isolate, 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10</w:t>
      </w:r>
      <w:r w:rsidR="008F37D1" w:rsidRPr="00B04691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5</w:t>
      </w:r>
      <w:r w:rsidR="006B0014" w:rsidRPr="00B04691">
        <w:rPr>
          <w:rFonts w:ascii="Times New Roman" w:hAnsi="Times New Roman" w:cs="Times New Roman"/>
          <w:bCs/>
          <w:color w:val="000000"/>
          <w:vertAlign w:val="superscript"/>
          <w:lang w:val="en-US"/>
        </w:rPr>
        <w:t xml:space="preserve"> </w:t>
      </w:r>
      <w:r w:rsidR="006B0014" w:rsidRPr="00473F7B">
        <w:rPr>
          <w:rFonts w:ascii="Times New Roman" w:hAnsi="Times New Roman" w:cs="Times New Roman"/>
          <w:bCs/>
          <w:color w:val="000000"/>
          <w:lang w:val="en-US"/>
        </w:rPr>
        <w:t xml:space="preserve">CFU/mL 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 xml:space="preserve">were inoculated in </w:t>
      </w:r>
      <w:r w:rsidR="006B0014" w:rsidRPr="00473F7B">
        <w:rPr>
          <w:rFonts w:ascii="Times New Roman" w:hAnsi="Times New Roman" w:cs="Times New Roman"/>
          <w:bCs/>
          <w:color w:val="000000"/>
          <w:lang w:val="en-US"/>
        </w:rPr>
        <w:t>Mueller-Hinton (MH) broth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 xml:space="preserve"> in a final volume </w:t>
      </w:r>
      <w:r w:rsidR="00277942" w:rsidRPr="00473F7B">
        <w:rPr>
          <w:rFonts w:ascii="Times New Roman" w:hAnsi="Times New Roman" w:cs="Times New Roman"/>
          <w:bCs/>
          <w:color w:val="000000"/>
          <w:lang w:val="en-US"/>
        </w:rPr>
        <w:t>200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 xml:space="preserve"> µ</w:t>
      </w:r>
      <w:r w:rsidR="00277942" w:rsidRPr="00473F7B">
        <w:rPr>
          <w:rFonts w:ascii="Times New Roman" w:hAnsi="Times New Roman" w:cs="Times New Roman"/>
          <w:bCs/>
          <w:color w:val="000000"/>
          <w:lang w:val="en-US"/>
        </w:rPr>
        <w:t>l per well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>. Automated o</w:t>
      </w:r>
      <w:r w:rsidR="00277942" w:rsidRPr="00473F7B">
        <w:rPr>
          <w:rFonts w:ascii="Times New Roman" w:hAnsi="Times New Roman" w:cs="Times New Roman"/>
          <w:bCs/>
          <w:color w:val="000000"/>
          <w:lang w:val="en-US"/>
        </w:rPr>
        <w:t>ptical density (420-580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77942" w:rsidRPr="00473F7B">
        <w:rPr>
          <w:rFonts w:ascii="Times New Roman" w:hAnsi="Times New Roman" w:cs="Times New Roman"/>
          <w:bCs/>
          <w:color w:val="000000"/>
          <w:lang w:val="en-US"/>
        </w:rPr>
        <w:t>nm) in liqu</w:t>
      </w:r>
      <w:r w:rsidR="00B04691">
        <w:rPr>
          <w:rFonts w:ascii="Times New Roman" w:hAnsi="Times New Roman" w:cs="Times New Roman"/>
          <w:bCs/>
          <w:color w:val="000000"/>
          <w:lang w:val="en-US"/>
        </w:rPr>
        <w:t>id culture was monitored for 48</w:t>
      </w:r>
      <w:r w:rsidR="00277942" w:rsidRPr="00473F7B">
        <w:rPr>
          <w:rFonts w:ascii="Times New Roman" w:hAnsi="Times New Roman" w:cs="Times New Roman"/>
          <w:bCs/>
          <w:color w:val="000000"/>
          <w:lang w:val="en-US"/>
        </w:rPr>
        <w:t>h at 37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°</w:t>
      </w:r>
      <w:r w:rsidR="00277942" w:rsidRPr="00473F7B">
        <w:rPr>
          <w:rFonts w:ascii="Times New Roman" w:hAnsi="Times New Roman" w:cs="Times New Roman"/>
          <w:bCs/>
          <w:color w:val="000000"/>
          <w:lang w:val="en-US"/>
        </w:rPr>
        <w:t>Celsius and turbidity measurements were taken every 15 min after shaking the microplates for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 xml:space="preserve"> 10 sec, using the Bioscreen</w:t>
      </w:r>
      <w:r w:rsidR="00865E63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>instrument</w:t>
      </w:r>
      <w:r w:rsidR="00865E63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811D8E">
        <w:rPr>
          <w:rFonts w:ascii="Times New Roman" w:hAnsi="Times New Roman" w:cs="Times New Roman"/>
          <w:bCs/>
          <w:color w:val="000000"/>
          <w:lang w:val="en-US"/>
        </w:rPr>
        <w:t>[1]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br/>
      </w:r>
      <w:r w:rsidR="00277942">
        <w:rPr>
          <w:rFonts w:ascii="Times New Roman" w:hAnsi="Times New Roman" w:cs="Times New Roman"/>
          <w:bCs/>
          <w:color w:val="000000"/>
          <w:lang w:val="en-US"/>
        </w:rPr>
        <w:t>For phenotypic characterization, a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ll isolat</w:t>
      </w:r>
      <w:r w:rsidR="006B0014">
        <w:rPr>
          <w:rFonts w:ascii="Times New Roman" w:hAnsi="Times New Roman" w:cs="Times New Roman"/>
          <w:bCs/>
          <w:color w:val="000000"/>
          <w:lang w:val="en-US"/>
        </w:rPr>
        <w:t>es were sub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cultured on L</w:t>
      </w:r>
      <w:r w:rsidR="00F50116">
        <w:rPr>
          <w:rFonts w:ascii="Times New Roman" w:hAnsi="Times New Roman" w:cs="Times New Roman"/>
          <w:bCs/>
          <w:color w:val="000000"/>
          <w:lang w:val="en-US"/>
        </w:rPr>
        <w:t xml:space="preserve">uria-Bertani </w:t>
      </w:r>
      <w:r w:rsidR="00E4274D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B04691">
        <w:rPr>
          <w:rFonts w:ascii="Times New Roman" w:hAnsi="Times New Roman" w:cs="Times New Roman"/>
          <w:bCs/>
          <w:color w:val="000000"/>
          <w:lang w:val="en-US"/>
        </w:rPr>
        <w:t>agar and initially grown for 48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h at 37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°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Celsius. </w:t>
      </w:r>
      <w:r w:rsidR="00277942">
        <w:rPr>
          <w:rFonts w:ascii="Times New Roman" w:hAnsi="Times New Roman" w:cs="Times New Roman"/>
          <w:bCs/>
          <w:color w:val="000000"/>
          <w:lang w:val="en-US"/>
        </w:rPr>
        <w:t>Subsequently, phenotype assessment was performed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and included production of pigments, presence of mucoid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>y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, presence of metallic sheen and presence of colony lysis </w:t>
      </w:r>
      <w:r w:rsidR="00190892" w:rsidRPr="00473F7B">
        <w:rPr>
          <w:rFonts w:ascii="Times New Roman" w:hAnsi="Times New Roman" w:cs="Times New Roman"/>
          <w:bCs/>
          <w:color w:val="000000"/>
          <w:lang w:val="en-US"/>
        </w:rPr>
        <w:t>as previously described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 xml:space="preserve"> by </w:t>
      </w:r>
      <w:r w:rsidR="00EA42DD">
        <w:rPr>
          <w:rFonts w:ascii="Times New Roman" w:hAnsi="Times New Roman" w:cs="Times New Roman"/>
          <w:bCs/>
          <w:color w:val="000000"/>
          <w:lang w:val="en-US"/>
        </w:rPr>
        <w:t>Mayer-Hamblett et al [2</w:t>
      </w:r>
      <w:r w:rsidR="00D23AAE">
        <w:rPr>
          <w:rFonts w:ascii="Times New Roman" w:hAnsi="Times New Roman" w:cs="Times New Roman"/>
          <w:bCs/>
          <w:color w:val="000000"/>
          <w:lang w:val="en-US"/>
        </w:rPr>
        <w:t>]</w:t>
      </w:r>
      <w:r w:rsidR="00865E63">
        <w:rPr>
          <w:rFonts w:ascii="Times New Roman" w:hAnsi="Times New Roman" w:cs="Times New Roman"/>
          <w:bCs/>
          <w:color w:val="000000"/>
          <w:lang w:val="en-US"/>
        </w:rPr>
        <w:t>.</w:t>
      </w:r>
      <w:r w:rsidR="00B50363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</w:p>
    <w:p w:rsidR="00362E10" w:rsidRPr="00473F7B" w:rsidRDefault="00362E10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473F7B">
        <w:rPr>
          <w:rFonts w:ascii="Times New Roman" w:hAnsi="Times New Roman" w:cs="Times New Roman"/>
          <w:bCs/>
          <w:color w:val="000000"/>
          <w:u w:val="single"/>
          <w:lang w:val="en-US"/>
        </w:rPr>
        <w:t>Antibiotic Susceptibility Testing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br/>
      </w:r>
      <w:r w:rsidR="00E4274D">
        <w:rPr>
          <w:rFonts w:ascii="Times New Roman" w:hAnsi="Times New Roman" w:cs="Times New Roman"/>
          <w:bCs/>
          <w:color w:val="000000"/>
          <w:lang w:val="en-US"/>
        </w:rPr>
        <w:t>Antibiotic susceptibility testing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was performed</w:t>
      </w:r>
      <w:r w:rsidR="00CF43E7" w:rsidRPr="00CF43E7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CF43E7" w:rsidRPr="00473F7B">
        <w:rPr>
          <w:rFonts w:ascii="Times New Roman" w:hAnsi="Times New Roman" w:cs="Times New Roman"/>
          <w:bCs/>
          <w:color w:val="000000"/>
          <w:lang w:val="en-US"/>
        </w:rPr>
        <w:t>according to manufacturer’s protocol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using the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lastRenderedPageBreak/>
        <w:t xml:space="preserve">commercially available microdilution system Sensititre (ThermoFisher Scientific) </w:t>
      </w:r>
      <w:r w:rsidR="00CF43E7" w:rsidRPr="00B04691">
        <w:rPr>
          <w:rFonts w:ascii="Times New Roman" w:hAnsi="Times New Roman" w:cs="Times New Roman"/>
          <w:bCs/>
          <w:color w:val="000000"/>
          <w:lang w:val="en-US"/>
        </w:rPr>
        <w:t>that included the nephelometer and inoculation device AIM, the freeze dried 96</w:t>
      </w:r>
      <w:r w:rsidR="008F37D1" w:rsidRPr="00B04691">
        <w:rPr>
          <w:rFonts w:ascii="Times New Roman" w:hAnsi="Times New Roman" w:cs="Times New Roman"/>
          <w:bCs/>
          <w:color w:val="000000"/>
          <w:lang w:val="en-US"/>
        </w:rPr>
        <w:t>-</w:t>
      </w:r>
      <w:r w:rsidR="00CF43E7" w:rsidRPr="00B04691">
        <w:rPr>
          <w:rFonts w:ascii="Times New Roman" w:hAnsi="Times New Roman" w:cs="Times New Roman"/>
          <w:bCs/>
          <w:color w:val="000000"/>
          <w:lang w:val="en-US"/>
        </w:rPr>
        <w:t>well plate EURGNCOL, the readout system VIZION</w:t>
      </w:r>
      <w:r w:rsidR="00B50363">
        <w:rPr>
          <w:rFonts w:ascii="Times New Roman" w:hAnsi="Times New Roman" w:cs="Times New Roman"/>
          <w:bCs/>
          <w:color w:val="000000"/>
          <w:lang w:val="en-US"/>
        </w:rPr>
        <w:t xml:space="preserve"> and SWIN software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. First, all isolates were thawed,  inoculated and subcultured on </w:t>
      </w:r>
      <w:r w:rsidR="00B50363">
        <w:rPr>
          <w:rFonts w:ascii="Times New Roman" w:hAnsi="Times New Roman" w:cs="Times New Roman"/>
          <w:bCs/>
          <w:color w:val="000000"/>
          <w:lang w:val="en-US"/>
        </w:rPr>
        <w:t>Trypticase Soy</w:t>
      </w:r>
      <w:r w:rsidR="00277942">
        <w:rPr>
          <w:rFonts w:ascii="Times New Roman" w:hAnsi="Times New Roman" w:cs="Times New Roman"/>
          <w:bCs/>
          <w:color w:val="000000"/>
          <w:lang w:val="en-US"/>
        </w:rPr>
        <w:t xml:space="preserve"> Agar (TSA) with 5% Sheep Blood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. 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 xml:space="preserve"> Inocula of 0.5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McFarland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 xml:space="preserve"> density were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prepared in demineralized water (ThermoFisher) and 10 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µ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l was further diluted in 11 mL cation-adjusted MH broth (ThermoFisher). The final inoculum density was about 10</w:t>
      </w:r>
      <w:r w:rsidR="008F37D1" w:rsidRPr="00B04691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5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Colony Forming Units (CFU)/mL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>. These were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dispensed into the EURGNCOL freeze dried 96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-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well round bottom plate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 xml:space="preserve"> using the AIM auto-inoculator  as 50ul suspension per well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. The plates contained the following antibiotics in serial twofold dilutions: colistin (0.25–8 mg/L), 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>p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iperacillin-tazobactam (1-32 mg/L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>, tazobactam fixed at 4 mg/L), c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eftolozane-tazobactam (0.25-8 mg/L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>, tazobactam fixed at 4 mg/L), c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eftazidime-avibactam (1-16 mg/L, t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>azobactam fixed at 4 mg/L) and m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eropenem (0.12-16 mg/L). The plates were incubated at 37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°</w:t>
      </w:r>
      <w:r w:rsidR="00B04691">
        <w:rPr>
          <w:rFonts w:ascii="Times New Roman" w:hAnsi="Times New Roman" w:cs="Times New Roman"/>
          <w:bCs/>
          <w:color w:val="000000"/>
          <w:lang w:val="en-US"/>
        </w:rPr>
        <w:t>Celsius and read at 24 and 48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h by </w:t>
      </w:r>
      <w:r w:rsidR="00733D76">
        <w:rPr>
          <w:rFonts w:ascii="Times New Roman" w:hAnsi="Times New Roman" w:cs="Times New Roman"/>
          <w:bCs/>
          <w:color w:val="000000"/>
          <w:lang w:val="en-US"/>
        </w:rPr>
        <w:t>visual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inspection and by using the V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>IZION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readout system (ThermoFisher). Positive control wells were assessed by </w:t>
      </w:r>
      <w:r w:rsidR="00733D76">
        <w:rPr>
          <w:rFonts w:ascii="Times New Roman" w:hAnsi="Times New Roman" w:cs="Times New Roman"/>
          <w:bCs/>
          <w:color w:val="000000"/>
          <w:lang w:val="en-US"/>
        </w:rPr>
        <w:t>visual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inspection and categorized as no, faint, fair or good growth. Skip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ped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wells were ignored</w:t>
      </w:r>
      <w:r w:rsidR="00E4274D">
        <w:rPr>
          <w:rFonts w:ascii="Times New Roman" w:hAnsi="Times New Roman" w:cs="Times New Roman"/>
          <w:bCs/>
          <w:color w:val="000000"/>
          <w:lang w:val="en-US"/>
        </w:rPr>
        <w:t>.</w:t>
      </w:r>
      <w:r w:rsidR="005E7303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E4274D">
        <w:rPr>
          <w:rFonts w:ascii="Times New Roman" w:hAnsi="Times New Roman" w:cs="Times New Roman"/>
          <w:bCs/>
          <w:color w:val="000000"/>
          <w:lang w:val="en-US"/>
        </w:rPr>
        <w:t>T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he MIC was defined as the lowest concentration of an antimicrobial agent that completely inhibited grow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>th.</w:t>
      </w:r>
      <w:r w:rsidR="00E4274D" w:rsidRPr="005E7303">
        <w:rPr>
          <w:rFonts w:ascii="Times New Roman" w:hAnsi="Times New Roman" w:cs="Times New Roman"/>
          <w:bCs/>
          <w:color w:val="000000"/>
          <w:lang w:val="en-US"/>
        </w:rPr>
        <w:t xml:space="preserve"> Regrowth was considered as contamination and ignored.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 xml:space="preserve"> Finally, all isolates were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checked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 xml:space="preserve"> for purity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 xml:space="preserve"> by inoculating 10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>µ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>l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 xml:space="preserve"> used broth on 5% TSA SB agar and read after 24h incubation at 37°C. </w:t>
      </w:r>
    </w:p>
    <w:p w:rsidR="00362E10" w:rsidRDefault="00362E10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473F7B">
        <w:rPr>
          <w:rFonts w:ascii="Times New Roman" w:hAnsi="Times New Roman" w:cs="Times New Roman"/>
          <w:bCs/>
          <w:color w:val="000000"/>
          <w:u w:val="single"/>
          <w:lang w:val="en-US"/>
        </w:rPr>
        <w:t>Data analyses</w:t>
      </w:r>
      <w:r w:rsidRPr="00473F7B">
        <w:rPr>
          <w:rFonts w:ascii="Times New Roman" w:hAnsi="Times New Roman" w:cs="Times New Roman"/>
          <w:bCs/>
          <w:color w:val="000000"/>
          <w:u w:val="single"/>
          <w:lang w:val="en-US"/>
        </w:rPr>
        <w:br/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A flowchart of the study design is displayed Supplemental Figure 1. Central estimators and variance measures were calculated for phenotypic characteristics of all </w:t>
      </w:r>
      <w:r w:rsidRPr="00473F7B">
        <w:rPr>
          <w:rFonts w:ascii="Times New Roman" w:hAnsi="Times New Roman" w:cs="Times New Roman"/>
          <w:bCs/>
          <w:i/>
          <w:color w:val="000000"/>
          <w:lang w:val="en-US"/>
        </w:rPr>
        <w:t xml:space="preserve">P. aeruginosa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isolates. Growth curves were quantified by determining the Area Under the Curve. Differences in growth curves were tested using the Wilcoxon rank sum test. EUCAST 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 xml:space="preserve">2017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breakpoints were used for the assessment of interpretive category results. Reliability, defined as </w:t>
      </w:r>
      <w:r w:rsidRPr="00473F7B">
        <w:rPr>
          <w:rFonts w:ascii="Times New Roman" w:hAnsi="Times New Roman" w:cs="Times New Roman"/>
          <w:lang w:val="en-US"/>
        </w:rPr>
        <w:t>the ability to effectively distinguish low from high MIC</w:t>
      </w:r>
      <w:r w:rsidR="008F37D1">
        <w:rPr>
          <w:rFonts w:ascii="Times New Roman" w:hAnsi="Times New Roman" w:cs="Times New Roman"/>
          <w:lang w:val="en-US"/>
        </w:rPr>
        <w:t>-</w:t>
      </w:r>
      <w:r w:rsidRPr="00473F7B">
        <w:rPr>
          <w:rFonts w:ascii="Times New Roman" w:hAnsi="Times New Roman" w:cs="Times New Roman"/>
          <w:lang w:val="en-US"/>
        </w:rPr>
        <w:t>values, and agreement, defined as the degree to MIC</w:t>
      </w:r>
      <w:r w:rsidR="008F37D1">
        <w:rPr>
          <w:rFonts w:ascii="Times New Roman" w:hAnsi="Times New Roman" w:cs="Times New Roman"/>
          <w:lang w:val="en-US"/>
        </w:rPr>
        <w:t>-</w:t>
      </w:r>
      <w:r w:rsidRPr="00473F7B">
        <w:rPr>
          <w:rFonts w:ascii="Times New Roman" w:hAnsi="Times New Roman" w:cs="Times New Roman"/>
          <w:lang w:val="en-US"/>
        </w:rPr>
        <w:t>values are identical, were estimated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627BD0">
        <w:rPr>
          <w:rFonts w:ascii="Times New Roman" w:hAnsi="Times New Roman" w:cs="Times New Roman"/>
          <w:bCs/>
          <w:color w:val="000000"/>
          <w:lang w:val="en-US"/>
        </w:rPr>
        <w:t>between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 xml:space="preserve"> VIZION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and </w:t>
      </w:r>
      <w:r w:rsidR="00733D76">
        <w:rPr>
          <w:rFonts w:ascii="Times New Roman" w:hAnsi="Times New Roman" w:cs="Times New Roman"/>
          <w:bCs/>
          <w:color w:val="000000"/>
          <w:lang w:val="en-US"/>
        </w:rPr>
        <w:t>visual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inspection after 24 and 48h</w:t>
      </w:r>
      <w:r w:rsidR="00190892">
        <w:rPr>
          <w:rFonts w:ascii="Times New Roman" w:hAnsi="Times New Roman" w:cs="Times New Roman"/>
          <w:bCs/>
          <w:color w:val="000000"/>
          <w:lang w:val="en-US"/>
        </w:rPr>
        <w:t xml:space="preserve"> of incubation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. Reliability was expressed in weighted kappa taking into account the possibility of agreement occurring by chance. Agreement was defined by exact, essential (within one </w:t>
      </w:r>
      <w:r w:rsidR="008F37D1">
        <w:rPr>
          <w:rFonts w:ascii="Times New Roman" w:hAnsi="Times New Roman" w:cs="Times New Roman"/>
          <w:bCs/>
          <w:color w:val="000000"/>
          <w:lang w:val="en-US"/>
        </w:rPr>
        <w:t>two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fold dilution) and categorical agreement. For categorical 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lastRenderedPageBreak/>
        <w:t>agreement errors were defined as change in the interpretive category result from susceptible to resistant (major error, ME) or from resistant to susceptible (very major error, VME) as c</w:t>
      </w:r>
      <w:r w:rsidR="00733D76">
        <w:rPr>
          <w:rFonts w:ascii="Times New Roman" w:hAnsi="Times New Roman" w:cs="Times New Roman"/>
          <w:bCs/>
          <w:color w:val="000000"/>
          <w:lang w:val="en-US"/>
        </w:rPr>
        <w:t>ompared to visual readout as reference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. Minor error (MIE) was defined </w:t>
      </w:r>
      <w:r w:rsidR="00F65ECE">
        <w:rPr>
          <w:rFonts w:ascii="Times New Roman" w:hAnsi="Times New Roman" w:cs="Times New Roman"/>
          <w:bCs/>
          <w:color w:val="000000"/>
          <w:lang w:val="en-US"/>
        </w:rPr>
        <w:t>as an error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in which either method reported a result as intermediate and the other method reported a result as susceptible or resistant. Statistical analyses were performed with IBM SPSS version 21.0</w:t>
      </w:r>
      <w:r w:rsidR="00811D8E">
        <w:rPr>
          <w:rFonts w:ascii="Times New Roman" w:hAnsi="Times New Roman" w:cs="Times New Roman"/>
          <w:bCs/>
          <w:color w:val="000000"/>
          <w:lang w:val="en-US"/>
        </w:rPr>
        <w:t>, Graphpad Prism 7.02</w:t>
      </w:r>
      <w:r w:rsidRPr="00473F7B">
        <w:rPr>
          <w:rFonts w:ascii="Times New Roman" w:hAnsi="Times New Roman" w:cs="Times New Roman"/>
          <w:bCs/>
          <w:color w:val="000000"/>
          <w:lang w:val="en-US"/>
        </w:rPr>
        <w:t xml:space="preserve"> and Excel 2010.</w:t>
      </w: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865E63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EA42DD" w:rsidRPr="00E74F2B" w:rsidRDefault="00865E63" w:rsidP="00EA42DD">
      <w:pPr>
        <w:pStyle w:val="EndNoteBibliography"/>
        <w:spacing w:line="480" w:lineRule="auto"/>
        <w:rPr>
          <w:rFonts w:ascii="Times New Roman" w:hAnsi="Times New Roman" w:cs="Times New Roman"/>
        </w:rPr>
      </w:pPr>
      <w:r w:rsidRPr="00865E63">
        <w:rPr>
          <w:rFonts w:ascii="Times New Roman" w:hAnsi="Times New Roman" w:cs="Times New Roman"/>
          <w:b/>
          <w:bCs/>
          <w:color w:val="000000"/>
        </w:rPr>
        <w:lastRenderedPageBreak/>
        <w:t>References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="00811D8E"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 xml:space="preserve"> </w:t>
      </w:r>
      <w:r w:rsidR="00811D8E" w:rsidRPr="00767CC8">
        <w:rPr>
          <w:rFonts w:ascii="Times New Roman" w:hAnsi="Times New Roman" w:cs="Times New Roman"/>
        </w:rPr>
        <w:t xml:space="preserve">Cullen L, Weiser R, Olszak T, Maldonado RF, Moreira AS, Slachmuylders L, et al. Phenotypic characterization of an international </w:t>
      </w:r>
      <w:r w:rsidR="00811D8E" w:rsidRPr="00767CC8">
        <w:rPr>
          <w:rFonts w:ascii="Times New Roman" w:hAnsi="Times New Roman" w:cs="Times New Roman"/>
          <w:i/>
        </w:rPr>
        <w:t>Pseudomonas aeruginosa</w:t>
      </w:r>
      <w:r w:rsidR="00811D8E" w:rsidRPr="00767CC8">
        <w:rPr>
          <w:rFonts w:ascii="Times New Roman" w:hAnsi="Times New Roman" w:cs="Times New Roman"/>
        </w:rPr>
        <w:t xml:space="preserve"> reference panel: strains of Cystic Fibrosis (CF) origin show less in vivo virulence than non-CF strains. Microbiology 2015;161(10):1961-77.</w:t>
      </w:r>
      <w:r w:rsidR="00EA42DD">
        <w:rPr>
          <w:rFonts w:ascii="Times New Roman" w:hAnsi="Times New Roman" w:cs="Times New Roman"/>
        </w:rPr>
        <w:br/>
        <w:t>[2</w:t>
      </w:r>
      <w:r w:rsidR="00EA42DD" w:rsidRPr="00E74F2B">
        <w:rPr>
          <w:rFonts w:ascii="Times New Roman" w:hAnsi="Times New Roman" w:cs="Times New Roman"/>
        </w:rPr>
        <w:t>] Mayer-Hamblett N, Rosenfeld M, Gibson RL, Ramsey BW, Kulasekara HD, Retsch-Bogart GZ, et al. Pseudomonas aeruginosa in vitro phenotypes distinguish cystic fibrosis infection stages and outcomes. Am J Respir Crit Care Med 2014;190(3):289-97.</w:t>
      </w:r>
    </w:p>
    <w:p w:rsidR="00865E63" w:rsidRPr="00B67EE2" w:rsidRDefault="00865E63" w:rsidP="00865E63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</w:rPr>
      </w:pPr>
    </w:p>
    <w:p w:rsidR="00865E63" w:rsidRPr="00865E63" w:rsidRDefault="00865E63" w:rsidP="00362E10">
      <w:pPr>
        <w:spacing w:line="48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865E63" w:rsidRPr="007577BD" w:rsidRDefault="00865E63" w:rsidP="00362E10">
      <w:pPr>
        <w:spacing w:line="480" w:lineRule="auto"/>
        <w:rPr>
          <w:rFonts w:ascii="Times New Roman" w:hAnsi="Times New Roman" w:cs="Times New Roman"/>
          <w:bCs/>
          <w:color w:val="000000"/>
          <w:lang w:val="en-US"/>
        </w:rPr>
      </w:pPr>
    </w:p>
    <w:sectPr w:rsidR="00865E63" w:rsidRPr="0075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82" w:rsidRDefault="00997882" w:rsidP="00B04691">
      <w:pPr>
        <w:spacing w:after="0" w:line="240" w:lineRule="auto"/>
      </w:pPr>
      <w:r>
        <w:separator/>
      </w:r>
    </w:p>
  </w:endnote>
  <w:endnote w:type="continuationSeparator" w:id="0">
    <w:p w:rsidR="00997882" w:rsidRDefault="00997882" w:rsidP="00B0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95981"/>
      <w:docPartObj>
        <w:docPartGallery w:val="Page Numbers (Bottom of Page)"/>
        <w:docPartUnique/>
      </w:docPartObj>
    </w:sdtPr>
    <w:sdtEndPr/>
    <w:sdtContent>
      <w:p w:rsidR="00B04691" w:rsidRDefault="00B0469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70">
          <w:rPr>
            <w:noProof/>
          </w:rPr>
          <w:t>7</w:t>
        </w:r>
        <w:r>
          <w:fldChar w:fldCharType="end"/>
        </w:r>
      </w:p>
    </w:sdtContent>
  </w:sdt>
  <w:p w:rsidR="00B04691" w:rsidRDefault="00B04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82" w:rsidRDefault="00997882" w:rsidP="00B04691">
      <w:pPr>
        <w:spacing w:after="0" w:line="240" w:lineRule="auto"/>
      </w:pPr>
      <w:r>
        <w:separator/>
      </w:r>
    </w:p>
  </w:footnote>
  <w:footnote w:type="continuationSeparator" w:id="0">
    <w:p w:rsidR="00997882" w:rsidRDefault="00997882" w:rsidP="00B04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02"/>
    <w:rsid w:val="000E40E8"/>
    <w:rsid w:val="00133DA2"/>
    <w:rsid w:val="0017662A"/>
    <w:rsid w:val="00190892"/>
    <w:rsid w:val="001D46CD"/>
    <w:rsid w:val="001F1415"/>
    <w:rsid w:val="00277942"/>
    <w:rsid w:val="002B1400"/>
    <w:rsid w:val="002C77C8"/>
    <w:rsid w:val="00302BC5"/>
    <w:rsid w:val="00327E00"/>
    <w:rsid w:val="00352F9E"/>
    <w:rsid w:val="00356A1A"/>
    <w:rsid w:val="00356F5D"/>
    <w:rsid w:val="00362E10"/>
    <w:rsid w:val="0037347A"/>
    <w:rsid w:val="00375802"/>
    <w:rsid w:val="00376644"/>
    <w:rsid w:val="003A1EE6"/>
    <w:rsid w:val="00403845"/>
    <w:rsid w:val="00405B5C"/>
    <w:rsid w:val="00421ECD"/>
    <w:rsid w:val="00473F7B"/>
    <w:rsid w:val="0049291F"/>
    <w:rsid w:val="00514798"/>
    <w:rsid w:val="005179C1"/>
    <w:rsid w:val="00520C2A"/>
    <w:rsid w:val="005E7303"/>
    <w:rsid w:val="00601FFB"/>
    <w:rsid w:val="00602670"/>
    <w:rsid w:val="006029C5"/>
    <w:rsid w:val="00627BD0"/>
    <w:rsid w:val="006669D1"/>
    <w:rsid w:val="006834A4"/>
    <w:rsid w:val="006B0014"/>
    <w:rsid w:val="006F36AD"/>
    <w:rsid w:val="006F4D8E"/>
    <w:rsid w:val="00716706"/>
    <w:rsid w:val="00724966"/>
    <w:rsid w:val="00731DE5"/>
    <w:rsid w:val="00733D76"/>
    <w:rsid w:val="007577BD"/>
    <w:rsid w:val="007628EB"/>
    <w:rsid w:val="007D03E2"/>
    <w:rsid w:val="007E47EB"/>
    <w:rsid w:val="00811D8E"/>
    <w:rsid w:val="00816E52"/>
    <w:rsid w:val="00847790"/>
    <w:rsid w:val="00865E63"/>
    <w:rsid w:val="008E4E97"/>
    <w:rsid w:val="008F37D1"/>
    <w:rsid w:val="009774AF"/>
    <w:rsid w:val="00985DC9"/>
    <w:rsid w:val="00997882"/>
    <w:rsid w:val="009C0A59"/>
    <w:rsid w:val="009F0F23"/>
    <w:rsid w:val="009F3152"/>
    <w:rsid w:val="00A16AC2"/>
    <w:rsid w:val="00A51F96"/>
    <w:rsid w:val="00A8267F"/>
    <w:rsid w:val="00A8698E"/>
    <w:rsid w:val="00B04691"/>
    <w:rsid w:val="00B50363"/>
    <w:rsid w:val="00BB6611"/>
    <w:rsid w:val="00C91E45"/>
    <w:rsid w:val="00C97751"/>
    <w:rsid w:val="00CD174A"/>
    <w:rsid w:val="00CF43E7"/>
    <w:rsid w:val="00D23AAE"/>
    <w:rsid w:val="00DC2FC0"/>
    <w:rsid w:val="00E40B04"/>
    <w:rsid w:val="00E4274D"/>
    <w:rsid w:val="00EA42DD"/>
    <w:rsid w:val="00EC1043"/>
    <w:rsid w:val="00EF634C"/>
    <w:rsid w:val="00F06DC0"/>
    <w:rsid w:val="00F200BC"/>
    <w:rsid w:val="00F471C5"/>
    <w:rsid w:val="00F50116"/>
    <w:rsid w:val="00F65ECE"/>
    <w:rsid w:val="00F95263"/>
    <w:rsid w:val="00FB090B"/>
    <w:rsid w:val="00FC768E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E10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9C1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865E63"/>
    <w:pPr>
      <w:spacing w:after="200" w:line="240" w:lineRule="auto"/>
    </w:pPr>
    <w:rPr>
      <w:rFonts w:ascii="Segoe UI" w:hAnsi="Segoe UI" w:cs="Segoe U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65E63"/>
    <w:rPr>
      <w:rFonts w:ascii="Segoe UI" w:hAnsi="Segoe UI" w:cs="Segoe U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2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91"/>
  </w:style>
  <w:style w:type="paragraph" w:styleId="Footer">
    <w:name w:val="footer"/>
    <w:basedOn w:val="Normal"/>
    <w:link w:val="FooterChar"/>
    <w:uiPriority w:val="99"/>
    <w:unhideWhenUsed/>
    <w:rsid w:val="00B0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E10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9C1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865E63"/>
    <w:pPr>
      <w:spacing w:after="200" w:line="240" w:lineRule="auto"/>
    </w:pPr>
    <w:rPr>
      <w:rFonts w:ascii="Segoe UI" w:hAnsi="Segoe UI" w:cs="Segoe U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65E63"/>
    <w:rPr>
      <w:rFonts w:ascii="Segoe UI" w:hAnsi="Segoe UI" w:cs="Segoe U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2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91"/>
  </w:style>
  <w:style w:type="paragraph" w:styleId="Footer">
    <w:name w:val="footer"/>
    <w:basedOn w:val="Normal"/>
    <w:link w:val="FooterChar"/>
    <w:uiPriority w:val="99"/>
    <w:unhideWhenUsed/>
    <w:rsid w:val="00B04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ast.org/fileadmin/src/media/PDFs/EUCAST_files/QC/v_7.0_EUCAST_QC_tables_routine_and_extended_QC.pdf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9808-8B86-4784-8B39-5BD4768A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Jayaprakash, Raja</cp:lastModifiedBy>
  <cp:revision>2</cp:revision>
  <cp:lastPrinted>2017-07-10T13:14:00Z</cp:lastPrinted>
  <dcterms:created xsi:type="dcterms:W3CDTF">2019-01-07T06:49:00Z</dcterms:created>
  <dcterms:modified xsi:type="dcterms:W3CDTF">2019-01-07T06:49:00Z</dcterms:modified>
</cp:coreProperties>
</file>