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keepNext w:val="0"/>
        <w:keepLines w:val="0"/>
        <w:pageBreakBefore w:val="0"/>
        <w:widowControl w:val="0"/>
        <w:kinsoku/>
        <w:wordWrap/>
        <w:overflowPunct/>
        <w:topLinePunct w:val="0"/>
        <w:autoSpaceDE/>
        <w:autoSpaceDN/>
        <w:bidi w:val="0"/>
        <w:spacing w:line="360" w:lineRule="auto"/>
        <w:textAlignment w:val="auto"/>
        <w:rPr>
          <w:rFonts w:hint="eastAsia" w:asciiTheme="minorAscii" w:eastAsiaTheme="minorEastAsia"/>
          <w:b/>
          <w:bCs/>
          <w:sz w:val="24"/>
          <w:szCs w:val="24"/>
          <w:lang w:val="en-US" w:eastAsia="zh-CN"/>
        </w:rPr>
      </w:pPr>
      <w:r>
        <w:rPr>
          <w:rFonts w:hint="eastAsia" w:asciiTheme="minorAscii"/>
          <w:b/>
          <w:bCs/>
          <w:sz w:val="24"/>
          <w:szCs w:val="24"/>
          <w:lang w:val="en-US" w:eastAsia="zh-CN"/>
        </w:rPr>
        <w:t>Supplement</w:t>
      </w:r>
    </w:p>
    <w:p>
      <w:pPr>
        <w:pStyle w:val="27"/>
        <w:keepNext w:val="0"/>
        <w:keepLines w:val="0"/>
        <w:pageBreakBefore w:val="0"/>
        <w:widowControl w:val="0"/>
        <w:kinsoku/>
        <w:wordWrap/>
        <w:overflowPunct/>
        <w:topLinePunct w:val="0"/>
        <w:autoSpaceDE/>
        <w:autoSpaceDN/>
        <w:bidi w:val="0"/>
        <w:spacing w:line="360" w:lineRule="auto"/>
        <w:textAlignment w:val="auto"/>
        <w:rPr>
          <w:rFonts w:asciiTheme="minorAscii"/>
          <w:b/>
          <w:bCs/>
          <w:sz w:val="24"/>
          <w:szCs w:val="24"/>
        </w:rPr>
      </w:pPr>
      <w:r>
        <w:rPr>
          <w:rFonts w:hint="eastAsia" w:asciiTheme="minorAscii"/>
          <w:b/>
          <w:bCs/>
          <w:sz w:val="24"/>
          <w:szCs w:val="24"/>
        </w:rPr>
        <w:t>Supplement</w:t>
      </w:r>
      <w:r>
        <w:rPr>
          <w:rFonts w:asciiTheme="minorAscii"/>
          <w:b/>
          <w:bCs/>
          <w:sz w:val="24"/>
          <w:szCs w:val="24"/>
        </w:rPr>
        <w:t xml:space="preserve"> table legends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b/>
          <w:sz w:val="24"/>
          <w:szCs w:val="24"/>
        </w:rPr>
      </w:pPr>
      <w:r>
        <w:rPr>
          <w:rFonts w:asciiTheme="minorAscii" w:cstheme="minorHAnsi"/>
          <w:b/>
          <w:sz w:val="24"/>
          <w:szCs w:val="24"/>
        </w:rPr>
        <w:t>Table S1: Demographics of included studies in the meta-analysis part of Cardiff model</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sz w:val="24"/>
          <w:szCs w:val="24"/>
        </w:rPr>
      </w:pPr>
      <w:r>
        <w:rPr>
          <w:rFonts w:asciiTheme="minorAscii" w:cstheme="minorHAnsi"/>
          <w:b/>
          <w:sz w:val="24"/>
          <w:szCs w:val="24"/>
        </w:rPr>
        <w:t xml:space="preserve">Table </w:t>
      </w:r>
      <w:r>
        <w:rPr>
          <w:rFonts w:hint="eastAsia" w:asciiTheme="minorAscii" w:cstheme="minorHAnsi"/>
          <w:b/>
          <w:sz w:val="24"/>
          <w:szCs w:val="24"/>
        </w:rPr>
        <w:t>S2</w:t>
      </w:r>
      <w:r>
        <w:rPr>
          <w:rFonts w:asciiTheme="minorAscii" w:cstheme="minorHAnsi"/>
          <w:b/>
          <w:sz w:val="24"/>
          <w:szCs w:val="24"/>
        </w:rPr>
        <w:t>: Baseline demographics in dapagliflozin treatment and metformin treatment as first line therapy, second line therapy and third therapy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asciiTheme="minorAscii"/>
          <w:b/>
          <w:sz w:val="24"/>
          <w:szCs w:val="24"/>
        </w:rPr>
      </w:pPr>
      <w:r>
        <w:rPr>
          <w:rFonts w:asciiTheme="minorAscii"/>
          <w:b/>
          <w:sz w:val="24"/>
          <w:szCs w:val="24"/>
        </w:rPr>
        <w:t xml:space="preserve">Table </w:t>
      </w:r>
      <w:r>
        <w:rPr>
          <w:rFonts w:hint="eastAsia" w:asciiTheme="minorAscii"/>
          <w:b/>
          <w:sz w:val="24"/>
          <w:szCs w:val="24"/>
        </w:rPr>
        <w:t>S3</w:t>
      </w:r>
      <w:r>
        <w:rPr>
          <w:rFonts w:asciiTheme="minorAscii"/>
          <w:b/>
          <w:sz w:val="24"/>
          <w:szCs w:val="24"/>
        </w:rPr>
        <w:t xml:space="preserve">: Annual treatment costs for different drugs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b/>
          <w:sz w:val="24"/>
          <w:szCs w:val="24"/>
        </w:rPr>
      </w:pPr>
      <w:r>
        <w:rPr>
          <w:rFonts w:asciiTheme="minorAscii"/>
          <w:b/>
          <w:sz w:val="24"/>
          <w:szCs w:val="24"/>
        </w:rPr>
        <w:t xml:space="preserve">Table </w:t>
      </w:r>
      <w:r>
        <w:rPr>
          <w:rFonts w:hint="eastAsia" w:asciiTheme="minorAscii"/>
          <w:b/>
          <w:sz w:val="24"/>
          <w:szCs w:val="24"/>
        </w:rPr>
        <w:t>S4</w:t>
      </w:r>
      <w:r>
        <w:rPr>
          <w:rFonts w:asciiTheme="minorAscii"/>
          <w:b/>
          <w:sz w:val="24"/>
          <w:szCs w:val="24"/>
        </w:rPr>
        <w:t>: Annual direct medical costs for diabetes-related complications and adverse events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asciiTheme="minorAscii"/>
          <w:b/>
          <w:sz w:val="24"/>
          <w:szCs w:val="24"/>
        </w:rPr>
      </w:pPr>
      <w:r>
        <w:rPr>
          <w:rFonts w:asciiTheme="minorAscii"/>
          <w:b/>
          <w:sz w:val="24"/>
          <w:szCs w:val="24"/>
        </w:rPr>
        <w:t xml:space="preserve">Table </w:t>
      </w:r>
      <w:r>
        <w:rPr>
          <w:rFonts w:hint="eastAsia" w:asciiTheme="minorAscii"/>
          <w:b/>
          <w:sz w:val="24"/>
          <w:szCs w:val="24"/>
        </w:rPr>
        <w:t>S5</w:t>
      </w:r>
      <w:r>
        <w:rPr>
          <w:rFonts w:asciiTheme="minorAscii"/>
          <w:b/>
          <w:sz w:val="24"/>
          <w:szCs w:val="24"/>
        </w:rPr>
        <w:t xml:space="preserve">: Body mass index (BMI) associated costs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asciiTheme="minorAscii"/>
          <w:b/>
          <w:sz w:val="24"/>
          <w:szCs w:val="24"/>
        </w:rPr>
      </w:pPr>
      <w:r>
        <w:rPr>
          <w:rFonts w:asciiTheme="minorAscii"/>
          <w:b/>
          <w:sz w:val="24"/>
          <w:szCs w:val="24"/>
        </w:rPr>
        <w:t xml:space="preserve">Table </w:t>
      </w:r>
      <w:r>
        <w:rPr>
          <w:rFonts w:hint="eastAsia" w:asciiTheme="minorAscii"/>
          <w:b/>
          <w:sz w:val="24"/>
          <w:szCs w:val="24"/>
        </w:rPr>
        <w:t>S6</w:t>
      </w:r>
      <w:r>
        <w:rPr>
          <w:rFonts w:asciiTheme="minorAscii"/>
          <w:b/>
          <w:sz w:val="24"/>
          <w:szCs w:val="24"/>
        </w:rPr>
        <w:t>: Health state utility decrements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sz w:val="24"/>
          <w:szCs w:val="24"/>
        </w:rPr>
      </w:pPr>
      <w:r>
        <w:rPr>
          <w:rFonts w:asciiTheme="minorAscii" w:cstheme="minorHAnsi"/>
          <w:b/>
          <w:sz w:val="24"/>
          <w:szCs w:val="24"/>
        </w:rPr>
        <w:t>Table S7:</w:t>
      </w:r>
      <w:r>
        <w:rPr>
          <w:rFonts w:hAnsi="Calibri" w:cs="Calibri" w:asciiTheme="minorAscii"/>
          <w:b/>
          <w:sz w:val="24"/>
          <w:szCs w:val="24"/>
        </w:rPr>
        <w:t xml:space="preserve"> Input data for the univariate sensitivity analyses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b/>
          <w:sz w:val="24"/>
          <w:szCs w:val="24"/>
        </w:rPr>
      </w:pPr>
      <w:r>
        <w:rPr>
          <w:rFonts w:asciiTheme="minorAscii" w:cstheme="minorHAnsi"/>
          <w:b/>
          <w:sz w:val="24"/>
          <w:szCs w:val="24"/>
        </w:rPr>
        <w:t xml:space="preserve">Table S8: Absolute changes from baseline in dapagliflozin </w:t>
      </w:r>
      <w:r>
        <w:rPr>
          <w:rFonts w:hint="eastAsia" w:asciiTheme="minorAscii" w:cstheme="minorHAnsi"/>
          <w:b/>
          <w:sz w:val="24"/>
          <w:szCs w:val="24"/>
        </w:rPr>
        <w:t>t</w:t>
      </w:r>
      <w:r>
        <w:rPr>
          <w:rFonts w:asciiTheme="minorAscii" w:cstheme="minorHAnsi"/>
          <w:b/>
          <w:sz w:val="24"/>
          <w:szCs w:val="24"/>
        </w:rPr>
        <w:t>reatment</w:t>
      </w:r>
      <w:r>
        <w:rPr>
          <w:rFonts w:hint="eastAsia" w:asciiTheme="minorAscii" w:cstheme="minorHAnsi"/>
          <w:b/>
          <w:sz w:val="24"/>
          <w:szCs w:val="24"/>
        </w:rPr>
        <w:t xml:space="preserve"> </w:t>
      </w:r>
      <w:r>
        <w:rPr>
          <w:rFonts w:asciiTheme="minorAscii" w:cstheme="minorHAnsi"/>
          <w:b/>
          <w:sz w:val="24"/>
          <w:szCs w:val="24"/>
        </w:rPr>
        <w:t xml:space="preserve">and metformin </w:t>
      </w:r>
      <w:r>
        <w:rPr>
          <w:rFonts w:hint="eastAsia" w:asciiTheme="minorAscii" w:cstheme="minorHAnsi"/>
          <w:b/>
          <w:sz w:val="24"/>
          <w:szCs w:val="24"/>
        </w:rPr>
        <w:t>t</w:t>
      </w:r>
      <w:r>
        <w:rPr>
          <w:rFonts w:asciiTheme="minorAscii" w:cstheme="minorHAnsi"/>
          <w:b/>
          <w:sz w:val="24"/>
          <w:szCs w:val="24"/>
        </w:rPr>
        <w:t>reatment as first line therapy, second line therapy and third therapy</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b/>
          <w:sz w:val="24"/>
          <w:szCs w:val="24"/>
        </w:rPr>
      </w:pPr>
      <w:r>
        <w:rPr>
          <w:rFonts w:asciiTheme="minorAscii" w:cstheme="minorHAnsi"/>
          <w:b/>
          <w:sz w:val="24"/>
          <w:szCs w:val="24"/>
        </w:rPr>
        <w:t xml:space="preserve">Table S9: </w:t>
      </w:r>
      <w:r>
        <w:rPr>
          <w:rFonts w:hint="eastAsia" w:asciiTheme="minorAscii" w:cstheme="minorHAnsi"/>
          <w:b/>
          <w:sz w:val="24"/>
          <w:szCs w:val="24"/>
        </w:rPr>
        <w:t>R</w:t>
      </w:r>
      <w:r>
        <w:rPr>
          <w:rFonts w:asciiTheme="minorAscii" w:cstheme="minorHAnsi"/>
          <w:b/>
          <w:sz w:val="24"/>
          <w:szCs w:val="24"/>
        </w:rPr>
        <w:t>isks of the adverse effects in dapagliflozin treatment</w:t>
      </w:r>
      <w:r>
        <w:rPr>
          <w:rFonts w:hint="eastAsia" w:asciiTheme="minorAscii" w:cstheme="minorHAnsi"/>
          <w:b/>
          <w:sz w:val="24"/>
          <w:szCs w:val="24"/>
        </w:rPr>
        <w:t xml:space="preserve"> </w:t>
      </w:r>
      <w:r>
        <w:rPr>
          <w:rFonts w:asciiTheme="minorAscii" w:cstheme="minorHAnsi"/>
          <w:b/>
          <w:sz w:val="24"/>
          <w:szCs w:val="24"/>
        </w:rPr>
        <w:t>and metformin treatment as first line therapy, second line therapy and third therapy</w:t>
      </w:r>
    </w:p>
    <w:p>
      <w:pPr>
        <w:spacing w:line="240" w:lineRule="auto"/>
        <w:rPr>
          <w:b/>
          <w:bCs/>
          <w:sz w:val="24"/>
          <w:szCs w:val="24"/>
          <w:highlight w:val="yellow"/>
        </w:rPr>
      </w:pPr>
      <w:r>
        <w:rPr>
          <w:b/>
          <w:bCs/>
          <w:sz w:val="24"/>
          <w:szCs w:val="24"/>
          <w:highlight w:val="yellow"/>
        </w:rPr>
        <w:t>T</w:t>
      </w:r>
      <w:r>
        <w:rPr>
          <w:rFonts w:hint="eastAsia"/>
          <w:b/>
          <w:bCs/>
          <w:sz w:val="24"/>
          <w:szCs w:val="24"/>
          <w:highlight w:val="yellow"/>
        </w:rPr>
        <w:t>able</w:t>
      </w:r>
      <w:r>
        <w:rPr>
          <w:rFonts w:hint="eastAsia"/>
          <w:b/>
          <w:bCs/>
          <w:sz w:val="24"/>
          <w:szCs w:val="24"/>
          <w:highlight w:val="yellow"/>
          <w:lang w:val="en-US" w:eastAsia="zh-CN"/>
        </w:rPr>
        <w:t xml:space="preserve"> S10:</w:t>
      </w:r>
      <w:r>
        <w:rPr>
          <w:b/>
          <w:bCs/>
          <w:sz w:val="24"/>
          <w:szCs w:val="24"/>
          <w:highlight w:val="yellow"/>
        </w:rPr>
        <w:t xml:space="preserve"> The results of univariate sensitivity analyses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b/>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b/>
          <w:sz w:val="24"/>
          <w:szCs w:val="24"/>
        </w:rPr>
      </w:pPr>
      <w:r>
        <w:rPr>
          <w:rFonts w:hint="eastAsia" w:asciiTheme="minorAscii"/>
          <w:b/>
          <w:sz w:val="24"/>
          <w:szCs w:val="24"/>
        </w:rPr>
        <w:t>Supplement</w:t>
      </w:r>
      <w:r>
        <w:rPr>
          <w:rFonts w:asciiTheme="minorAscii"/>
          <w:b/>
          <w:sz w:val="24"/>
          <w:szCs w:val="24"/>
        </w:rPr>
        <w:t xml:space="preserve"> </w:t>
      </w:r>
      <w:r>
        <w:rPr>
          <w:rFonts w:hint="eastAsia" w:asciiTheme="minorAscii"/>
          <w:b/>
          <w:sz w:val="24"/>
          <w:szCs w:val="24"/>
        </w:rPr>
        <w:t>figure</w:t>
      </w:r>
      <w:r>
        <w:rPr>
          <w:rFonts w:asciiTheme="minorAscii"/>
          <w:b/>
          <w:sz w:val="24"/>
          <w:szCs w:val="24"/>
        </w:rPr>
        <w:t xml:space="preserve"> legends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b/>
          <w:sz w:val="24"/>
          <w:szCs w:val="24"/>
        </w:rPr>
      </w:pPr>
      <w:r>
        <w:rPr>
          <w:rFonts w:hint="eastAsia" w:asciiTheme="minorAscii" w:cstheme="minorHAnsi"/>
          <w:b/>
          <w:sz w:val="24"/>
          <w:szCs w:val="24"/>
        </w:rPr>
        <w:t>Figure</w:t>
      </w:r>
      <w:r>
        <w:rPr>
          <w:rFonts w:asciiTheme="minorAscii" w:cstheme="minorHAnsi"/>
          <w:b/>
          <w:sz w:val="24"/>
          <w:szCs w:val="24"/>
        </w:rPr>
        <w:t xml:space="preserve"> S1:</w:t>
      </w:r>
      <w:r>
        <w:rPr>
          <w:rFonts w:hint="eastAsia" w:asciiTheme="minorAscii" w:cstheme="minorHAnsi"/>
          <w:b/>
          <w:sz w:val="24"/>
          <w:szCs w:val="24"/>
        </w:rPr>
        <w:t xml:space="preserve"> Funnel plot of included studies with metfromin treatment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b/>
          <w:sz w:val="24"/>
          <w:szCs w:val="24"/>
        </w:rPr>
      </w:pPr>
      <w:r>
        <w:rPr>
          <w:rFonts w:hint="eastAsia" w:asciiTheme="minorAscii" w:cstheme="minorHAnsi"/>
          <w:b/>
          <w:sz w:val="24"/>
          <w:szCs w:val="24"/>
        </w:rPr>
        <w:t>Figure</w:t>
      </w:r>
      <w:r>
        <w:rPr>
          <w:rFonts w:asciiTheme="minorAscii" w:cstheme="minorHAnsi"/>
          <w:b/>
          <w:sz w:val="24"/>
          <w:szCs w:val="24"/>
        </w:rPr>
        <w:t xml:space="preserve"> S</w:t>
      </w:r>
      <w:r>
        <w:rPr>
          <w:rFonts w:hint="eastAsia" w:asciiTheme="minorAscii" w:cstheme="minorHAnsi"/>
          <w:b/>
          <w:sz w:val="24"/>
          <w:szCs w:val="24"/>
        </w:rPr>
        <w:t>2</w:t>
      </w:r>
      <w:r>
        <w:rPr>
          <w:rFonts w:asciiTheme="minorAscii" w:cstheme="minorHAnsi"/>
          <w:b/>
          <w:sz w:val="24"/>
          <w:szCs w:val="24"/>
        </w:rPr>
        <w:t>:</w:t>
      </w:r>
      <w:r>
        <w:rPr>
          <w:rFonts w:hint="eastAsia" w:asciiTheme="minorAscii" w:cstheme="minorHAnsi"/>
          <w:b/>
          <w:sz w:val="24"/>
          <w:szCs w:val="24"/>
        </w:rPr>
        <w:t xml:space="preserve"> Funnel plot of included studies with dapagliflozin treatment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b/>
          <w:sz w:val="24"/>
          <w:szCs w:val="24"/>
        </w:rPr>
      </w:pPr>
      <w:r>
        <w:rPr>
          <w:rFonts w:hint="eastAsia" w:asciiTheme="minorAscii"/>
          <w:b/>
          <w:sz w:val="24"/>
          <w:szCs w:val="24"/>
        </w:rPr>
        <w:t>Supplement</w:t>
      </w:r>
      <w:r>
        <w:rPr>
          <w:rFonts w:asciiTheme="minorAscii"/>
          <w:b/>
          <w:sz w:val="24"/>
          <w:szCs w:val="24"/>
        </w:rPr>
        <w:t xml:space="preserve"> method</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b/>
          <w:sz w:val="24"/>
          <w:szCs w:val="24"/>
        </w:rPr>
      </w:pPr>
      <w:r>
        <w:rPr>
          <w:rFonts w:hint="eastAsia" w:asciiTheme="minorAscii"/>
          <w:b/>
          <w:sz w:val="24"/>
          <w:szCs w:val="24"/>
        </w:rPr>
        <w:t>Supplement references</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heme="minorAscii" w:cstheme="minorHAnsi"/>
          <w:b/>
          <w:sz w:val="24"/>
          <w:szCs w:val="24"/>
        </w:rPr>
        <w:sectPr>
          <w:pgSz w:w="11906" w:h="16838"/>
          <w:pgMar w:top="1440" w:right="1800" w:bottom="1440" w:left="1800" w:header="851" w:footer="992" w:gutter="0"/>
          <w:cols w:space="425" w:num="1"/>
          <w:docGrid w:type="lines" w:linePitch="312" w:charSpace="0"/>
        </w:sectPr>
      </w:pPr>
    </w:p>
    <w:p>
      <w:pPr>
        <w:rPr>
          <w:rFonts w:cstheme="minorHAnsi"/>
          <w:b/>
          <w:sz w:val="20"/>
          <w:szCs w:val="20"/>
        </w:rPr>
      </w:pPr>
      <w:r>
        <w:rPr>
          <w:rFonts w:cstheme="minorHAnsi"/>
          <w:b/>
          <w:sz w:val="20"/>
          <w:szCs w:val="20"/>
        </w:rPr>
        <w:t>Table S1: Demographics of included studies in the meta-analysis part of Cardiff model</w:t>
      </w:r>
    </w:p>
    <w:tbl>
      <w:tblPr>
        <w:tblStyle w:val="12"/>
        <w:tblW w:w="14917" w:type="dxa"/>
        <w:tblInd w:w="-743"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2126"/>
        <w:gridCol w:w="2586"/>
        <w:gridCol w:w="1038"/>
        <w:gridCol w:w="1422"/>
        <w:gridCol w:w="1196"/>
        <w:gridCol w:w="1459"/>
        <w:gridCol w:w="1411"/>
        <w:gridCol w:w="1552"/>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000000" w:themeColor="text1" w:sz="8" w:space="0"/>
              <w:left w:val="nil"/>
              <w:bottom w:val="single" w:color="auto" w:sz="4" w:space="0"/>
              <w:right w:val="nil"/>
              <w:insideV w:val="nil"/>
            </w:tcBorders>
            <w:shd w:val="clear" w:color="auto" w:fill="auto"/>
            <w:vAlign w:val="center"/>
          </w:tcPr>
          <w:p>
            <w:pPr>
              <w:widowControl/>
              <w:spacing w:before="0" w:after="0" w:line="240" w:lineRule="auto"/>
              <w:jc w:val="center"/>
              <w:rPr>
                <w:rFonts w:eastAsia="Arial Unicode MS" w:cstheme="minorHAnsi"/>
                <w:b/>
                <w:bCs/>
                <w:color w:val="000000"/>
                <w:kern w:val="0"/>
                <w:sz w:val="20"/>
                <w:szCs w:val="20"/>
              </w:rPr>
            </w:pPr>
            <w:r>
              <w:rPr>
                <w:rFonts w:eastAsia="Arial Unicode MS" w:cstheme="minorHAnsi"/>
                <w:b/>
                <w:bCs/>
                <w:color w:val="000000"/>
                <w:kern w:val="0"/>
                <w:sz w:val="20"/>
                <w:szCs w:val="20"/>
              </w:rPr>
              <w:t xml:space="preserve">Author , </w:t>
            </w:r>
          </w:p>
          <w:p>
            <w:pPr>
              <w:widowControl/>
              <w:spacing w:before="0" w:after="0" w:line="240" w:lineRule="auto"/>
              <w:jc w:val="center"/>
              <w:rPr>
                <w:rFonts w:eastAsia="Arial Unicode MS" w:cstheme="minorHAnsi"/>
                <w:b w:val="0"/>
                <w:bCs w:val="0"/>
                <w:color w:val="000000"/>
                <w:kern w:val="0"/>
                <w:sz w:val="20"/>
                <w:szCs w:val="20"/>
              </w:rPr>
            </w:pPr>
            <w:r>
              <w:rPr>
                <w:rFonts w:eastAsia="Arial Unicode MS" w:cstheme="minorHAnsi"/>
                <w:b/>
                <w:bCs/>
                <w:color w:val="000000"/>
                <w:kern w:val="0"/>
                <w:sz w:val="20"/>
                <w:szCs w:val="20"/>
              </w:rPr>
              <w:t>year</w:t>
            </w:r>
          </w:p>
        </w:tc>
        <w:tc>
          <w:tcPr>
            <w:tcW w:w="2126" w:type="dxa"/>
            <w:tcBorders>
              <w:top w:val="single" w:color="000000" w:themeColor="text1" w:sz="8" w:space="0"/>
              <w:bottom w:val="single" w:color="auto" w:sz="4" w:space="0"/>
              <w:right w:val="nil"/>
              <w:insideV w:val="nil"/>
            </w:tcBorders>
            <w:shd w:val="clear" w:color="auto" w:fill="auto"/>
            <w:vAlign w:val="center"/>
          </w:tcPr>
          <w:p>
            <w:pPr>
              <w:widowControl/>
              <w:spacing w:before="0" w:after="0" w:line="240" w:lineRule="auto"/>
              <w:jc w:val="left"/>
              <w:rPr>
                <w:rFonts w:eastAsia="Arial Unicode MS" w:cstheme="minorHAnsi"/>
                <w:b w:val="0"/>
                <w:bCs w:val="0"/>
                <w:color w:val="000000"/>
                <w:kern w:val="0"/>
                <w:sz w:val="20"/>
                <w:szCs w:val="20"/>
              </w:rPr>
            </w:pPr>
            <w:r>
              <w:rPr>
                <w:rFonts w:eastAsia="Arial Unicode MS" w:cstheme="minorHAnsi"/>
                <w:b/>
                <w:bCs/>
                <w:color w:val="000000"/>
                <w:kern w:val="0"/>
                <w:sz w:val="20"/>
                <w:szCs w:val="20"/>
              </w:rPr>
              <w:t>Study duration</w:t>
            </w:r>
          </w:p>
        </w:tc>
        <w:tc>
          <w:tcPr>
            <w:tcW w:w="2586" w:type="dxa"/>
            <w:tcBorders>
              <w:top w:val="single" w:color="000000" w:themeColor="text1" w:sz="8" w:space="0"/>
              <w:bottom w:val="single" w:color="auto" w:sz="4" w:space="0"/>
              <w:right w:val="nil"/>
              <w:insideV w:val="nil"/>
            </w:tcBorders>
            <w:shd w:val="clear" w:color="auto" w:fill="auto"/>
            <w:vAlign w:val="center"/>
          </w:tcPr>
          <w:p>
            <w:pPr>
              <w:widowControl/>
              <w:spacing w:before="0" w:after="0" w:line="240" w:lineRule="auto"/>
              <w:jc w:val="center"/>
              <w:rPr>
                <w:rFonts w:eastAsia="Arial Unicode MS" w:cstheme="minorHAnsi"/>
                <w:b w:val="0"/>
                <w:bCs w:val="0"/>
                <w:color w:val="000000"/>
                <w:kern w:val="0"/>
                <w:sz w:val="20"/>
                <w:szCs w:val="20"/>
              </w:rPr>
            </w:pPr>
            <w:r>
              <w:rPr>
                <w:rFonts w:eastAsia="Arial Unicode MS" w:cstheme="minorHAnsi"/>
                <w:b/>
                <w:bCs/>
                <w:color w:val="000000"/>
                <w:kern w:val="0"/>
                <w:sz w:val="20"/>
                <w:szCs w:val="20"/>
              </w:rPr>
              <w:t>Treatment group</w:t>
            </w:r>
          </w:p>
        </w:tc>
        <w:tc>
          <w:tcPr>
            <w:tcW w:w="1038" w:type="dxa"/>
            <w:tcBorders>
              <w:top w:val="single" w:color="000000" w:themeColor="text1" w:sz="8" w:space="0"/>
              <w:bottom w:val="single" w:color="auto" w:sz="4" w:space="0"/>
              <w:right w:val="nil"/>
              <w:insideV w:val="nil"/>
            </w:tcBorders>
            <w:shd w:val="clear" w:color="auto" w:fill="auto"/>
            <w:vAlign w:val="center"/>
          </w:tcPr>
          <w:p>
            <w:pPr>
              <w:widowControl/>
              <w:spacing w:before="0" w:after="0" w:line="240" w:lineRule="auto"/>
              <w:jc w:val="center"/>
              <w:rPr>
                <w:rFonts w:eastAsia="Arial Unicode MS" w:cstheme="minorHAnsi"/>
                <w:b w:val="0"/>
                <w:bCs w:val="0"/>
                <w:color w:val="000000"/>
                <w:kern w:val="0"/>
                <w:sz w:val="20"/>
                <w:szCs w:val="20"/>
              </w:rPr>
            </w:pPr>
            <w:r>
              <w:rPr>
                <w:rFonts w:eastAsia="Arial Unicode MS" w:cstheme="minorHAnsi"/>
                <w:b/>
                <w:bCs/>
                <w:color w:val="000000"/>
                <w:kern w:val="0"/>
                <w:sz w:val="20"/>
                <w:szCs w:val="20"/>
              </w:rPr>
              <w:t>No. of patients</w:t>
            </w:r>
          </w:p>
        </w:tc>
        <w:tc>
          <w:tcPr>
            <w:tcW w:w="1422" w:type="dxa"/>
            <w:tcBorders>
              <w:top w:val="single" w:color="000000" w:themeColor="text1" w:sz="8" w:space="0"/>
              <w:bottom w:val="single" w:color="auto" w:sz="4" w:space="0"/>
              <w:right w:val="nil"/>
              <w:insideV w:val="nil"/>
            </w:tcBorders>
            <w:shd w:val="clear" w:color="auto" w:fill="auto"/>
            <w:vAlign w:val="center"/>
          </w:tcPr>
          <w:p>
            <w:pPr>
              <w:widowControl/>
              <w:spacing w:before="0" w:after="0" w:line="240" w:lineRule="auto"/>
              <w:jc w:val="center"/>
              <w:rPr>
                <w:rFonts w:eastAsia="Arial Unicode MS" w:cstheme="minorHAnsi"/>
                <w:b w:val="0"/>
                <w:bCs w:val="0"/>
                <w:color w:val="000000"/>
                <w:kern w:val="0"/>
                <w:sz w:val="20"/>
                <w:szCs w:val="20"/>
              </w:rPr>
            </w:pPr>
            <w:r>
              <w:rPr>
                <w:rFonts w:eastAsia="Arial Unicode MS" w:cstheme="minorHAnsi"/>
                <w:b/>
                <w:bCs/>
                <w:color w:val="000000"/>
                <w:kern w:val="0"/>
                <w:sz w:val="20"/>
                <w:szCs w:val="20"/>
              </w:rPr>
              <w:t>Age (years)</w:t>
            </w:r>
          </w:p>
        </w:tc>
        <w:tc>
          <w:tcPr>
            <w:tcW w:w="1196" w:type="dxa"/>
            <w:tcBorders>
              <w:top w:val="single" w:color="000000" w:themeColor="text1" w:sz="8" w:space="0"/>
              <w:bottom w:val="single" w:color="auto" w:sz="4" w:space="0"/>
              <w:right w:val="nil"/>
              <w:insideV w:val="nil"/>
            </w:tcBorders>
            <w:shd w:val="clear" w:color="auto" w:fill="auto"/>
            <w:vAlign w:val="center"/>
          </w:tcPr>
          <w:p>
            <w:pPr>
              <w:widowControl/>
              <w:spacing w:before="0" w:after="0" w:line="240" w:lineRule="auto"/>
              <w:jc w:val="center"/>
              <w:rPr>
                <w:rFonts w:eastAsia="Arial Unicode MS" w:cstheme="minorHAnsi"/>
                <w:b w:val="0"/>
                <w:bCs w:val="0"/>
                <w:color w:val="000000"/>
                <w:kern w:val="0"/>
                <w:sz w:val="20"/>
                <w:szCs w:val="20"/>
              </w:rPr>
            </w:pPr>
            <w:r>
              <w:rPr>
                <w:rFonts w:eastAsia="Arial Unicode MS" w:cstheme="minorHAnsi"/>
                <w:b/>
                <w:bCs/>
                <w:color w:val="000000"/>
                <w:kern w:val="0"/>
                <w:sz w:val="20"/>
                <w:szCs w:val="20"/>
              </w:rPr>
              <w:t>Men (%)</w:t>
            </w:r>
          </w:p>
        </w:tc>
        <w:tc>
          <w:tcPr>
            <w:tcW w:w="1459" w:type="dxa"/>
            <w:tcBorders>
              <w:top w:val="single" w:color="000000" w:themeColor="text1" w:sz="8" w:space="0"/>
              <w:bottom w:val="single" w:color="auto" w:sz="4" w:space="0"/>
              <w:right w:val="nil"/>
              <w:insideV w:val="nil"/>
            </w:tcBorders>
            <w:shd w:val="clear" w:color="auto" w:fill="auto"/>
            <w:vAlign w:val="center"/>
          </w:tcPr>
          <w:p>
            <w:pPr>
              <w:widowControl/>
              <w:spacing w:before="0" w:after="0" w:line="240" w:lineRule="auto"/>
              <w:jc w:val="center"/>
              <w:rPr>
                <w:rFonts w:eastAsia="Arial Unicode MS" w:cstheme="minorHAnsi"/>
                <w:b w:val="0"/>
                <w:bCs w:val="0"/>
                <w:color w:val="000000"/>
                <w:kern w:val="0"/>
                <w:sz w:val="20"/>
                <w:szCs w:val="20"/>
              </w:rPr>
            </w:pPr>
            <w:r>
              <w:rPr>
                <w:rFonts w:eastAsia="Arial Unicode MS" w:cstheme="minorHAnsi"/>
                <w:b/>
                <w:bCs/>
                <w:color w:val="000000"/>
                <w:kern w:val="0"/>
                <w:sz w:val="20"/>
                <w:szCs w:val="20"/>
              </w:rPr>
              <w:t>BMI (kg/m2)</w:t>
            </w:r>
          </w:p>
        </w:tc>
        <w:tc>
          <w:tcPr>
            <w:tcW w:w="1411" w:type="dxa"/>
            <w:tcBorders>
              <w:top w:val="single" w:color="000000" w:themeColor="text1" w:sz="8" w:space="0"/>
              <w:bottom w:val="single" w:color="auto" w:sz="4" w:space="0"/>
              <w:right w:val="nil"/>
              <w:insideV w:val="nil"/>
            </w:tcBorders>
            <w:shd w:val="clear" w:color="auto" w:fill="auto"/>
            <w:vAlign w:val="center"/>
          </w:tcPr>
          <w:p>
            <w:pPr>
              <w:widowControl/>
              <w:spacing w:before="0" w:after="0" w:line="240" w:lineRule="auto"/>
              <w:jc w:val="center"/>
              <w:rPr>
                <w:rFonts w:eastAsia="Arial Unicode MS" w:cstheme="minorHAnsi"/>
                <w:b w:val="0"/>
                <w:bCs w:val="0"/>
                <w:color w:val="000000"/>
                <w:kern w:val="0"/>
                <w:sz w:val="20"/>
                <w:szCs w:val="20"/>
              </w:rPr>
            </w:pPr>
            <w:r>
              <w:rPr>
                <w:rFonts w:eastAsia="Arial Unicode MS" w:cstheme="minorHAnsi"/>
                <w:b/>
                <w:bCs/>
                <w:color w:val="000000"/>
                <w:kern w:val="0"/>
                <w:sz w:val="20"/>
                <w:szCs w:val="20"/>
              </w:rPr>
              <w:t>DM duration</w:t>
            </w:r>
          </w:p>
          <w:p>
            <w:pPr>
              <w:widowControl/>
              <w:spacing w:before="0" w:after="0" w:line="240" w:lineRule="auto"/>
              <w:jc w:val="center"/>
              <w:rPr>
                <w:rFonts w:eastAsia="Arial Unicode MS" w:cstheme="minorHAnsi"/>
                <w:b w:val="0"/>
                <w:bCs w:val="0"/>
                <w:color w:val="000000"/>
                <w:kern w:val="0"/>
                <w:sz w:val="20"/>
                <w:szCs w:val="20"/>
              </w:rPr>
            </w:pPr>
            <w:r>
              <w:rPr>
                <w:rFonts w:eastAsia="Arial Unicode MS" w:cstheme="minorHAnsi"/>
                <w:b/>
                <w:bCs/>
                <w:color w:val="000000"/>
                <w:kern w:val="0"/>
                <w:sz w:val="20"/>
                <w:szCs w:val="20"/>
              </w:rPr>
              <w:t>(years)</w:t>
            </w:r>
          </w:p>
        </w:tc>
        <w:tc>
          <w:tcPr>
            <w:tcW w:w="1552" w:type="dxa"/>
            <w:tcBorders>
              <w:top w:val="single" w:color="000000" w:themeColor="text1" w:sz="8" w:space="0"/>
              <w:bottom w:val="single" w:color="auto" w:sz="4" w:space="0"/>
              <w:right w:val="nil"/>
              <w:insideV w:val="nil"/>
            </w:tcBorders>
            <w:shd w:val="clear" w:color="auto" w:fill="auto"/>
            <w:vAlign w:val="center"/>
          </w:tcPr>
          <w:p>
            <w:pPr>
              <w:widowControl/>
              <w:spacing w:before="0" w:after="0" w:line="240" w:lineRule="auto"/>
              <w:jc w:val="center"/>
              <w:rPr>
                <w:rFonts w:eastAsia="Arial Unicode MS" w:cstheme="minorHAnsi"/>
                <w:b w:val="0"/>
                <w:bCs w:val="0"/>
                <w:color w:val="000000"/>
                <w:kern w:val="0"/>
                <w:sz w:val="20"/>
                <w:szCs w:val="20"/>
              </w:rPr>
            </w:pPr>
            <w:r>
              <w:rPr>
                <w:rFonts w:eastAsia="Arial Unicode MS" w:cstheme="minorHAnsi"/>
                <w:b/>
                <w:bCs/>
                <w:color w:val="000000"/>
                <w:kern w:val="0"/>
                <w:sz w:val="20"/>
                <w:szCs w:val="20"/>
              </w:rPr>
              <w:t>Baseline HbA1c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17" w:type="dxa"/>
            <w:gridSpan w:val="9"/>
            <w:tcBorders>
              <w:left w:val="nil"/>
              <w:bottom w:val="single" w:color="auto" w:sz="4" w:space="0"/>
              <w:right w:val="nil"/>
              <w:insideV w:val="nil"/>
            </w:tcBorders>
            <w:shd w:val="clear" w:color="auto" w:fill="AEAAAA" w:themeFill="background2" w:themeFillShade="BF"/>
            <w:vAlign w:val="center"/>
          </w:tcPr>
          <w:p>
            <w:pPr>
              <w:widowControl/>
              <w:jc w:val="left"/>
              <w:rPr>
                <w:rFonts w:eastAsia="Arial Unicode MS" w:cstheme="minorHAnsi"/>
                <w:b/>
                <w:bCs/>
                <w:color w:val="000000"/>
                <w:kern w:val="0"/>
                <w:sz w:val="20"/>
                <w:szCs w:val="20"/>
              </w:rPr>
            </w:pPr>
            <w:r>
              <w:rPr>
                <w:rFonts w:eastAsia="Arial Unicode MS" w:cstheme="minorHAnsi"/>
                <w:b/>
                <w:bCs/>
                <w:color w:val="000000"/>
                <w:kern w:val="0"/>
                <w:sz w:val="20"/>
                <w:szCs w:val="20"/>
              </w:rPr>
              <w:t>First line therapy strategy (SGLT-2 inhibitors vs metformin as monotherapy)</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kern w:val="0"/>
                <w:sz w:val="20"/>
                <w:szCs w:val="20"/>
              </w:rPr>
              <w:t>Henry[1], 2012</w:t>
            </w:r>
          </w:p>
        </w:tc>
        <w:tc>
          <w:tcPr>
            <w:tcW w:w="2126" w:type="dxa"/>
            <w:tcBorders>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24weeks</w:t>
            </w:r>
          </w:p>
        </w:tc>
        <w:tc>
          <w:tcPr>
            <w:tcW w:w="2586" w:type="dxa"/>
            <w:tcBorders>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dapagliflozin5mg</w:t>
            </w:r>
          </w:p>
        </w:tc>
        <w:tc>
          <w:tcPr>
            <w:tcW w:w="1038" w:type="dxa"/>
            <w:tcBorders>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203</w:t>
            </w:r>
          </w:p>
        </w:tc>
        <w:tc>
          <w:tcPr>
            <w:tcW w:w="1422" w:type="dxa"/>
            <w:tcBorders>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52.3±10.2</w:t>
            </w:r>
          </w:p>
        </w:tc>
        <w:tc>
          <w:tcPr>
            <w:tcW w:w="1196" w:type="dxa"/>
            <w:tcBorders>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45.3</w:t>
            </w:r>
          </w:p>
        </w:tc>
        <w:tc>
          <w:tcPr>
            <w:tcW w:w="1459" w:type="dxa"/>
            <w:tcBorders>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1.6±3.1</w:t>
            </w:r>
          </w:p>
        </w:tc>
        <w:tc>
          <w:tcPr>
            <w:tcW w:w="1552" w:type="dxa"/>
            <w:tcBorders>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9.1±1.4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 2000mg</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201</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51.8±9.8</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47.3</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1.6±2.6</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9.2±1.3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dapagliflozin10mg</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219</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51.1±11.5</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47.9</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2.1±3.8</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 2000mg</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208</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52.7±10.4</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46.6</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1.9±4.0</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17" w:type="dxa"/>
            <w:gridSpan w:val="9"/>
            <w:tcBorders>
              <w:bottom w:val="nil"/>
            </w:tcBorders>
            <w:shd w:val="clear" w:color="auto" w:fill="AEAAAA" w:themeFill="background2" w:themeFillShade="BF"/>
            <w:vAlign w:val="center"/>
          </w:tcPr>
          <w:p>
            <w:pPr>
              <w:widowControl/>
              <w:jc w:val="left"/>
              <w:rPr>
                <w:rFonts w:eastAsia="Arial Unicode MS" w:cstheme="minorHAnsi"/>
                <w:b/>
                <w:bCs/>
                <w:color w:val="000000"/>
                <w:kern w:val="0"/>
                <w:sz w:val="20"/>
                <w:szCs w:val="20"/>
              </w:rPr>
            </w:pPr>
            <w:r>
              <w:rPr>
                <w:rFonts w:eastAsia="Arial Unicode MS" w:cstheme="minorHAnsi"/>
                <w:b/>
                <w:bCs/>
                <w:color w:val="000000"/>
                <w:kern w:val="0"/>
                <w:sz w:val="20"/>
                <w:szCs w:val="20"/>
              </w:rPr>
              <w:t>Second line therapy strategy (SGLT-2 inhibitors add on SU/TZD/DPP4i versus Placebo)</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kern w:val="0"/>
                <w:sz w:val="20"/>
                <w:szCs w:val="20"/>
              </w:rPr>
              <w:t>Rosenstock[2], 2012</w:t>
            </w: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48weeks</w:t>
            </w: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dapagliflozin10mg+ pioglitazone</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140</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53.8±10.4</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42.1</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5.75±6.44</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8.37±0.96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rPr>
                <w:rFonts w:eastAsia="Arial Unicode MS" w:cstheme="minorHAnsi"/>
                <w:b w:val="0"/>
                <w:bCs/>
                <w:color w:val="000000"/>
                <w:kern w:val="0"/>
                <w:sz w:val="20"/>
                <w:szCs w:val="20"/>
              </w:rPr>
            </w:pPr>
          </w:p>
        </w:tc>
        <w:tc>
          <w:tcPr>
            <w:tcW w:w="2126" w:type="dxa"/>
            <w:tcBorders>
              <w:top w:val="nil"/>
              <w:bottom w:val="single" w:color="auto" w:sz="4" w:space="0"/>
            </w:tcBorders>
            <w:shd w:val="clear" w:color="auto" w:fill="auto"/>
            <w:vAlign w:val="center"/>
          </w:tcPr>
          <w:p>
            <w:pPr>
              <w:widowControl/>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 pioglitazone</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139</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53.5±11.4</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51.1</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5.07±5.05</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8.34±1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kern w:val="0"/>
                <w:sz w:val="20"/>
                <w:szCs w:val="20"/>
              </w:rPr>
              <w:t>Strojek[3], 2011</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dapagliflozin10mg+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glimepiride4mg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151</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58.9±8.32</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43.7</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7.2±5.5</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8.07±0.79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rPr>
                <w:rFonts w:eastAsia="Arial Unicode MS" w:cstheme="minorHAnsi"/>
                <w:b w:val="0"/>
                <w:bCs/>
                <w:color w:val="000000"/>
                <w:kern w:val="0"/>
                <w:sz w:val="20"/>
                <w:szCs w:val="20"/>
              </w:rPr>
            </w:pPr>
          </w:p>
        </w:tc>
        <w:tc>
          <w:tcPr>
            <w:tcW w:w="2126" w:type="dxa"/>
            <w:tcBorders>
              <w:top w:val="nil"/>
              <w:bottom w:val="single" w:color="auto" w:sz="4" w:space="0"/>
            </w:tcBorders>
            <w:shd w:val="clear" w:color="auto" w:fill="auto"/>
            <w:vAlign w:val="center"/>
          </w:tcPr>
          <w:p>
            <w:pPr>
              <w:widowControl/>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glimepiride4mg</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145</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60.3±10.1</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49</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7.4±5.7</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8.15±0.74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17" w:type="dxa"/>
            <w:gridSpan w:val="9"/>
            <w:tcBorders>
              <w:top w:val="nil"/>
              <w:left w:val="nil"/>
              <w:bottom w:val="nil"/>
              <w:right w:val="nil"/>
              <w:insideV w:val="nil"/>
            </w:tcBorders>
            <w:shd w:val="clear" w:color="auto" w:fill="A5A5A5" w:themeFill="background1" w:themeFillShade="A6"/>
            <w:vAlign w:val="center"/>
          </w:tcPr>
          <w:p>
            <w:pPr>
              <w:widowControl/>
              <w:jc w:val="left"/>
              <w:rPr>
                <w:rFonts w:eastAsia="Arial Unicode MS" w:cstheme="minorHAnsi"/>
                <w:b/>
                <w:bCs/>
                <w:color w:val="000000"/>
                <w:kern w:val="0"/>
                <w:sz w:val="20"/>
                <w:szCs w:val="20"/>
              </w:rPr>
            </w:pPr>
            <w:r>
              <w:rPr>
                <w:rFonts w:eastAsia="Arial Unicode MS" w:cstheme="minorHAnsi"/>
                <w:b/>
                <w:bCs/>
                <w:color w:val="000000"/>
                <w:kern w:val="0"/>
                <w:sz w:val="20"/>
                <w:szCs w:val="20"/>
              </w:rPr>
              <w:t>Second line therapy strategy (MET add on SU/TZD/DPP4i versus Placebo)</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val="0"/>
                <w:bCs/>
                <w:color w:val="000000"/>
                <w:kern w:val="0"/>
                <w:sz w:val="20"/>
                <w:szCs w:val="20"/>
                <w:highlight w:val="cyan"/>
              </w:rPr>
            </w:pPr>
            <w:r>
              <w:rPr>
                <w:rFonts w:eastAsia="Arial Unicode MS" w:cstheme="minorHAnsi"/>
                <w:b w:val="0"/>
                <w:bCs/>
                <w:color w:val="000000"/>
                <w:kern w:val="0"/>
                <w:sz w:val="20"/>
                <w:szCs w:val="20"/>
              </w:rPr>
              <w:t xml:space="preserve">Ahrén[4], 2004 </w:t>
            </w: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 weeks</w:t>
            </w: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LAF237 50mg qd+MET</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57.9 ± 10.0</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69.6</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29.4± 3.6</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 ± 4.2</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7.7 ± 0.6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val="0"/>
                <w:bCs/>
                <w:color w:val="000000"/>
                <w:kern w:val="0"/>
                <w:sz w:val="20"/>
                <w:szCs w:val="20"/>
                <w:highlight w:val="cyan"/>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55.7 ± 11.0</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66.7</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30.2 ± 3.6</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 3.7</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7.8 ± 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highlight w:val="cyan"/>
              </w:rPr>
            </w:pPr>
            <w:r>
              <w:rPr>
                <w:rFonts w:eastAsia="Arial Unicode MS" w:cstheme="minorHAnsi"/>
                <w:b w:val="0"/>
                <w:bCs/>
                <w:color w:val="000000"/>
                <w:kern w:val="0"/>
                <w:sz w:val="20"/>
                <w:szCs w:val="20"/>
              </w:rPr>
              <w:t>Barnett[5], 2013</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Linagliptin 5mg qd+MET/SU</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162</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74.9±4.4</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71.6</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29.6±4.7</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7.8±0.8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val="0"/>
                <w:bCs/>
                <w:color w:val="000000"/>
                <w:kern w:val="0"/>
                <w:sz w:val="20"/>
                <w:szCs w:val="20"/>
                <w:highlight w:val="cyan"/>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Placebo+MET/SU</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74.9</w:t>
            </w:r>
            <w:bookmarkStart w:id="0" w:name="OLE_LINK74"/>
            <w:bookmarkStart w:id="1" w:name="OLE_LINK73"/>
            <w:r>
              <w:rPr>
                <w:rFonts w:eastAsia="Arial Unicode MS" w:cstheme="minorHAnsi"/>
                <w:color w:val="000000"/>
                <w:kern w:val="0"/>
                <w:sz w:val="20"/>
                <w:szCs w:val="20"/>
              </w:rPr>
              <w:t>±</w:t>
            </w:r>
            <w:bookmarkEnd w:id="0"/>
            <w:bookmarkEnd w:id="1"/>
            <w:r>
              <w:rPr>
                <w:rFonts w:eastAsia="Arial Unicode MS" w:cstheme="minorHAnsi"/>
                <w:color w:val="000000"/>
                <w:kern w:val="0"/>
                <w:sz w:val="20"/>
                <w:szCs w:val="20"/>
              </w:rPr>
              <w:t>4.2</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62.0</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29.8±4.5</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7.7±0.7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kern w:val="0"/>
                <w:sz w:val="20"/>
                <w:szCs w:val="20"/>
              </w:rPr>
              <w:t>Bergenstal[6], 2012</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24weeks</w:t>
            </w:r>
          </w:p>
        </w:tc>
        <w:tc>
          <w:tcPr>
            <w:tcW w:w="2586" w:type="dxa"/>
            <w:tcBorders>
              <w:top w:val="single" w:color="auto" w:sz="4" w:space="0"/>
              <w:bottom w:val="nil"/>
            </w:tcBorders>
            <w:shd w:val="clear" w:color="auto" w:fill="auto"/>
            <w:vAlign w:val="center"/>
          </w:tcPr>
          <w:p>
            <w:pPr>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single" w:color="auto" w:sz="4" w:space="0"/>
              <w:bottom w:val="nil"/>
            </w:tcBorders>
            <w:shd w:val="clear" w:color="auto" w:fill="auto"/>
            <w:vAlign w:val="center"/>
          </w:tcPr>
          <w:p>
            <w:pPr>
              <w:jc w:val="center"/>
              <w:rPr>
                <w:rFonts w:eastAsia="Arial Unicode MS" w:cstheme="minorHAnsi"/>
                <w:color w:val="000000"/>
                <w:kern w:val="0"/>
                <w:sz w:val="20"/>
                <w:szCs w:val="20"/>
              </w:rPr>
            </w:pPr>
            <w:r>
              <w:rPr>
                <w:rFonts w:eastAsia="Arial Unicode MS" w:cstheme="minorHAnsi"/>
                <w:color w:val="000000"/>
                <w:kern w:val="0"/>
                <w:sz w:val="20"/>
                <w:szCs w:val="20"/>
              </w:rPr>
              <w:t>90</w:t>
            </w:r>
          </w:p>
        </w:tc>
        <w:tc>
          <w:tcPr>
            <w:tcW w:w="1422" w:type="dxa"/>
            <w:tcBorders>
              <w:top w:val="single" w:color="auto" w:sz="4" w:space="0"/>
              <w:bottom w:val="nil"/>
            </w:tcBorders>
            <w:shd w:val="clear" w:color="auto" w:fill="auto"/>
            <w:vAlign w:val="center"/>
          </w:tcPr>
          <w:p>
            <w:pPr>
              <w:jc w:val="center"/>
              <w:rPr>
                <w:rFonts w:eastAsia="Arial Unicode MS" w:cstheme="minorHAnsi"/>
                <w:color w:val="000000"/>
                <w:kern w:val="0"/>
                <w:sz w:val="20"/>
                <w:szCs w:val="20"/>
              </w:rPr>
            </w:pPr>
            <w:r>
              <w:rPr>
                <w:rFonts w:eastAsia="Arial Unicode MS" w:cstheme="minorHAnsi"/>
                <w:color w:val="000000"/>
                <w:kern w:val="0"/>
                <w:sz w:val="20"/>
                <w:szCs w:val="20"/>
              </w:rPr>
              <w:t>56.1±10.1</w:t>
            </w:r>
          </w:p>
        </w:tc>
        <w:tc>
          <w:tcPr>
            <w:tcW w:w="1196" w:type="dxa"/>
            <w:tcBorders>
              <w:top w:val="single" w:color="auto" w:sz="4" w:space="0"/>
              <w:bottom w:val="nil"/>
            </w:tcBorders>
            <w:shd w:val="clear" w:color="auto" w:fill="auto"/>
            <w:vAlign w:val="center"/>
          </w:tcPr>
          <w:p>
            <w:pPr>
              <w:jc w:val="center"/>
              <w:rPr>
                <w:rFonts w:eastAsia="Arial Unicode MS" w:cstheme="minorHAnsi"/>
                <w:color w:val="000000"/>
                <w:kern w:val="0"/>
                <w:sz w:val="20"/>
                <w:szCs w:val="20"/>
              </w:rPr>
            </w:pPr>
            <w:r>
              <w:rPr>
                <w:rFonts w:eastAsia="Arial Unicode MS" w:cstheme="minorHAnsi"/>
                <w:color w:val="000000"/>
                <w:kern w:val="0"/>
                <w:sz w:val="20"/>
                <w:szCs w:val="20"/>
              </w:rPr>
              <w:t>52</w:t>
            </w:r>
          </w:p>
        </w:tc>
        <w:tc>
          <w:tcPr>
            <w:tcW w:w="1459" w:type="dxa"/>
            <w:tcBorders>
              <w:top w:val="single" w:color="auto" w:sz="4" w:space="0"/>
              <w:bottom w:val="nil"/>
            </w:tcBorders>
            <w:shd w:val="clear" w:color="auto" w:fill="auto"/>
            <w:vAlign w:val="center"/>
          </w:tcPr>
          <w:p>
            <w:pPr>
              <w:jc w:val="center"/>
              <w:rPr>
                <w:rFonts w:eastAsia="Arial Unicode MS" w:cstheme="minorHAnsi"/>
                <w:color w:val="000000"/>
                <w:kern w:val="0"/>
                <w:sz w:val="20"/>
                <w:szCs w:val="20"/>
              </w:rPr>
            </w:pPr>
            <w:r>
              <w:rPr>
                <w:rFonts w:eastAsia="Arial Unicode MS" w:cstheme="minorHAnsi"/>
                <w:color w:val="000000"/>
                <w:kern w:val="0"/>
                <w:sz w:val="20"/>
                <w:szCs w:val="20"/>
              </w:rPr>
              <w:t>32.5±5.5</w:t>
            </w:r>
          </w:p>
        </w:tc>
        <w:tc>
          <w:tcPr>
            <w:tcW w:w="1411" w:type="dxa"/>
            <w:tcBorders>
              <w:top w:val="single" w:color="auto" w:sz="4" w:space="0"/>
              <w:bottom w:val="nil"/>
            </w:tcBorders>
            <w:shd w:val="clear" w:color="auto" w:fill="auto"/>
            <w:vAlign w:val="center"/>
          </w:tcPr>
          <w:p>
            <w:pPr>
              <w:jc w:val="center"/>
              <w:rPr>
                <w:rFonts w:eastAsia="Arial Unicode MS" w:cstheme="minorHAnsi"/>
                <w:color w:val="000000"/>
                <w:kern w:val="0"/>
                <w:sz w:val="20"/>
                <w:szCs w:val="20"/>
              </w:rPr>
            </w:pPr>
            <w:r>
              <w:rPr>
                <w:rFonts w:eastAsia="Arial Unicode MS" w:cstheme="minorHAnsi"/>
                <w:color w:val="000000"/>
                <w:kern w:val="0"/>
                <w:sz w:val="20"/>
                <w:szCs w:val="20"/>
              </w:rPr>
              <w:t>5.5±3.9</w:t>
            </w:r>
          </w:p>
        </w:tc>
        <w:tc>
          <w:tcPr>
            <w:tcW w:w="1552" w:type="dxa"/>
            <w:tcBorders>
              <w:top w:val="single" w:color="auto" w:sz="4" w:space="0"/>
              <w:bottom w:val="nil"/>
            </w:tcBorders>
            <w:shd w:val="clear" w:color="auto" w:fill="auto"/>
            <w:vAlign w:val="center"/>
          </w:tcPr>
          <w:p>
            <w:pPr>
              <w:jc w:val="center"/>
              <w:rPr>
                <w:rFonts w:eastAsia="Arial Unicode MS" w:cstheme="minorHAnsi"/>
                <w:color w:val="000000"/>
                <w:kern w:val="0"/>
                <w:sz w:val="20"/>
                <w:szCs w:val="20"/>
              </w:rPr>
            </w:pPr>
            <w:r>
              <w:rPr>
                <w:rFonts w:eastAsia="Arial Unicode MS" w:cstheme="minorHAnsi"/>
                <w:color w:val="000000"/>
                <w:kern w:val="0"/>
                <w:sz w:val="20"/>
                <w:szCs w:val="20"/>
              </w:rPr>
              <w:t>8.03±0.83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highlight w:val="cyan"/>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 100mg+MET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177</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55.5±9.9</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32.4±5</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6.0±5.0</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7.94±0.85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Berhanu[7], 2007</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20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Pioglitazone 45mg+MET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110</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52.9±11.33</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43.6</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30.7±6.09</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7.7±6.15</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8.4±0.13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left"/>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112</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52.5±11.07</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41.1</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31.8±6.2</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8.5±5.43</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8.6±0.13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Borges[8], 2011</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Rosiglitazone +MET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344</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51.5</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32.2</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2.3</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8.6±0.9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334</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50.7</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33.1</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8.6±0.9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themeColor="text1" w:themeShade="BF"/>
                <w:kern w:val="0"/>
                <w:sz w:val="20"/>
                <w:szCs w:val="20"/>
                <w:highlight w:val="cyan"/>
              </w:rPr>
            </w:pPr>
            <w:r>
              <w:rPr>
                <w:rFonts w:eastAsia="Arial Unicode MS" w:cstheme="minorHAnsi"/>
                <w:b w:val="0"/>
                <w:bCs/>
                <w:color w:val="000000" w:themeColor="text1" w:themeShade="BF"/>
                <w:kern w:val="0"/>
                <w:sz w:val="20"/>
                <w:szCs w:val="20"/>
              </w:rPr>
              <w:t xml:space="preserve">Bosi[9], 2007 </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themeColor="text1" w:themeShade="BF"/>
                <w:kern w:val="0"/>
                <w:sz w:val="20"/>
                <w:szCs w:val="20"/>
                <w:highlight w:val="cyan"/>
              </w:rPr>
            </w:pPr>
            <w:r>
              <w:rPr>
                <w:rFonts w:eastAsia="Arial Unicode MS" w:cstheme="minorHAnsi"/>
                <w:color w:val="000000" w:themeColor="text1" w:themeShade="BF"/>
                <w:kern w:val="0"/>
                <w:sz w:val="20"/>
                <w:szCs w:val="20"/>
              </w:rPr>
              <w:t>24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vildagliptin50mg+MET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143</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54.3±9.7</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57.3</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32.1±5.3</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6.8±5.5</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val="0"/>
                <w:bCs/>
                <w:color w:val="000000" w:themeColor="text1" w:themeShade="BF"/>
                <w:kern w:val="0"/>
                <w:sz w:val="20"/>
                <w:szCs w:val="20"/>
                <w:highlight w:val="cyan"/>
              </w:rPr>
            </w:pP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themeColor="text1" w:themeShade="BF"/>
                <w:kern w:val="0"/>
                <w:sz w:val="20"/>
                <w:szCs w:val="20"/>
                <w:highlight w:val="cyan"/>
              </w:rPr>
            </w:pP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Vildagliptin100mg+MET</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143</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53.9±9.5</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61.5</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32.9±5.0</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5.8±4.7</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val="0"/>
                <w:bCs/>
                <w:color w:val="000000" w:themeColor="text1" w:themeShade="BF"/>
                <w:kern w:val="0"/>
                <w:sz w:val="20"/>
                <w:szCs w:val="20"/>
                <w:highlight w:val="cyan"/>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themeColor="text1" w:themeShade="BF"/>
                <w:kern w:val="0"/>
                <w:sz w:val="20"/>
                <w:szCs w:val="20"/>
                <w:highlight w:val="cyan"/>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130</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54.5±10.3</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53.1</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33.2±6.1</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6.2±5.3</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themeColor="text1" w:themeShade="BF"/>
                <w:kern w:val="0"/>
                <w:sz w:val="20"/>
                <w:szCs w:val="20"/>
                <w:highlight w:val="cyan"/>
              </w:rPr>
            </w:pPr>
            <w:bookmarkStart w:id="2" w:name="OLE_LINK80"/>
            <w:bookmarkStart w:id="3" w:name="OLE_LINK79"/>
            <w:r>
              <w:rPr>
                <w:rFonts w:eastAsia="Arial Unicode MS" w:cstheme="minorHAnsi"/>
                <w:b w:val="0"/>
                <w:bCs/>
                <w:color w:val="000000" w:themeColor="text1" w:themeShade="BF"/>
                <w:kern w:val="0"/>
                <w:sz w:val="20"/>
                <w:szCs w:val="20"/>
              </w:rPr>
              <w:t>Bosi[10], 2011</w:t>
            </w:r>
            <w:bookmarkEnd w:id="2"/>
            <w:bookmarkEnd w:id="3"/>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themeColor="text1" w:themeShade="BF"/>
                <w:kern w:val="0"/>
                <w:sz w:val="20"/>
                <w:szCs w:val="20"/>
                <w:highlight w:val="cyan"/>
              </w:rPr>
            </w:pPr>
            <w:r>
              <w:rPr>
                <w:rFonts w:eastAsia="Arial Unicode MS" w:cstheme="minorHAnsi"/>
                <w:color w:val="000000" w:themeColor="text1" w:themeShade="BF"/>
                <w:kern w:val="0"/>
                <w:sz w:val="20"/>
                <w:szCs w:val="20"/>
              </w:rPr>
              <w:t>52weeks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 Pioglitazone 30mg+Alogliptin25mg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404</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54.3±9.86</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52.0</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31.5±5.25</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7.5±5.24</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8.2±0.86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themeColor="text1" w:themeShade="BF"/>
                <w:kern w:val="0"/>
                <w:sz w:val="20"/>
                <w:szCs w:val="20"/>
                <w:highlight w:val="cyan"/>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themeColor="text1" w:themeShade="BF"/>
                <w:kern w:val="0"/>
                <w:sz w:val="20"/>
                <w:szCs w:val="20"/>
                <w:highlight w:val="cyan"/>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MET+Pioglitazone45mg</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399</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55.9</w:t>
            </w:r>
            <w:bookmarkStart w:id="4" w:name="OLE_LINK77"/>
            <w:bookmarkStart w:id="5" w:name="OLE_LINK78"/>
            <w:r>
              <w:rPr>
                <w:rFonts w:eastAsia="Arial Unicode MS" w:cstheme="minorHAnsi"/>
                <w:color w:val="000000"/>
                <w:kern w:val="0"/>
                <w:sz w:val="20"/>
                <w:szCs w:val="20"/>
              </w:rPr>
              <w:t>±</w:t>
            </w:r>
            <w:bookmarkEnd w:id="4"/>
            <w:bookmarkEnd w:id="5"/>
            <w:r>
              <w:rPr>
                <w:rFonts w:eastAsia="Arial Unicode MS" w:cstheme="minorHAnsi"/>
                <w:color w:val="000000"/>
                <w:kern w:val="0"/>
                <w:sz w:val="20"/>
                <w:szCs w:val="20"/>
              </w:rPr>
              <w:t>9.94</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51.1</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31.6±5.18</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6.9±4.61</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w:t>
            </w:r>
            <w:bookmarkStart w:id="6" w:name="OLE_LINK92"/>
            <w:bookmarkStart w:id="7" w:name="OLE_LINK93"/>
            <w:r>
              <w:rPr>
                <w:rFonts w:eastAsia="Arial Unicode MS" w:cstheme="minorHAnsi"/>
                <w:color w:val="000000"/>
                <w:kern w:val="0"/>
                <w:sz w:val="20"/>
                <w:szCs w:val="20"/>
              </w:rPr>
              <w:t>±</w:t>
            </w:r>
            <w:bookmarkEnd w:id="6"/>
            <w:bookmarkEnd w:id="7"/>
            <w:r>
              <w:rPr>
                <w:rFonts w:eastAsia="Arial Unicode MS" w:cstheme="minorHAnsi"/>
                <w:color w:val="000000"/>
                <w:kern w:val="0"/>
                <w:sz w:val="20"/>
                <w:szCs w:val="20"/>
              </w:rPr>
              <w:t>0.83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Brackenridge[11], 2009</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 Rosiglitazone 8mg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66.5±2.51</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30.0±1.5</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4.4±1.03</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6.9±0.3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 Pioglitazone 30mg</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61.0±3.93</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87.5</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30.8±1.26</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4.0±0.8</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7.5±0.21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60.8±3.45</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87.5</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32.0±1.56</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2.9±0.4</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6.6±0.14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themeColor="text1" w:themeShade="BF"/>
                <w:kern w:val="0"/>
                <w:sz w:val="20"/>
                <w:szCs w:val="20"/>
                <w:highlight w:val="cyan"/>
              </w:rPr>
            </w:pPr>
            <w:r>
              <w:rPr>
                <w:rFonts w:eastAsia="Arial Unicode MS" w:cstheme="minorHAnsi"/>
                <w:b w:val="0"/>
                <w:bCs/>
                <w:color w:val="000000" w:themeColor="text1" w:themeShade="BF"/>
                <w:kern w:val="0"/>
                <w:sz w:val="20"/>
                <w:szCs w:val="20"/>
              </w:rPr>
              <w:t>Charbonnel[12], 2006</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 100mg qd+MET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454</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7.96±0.81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themeColor="text1" w:themeShade="BF"/>
                <w:kern w:val="0"/>
                <w:sz w:val="20"/>
                <w:szCs w:val="20"/>
                <w:highlight w:val="cyan"/>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226</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8.03±0.82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Arial Unicode MS"/>
                <w:b w:val="0"/>
                <w:bCs/>
                <w:color w:val="000000" w:themeColor="text1" w:themeShade="BF"/>
                <w:kern w:val="0"/>
                <w:sz w:val="20"/>
                <w:szCs w:val="20"/>
                <w:highlight w:val="yellow"/>
              </w:rPr>
            </w:pPr>
            <w:r>
              <w:rPr>
                <w:rFonts w:eastAsia="Arial Unicode MS" w:cs="Arial Unicode MS"/>
                <w:b w:val="0"/>
                <w:bCs/>
                <w:color w:val="000000" w:themeColor="text1" w:themeShade="BF"/>
                <w:kern w:val="0"/>
                <w:sz w:val="20"/>
                <w:szCs w:val="20"/>
              </w:rPr>
              <w:t>Chen[13], 2016</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Saxagliptin+MET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36</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63.7±6.3</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58.1</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22.9±3.09</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5.1±5.0</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8.38±0.69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Arial Unicode MS"/>
                <w:b/>
                <w:bCs/>
                <w:color w:val="000000" w:themeColor="text1" w:themeShade="BF"/>
                <w:kern w:val="0"/>
                <w:sz w:val="20"/>
                <w:szCs w:val="20"/>
                <w:highlight w:val="yellow"/>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37</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62.1±6.8</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52.4</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24.1±4.27</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5.1±4.0</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8.33±0.67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restart"/>
            <w:tcBorders>
              <w:top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kern w:val="0"/>
                <w:sz w:val="20"/>
                <w:szCs w:val="20"/>
              </w:rPr>
              <w:t>Dailey[14], 2004</w:t>
            </w:r>
          </w:p>
        </w:tc>
        <w:tc>
          <w:tcPr>
            <w:tcW w:w="2126" w:type="dxa"/>
            <w:vMerge w:val="restart"/>
            <w:tcBorders>
              <w:top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tcBorders>
            <w:shd w:val="clear" w:color="auto" w:fill="auto"/>
            <w:vAlign w:val="center"/>
          </w:tcPr>
          <w:p>
            <w:pPr>
              <w:widowControl/>
              <w:adjustRightInd w:val="0"/>
              <w:snapToGrid w:val="0"/>
              <w:jc w:val="center"/>
              <w:rPr>
                <w:rFonts w:eastAsia="Arial Unicode MS" w:cstheme="minorHAnsi"/>
                <w:color w:val="000000"/>
                <w:kern w:val="0"/>
                <w:sz w:val="20"/>
                <w:szCs w:val="20"/>
              </w:rPr>
            </w:pPr>
            <w:r>
              <w:rPr>
                <w:rFonts w:eastAsia="Arial Unicode MS" w:cstheme="minorHAnsi"/>
                <w:color w:val="000000"/>
                <w:kern w:val="0"/>
                <w:sz w:val="20"/>
                <w:szCs w:val="20"/>
              </w:rPr>
              <w:t>Rosiglitazone＋glyburide/MET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181</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57±9</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32±5</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9±7</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continue"/>
            <w:tcBorders>
              <w:left w:val="nil"/>
              <w:bottom w:val="single" w:color="auto" w:sz="4" w:space="0"/>
              <w:right w:val="nil"/>
              <w:insideV w:val="nil"/>
            </w:tcBorders>
            <w:shd w:val="clear" w:color="auto" w:fill="auto"/>
            <w:vAlign w:val="center"/>
          </w:tcPr>
          <w:p>
            <w:pPr>
              <w:widowControl/>
              <w:jc w:val="center"/>
              <w:rPr>
                <w:rFonts w:eastAsia="Arial Unicode MS" w:cs="Arial Unicode MS"/>
                <w:b/>
                <w:bCs/>
                <w:color w:val="000000" w:themeColor="text1" w:themeShade="BF"/>
                <w:kern w:val="0"/>
                <w:sz w:val="20"/>
                <w:szCs w:val="20"/>
                <w:highlight w:val="yellow"/>
              </w:rPr>
            </w:pPr>
          </w:p>
        </w:tc>
        <w:tc>
          <w:tcPr>
            <w:tcW w:w="2126" w:type="dxa"/>
            <w:vMerge w:val="continue"/>
            <w:tcBorders>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adjustRightInd w:val="0"/>
              <w:snapToGrid w:val="0"/>
              <w:jc w:val="center"/>
              <w:rPr>
                <w:rFonts w:eastAsia="Arial Unicode MS" w:cstheme="minorHAnsi"/>
                <w:color w:val="000000"/>
                <w:kern w:val="0"/>
                <w:sz w:val="20"/>
                <w:szCs w:val="20"/>
              </w:rPr>
            </w:pPr>
            <w:r>
              <w:rPr>
                <w:rFonts w:eastAsia="Arial Unicode MS" w:cstheme="minorHAnsi"/>
                <w:color w:val="000000"/>
                <w:kern w:val="0"/>
                <w:sz w:val="20"/>
                <w:szCs w:val="20"/>
              </w:rPr>
              <w:t>placebo＋glyburide/MET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184</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57±10</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32±5</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9±6</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themeColor="text1" w:themeShade="BF"/>
                <w:kern w:val="0"/>
                <w:sz w:val="20"/>
                <w:szCs w:val="20"/>
                <w:highlight w:val="cyan"/>
              </w:rPr>
            </w:pPr>
            <w:r>
              <w:rPr>
                <w:rFonts w:eastAsia="Arial Unicode MS" w:cstheme="minorHAnsi"/>
                <w:b w:val="0"/>
                <w:bCs/>
                <w:color w:val="000000" w:themeColor="text1" w:themeShade="BF"/>
                <w:kern w:val="0"/>
                <w:sz w:val="20"/>
                <w:szCs w:val="20"/>
              </w:rPr>
              <w:t>DeFronzo[15], 2012</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129</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55.2±9.9</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47.3</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30.6±4.8</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6.0±5.0</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8.5±0.6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bCs/>
                <w:color w:val="000000" w:themeColor="text1" w:themeShade="BF"/>
                <w:kern w:val="0"/>
                <w:sz w:val="20"/>
                <w:szCs w:val="20"/>
                <w:highlight w:val="cyan"/>
              </w:rPr>
            </w:pP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Alogliptin 25mg+MET</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129</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53.7±9.3</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38.8</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31.5±5.7</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5.6±4.9</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8.6±0.7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themeColor="text1" w:themeShade="BF"/>
                <w:kern w:val="0"/>
                <w:sz w:val="20"/>
                <w:szCs w:val="20"/>
                <w:highlight w:val="cyan"/>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Alogliptin 25mg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+PIO 30mg+MET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130</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54.4±9.7</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42.3</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31.9±5.6</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6.6±6.0</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Derosa[16], 2008</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MET2.0g+ rosiglitazone</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55±4</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46.4</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28.6±1.9</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7.8±0.7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placebo+MET2.0g</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54±3</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47.5</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28.4±1.7</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4±1</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themeColor="text1" w:themeShade="BF"/>
                <w:kern w:val="0"/>
                <w:sz w:val="20"/>
                <w:szCs w:val="20"/>
              </w:rPr>
            </w:pPr>
            <w:r>
              <w:rPr>
                <w:rFonts w:eastAsia="Arial Unicode MS" w:cstheme="minorHAnsi"/>
                <w:b w:val="0"/>
                <w:bCs/>
                <w:color w:val="000000" w:themeColor="text1" w:themeShade="BF"/>
                <w:kern w:val="0"/>
                <w:sz w:val="20"/>
                <w:szCs w:val="20"/>
              </w:rPr>
              <w:t>Derosa[17], 2012</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 months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 100mg qd+MET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55.9±8.8</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46</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28.1±1.2</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5.8±2.6</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val="0"/>
                <w:bCs/>
                <w:color w:val="000000" w:themeColor="text1" w:themeShade="BF"/>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54.8±7.9</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28.9±2.0</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5.4±2.3</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themeColor="text1" w:themeShade="BF"/>
                <w:kern w:val="0"/>
                <w:sz w:val="20"/>
                <w:szCs w:val="20"/>
              </w:rPr>
            </w:pPr>
            <w:r>
              <w:rPr>
                <w:rFonts w:eastAsia="Arial Unicode MS" w:cstheme="minorHAnsi"/>
                <w:b w:val="0"/>
                <w:bCs/>
                <w:color w:val="000000" w:themeColor="text1" w:themeShade="BF"/>
                <w:kern w:val="0"/>
                <w:sz w:val="20"/>
                <w:szCs w:val="20"/>
              </w:rPr>
              <w:t>Derosa[18], 2012</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 months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 50mg bid+MET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54.2±8.3</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27.9±1.5</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6.1±3.7</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8.1±0.6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val="0"/>
                <w:bCs/>
                <w:color w:val="000000" w:themeColor="text1" w:themeShade="BF"/>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52.4±7.1</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51.8</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27.8±1.4</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6.3±3.9</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8.2±0.7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themeColor="text1" w:themeShade="BF"/>
                <w:kern w:val="0"/>
                <w:sz w:val="20"/>
                <w:szCs w:val="20"/>
              </w:rPr>
            </w:pPr>
            <w:r>
              <w:rPr>
                <w:rFonts w:eastAsia="Arial Unicode MS" w:cstheme="minorHAnsi"/>
                <w:b w:val="0"/>
                <w:bCs/>
                <w:color w:val="000000" w:themeColor="text1" w:themeShade="BF"/>
                <w:kern w:val="0"/>
                <w:sz w:val="20"/>
                <w:szCs w:val="20"/>
              </w:rPr>
              <w:t>Dobs[19], 2013</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18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 100mg qd+MET+rosiglitazone</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170</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54.4±8.8</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30.1±6.2</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9.3±5.9</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8.8±1.0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themeColor="text1" w:themeShade="BF"/>
                <w:kern w:val="0"/>
                <w:sz w:val="20"/>
                <w:szCs w:val="20"/>
                <w:highlight w:val="cyan"/>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Placebo+MET+rosiglitazone</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92</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54.8±9.5</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30.8±5.6</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9.4±6.8</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Einhorn[20], 2000</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MET2.0g+ Pioglitazone 30mg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168</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55.5±10.34</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54.8</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32.11±5.3</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9.86±1.4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placebo+MET2.0g</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160</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55.7±9.92</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32.12±5.5</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9.75±1.3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val="0"/>
                <w:color w:val="000000"/>
                <w:kern w:val="0"/>
                <w:sz w:val="20"/>
                <w:szCs w:val="20"/>
              </w:rPr>
              <w:t>Feinglos[21], 2005</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MET1.0g+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glipizide2.5mg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57.7±10.7</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45.9</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31.7±4.4</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6.5</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7.45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placebo+MET1.0g</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58.8±10.0</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41</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32.1±4.9</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4.6</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7.64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Fonseca[22], 2000</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MET2.5g+ rosiglitazone 4mg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116</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57.5±10.5</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62.1</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30.2±4.2</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7.5±6.3</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8.9±1.3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MET2.5g+ rosiglitazone 8mg</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110</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58.3±8.8</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68.2</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29.8±3.9</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8.3±6.3</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8.9±1.5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placebo2.5g+MET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113</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58.8±9.2</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74.3</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30.3±4.4</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7.3±5.7</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8.6±1.3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bookmarkStart w:id="8" w:name="OLE_LINK39"/>
            <w:bookmarkStart w:id="9" w:name="OLE_LINK50"/>
            <w:r>
              <w:rPr>
                <w:rFonts w:eastAsia="Arial Unicode MS" w:cstheme="minorHAnsi"/>
                <w:b w:val="0"/>
                <w:bCs/>
                <w:color w:val="000000" w:themeColor="text1" w:themeShade="BF"/>
                <w:kern w:val="0"/>
                <w:sz w:val="20"/>
                <w:szCs w:val="20"/>
              </w:rPr>
              <w:t>Fonseca[23], 2013</w:t>
            </w:r>
            <w:bookmarkEnd w:id="8"/>
            <w:bookmarkEnd w:id="9"/>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Sitagliptin100mg</w:t>
            </w:r>
            <w:bookmarkStart w:id="10" w:name="OLE_LINK51"/>
            <w:bookmarkStart w:id="11" w:name="OLE_LINK52"/>
            <w:r>
              <w:rPr>
                <w:rFonts w:eastAsia="Arial Unicode MS" w:cstheme="minorHAnsi"/>
                <w:color w:val="000000"/>
                <w:kern w:val="0"/>
                <w:sz w:val="20"/>
                <w:szCs w:val="20"/>
              </w:rPr>
              <w:t>+MET+ pioglitazone</w:t>
            </w:r>
            <w:bookmarkEnd w:id="10"/>
            <w:bookmarkEnd w:id="11"/>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157</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55.7±8.7</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61.8</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29.9±5.2</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9.4±5.8</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8.8±1.0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val="0"/>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 pioglitazone</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156</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56.4</w:t>
            </w:r>
            <w:bookmarkStart w:id="12" w:name="OLE_LINK58"/>
            <w:bookmarkStart w:id="13" w:name="OLE_LINK57"/>
            <w:r>
              <w:rPr>
                <w:rFonts w:eastAsia="Arial Unicode MS" w:cstheme="minorHAnsi"/>
                <w:color w:val="000000"/>
                <w:kern w:val="0"/>
                <w:sz w:val="20"/>
                <w:szCs w:val="20"/>
              </w:rPr>
              <w:t>±</w:t>
            </w:r>
            <w:bookmarkEnd w:id="12"/>
            <w:bookmarkEnd w:id="13"/>
            <w:r>
              <w:rPr>
                <w:rFonts w:eastAsia="Arial Unicode MS" w:cstheme="minorHAnsi"/>
                <w:color w:val="000000"/>
                <w:kern w:val="0"/>
                <w:sz w:val="20"/>
                <w:szCs w:val="20"/>
              </w:rPr>
              <w:t>9.4</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62.8</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30.0±5.2</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10.2±6.1</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Forst[24], 2010</w:t>
            </w: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 weeks</w:t>
            </w: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Linagliptin 5mg+MET</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59.6±9.8</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56.1</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31.7±4.5</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7.3±7.5</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Glimepiride+MET</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65</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59.4±9.9</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63.1</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31.5±4.2</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6.7±5.9</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8.2±0.7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71</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60.1±8.1</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32.2±4.2</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6.2±5.1</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Garber[25], 2002</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20</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glimepiride2.5mg+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MET500mg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165</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58.1</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58.2</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29.6</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8.18±1.14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glimepiride2.5mg</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161</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56.5</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50.9</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30.3</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2.81</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8.21±1.09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Garber[26], 2003</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glimepiride1.25mg+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MET500mg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171</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55.6</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44.4</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31.4</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8.8±1.5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glimepiride1.25mg</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151</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55.3</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43.7</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31.1</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8.7±1.4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Gòmez-Perez[27], 2002</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MET2.5g+RSG4mg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35</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54.2±9.3</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28.6</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28.0±4.0</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11.1±7.1</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MET2.5g+RSG8mg</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36</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51.7±8.6</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19.4</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27.6±3.2</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10.7±7.0</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placebo+MET2.5g</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34</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53.4±7.5</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29.4</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28.5±3.9</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9.1±5.6</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Goodman[28], 2009</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 100mg qd+MET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248</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54.9±10.8</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52.8</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31.4±4.7</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val="0"/>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122</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54.5±9.7</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67.2</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31.7±4.3</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8.7±1.1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Haak[29], 2012</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Placebo+MET500 mg bid</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144</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52.9±10.4</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56.9</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28.9±4.8</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Placebo+MET1000 mg bid</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147</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55.2±10.6</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53.1</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29.5±5.3</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val="0"/>
                <w:bCs/>
                <w:color w:val="000000"/>
                <w:kern w:val="0"/>
                <w:sz w:val="20"/>
                <w:szCs w:val="20"/>
              </w:rPr>
            </w:pP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LINA2.5mg+MET500mg</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143</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55.6±11.2</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29.7±5.3</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val="0"/>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LINA2.5mg+MET 1000mg bid</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143</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56.4±10.7</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53.8</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28.6±4.8</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Hermansen[30], 2007</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 100mg qd+Glimepiride±MET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222</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55.6±9.6</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52.7</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31.2±6.3</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8.3±5.5</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8.34±0.76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val="0"/>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 Glimepiride±MET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219</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56.5±9.6</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53.4</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30.7±6.3</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9.3±6.8</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8.34±0.74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Jadzinsky[31], 2009</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Saxagliptin 5mg+MET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320</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52.0±10.4</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51.6</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29.9±4.5</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2.0±3.6</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9.4±1.2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Saxagliptin 10mg+MET</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323</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52.1±11.6</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45.2</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30.3±5.0</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1.4±2.5</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9.5±1.2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328</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51.8±10.7</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49.7</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30.2±4.9</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1.7±3.1</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9.4±1.3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Arial Unicode MS"/>
                <w:b w:val="0"/>
                <w:bCs/>
                <w:color w:val="000000" w:themeColor="text1" w:themeShade="BF"/>
                <w:kern w:val="0"/>
                <w:sz w:val="20"/>
                <w:szCs w:val="20"/>
              </w:rPr>
              <w:t>Ji[32], 2016</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 50mg bid+MET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2501</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56.5±10.6</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54.4</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25.1±3.2</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4.3±4.2</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7.2±0.02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484</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56.2±10.8</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49.6</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25.1±3.2</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4.1±4.3</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7.2±0.04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Kaku[33], 2009</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pioglitazone 30mg+MET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83</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52±8.6</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66.3</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25.6±4.2</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4.5±3.7</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7.58±1.0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86</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53±7.5</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25.4±3.6</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5.6±5.0</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7.55±0.9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restart"/>
            <w:tcBorders>
              <w:top w:val="nil"/>
              <w:left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Lavalle-González[34], 2013</w:t>
            </w:r>
          </w:p>
        </w:tc>
        <w:tc>
          <w:tcPr>
            <w:tcW w:w="2126" w:type="dxa"/>
            <w:vMerge w:val="restart"/>
            <w:tcBorders>
              <w:top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183</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55.3±9.8</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51.4</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31.1±6.1</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6.8±5.3</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continue"/>
            <w:tcBorders>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vMerge w:val="continue"/>
            <w:tcBorders>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Sitagliptin100mg+MET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366</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55.3±9.8</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32.0±6.1</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6.8±5.2</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Arial Unicode MS"/>
                <w:b w:val="0"/>
                <w:bCs w:val="0"/>
                <w:color w:val="000000" w:themeColor="text1" w:themeShade="BF"/>
                <w:kern w:val="0"/>
                <w:sz w:val="20"/>
                <w:szCs w:val="20"/>
              </w:rPr>
              <w:t>Lv[35], 2013</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bookmarkStart w:id="14" w:name="OLE_LINK11"/>
            <w:bookmarkStart w:id="15" w:name="OLE_LINK12"/>
            <w:r>
              <w:rPr>
                <w:rFonts w:eastAsia="Arial Unicode MS" w:cstheme="minorHAnsi"/>
                <w:color w:val="000000"/>
                <w:kern w:val="0"/>
                <w:sz w:val="20"/>
                <w:szCs w:val="20"/>
              </w:rPr>
              <w:t>12 weeks</w:t>
            </w:r>
            <w:bookmarkEnd w:id="14"/>
            <w:bookmarkEnd w:id="15"/>
          </w:p>
        </w:tc>
        <w:tc>
          <w:tcPr>
            <w:tcW w:w="2586" w:type="dxa"/>
            <w:tcBorders>
              <w:top w:val="single" w:color="auto" w:sz="4" w:space="0"/>
              <w:bottom w:val="nil"/>
              <w:right w:val="nil"/>
              <w:insideV w:val="nil"/>
            </w:tcBorders>
            <w:shd w:val="clear" w:color="auto" w:fill="auto"/>
            <w:vAlign w:val="center"/>
          </w:tcPr>
          <w:p>
            <w:pPr>
              <w:widowControl/>
              <w:adjustRightInd w:val="0"/>
              <w:snapToGrid w:val="0"/>
              <w:jc w:val="center"/>
              <w:rPr>
                <w:rFonts w:eastAsia="Arial Unicode MS" w:cstheme="minorHAnsi"/>
                <w:color w:val="000000"/>
                <w:kern w:val="0"/>
                <w:sz w:val="20"/>
                <w:szCs w:val="20"/>
              </w:rPr>
            </w:pPr>
            <w:r>
              <w:rPr>
                <w:rFonts w:eastAsia="Arial Unicode MS" w:cstheme="minorHAnsi"/>
                <w:color w:val="000000"/>
                <w:kern w:val="0"/>
                <w:sz w:val="20"/>
                <w:szCs w:val="20"/>
              </w:rPr>
              <w:t>Saxa+MET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90</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44±7</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51.4</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30±6</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7.83±0.29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Acarbose+MET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90</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44±7</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52.6</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30±4</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7.18±0.27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Lukashevic[36], 2014</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 50mg bid+MET+Glimepiride</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158</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55.3±10.2</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50.6</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27.9±4.6</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7.1±6.2</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Placebo+MET+Glimepiride</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160</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55.0±11.1</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28.0±4.5</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7.5±6.1</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8.8±0.9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Arial Unicode MS"/>
                <w:b w:val="0"/>
                <w:bCs w:val="0"/>
                <w:color w:val="000000" w:themeColor="text1" w:themeShade="BF"/>
                <w:kern w:val="0"/>
                <w:sz w:val="20"/>
                <w:szCs w:val="20"/>
              </w:rPr>
              <w:t>Li[37], 2014</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Saxagliptin+MET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46.5±10.7</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26.9±3.1</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8.86±1.13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Vildagliptin+MET</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63</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44.8±8.5</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25.3±2.8</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8.75±1.15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48.6±11.3</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26.6±3.3</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8.54±1.19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Arial Unicode MS"/>
                <w:b w:val="0"/>
                <w:bCs/>
                <w:color w:val="000000" w:themeColor="text1" w:themeShade="BF"/>
                <w:kern w:val="0"/>
                <w:sz w:val="20"/>
                <w:szCs w:val="20"/>
              </w:rPr>
              <w:t>Du[38], 2016</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Saxagliptin+MET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238</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Acarbose +MET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243</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val="0"/>
                <w:color w:val="000000"/>
                <w:kern w:val="0"/>
                <w:sz w:val="20"/>
                <w:szCs w:val="20"/>
              </w:rPr>
              <w:t>Nauck[39], 2009</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MET2.0g+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glimepiride4mg</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244</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57±9</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31.2±4.6</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placebo+MET2.0g</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121</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56±9</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31.6±4.4</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8±6</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8.4±1.1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Nauck[40], 2009</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104</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56±11</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32±6</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6±5</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Alogliptin 12.5mg+ MET</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213</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55±11</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47.4</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32±5</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6±5</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Alogliptin 25mg+ 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210</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54±11</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54.3</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32±5</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6±4</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Negro</w:t>
            </w:r>
            <w:r>
              <w:rPr>
                <w:rFonts w:eastAsia="Arial Unicode MS" w:cstheme="minorHAnsi"/>
                <w:b/>
                <w:bCs/>
                <w:color w:val="000000"/>
                <w:kern w:val="0"/>
                <w:sz w:val="20"/>
                <w:szCs w:val="20"/>
              </w:rPr>
              <w:t>[41]</w:t>
            </w:r>
            <w:r>
              <w:rPr>
                <w:rFonts w:eastAsia="Arial Unicode MS" w:cstheme="minorHAnsi"/>
                <w:b w:val="0"/>
                <w:bCs/>
                <w:color w:val="000000"/>
                <w:kern w:val="0"/>
                <w:sz w:val="20"/>
                <w:szCs w:val="20"/>
              </w:rPr>
              <w:t>, 2005</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MET2.5g+ rosiglitazone 8mg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60.3±6.4</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52.6</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28.3±1.7</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7.1±2.4</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8.4±0.6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placebo+MET2.5g</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59±8</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63.2</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28.7±1.9</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6.6±2.9</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8.1±0.5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Owens</w:t>
            </w:r>
            <w:r>
              <w:rPr>
                <w:rFonts w:eastAsia="Arial Unicode MS" w:cstheme="minorHAnsi"/>
                <w:b/>
                <w:bCs/>
                <w:color w:val="000000" w:themeColor="text1" w:themeShade="BF"/>
                <w:kern w:val="0"/>
                <w:sz w:val="20"/>
                <w:szCs w:val="20"/>
              </w:rPr>
              <w:t>[42]</w:t>
            </w:r>
            <w:r>
              <w:rPr>
                <w:rFonts w:eastAsia="Arial Unicode MS" w:cstheme="minorHAnsi"/>
                <w:b w:val="0"/>
                <w:bCs/>
                <w:color w:val="000000" w:themeColor="text1" w:themeShade="BF"/>
                <w:kern w:val="0"/>
                <w:sz w:val="20"/>
                <w:szCs w:val="20"/>
              </w:rPr>
              <w:t>, 2011</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Linagliptin 5 mg+MET+SU</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792</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58.3±9.9</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46.8</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28.4±4.8</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8.15±0.03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Placebo+MET+SU</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263</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57.6±9.7</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48.3</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28.2±4.5</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8.14±0.05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Pan</w:t>
            </w:r>
            <w:r>
              <w:rPr>
                <w:rFonts w:eastAsia="Arial Unicode MS" w:cstheme="minorHAnsi"/>
                <w:b/>
                <w:bCs/>
                <w:color w:val="000000"/>
                <w:kern w:val="0"/>
                <w:sz w:val="20"/>
                <w:szCs w:val="20"/>
              </w:rPr>
              <w:t>[43]</w:t>
            </w:r>
            <w:r>
              <w:rPr>
                <w:rFonts w:eastAsia="Arial Unicode MS" w:cstheme="minorHAnsi"/>
                <w:b w:val="0"/>
                <w:bCs/>
                <w:color w:val="000000"/>
                <w:kern w:val="0"/>
                <w:sz w:val="20"/>
                <w:szCs w:val="20"/>
              </w:rPr>
              <w:t>, 2002</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pioglitazone 30mg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+SU+MET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141</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8.5±1.34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PBO+SU+MET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142</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8.5±1.12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Pan[44], 2012</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 50mg bid+ 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146</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54.2±9.62</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26.01±3.26</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4.92±4.8</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8.09±0.85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Vildagliptin 50 mg qd+ MET</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146</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53.7±10.0</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44.6</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25.03±3.09</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5.02±4.42</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8.05±0.84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144</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54.5±9.68</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45.8</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25.46±3.09</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5.15±4.58</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8.01±0.82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Arial Unicode MS"/>
                <w:b w:val="0"/>
                <w:bCs/>
                <w:color w:val="000000" w:themeColor="text1" w:themeShade="BF"/>
                <w:kern w:val="0"/>
                <w:sz w:val="20"/>
                <w:szCs w:val="20"/>
              </w:rPr>
              <w:t>Pan[45], 2015</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Alo+MET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52.6±9.8</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53.3</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25.7±3.1</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5.3±4.2</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8.05±0.83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93</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53.4±9.4</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48.9</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25.5±3.9</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5.5±3.9</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7.98±0.75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Perez[46], 2009</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pioglitazone15mg+MET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201</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54.7</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44.8</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30.8</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8.89±0.07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210</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53.7</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46.7</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30.8</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8.65±0.07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Raz[47], 2008</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18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 100mg qd+MET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96</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53.6±9.5</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30.1±4.4</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8.4±6.5</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9.3±0.9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94</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56.1±9.5</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41.5</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30.4±5.3</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7.3±5.3</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Roberts[48], 2005</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glimepiride8mg+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MET+SU</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82</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56.5±9.8</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33.98±5.15</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8.7±6.8</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8.15±0.76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PBO+MET+SU</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77</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56.4±10.0</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62.3</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32.76±5.11</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7.9±4.9</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8.15±0.65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Rosenstock[49], 2006</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rosiglitazone +MET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155</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50.1</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33.2</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2.3</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8.9±1.1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154</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51.5</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32.5</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8.8±1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Rosenstock[50], 2012</w:t>
            </w: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 weeks</w:t>
            </w: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 100mg Qd+MET</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65</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51.7±8.1</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31.6±5.0</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5.6±4.7</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7.64±0.95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PBO+MET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65</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53.3±7.8</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30.6±4.6</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6.4±5.0</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7.75±0.83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Ross[51], 2012</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Linagliptin 2.5mg+ 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214</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58.7±9.9</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61.9</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29.8±5.2</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7.96±0.78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Linagliptin 5mg+ MET</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221</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58.4±10.6</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29.6±5.0</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7.98±0.72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 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43</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59.9±10.7</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47.7</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28.7±5.5</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7.92±0.74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Scheen[52],2009</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155weeks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MET2.5g+ pioglitazone 45mg</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253</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60.8±7.6</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70</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31.9±4.7</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5.1±5.1</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7.6±1.3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placebo+MET2.5g</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261</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60.3±7.9</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67</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32.0±5.3</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5.6±5.4</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7.6±1.2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Scott[53], 2008</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18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 100mg qd+MET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94</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55.2±9.8</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30.3±4.7</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4.9±3.5</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7.8±1.0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nil"/>
            </w:tcBorders>
            <w:shd w:val="clear" w:color="auto" w:fill="auto"/>
            <w:vAlign w:val="center"/>
          </w:tcPr>
          <w:p>
            <w:pPr>
              <w:widowControl/>
              <w:jc w:val="center"/>
              <w:rPr>
                <w:rFonts w:eastAsia="Arial Unicode MS" w:cstheme="minorHAnsi"/>
                <w:b w:val="0"/>
                <w:bCs/>
                <w:color w:val="000000"/>
                <w:kern w:val="0"/>
                <w:sz w:val="20"/>
                <w:szCs w:val="20"/>
              </w:rPr>
            </w:pPr>
          </w:p>
        </w:tc>
        <w:tc>
          <w:tcPr>
            <w:tcW w:w="212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92</w:t>
            </w:r>
          </w:p>
        </w:tc>
        <w:tc>
          <w:tcPr>
            <w:tcW w:w="142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55.3±9.3</w:t>
            </w:r>
          </w:p>
        </w:tc>
        <w:tc>
          <w:tcPr>
            <w:tcW w:w="1196"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w:t>
            </w:r>
          </w:p>
        </w:tc>
        <w:tc>
          <w:tcPr>
            <w:tcW w:w="1459"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30.0±4.5</w:t>
            </w:r>
          </w:p>
        </w:tc>
        <w:tc>
          <w:tcPr>
            <w:tcW w:w="1411"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5.4±3.7</w:t>
            </w:r>
          </w:p>
        </w:tc>
        <w:tc>
          <w:tcPr>
            <w:tcW w:w="1552" w:type="dxa"/>
            <w:tcBorders>
              <w:top w:val="nil"/>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7.7±0.9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jc w:val="center"/>
              <w:rPr>
                <w:rFonts w:eastAsia="Arial Unicode MS" w:cstheme="minorHAnsi"/>
                <w:b w:val="0"/>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Rosiglitazone+MET</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54.8±10.5</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63</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30.4±5.5</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4.6±4</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7.7±0.8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Seino[54], 2012</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Alogliptin 12.5 mg od +MET</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92</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53.4 ±8.80</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65.2</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25.63 ±4.10</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6.34 ±5.39</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7.89 ±0.82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Alogliptin 25 mg od +MET</w:t>
            </w:r>
          </w:p>
        </w:tc>
        <w:tc>
          <w:tcPr>
            <w:tcW w:w="1038"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96</w:t>
            </w:r>
          </w:p>
        </w:tc>
        <w:tc>
          <w:tcPr>
            <w:tcW w:w="142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52.3 ±8.02</w:t>
            </w:r>
          </w:p>
        </w:tc>
        <w:tc>
          <w:tcPr>
            <w:tcW w:w="1196"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68.8</w:t>
            </w:r>
          </w:p>
        </w:tc>
        <w:tc>
          <w:tcPr>
            <w:tcW w:w="1459"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25.79 ±3.70</w:t>
            </w:r>
          </w:p>
        </w:tc>
        <w:tc>
          <w:tcPr>
            <w:tcW w:w="1411"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6.62 ±4.80</w:t>
            </w:r>
          </w:p>
        </w:tc>
        <w:tc>
          <w:tcPr>
            <w:tcW w:w="1552" w:type="dxa"/>
            <w:tcBorders>
              <w:top w:val="nil"/>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8.02 ±0.73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 + 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100</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52.1 ±8.05</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72</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26.14 ±4.58</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6.04 ±4.36</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8.00 ±0.86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Sridhar[55], 2013</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pioglitazone 30mg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+glimepide+MET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47.9±5.8</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100</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25.3±2.7</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2.2±1.7</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6.8±0.4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placebo+glimepide+MET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44.0±7.2</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100</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25.1±3.2</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2.9±2.1</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6.8±0.4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 xml:space="preserve">Stewart[56], 2006 </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rosiglitazone +MET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254</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58.9</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30.9</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3.7</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7.2±0.6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272</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30.6</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3.7</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7.2±0.6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Taskinen[57], 2011</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177</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56.6±10.9</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30.05±5.01</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8.02±0.88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Linagliptin 5mg qd+MET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523</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56.5±10.1</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29.85±4.84</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8.09±0.86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kern w:val="0"/>
                <w:sz w:val="20"/>
                <w:szCs w:val="20"/>
              </w:rPr>
            </w:pPr>
            <w:r>
              <w:rPr>
                <w:rFonts w:eastAsia="Arial Unicode MS" w:cs="Arial Unicode MS"/>
                <w:b w:val="0"/>
                <w:bCs/>
                <w:color w:val="000000" w:themeColor="text1" w:themeShade="BF"/>
                <w:kern w:val="0"/>
                <w:sz w:val="20"/>
                <w:szCs w:val="20"/>
              </w:rPr>
              <w:t>Wang[58], 2015</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Linagliptin+MET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184</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55.1±10.7</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49.8</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25.5±3.9</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7.99±0.83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val="0"/>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56.5±8.7</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25.8±4.0</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8.00±0.80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bCs/>
                <w:color w:val="000000"/>
                <w:kern w:val="0"/>
                <w:sz w:val="20"/>
                <w:szCs w:val="20"/>
              </w:rPr>
            </w:pPr>
            <w:r>
              <w:rPr>
                <w:rFonts w:eastAsia="Arial Unicode MS" w:cstheme="minorHAnsi"/>
                <w:b w:val="0"/>
                <w:bCs/>
                <w:color w:val="000000"/>
                <w:kern w:val="0"/>
                <w:sz w:val="20"/>
                <w:szCs w:val="20"/>
              </w:rPr>
              <w:t>Yale[59], 2001</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troglitazone400mg+MET+SU</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101</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58±0.9</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30.1±0.5</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11.9±0.8</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9.6±0.1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placebo+MET+SU</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99</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60±0.9</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30.0±0.4</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10.8±0.6</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9.7±0.1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themeColor="text1" w:themeShade="BF"/>
                <w:kern w:val="0"/>
                <w:sz w:val="20"/>
                <w:szCs w:val="20"/>
              </w:rPr>
            </w:pPr>
            <w:r>
              <w:rPr>
                <w:rFonts w:eastAsia="Arial Unicode MS" w:cstheme="minorHAnsi"/>
                <w:b w:val="0"/>
                <w:bCs/>
                <w:color w:val="000000" w:themeColor="text1" w:themeShade="BF"/>
                <w:kern w:val="0"/>
                <w:sz w:val="20"/>
                <w:szCs w:val="20"/>
              </w:rPr>
              <w:t>Yang[60], 2011</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Saxagliptin 5mg qd+MET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283</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53.8 ±10.4</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48.1</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26.3 ±3.6</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 ±5.0</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 ±0.8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val="0"/>
                <w:bCs/>
                <w:color w:val="000000" w:themeColor="text1" w:themeShade="BF"/>
                <w:kern w:val="0"/>
                <w:sz w:val="20"/>
                <w:szCs w:val="20"/>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287</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54.4 ±10.1</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48.7</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26.1 ±3.5</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5.1 ±4.0</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left w:val="nil"/>
              <w:bottom w:val="nil"/>
              <w:right w:val="nil"/>
              <w:insideV w:val="nil"/>
            </w:tcBorders>
            <w:shd w:val="clear" w:color="auto" w:fill="auto"/>
            <w:vAlign w:val="center"/>
          </w:tcPr>
          <w:p>
            <w:pPr>
              <w:widowControl/>
              <w:jc w:val="center"/>
              <w:rPr>
                <w:rFonts w:eastAsia="Arial Unicode MS" w:cstheme="minorHAnsi"/>
                <w:b w:val="0"/>
                <w:bCs/>
                <w:color w:val="000000" w:themeColor="text1" w:themeShade="BF"/>
                <w:kern w:val="0"/>
                <w:sz w:val="20"/>
                <w:szCs w:val="20"/>
              </w:rPr>
            </w:pPr>
            <w:r>
              <w:rPr>
                <w:rFonts w:eastAsia="Arial Unicode MS" w:cstheme="minorHAnsi"/>
                <w:b w:val="0"/>
                <w:bCs/>
                <w:color w:val="000000" w:themeColor="text1" w:themeShade="BF"/>
                <w:kern w:val="0"/>
                <w:sz w:val="20"/>
                <w:szCs w:val="20"/>
              </w:rPr>
              <w:t>Yang[61], 2012</w:t>
            </w:r>
          </w:p>
        </w:tc>
        <w:tc>
          <w:tcPr>
            <w:tcW w:w="212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 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Sitagliptin 100mg qd+MET</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197</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54.1±9.0</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25.3±3.1</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6.4±4.4</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bottom w:val="single" w:color="auto" w:sz="4" w:space="0"/>
            </w:tcBorders>
            <w:shd w:val="clear" w:color="auto" w:fill="auto"/>
            <w:vAlign w:val="center"/>
          </w:tcPr>
          <w:p>
            <w:pPr>
              <w:widowControl/>
              <w:jc w:val="center"/>
              <w:rPr>
                <w:rFonts w:eastAsia="Arial Unicode MS" w:cstheme="minorHAnsi"/>
                <w:b/>
                <w:bCs/>
                <w:color w:val="000000" w:themeColor="text1" w:themeShade="BF"/>
                <w:kern w:val="0"/>
                <w:sz w:val="20"/>
                <w:szCs w:val="20"/>
                <w:highlight w:val="cyan"/>
              </w:rPr>
            </w:pPr>
          </w:p>
        </w:tc>
        <w:tc>
          <w:tcPr>
            <w:tcW w:w="212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Placebo+MET</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198</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55.1±9.8</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25.3±3.6</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7.3±4.6</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17" w:type="dxa"/>
            <w:gridSpan w:val="9"/>
            <w:tcBorders>
              <w:top w:val="nil"/>
              <w:left w:val="nil"/>
              <w:bottom w:val="single" w:color="auto" w:sz="4" w:space="0"/>
              <w:right w:val="nil"/>
              <w:insideV w:val="nil"/>
            </w:tcBorders>
            <w:shd w:val="clear" w:color="auto" w:fill="BEBEBE" w:themeFill="background1" w:themeFillShade="BF"/>
            <w:vAlign w:val="center"/>
          </w:tcPr>
          <w:p>
            <w:pPr>
              <w:widowControl/>
              <w:jc w:val="left"/>
              <w:rPr>
                <w:rFonts w:eastAsia="Arial Unicode MS" w:cstheme="minorHAnsi"/>
                <w:b/>
                <w:bCs/>
                <w:color w:val="000000"/>
                <w:kern w:val="0"/>
                <w:sz w:val="20"/>
                <w:szCs w:val="20"/>
              </w:rPr>
            </w:pPr>
            <w:r>
              <w:rPr>
                <w:rFonts w:eastAsia="Arial Unicode MS" w:cstheme="minorHAnsi"/>
                <w:b/>
                <w:bCs/>
                <w:color w:val="000000"/>
                <w:kern w:val="0"/>
                <w:sz w:val="20"/>
                <w:szCs w:val="20"/>
              </w:rPr>
              <w:t>Third line therapy strategy (SGLT-2 addon INS versus Placebo)</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rPr>
                <w:rFonts w:eastAsia="Arial Unicode MS" w:cstheme="minorHAnsi"/>
                <w:b w:val="0"/>
                <w:bCs/>
                <w:color w:val="000000"/>
                <w:kern w:val="0"/>
                <w:sz w:val="20"/>
                <w:szCs w:val="20"/>
              </w:rPr>
            </w:pPr>
            <w:r>
              <w:rPr>
                <w:rFonts w:eastAsia="Arial Unicode MS" w:cstheme="minorHAnsi"/>
                <w:b w:val="0"/>
                <w:bCs/>
                <w:color w:val="000000"/>
                <w:kern w:val="0"/>
                <w:sz w:val="20"/>
                <w:szCs w:val="20"/>
              </w:rPr>
              <w:t>Araki[62], 2016</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dapagliflozin5mg+ins</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122</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58.3</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73</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26.89</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15.32</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8.26±0.79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rPr>
                <w:rFonts w:eastAsia="Arial Unicode MS" w:cstheme="minorHAnsi"/>
                <w:b w:val="0"/>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placebo+ins</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60</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57.6</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66.7</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26.12</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14.24</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8.52±0.94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rPr>
                <w:rFonts w:eastAsia="Arial Unicode MS" w:cstheme="minorHAnsi"/>
                <w:b w:val="0"/>
                <w:bCs/>
                <w:color w:val="000000"/>
                <w:kern w:val="0"/>
                <w:sz w:val="20"/>
                <w:szCs w:val="20"/>
              </w:rPr>
            </w:pPr>
            <w:r>
              <w:rPr>
                <w:rFonts w:eastAsia="Arial Unicode MS" w:cstheme="minorHAnsi"/>
                <w:b w:val="0"/>
                <w:bCs/>
                <w:color w:val="000000"/>
                <w:kern w:val="0"/>
                <w:sz w:val="20"/>
                <w:szCs w:val="20"/>
              </w:rPr>
              <w:t>Cefalu[63], 2015</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dapagliflozin10mg+</w:t>
            </w:r>
          </w:p>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OAD/ins</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455</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62.8±7.0</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67.9</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32.6±5.9</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12.6±8.7</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8.18±0.84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rPr>
                <w:rFonts w:eastAsia="Arial Unicode MS" w:cstheme="minorHAnsi"/>
                <w:b w:val="0"/>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placebo+OAD/ins</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459</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63.0±7.7</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68.6</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32.9±6.1</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12.3±8.2</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8.08±0.8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bottom w:val="nil"/>
            </w:tcBorders>
            <w:shd w:val="clear" w:color="auto" w:fill="auto"/>
            <w:vAlign w:val="center"/>
          </w:tcPr>
          <w:p>
            <w:pPr>
              <w:widowControl/>
              <w:rPr>
                <w:rFonts w:eastAsia="Arial Unicode MS" w:cstheme="minorHAnsi"/>
                <w:b w:val="0"/>
                <w:bCs/>
                <w:color w:val="000000"/>
                <w:kern w:val="0"/>
                <w:sz w:val="20"/>
                <w:szCs w:val="20"/>
              </w:rPr>
            </w:pPr>
            <w:r>
              <w:rPr>
                <w:rFonts w:eastAsia="Arial Unicode MS" w:cstheme="minorHAnsi"/>
                <w:b w:val="0"/>
                <w:bCs/>
                <w:color w:val="000000"/>
                <w:kern w:val="0"/>
                <w:sz w:val="20"/>
                <w:szCs w:val="20"/>
              </w:rPr>
              <w:t>Wilding[64], 2009</w:t>
            </w:r>
          </w:p>
        </w:tc>
        <w:tc>
          <w:tcPr>
            <w:tcW w:w="212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dapagliflozin10mg+ins</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24</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55.7±9.2</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54.2</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35.5±3.6</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11.8±5.8</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8.4±0.7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nil"/>
              <w:left w:val="nil"/>
              <w:bottom w:val="single" w:color="auto" w:sz="4" w:space="0"/>
              <w:right w:val="nil"/>
              <w:insideV w:val="nil"/>
            </w:tcBorders>
            <w:shd w:val="clear" w:color="auto" w:fill="auto"/>
            <w:vAlign w:val="center"/>
          </w:tcPr>
          <w:p>
            <w:pPr>
              <w:widowControl/>
              <w:rPr>
                <w:rFonts w:eastAsia="Arial Unicode MS" w:cstheme="minorHAnsi"/>
                <w:b w:val="0"/>
                <w:bCs/>
                <w:color w:val="000000"/>
                <w:kern w:val="0"/>
                <w:sz w:val="20"/>
                <w:szCs w:val="20"/>
              </w:rPr>
            </w:pPr>
          </w:p>
        </w:tc>
        <w:tc>
          <w:tcPr>
            <w:tcW w:w="212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p>
        </w:tc>
        <w:tc>
          <w:tcPr>
            <w:tcW w:w="258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placebo+ins</w:t>
            </w:r>
          </w:p>
        </w:tc>
        <w:tc>
          <w:tcPr>
            <w:tcW w:w="1038"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23</w:t>
            </w:r>
          </w:p>
        </w:tc>
        <w:tc>
          <w:tcPr>
            <w:tcW w:w="142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58.4±6.5</w:t>
            </w:r>
          </w:p>
        </w:tc>
        <w:tc>
          <w:tcPr>
            <w:tcW w:w="1196"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69.6</w:t>
            </w:r>
          </w:p>
        </w:tc>
        <w:tc>
          <w:tcPr>
            <w:tcW w:w="1459"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34.8±4.6</w:t>
            </w:r>
          </w:p>
        </w:tc>
        <w:tc>
          <w:tcPr>
            <w:tcW w:w="1411"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13.8±7.3</w:t>
            </w:r>
          </w:p>
        </w:tc>
        <w:tc>
          <w:tcPr>
            <w:tcW w:w="1552" w:type="dxa"/>
            <w:tcBorders>
              <w:top w:val="nil"/>
              <w:bottom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top w:val="single" w:color="auto" w:sz="4" w:space="0"/>
            </w:tcBorders>
            <w:shd w:val="clear" w:color="auto" w:fill="auto"/>
            <w:vAlign w:val="center"/>
          </w:tcPr>
          <w:p>
            <w:pPr>
              <w:widowControl/>
              <w:rPr>
                <w:rFonts w:eastAsia="Arial Unicode MS" w:cstheme="minorHAnsi"/>
                <w:b w:val="0"/>
                <w:bCs/>
                <w:color w:val="000000"/>
                <w:kern w:val="0"/>
                <w:sz w:val="20"/>
                <w:szCs w:val="20"/>
              </w:rPr>
            </w:pPr>
            <w:r>
              <w:rPr>
                <w:rFonts w:eastAsia="Arial Unicode MS" w:cstheme="minorHAnsi"/>
                <w:b w:val="0"/>
                <w:bCs/>
                <w:color w:val="000000"/>
                <w:kern w:val="0"/>
                <w:sz w:val="20"/>
                <w:szCs w:val="20"/>
              </w:rPr>
              <w:t>Wilding[65], 2012</w:t>
            </w:r>
          </w:p>
        </w:tc>
        <w:tc>
          <w:tcPr>
            <w:tcW w:w="2126" w:type="dxa"/>
            <w:tcBorders>
              <w:top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48weeks</w:t>
            </w:r>
          </w:p>
        </w:tc>
        <w:tc>
          <w:tcPr>
            <w:tcW w:w="258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dapagliflozin10mg+ins</w:t>
            </w:r>
          </w:p>
        </w:tc>
        <w:tc>
          <w:tcPr>
            <w:tcW w:w="1038"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194</w:t>
            </w:r>
          </w:p>
        </w:tc>
        <w:tc>
          <w:tcPr>
            <w:tcW w:w="142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59.3±8.8</w:t>
            </w:r>
          </w:p>
        </w:tc>
        <w:tc>
          <w:tcPr>
            <w:tcW w:w="1196"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44.8</w:t>
            </w:r>
          </w:p>
        </w:tc>
        <w:tc>
          <w:tcPr>
            <w:tcW w:w="1459"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33.4±5.1</w:t>
            </w:r>
          </w:p>
        </w:tc>
        <w:tc>
          <w:tcPr>
            <w:tcW w:w="1411"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14.2±7.3</w:t>
            </w:r>
          </w:p>
        </w:tc>
        <w:tc>
          <w:tcPr>
            <w:tcW w:w="1552" w:type="dxa"/>
            <w:tcBorders>
              <w:top w:val="single" w:color="auto" w:sz="4" w:space="0"/>
              <w:bottom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8.57±0.82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Borders>
              <w:left w:val="nil"/>
              <w:bottom w:val="single" w:color="auto" w:sz="8" w:space="0"/>
              <w:right w:val="nil"/>
              <w:insideV w:val="nil"/>
            </w:tcBorders>
            <w:shd w:val="clear" w:color="auto" w:fill="auto"/>
            <w:vAlign w:val="center"/>
          </w:tcPr>
          <w:p>
            <w:pPr>
              <w:widowControl/>
              <w:rPr>
                <w:rFonts w:eastAsia="Arial Unicode MS" w:cstheme="minorHAnsi"/>
                <w:b w:val="0"/>
                <w:bCs/>
                <w:color w:val="000000"/>
                <w:kern w:val="0"/>
                <w:sz w:val="20"/>
                <w:szCs w:val="20"/>
              </w:rPr>
            </w:pPr>
          </w:p>
        </w:tc>
        <w:tc>
          <w:tcPr>
            <w:tcW w:w="2126" w:type="dxa"/>
            <w:tcBorders>
              <w:bottom w:val="single" w:color="auto" w:sz="8" w:space="0"/>
              <w:right w:val="nil"/>
              <w:insideV w:val="nil"/>
            </w:tcBorders>
            <w:shd w:val="clear" w:color="auto" w:fill="auto"/>
            <w:vAlign w:val="center"/>
          </w:tcPr>
          <w:p>
            <w:pPr>
              <w:widowControl/>
              <w:rPr>
                <w:rFonts w:eastAsia="Arial Unicode MS" w:cstheme="minorHAnsi"/>
                <w:color w:val="000000"/>
                <w:kern w:val="0"/>
                <w:sz w:val="20"/>
                <w:szCs w:val="20"/>
              </w:rPr>
            </w:pPr>
          </w:p>
        </w:tc>
        <w:tc>
          <w:tcPr>
            <w:tcW w:w="2586" w:type="dxa"/>
            <w:tcBorders>
              <w:top w:val="nil"/>
              <w:bottom w:val="single" w:color="auto" w:sz="8"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palcebo+ins</w:t>
            </w:r>
          </w:p>
        </w:tc>
        <w:tc>
          <w:tcPr>
            <w:tcW w:w="1038" w:type="dxa"/>
            <w:tcBorders>
              <w:top w:val="nil"/>
              <w:bottom w:val="single" w:color="auto" w:sz="8"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193</w:t>
            </w:r>
          </w:p>
        </w:tc>
        <w:tc>
          <w:tcPr>
            <w:tcW w:w="1422" w:type="dxa"/>
            <w:tcBorders>
              <w:top w:val="nil"/>
              <w:bottom w:val="single" w:color="auto" w:sz="8"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58.8±8.6</w:t>
            </w:r>
          </w:p>
        </w:tc>
        <w:tc>
          <w:tcPr>
            <w:tcW w:w="1196" w:type="dxa"/>
            <w:tcBorders>
              <w:top w:val="nil"/>
              <w:bottom w:val="single" w:color="auto" w:sz="8"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49.2</w:t>
            </w:r>
          </w:p>
        </w:tc>
        <w:tc>
          <w:tcPr>
            <w:tcW w:w="1459" w:type="dxa"/>
            <w:tcBorders>
              <w:top w:val="nil"/>
              <w:bottom w:val="single" w:color="auto" w:sz="8"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33.1±5.9</w:t>
            </w:r>
          </w:p>
        </w:tc>
        <w:tc>
          <w:tcPr>
            <w:tcW w:w="1411" w:type="dxa"/>
            <w:tcBorders>
              <w:top w:val="nil"/>
              <w:bottom w:val="single" w:color="auto" w:sz="8"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13.5±7.3</w:t>
            </w:r>
          </w:p>
        </w:tc>
        <w:tc>
          <w:tcPr>
            <w:tcW w:w="1552" w:type="dxa"/>
            <w:tcBorders>
              <w:top w:val="nil"/>
              <w:bottom w:val="single" w:color="auto" w:sz="8"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8.47±0.77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17" w:type="dxa"/>
            <w:gridSpan w:val="9"/>
            <w:tcBorders>
              <w:bottom w:val="single" w:color="auto" w:sz="8" w:space="0"/>
            </w:tcBorders>
            <w:shd w:val="clear" w:color="auto" w:fill="BEBEBE" w:themeFill="background1" w:themeFillShade="BF"/>
            <w:vAlign w:val="center"/>
          </w:tcPr>
          <w:p>
            <w:pPr>
              <w:widowControl/>
              <w:jc w:val="left"/>
              <w:rPr>
                <w:rFonts w:eastAsia="Arial Unicode MS" w:cstheme="minorHAnsi"/>
                <w:b/>
                <w:bCs/>
                <w:color w:val="000000"/>
                <w:kern w:val="0"/>
                <w:sz w:val="20"/>
                <w:szCs w:val="20"/>
              </w:rPr>
            </w:pPr>
            <w:r>
              <w:rPr>
                <w:rFonts w:eastAsia="Arial Unicode MS" w:cstheme="minorHAnsi"/>
                <w:b/>
                <w:bCs/>
                <w:color w:val="000000"/>
                <w:kern w:val="0"/>
                <w:sz w:val="20"/>
                <w:szCs w:val="20"/>
              </w:rPr>
              <w:t>Third line therapy strategy (MET addon INS versus Placebo)</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restart"/>
            <w:tcBorders>
              <w:left w:val="nil"/>
              <w:right w:val="nil"/>
              <w:insideV w:val="nil"/>
            </w:tcBorders>
            <w:shd w:val="clear" w:color="auto" w:fill="auto"/>
            <w:vAlign w:val="center"/>
          </w:tcPr>
          <w:p>
            <w:pPr>
              <w:widowControl/>
              <w:rPr>
                <w:rFonts w:eastAsia="Arial Unicode MS" w:cstheme="minorHAnsi"/>
                <w:b w:val="0"/>
                <w:bCs/>
                <w:color w:val="000000" w:themeColor="text1"/>
                <w:kern w:val="0"/>
                <w:sz w:val="20"/>
                <w:szCs w:val="20"/>
                <w14:textFill>
                  <w14:solidFill>
                    <w14:schemeClr w14:val="tx1"/>
                  </w14:solidFill>
                </w14:textFill>
              </w:rPr>
            </w:pPr>
            <w:r>
              <w:rPr>
                <w:rFonts w:eastAsia="Arial Unicode MS" w:cstheme="minorHAnsi"/>
                <w:b w:val="0"/>
                <w:bCs/>
                <w:color w:val="000000"/>
                <w:kern w:val="0"/>
                <w:sz w:val="20"/>
                <w:szCs w:val="20"/>
              </w:rPr>
              <w:t>Avilés-Santa[66], 1999</w:t>
            </w:r>
          </w:p>
        </w:tc>
        <w:tc>
          <w:tcPr>
            <w:tcW w:w="2126" w:type="dxa"/>
            <w:vMerge w:val="restart"/>
            <w:tcBorders>
              <w:right w:val="nil"/>
              <w:insideV w:val="nil"/>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24 weeks</w:t>
            </w:r>
          </w:p>
        </w:tc>
        <w:tc>
          <w:tcPr>
            <w:tcW w:w="258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MET2.5g+ins</w:t>
            </w:r>
          </w:p>
        </w:tc>
        <w:tc>
          <w:tcPr>
            <w:tcW w:w="1038"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21</w:t>
            </w:r>
          </w:p>
        </w:tc>
        <w:tc>
          <w:tcPr>
            <w:tcW w:w="142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53.1±9.4</w:t>
            </w:r>
          </w:p>
        </w:tc>
        <w:tc>
          <w:tcPr>
            <w:tcW w:w="119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28.6</w:t>
            </w:r>
          </w:p>
        </w:tc>
        <w:tc>
          <w:tcPr>
            <w:tcW w:w="1459"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w:t>
            </w:r>
          </w:p>
        </w:tc>
        <w:tc>
          <w:tcPr>
            <w:tcW w:w="1411"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9.2±6.4</w:t>
            </w:r>
          </w:p>
        </w:tc>
        <w:tc>
          <w:tcPr>
            <w:tcW w:w="155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9.0±1.4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continue"/>
            <w:tcBorders>
              <w:bottom w:val="single" w:color="auto" w:sz="8" w:space="0"/>
            </w:tcBorders>
            <w:shd w:val="clear" w:color="auto" w:fill="auto"/>
            <w:vAlign w:val="center"/>
          </w:tcPr>
          <w:p>
            <w:pPr>
              <w:widowControl/>
              <w:rPr>
                <w:rFonts w:eastAsia="Arial Unicode MS" w:cstheme="minorHAnsi"/>
                <w:b w:val="0"/>
                <w:bCs/>
                <w:color w:val="000000"/>
                <w:kern w:val="0"/>
                <w:sz w:val="20"/>
                <w:szCs w:val="20"/>
              </w:rPr>
            </w:pPr>
          </w:p>
        </w:tc>
        <w:tc>
          <w:tcPr>
            <w:tcW w:w="2126" w:type="dxa"/>
            <w:vMerge w:val="continue"/>
            <w:tcBorders>
              <w:bottom w:val="single" w:color="auto" w:sz="8" w:space="0"/>
            </w:tcBorders>
            <w:shd w:val="clear" w:color="auto" w:fill="auto"/>
            <w:vAlign w:val="center"/>
          </w:tcPr>
          <w:p>
            <w:pPr>
              <w:widowControl/>
              <w:rPr>
                <w:rFonts w:eastAsia="Arial Unicode MS" w:cstheme="minorHAnsi"/>
                <w:color w:val="000000"/>
                <w:kern w:val="0"/>
                <w:sz w:val="20"/>
                <w:szCs w:val="20"/>
              </w:rPr>
            </w:pPr>
          </w:p>
        </w:tc>
        <w:tc>
          <w:tcPr>
            <w:tcW w:w="2586" w:type="dxa"/>
            <w:tcBorders>
              <w:top w:val="nil"/>
              <w:bottom w:val="single" w:color="auto" w:sz="8" w:space="0"/>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placebo+ins</w:t>
            </w:r>
          </w:p>
        </w:tc>
        <w:tc>
          <w:tcPr>
            <w:tcW w:w="1038" w:type="dxa"/>
            <w:tcBorders>
              <w:top w:val="nil"/>
              <w:bottom w:val="single" w:color="auto" w:sz="8" w:space="0"/>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22</w:t>
            </w:r>
          </w:p>
        </w:tc>
        <w:tc>
          <w:tcPr>
            <w:tcW w:w="1422" w:type="dxa"/>
            <w:tcBorders>
              <w:top w:val="nil"/>
              <w:bottom w:val="single" w:color="auto" w:sz="8" w:space="0"/>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54.6±7.8</w:t>
            </w:r>
          </w:p>
        </w:tc>
        <w:tc>
          <w:tcPr>
            <w:tcW w:w="1196" w:type="dxa"/>
            <w:tcBorders>
              <w:top w:val="nil"/>
              <w:bottom w:val="single" w:color="auto" w:sz="8" w:space="0"/>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45.5</w:t>
            </w:r>
          </w:p>
        </w:tc>
        <w:tc>
          <w:tcPr>
            <w:tcW w:w="1459" w:type="dxa"/>
            <w:tcBorders>
              <w:top w:val="nil"/>
              <w:bottom w:val="single" w:color="auto" w:sz="8" w:space="0"/>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w:t>
            </w:r>
          </w:p>
        </w:tc>
        <w:tc>
          <w:tcPr>
            <w:tcW w:w="1411" w:type="dxa"/>
            <w:tcBorders>
              <w:top w:val="nil"/>
              <w:bottom w:val="single" w:color="auto" w:sz="8" w:space="0"/>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10.1±4.7</w:t>
            </w:r>
          </w:p>
        </w:tc>
        <w:tc>
          <w:tcPr>
            <w:tcW w:w="1552" w:type="dxa"/>
            <w:tcBorders>
              <w:top w:val="nil"/>
              <w:bottom w:val="single" w:color="auto" w:sz="8" w:space="0"/>
            </w:tcBorders>
            <w:shd w:val="clear" w:color="auto" w:fill="auto"/>
            <w:vAlign w:val="center"/>
          </w:tcPr>
          <w:p>
            <w:pPr>
              <w:widowControl/>
              <w:jc w:val="center"/>
              <w:rPr>
                <w:rFonts w:eastAsia="Arial Unicode MS" w:cstheme="minorHAnsi"/>
                <w:color w:val="000000" w:themeColor="text1"/>
                <w:kern w:val="0"/>
                <w:sz w:val="20"/>
                <w:szCs w:val="20"/>
                <w14:textFill>
                  <w14:solidFill>
                    <w14:schemeClr w14:val="tx1"/>
                  </w14:solidFill>
                </w14:textFill>
              </w:rPr>
            </w:pPr>
            <w:r>
              <w:rPr>
                <w:rFonts w:eastAsia="Arial Unicode MS" w:cstheme="minorHAnsi"/>
                <w:color w:val="000000" w:themeColor="text1"/>
                <w:kern w:val="0"/>
                <w:sz w:val="20"/>
                <w:szCs w:val="20"/>
                <w14:textFill>
                  <w14:solidFill>
                    <w14:schemeClr w14:val="tx1"/>
                  </w14:solidFill>
                </w14:textFill>
              </w:rPr>
              <w:t>9.1±1.5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restart"/>
            <w:tcBorders>
              <w:left w:val="nil"/>
              <w:right w:val="nil"/>
              <w:insideV w:val="nil"/>
            </w:tcBorders>
            <w:shd w:val="clear" w:color="auto" w:fill="auto"/>
            <w:vAlign w:val="center"/>
          </w:tcPr>
          <w:p>
            <w:pPr>
              <w:widowControl/>
              <w:rPr>
                <w:rFonts w:eastAsia="Arial Unicode MS" w:cstheme="minorHAnsi"/>
                <w:b w:val="0"/>
                <w:bCs/>
                <w:color w:val="000000"/>
                <w:kern w:val="0"/>
                <w:sz w:val="20"/>
                <w:szCs w:val="20"/>
              </w:rPr>
            </w:pPr>
            <w:r>
              <w:rPr>
                <w:rFonts w:eastAsia="Arial Unicode MS" w:cstheme="minorHAnsi"/>
                <w:b w:val="0"/>
                <w:bCs/>
                <w:color w:val="000000"/>
                <w:kern w:val="0"/>
                <w:sz w:val="20"/>
                <w:szCs w:val="20"/>
              </w:rPr>
              <w:t>Douek[67], 2005</w:t>
            </w:r>
          </w:p>
        </w:tc>
        <w:tc>
          <w:tcPr>
            <w:tcW w:w="2126" w:type="dxa"/>
            <w:vMerge w:val="restart"/>
            <w:tcBorders>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52weeks</w:t>
            </w:r>
          </w:p>
        </w:tc>
        <w:tc>
          <w:tcPr>
            <w:tcW w:w="258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MET2.0g</w:t>
            </w:r>
            <w:r>
              <w:rPr>
                <w:rFonts w:eastAsia="Arial Unicode MS" w:cstheme="minorHAnsi"/>
                <w:color w:val="000000" w:themeColor="text1"/>
                <w:kern w:val="0"/>
                <w:sz w:val="20"/>
                <w:szCs w:val="20"/>
                <w14:textFill>
                  <w14:solidFill>
                    <w14:schemeClr w14:val="tx1"/>
                  </w14:solidFill>
                </w14:textFill>
              </w:rPr>
              <w:t>+ins</w:t>
            </w:r>
          </w:p>
        </w:tc>
        <w:tc>
          <w:tcPr>
            <w:tcW w:w="1038"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92</w:t>
            </w:r>
          </w:p>
        </w:tc>
        <w:tc>
          <w:tcPr>
            <w:tcW w:w="142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58±8.9</w:t>
            </w:r>
          </w:p>
        </w:tc>
        <w:tc>
          <w:tcPr>
            <w:tcW w:w="119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67.4</w:t>
            </w:r>
          </w:p>
        </w:tc>
        <w:tc>
          <w:tcPr>
            <w:tcW w:w="1459"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30.9±4.5</w:t>
            </w:r>
          </w:p>
        </w:tc>
        <w:tc>
          <w:tcPr>
            <w:tcW w:w="1411"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9±5.2</w:t>
            </w:r>
          </w:p>
        </w:tc>
        <w:tc>
          <w:tcPr>
            <w:tcW w:w="155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9.7±1.3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continue"/>
            <w:tcBorders>
              <w:bottom w:val="single" w:color="auto" w:sz="8" w:space="0"/>
            </w:tcBorders>
            <w:shd w:val="clear" w:color="auto" w:fill="auto"/>
            <w:vAlign w:val="center"/>
          </w:tcPr>
          <w:p>
            <w:pPr>
              <w:widowControl/>
              <w:rPr>
                <w:rFonts w:eastAsia="Arial Unicode MS" w:cstheme="minorHAnsi"/>
                <w:b w:val="0"/>
                <w:bCs/>
                <w:color w:val="000000"/>
                <w:kern w:val="0"/>
                <w:sz w:val="20"/>
                <w:szCs w:val="20"/>
              </w:rPr>
            </w:pPr>
          </w:p>
        </w:tc>
        <w:tc>
          <w:tcPr>
            <w:tcW w:w="2126" w:type="dxa"/>
            <w:vMerge w:val="continue"/>
            <w:tcBorders>
              <w:bottom w:val="single" w:color="auto" w:sz="8" w:space="0"/>
            </w:tcBorders>
            <w:shd w:val="clear" w:color="auto" w:fill="auto"/>
            <w:vAlign w:val="center"/>
          </w:tcPr>
          <w:p>
            <w:pPr>
              <w:widowControl/>
              <w:rPr>
                <w:rFonts w:eastAsia="Arial Unicode MS" w:cstheme="minorHAnsi"/>
                <w:color w:val="000000"/>
                <w:kern w:val="0"/>
                <w:sz w:val="20"/>
                <w:szCs w:val="20"/>
              </w:rPr>
            </w:pPr>
          </w:p>
        </w:tc>
        <w:tc>
          <w:tcPr>
            <w:tcW w:w="2586"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w:t>
            </w:r>
            <w:r>
              <w:rPr>
                <w:rFonts w:eastAsia="Arial Unicode MS" w:cstheme="minorHAnsi"/>
                <w:color w:val="000000" w:themeColor="text1"/>
                <w:kern w:val="0"/>
                <w:sz w:val="20"/>
                <w:szCs w:val="20"/>
                <w14:textFill>
                  <w14:solidFill>
                    <w14:schemeClr w14:val="tx1"/>
                  </w14:solidFill>
                </w14:textFill>
              </w:rPr>
              <w:t>+ins</w:t>
            </w:r>
          </w:p>
        </w:tc>
        <w:tc>
          <w:tcPr>
            <w:tcW w:w="1038"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w:t>
            </w:r>
          </w:p>
        </w:tc>
        <w:tc>
          <w:tcPr>
            <w:tcW w:w="1422"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58±7.7</w:t>
            </w:r>
          </w:p>
        </w:tc>
        <w:tc>
          <w:tcPr>
            <w:tcW w:w="1196"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62.6</w:t>
            </w:r>
          </w:p>
        </w:tc>
        <w:tc>
          <w:tcPr>
            <w:tcW w:w="1459"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31.5±4.3</w:t>
            </w:r>
          </w:p>
        </w:tc>
        <w:tc>
          <w:tcPr>
            <w:tcW w:w="1411"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10±5.2</w:t>
            </w:r>
          </w:p>
        </w:tc>
        <w:tc>
          <w:tcPr>
            <w:tcW w:w="1552"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10.0±1.5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restart"/>
            <w:tcBorders>
              <w:top w:val="single" w:color="auto" w:sz="8" w:space="0"/>
              <w:left w:val="nil"/>
              <w:bottom w:val="nil"/>
              <w:right w:val="nil"/>
              <w:insideV w:val="nil"/>
            </w:tcBorders>
            <w:shd w:val="clear" w:color="auto" w:fill="auto"/>
            <w:vAlign w:val="center"/>
          </w:tcPr>
          <w:p>
            <w:pPr>
              <w:widowControl/>
              <w:rPr>
                <w:rFonts w:eastAsia="Arial Unicode MS" w:cstheme="minorHAnsi"/>
                <w:b w:val="0"/>
                <w:bCs/>
                <w:color w:val="000000"/>
                <w:kern w:val="0"/>
                <w:sz w:val="20"/>
                <w:szCs w:val="20"/>
              </w:rPr>
            </w:pPr>
            <w:r>
              <w:rPr>
                <w:rFonts w:eastAsia="Arial Unicode MS" w:cstheme="minorHAnsi"/>
                <w:b w:val="0"/>
                <w:bCs/>
                <w:color w:val="000000"/>
                <w:kern w:val="0"/>
                <w:sz w:val="20"/>
                <w:szCs w:val="20"/>
              </w:rPr>
              <w:t>Gram[68], 2011</w:t>
            </w:r>
          </w:p>
        </w:tc>
        <w:tc>
          <w:tcPr>
            <w:tcW w:w="2126" w:type="dxa"/>
            <w:vMerge w:val="restart"/>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104weeks</w:t>
            </w:r>
          </w:p>
        </w:tc>
        <w:tc>
          <w:tcPr>
            <w:tcW w:w="258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MET2.0g+NPH</w:t>
            </w:r>
          </w:p>
        </w:tc>
        <w:tc>
          <w:tcPr>
            <w:tcW w:w="1038"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w:t>
            </w:r>
          </w:p>
        </w:tc>
        <w:tc>
          <w:tcPr>
            <w:tcW w:w="142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55.4</w:t>
            </w:r>
          </w:p>
        </w:tc>
        <w:tc>
          <w:tcPr>
            <w:tcW w:w="119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57.8</w:t>
            </w:r>
          </w:p>
        </w:tc>
        <w:tc>
          <w:tcPr>
            <w:tcW w:w="1459"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35.4</w:t>
            </w:r>
          </w:p>
        </w:tc>
        <w:tc>
          <w:tcPr>
            <w:tcW w:w="1411"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8.2</w:t>
            </w:r>
          </w:p>
        </w:tc>
        <w:tc>
          <w:tcPr>
            <w:tcW w:w="155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8.9±1.2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continue"/>
            <w:tcBorders>
              <w:top w:val="nil"/>
              <w:bottom w:val="single" w:color="auto" w:sz="4" w:space="0"/>
            </w:tcBorders>
            <w:shd w:val="clear" w:color="auto" w:fill="auto"/>
            <w:vAlign w:val="center"/>
          </w:tcPr>
          <w:p>
            <w:pPr>
              <w:widowControl/>
              <w:rPr>
                <w:rFonts w:eastAsia="Arial Unicode MS" w:cstheme="minorHAnsi"/>
                <w:b/>
                <w:bCs/>
                <w:color w:val="000000"/>
                <w:kern w:val="0"/>
                <w:sz w:val="20"/>
                <w:szCs w:val="20"/>
              </w:rPr>
            </w:pPr>
          </w:p>
        </w:tc>
        <w:tc>
          <w:tcPr>
            <w:tcW w:w="2126" w:type="dxa"/>
            <w:vMerge w:val="continue"/>
            <w:tcBorders>
              <w:top w:val="nil"/>
              <w:bottom w:val="single" w:color="auto" w:sz="4" w:space="0"/>
            </w:tcBorders>
            <w:shd w:val="clear" w:color="auto" w:fill="auto"/>
            <w:vAlign w:val="center"/>
          </w:tcPr>
          <w:p>
            <w:pPr>
              <w:widowControl/>
              <w:rPr>
                <w:rFonts w:eastAsia="Arial Unicode MS" w:cstheme="minorHAnsi"/>
                <w:color w:val="000000"/>
                <w:kern w:val="0"/>
                <w:sz w:val="20"/>
                <w:szCs w:val="20"/>
              </w:rPr>
            </w:pPr>
          </w:p>
        </w:tc>
        <w:tc>
          <w:tcPr>
            <w:tcW w:w="258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placebo+NPH</w:t>
            </w:r>
          </w:p>
        </w:tc>
        <w:tc>
          <w:tcPr>
            <w:tcW w:w="1038"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46</w:t>
            </w:r>
          </w:p>
        </w:tc>
        <w:tc>
          <w:tcPr>
            <w:tcW w:w="142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55.8</w:t>
            </w:r>
          </w:p>
        </w:tc>
        <w:tc>
          <w:tcPr>
            <w:tcW w:w="1196"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71.7</w:t>
            </w:r>
          </w:p>
        </w:tc>
        <w:tc>
          <w:tcPr>
            <w:tcW w:w="1459"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34</w:t>
            </w:r>
          </w:p>
        </w:tc>
        <w:tc>
          <w:tcPr>
            <w:tcW w:w="1411"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7.3</w:t>
            </w:r>
          </w:p>
        </w:tc>
        <w:tc>
          <w:tcPr>
            <w:tcW w:w="1552" w:type="dxa"/>
            <w:tcBorders>
              <w:top w:val="nil"/>
              <w:bottom w:val="single" w:color="auto" w:sz="4"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restart"/>
            <w:tcBorders>
              <w:top w:val="single" w:color="auto" w:sz="4" w:space="0"/>
              <w:left w:val="nil"/>
              <w:right w:val="nil"/>
              <w:insideV w:val="nil"/>
            </w:tcBorders>
            <w:shd w:val="clear" w:color="auto" w:fill="auto"/>
            <w:vAlign w:val="center"/>
          </w:tcPr>
          <w:p>
            <w:pPr>
              <w:widowControl/>
              <w:rPr>
                <w:rFonts w:eastAsia="Arial Unicode MS" w:cstheme="minorHAnsi"/>
                <w:b w:val="0"/>
                <w:bCs/>
                <w:color w:val="000000"/>
                <w:kern w:val="0"/>
                <w:sz w:val="20"/>
                <w:szCs w:val="20"/>
              </w:rPr>
            </w:pPr>
            <w:r>
              <w:rPr>
                <w:rFonts w:eastAsia="Arial Unicode MS" w:cstheme="minorHAnsi"/>
                <w:b w:val="0"/>
                <w:bCs/>
                <w:color w:val="000000"/>
                <w:kern w:val="0"/>
                <w:sz w:val="20"/>
                <w:szCs w:val="20"/>
              </w:rPr>
              <w:t>Gram-2[68], 2011</w:t>
            </w:r>
          </w:p>
        </w:tc>
        <w:tc>
          <w:tcPr>
            <w:tcW w:w="2126" w:type="dxa"/>
            <w:vMerge w:val="restart"/>
            <w:tcBorders>
              <w:top w:val="single" w:color="auto" w:sz="4" w:space="0"/>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104weeks</w:t>
            </w:r>
          </w:p>
        </w:tc>
        <w:tc>
          <w:tcPr>
            <w:tcW w:w="258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MET2.0g+ASP</w:t>
            </w:r>
          </w:p>
        </w:tc>
        <w:tc>
          <w:tcPr>
            <w:tcW w:w="1038"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45</w:t>
            </w:r>
          </w:p>
        </w:tc>
        <w:tc>
          <w:tcPr>
            <w:tcW w:w="142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56.1</w:t>
            </w:r>
          </w:p>
        </w:tc>
        <w:tc>
          <w:tcPr>
            <w:tcW w:w="1196"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62.2</w:t>
            </w:r>
          </w:p>
        </w:tc>
        <w:tc>
          <w:tcPr>
            <w:tcW w:w="1459"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33.7</w:t>
            </w:r>
          </w:p>
        </w:tc>
        <w:tc>
          <w:tcPr>
            <w:tcW w:w="1411"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w:t>
            </w:r>
          </w:p>
        </w:tc>
        <w:tc>
          <w:tcPr>
            <w:tcW w:w="1552" w:type="dxa"/>
            <w:tcBorders>
              <w:top w:val="single" w:color="auto" w:sz="4"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continue"/>
            <w:tcBorders>
              <w:bottom w:val="single" w:color="auto" w:sz="8" w:space="0"/>
            </w:tcBorders>
            <w:shd w:val="clear" w:color="auto" w:fill="auto"/>
            <w:vAlign w:val="center"/>
          </w:tcPr>
          <w:p>
            <w:pPr>
              <w:widowControl/>
              <w:rPr>
                <w:rFonts w:eastAsia="Arial Unicode MS" w:cstheme="minorHAnsi"/>
                <w:b/>
                <w:bCs/>
                <w:color w:val="000000"/>
                <w:kern w:val="0"/>
                <w:sz w:val="20"/>
                <w:szCs w:val="20"/>
              </w:rPr>
            </w:pPr>
          </w:p>
        </w:tc>
        <w:tc>
          <w:tcPr>
            <w:tcW w:w="2126" w:type="dxa"/>
            <w:vMerge w:val="continue"/>
            <w:tcBorders>
              <w:bottom w:val="single" w:color="auto" w:sz="8" w:space="0"/>
            </w:tcBorders>
            <w:shd w:val="clear" w:color="auto" w:fill="auto"/>
            <w:vAlign w:val="center"/>
          </w:tcPr>
          <w:p>
            <w:pPr>
              <w:widowControl/>
              <w:rPr>
                <w:rFonts w:eastAsia="Arial Unicode MS" w:cstheme="minorHAnsi"/>
                <w:color w:val="000000"/>
                <w:kern w:val="0"/>
                <w:sz w:val="20"/>
                <w:szCs w:val="20"/>
              </w:rPr>
            </w:pPr>
          </w:p>
        </w:tc>
        <w:tc>
          <w:tcPr>
            <w:tcW w:w="2586"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placebo+ASP</w:t>
            </w:r>
          </w:p>
        </w:tc>
        <w:tc>
          <w:tcPr>
            <w:tcW w:w="1038"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48</w:t>
            </w:r>
          </w:p>
        </w:tc>
        <w:tc>
          <w:tcPr>
            <w:tcW w:w="1422"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57.1</w:t>
            </w:r>
          </w:p>
        </w:tc>
        <w:tc>
          <w:tcPr>
            <w:tcW w:w="1196"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47.9</w:t>
            </w:r>
          </w:p>
        </w:tc>
        <w:tc>
          <w:tcPr>
            <w:tcW w:w="1459"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33.7</w:t>
            </w:r>
          </w:p>
        </w:tc>
        <w:tc>
          <w:tcPr>
            <w:tcW w:w="1411"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w:t>
            </w:r>
          </w:p>
        </w:tc>
        <w:tc>
          <w:tcPr>
            <w:tcW w:w="1552"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8.5±1.2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restart"/>
            <w:tcBorders>
              <w:left w:val="nil"/>
              <w:right w:val="nil"/>
              <w:insideV w:val="nil"/>
            </w:tcBorders>
            <w:shd w:val="clear" w:color="auto" w:fill="auto"/>
            <w:vAlign w:val="center"/>
          </w:tcPr>
          <w:p>
            <w:pPr>
              <w:widowControl/>
              <w:rPr>
                <w:rFonts w:eastAsia="Arial Unicode MS" w:cstheme="minorHAnsi"/>
                <w:b w:val="0"/>
                <w:bCs/>
                <w:color w:val="000000"/>
                <w:kern w:val="0"/>
                <w:sz w:val="20"/>
                <w:szCs w:val="20"/>
              </w:rPr>
            </w:pPr>
            <w:r>
              <w:rPr>
                <w:rFonts w:eastAsia="Arial Unicode MS" w:cstheme="minorHAnsi"/>
                <w:b w:val="0"/>
                <w:bCs/>
                <w:color w:val="000000" w:themeColor="text1" w:themeShade="BF"/>
                <w:kern w:val="0"/>
                <w:sz w:val="20"/>
                <w:szCs w:val="20"/>
              </w:rPr>
              <w:t>Hermann[69], 2001</w:t>
            </w:r>
          </w:p>
        </w:tc>
        <w:tc>
          <w:tcPr>
            <w:tcW w:w="2126" w:type="dxa"/>
            <w:vMerge w:val="restart"/>
            <w:tcBorders>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52 weeks</w:t>
            </w:r>
          </w:p>
        </w:tc>
        <w:tc>
          <w:tcPr>
            <w:tcW w:w="258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MET1.7g</w:t>
            </w:r>
            <w:r>
              <w:rPr>
                <w:rFonts w:eastAsia="Arial Unicode MS" w:cstheme="minorHAnsi"/>
                <w:color w:val="000000" w:themeColor="text1"/>
                <w:kern w:val="0"/>
                <w:sz w:val="20"/>
                <w:szCs w:val="20"/>
                <w14:textFill>
                  <w14:solidFill>
                    <w14:schemeClr w14:val="tx1"/>
                  </w14:solidFill>
                </w14:textFill>
              </w:rPr>
              <w:t>+ins</w:t>
            </w:r>
          </w:p>
        </w:tc>
        <w:tc>
          <w:tcPr>
            <w:tcW w:w="1038"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16</w:t>
            </w:r>
          </w:p>
        </w:tc>
        <w:tc>
          <w:tcPr>
            <w:tcW w:w="142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56.9±10.2</w:t>
            </w:r>
          </w:p>
        </w:tc>
        <w:tc>
          <w:tcPr>
            <w:tcW w:w="119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43.8</w:t>
            </w:r>
          </w:p>
        </w:tc>
        <w:tc>
          <w:tcPr>
            <w:tcW w:w="1459"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33.6±3.5</w:t>
            </w:r>
          </w:p>
        </w:tc>
        <w:tc>
          <w:tcPr>
            <w:tcW w:w="1411"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13</w:t>
            </w:r>
          </w:p>
        </w:tc>
        <w:tc>
          <w:tcPr>
            <w:tcW w:w="155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9.1±1.3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continue"/>
            <w:tcBorders>
              <w:bottom w:val="single" w:color="auto" w:sz="8" w:space="0"/>
            </w:tcBorders>
            <w:shd w:val="clear" w:color="auto" w:fill="auto"/>
            <w:vAlign w:val="center"/>
          </w:tcPr>
          <w:p>
            <w:pPr>
              <w:widowControl/>
              <w:rPr>
                <w:rFonts w:eastAsia="Arial Unicode MS" w:cstheme="minorHAnsi"/>
                <w:b/>
                <w:bCs/>
                <w:color w:val="000000"/>
                <w:kern w:val="0"/>
                <w:sz w:val="20"/>
                <w:szCs w:val="20"/>
              </w:rPr>
            </w:pPr>
          </w:p>
        </w:tc>
        <w:tc>
          <w:tcPr>
            <w:tcW w:w="2126" w:type="dxa"/>
            <w:vMerge w:val="continue"/>
            <w:tcBorders>
              <w:bottom w:val="single" w:color="auto" w:sz="8" w:space="0"/>
            </w:tcBorders>
            <w:shd w:val="clear" w:color="auto" w:fill="auto"/>
            <w:vAlign w:val="center"/>
          </w:tcPr>
          <w:p>
            <w:pPr>
              <w:widowControl/>
              <w:rPr>
                <w:rFonts w:eastAsia="Arial Unicode MS" w:cstheme="minorHAnsi"/>
                <w:color w:val="000000"/>
                <w:kern w:val="0"/>
                <w:sz w:val="20"/>
                <w:szCs w:val="20"/>
              </w:rPr>
            </w:pPr>
          </w:p>
        </w:tc>
        <w:tc>
          <w:tcPr>
            <w:tcW w:w="2586"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w:t>
            </w:r>
            <w:r>
              <w:rPr>
                <w:rFonts w:eastAsia="Arial Unicode MS" w:cstheme="minorHAnsi"/>
                <w:color w:val="000000" w:themeColor="text1"/>
                <w:kern w:val="0"/>
                <w:sz w:val="20"/>
                <w:szCs w:val="20"/>
                <w14:textFill>
                  <w14:solidFill>
                    <w14:schemeClr w14:val="tx1"/>
                  </w14:solidFill>
                </w14:textFill>
              </w:rPr>
              <w:t>+ins</w:t>
            </w:r>
          </w:p>
        </w:tc>
        <w:tc>
          <w:tcPr>
            <w:tcW w:w="1038"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w:t>
            </w:r>
          </w:p>
        </w:tc>
        <w:tc>
          <w:tcPr>
            <w:tcW w:w="1422"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58.1±9.7</w:t>
            </w:r>
          </w:p>
        </w:tc>
        <w:tc>
          <w:tcPr>
            <w:tcW w:w="1196"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63.2</w:t>
            </w:r>
          </w:p>
        </w:tc>
        <w:tc>
          <w:tcPr>
            <w:tcW w:w="1459"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32.6±3.8</w:t>
            </w:r>
          </w:p>
        </w:tc>
        <w:tc>
          <w:tcPr>
            <w:tcW w:w="1411"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13</w:t>
            </w:r>
          </w:p>
        </w:tc>
        <w:tc>
          <w:tcPr>
            <w:tcW w:w="1552"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8.7±1.0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restart"/>
            <w:tcBorders>
              <w:left w:val="nil"/>
              <w:right w:val="nil"/>
              <w:insideV w:val="nil"/>
            </w:tcBorders>
            <w:shd w:val="clear" w:color="auto" w:fill="auto"/>
            <w:vAlign w:val="center"/>
          </w:tcPr>
          <w:p>
            <w:pPr>
              <w:widowControl/>
              <w:rPr>
                <w:rFonts w:eastAsia="Arial Unicode MS" w:cstheme="minorHAnsi"/>
                <w:b w:val="0"/>
                <w:bCs/>
                <w:color w:val="000000"/>
                <w:kern w:val="0"/>
                <w:sz w:val="20"/>
                <w:szCs w:val="20"/>
              </w:rPr>
            </w:pPr>
            <w:r>
              <w:rPr>
                <w:rFonts w:eastAsia="Arial Unicode MS" w:cstheme="minorHAnsi"/>
                <w:b w:val="0"/>
                <w:bCs/>
                <w:color w:val="000000"/>
                <w:kern w:val="0"/>
                <w:sz w:val="20"/>
                <w:szCs w:val="20"/>
              </w:rPr>
              <w:t>Kooy[70], 2009</w:t>
            </w:r>
          </w:p>
        </w:tc>
        <w:tc>
          <w:tcPr>
            <w:tcW w:w="2126" w:type="dxa"/>
            <w:vMerge w:val="restart"/>
            <w:tcBorders>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224weeks</w:t>
            </w:r>
          </w:p>
        </w:tc>
        <w:tc>
          <w:tcPr>
            <w:tcW w:w="258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MET2.55g</w:t>
            </w:r>
            <w:r>
              <w:rPr>
                <w:rFonts w:eastAsia="Arial Unicode MS" w:cstheme="minorHAnsi"/>
                <w:color w:val="000000" w:themeColor="text1"/>
                <w:kern w:val="0"/>
                <w:sz w:val="20"/>
                <w:szCs w:val="20"/>
                <w14:textFill>
                  <w14:solidFill>
                    <w14:schemeClr w14:val="tx1"/>
                  </w14:solidFill>
                </w14:textFill>
              </w:rPr>
              <w:t>+ins</w:t>
            </w:r>
          </w:p>
        </w:tc>
        <w:tc>
          <w:tcPr>
            <w:tcW w:w="1038"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196</w:t>
            </w:r>
          </w:p>
        </w:tc>
        <w:tc>
          <w:tcPr>
            <w:tcW w:w="142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64±10</w:t>
            </w:r>
          </w:p>
        </w:tc>
        <w:tc>
          <w:tcPr>
            <w:tcW w:w="1196"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41.3</w:t>
            </w:r>
          </w:p>
        </w:tc>
        <w:tc>
          <w:tcPr>
            <w:tcW w:w="1459"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30±5</w:t>
            </w:r>
          </w:p>
        </w:tc>
        <w:tc>
          <w:tcPr>
            <w:tcW w:w="1411"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14±9</w:t>
            </w:r>
          </w:p>
        </w:tc>
        <w:tc>
          <w:tcPr>
            <w:tcW w:w="1552" w:type="dxa"/>
            <w:tcBorders>
              <w:top w:val="single" w:color="auto" w:sz="8" w:space="0"/>
              <w:bottom w:val="nil"/>
              <w:right w:val="nil"/>
              <w:insideV w:val="nil"/>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vMerge w:val="continue"/>
            <w:tcBorders>
              <w:bottom w:val="single" w:color="auto" w:sz="8" w:space="0"/>
            </w:tcBorders>
            <w:shd w:val="clear" w:color="auto" w:fill="auto"/>
            <w:vAlign w:val="center"/>
          </w:tcPr>
          <w:p>
            <w:pPr>
              <w:widowControl/>
              <w:rPr>
                <w:rFonts w:eastAsia="Arial Unicode MS" w:cstheme="minorHAnsi"/>
                <w:b/>
                <w:bCs/>
                <w:color w:val="000000"/>
                <w:kern w:val="0"/>
                <w:sz w:val="20"/>
                <w:szCs w:val="20"/>
              </w:rPr>
            </w:pPr>
          </w:p>
        </w:tc>
        <w:tc>
          <w:tcPr>
            <w:tcW w:w="2126" w:type="dxa"/>
            <w:vMerge w:val="continue"/>
            <w:tcBorders>
              <w:bottom w:val="single" w:color="auto" w:sz="8" w:space="0"/>
            </w:tcBorders>
            <w:shd w:val="clear" w:color="auto" w:fill="auto"/>
            <w:vAlign w:val="center"/>
          </w:tcPr>
          <w:p>
            <w:pPr>
              <w:widowControl/>
              <w:rPr>
                <w:rFonts w:eastAsia="Arial Unicode MS" w:cstheme="minorHAnsi"/>
                <w:color w:val="000000"/>
                <w:kern w:val="0"/>
                <w:sz w:val="20"/>
                <w:szCs w:val="20"/>
              </w:rPr>
            </w:pPr>
          </w:p>
        </w:tc>
        <w:tc>
          <w:tcPr>
            <w:tcW w:w="2586"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placebo</w:t>
            </w:r>
            <w:r>
              <w:rPr>
                <w:rFonts w:eastAsia="Arial Unicode MS" w:cstheme="minorHAnsi"/>
                <w:color w:val="000000" w:themeColor="text1"/>
                <w:kern w:val="0"/>
                <w:sz w:val="20"/>
                <w:szCs w:val="20"/>
                <w14:textFill>
                  <w14:solidFill>
                    <w14:schemeClr w14:val="tx1"/>
                  </w14:solidFill>
                </w14:textFill>
              </w:rPr>
              <w:t>+ins</w:t>
            </w:r>
          </w:p>
        </w:tc>
        <w:tc>
          <w:tcPr>
            <w:tcW w:w="1038"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194</w:t>
            </w:r>
          </w:p>
        </w:tc>
        <w:tc>
          <w:tcPr>
            <w:tcW w:w="1422"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59±11</w:t>
            </w:r>
          </w:p>
        </w:tc>
        <w:tc>
          <w:tcPr>
            <w:tcW w:w="1196"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50</w:t>
            </w:r>
          </w:p>
        </w:tc>
        <w:tc>
          <w:tcPr>
            <w:tcW w:w="1459"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30±5</w:t>
            </w:r>
          </w:p>
        </w:tc>
        <w:tc>
          <w:tcPr>
            <w:tcW w:w="1411"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12±8</w:t>
            </w:r>
          </w:p>
        </w:tc>
        <w:tc>
          <w:tcPr>
            <w:tcW w:w="1552" w:type="dxa"/>
            <w:tcBorders>
              <w:top w:val="nil"/>
              <w:bottom w:val="single" w:color="auto" w:sz="8" w:space="0"/>
            </w:tcBorders>
            <w:shd w:val="clear" w:color="auto" w:fill="auto"/>
            <w:vAlign w:val="center"/>
          </w:tcPr>
          <w:p>
            <w:pPr>
              <w:widowControl/>
              <w:jc w:val="center"/>
              <w:rPr>
                <w:rFonts w:eastAsia="Arial Unicode MS" w:cstheme="minorHAnsi"/>
                <w:color w:val="000000"/>
                <w:kern w:val="0"/>
                <w:sz w:val="20"/>
                <w:szCs w:val="20"/>
              </w:rPr>
            </w:pPr>
            <w:r>
              <w:rPr>
                <w:rFonts w:eastAsia="Arial Unicode MS" w:cstheme="minorHAnsi"/>
                <w:color w:val="000000"/>
                <w:kern w:val="0"/>
                <w:sz w:val="20"/>
                <w:szCs w:val="20"/>
              </w:rPr>
              <w:t>7.9±1.2</w:t>
            </w:r>
          </w:p>
        </w:tc>
      </w:tr>
    </w:tbl>
    <w:p>
      <w:pPr>
        <w:rPr>
          <w:rFonts w:cstheme="minorHAnsi"/>
          <w:sz w:val="20"/>
          <w:szCs w:val="20"/>
        </w:rPr>
      </w:pPr>
    </w:p>
    <w:p>
      <w:pPr>
        <w:rPr>
          <w:rFonts w:cstheme="minorHAnsi"/>
          <w:sz w:val="20"/>
          <w:szCs w:val="20"/>
        </w:rPr>
      </w:pPr>
    </w:p>
    <w:p>
      <w:pPr>
        <w:rPr>
          <w:rFonts w:cstheme="minorHAnsi"/>
          <w:b/>
          <w:sz w:val="24"/>
          <w:szCs w:val="24"/>
        </w:rPr>
        <w:sectPr>
          <w:pgSz w:w="16838" w:h="11906" w:orient="landscape"/>
          <w:pgMar w:top="1797" w:right="1440" w:bottom="1797" w:left="1440" w:header="851" w:footer="992" w:gutter="0"/>
          <w:cols w:space="425" w:num="1"/>
          <w:docGrid w:type="linesAndChars" w:linePitch="312" w:charSpace="0"/>
        </w:sectPr>
      </w:pPr>
    </w:p>
    <w:p>
      <w:pPr>
        <w:rPr>
          <w:rFonts w:cstheme="minorHAnsi"/>
          <w:sz w:val="20"/>
          <w:szCs w:val="20"/>
        </w:rPr>
      </w:pPr>
      <w:r>
        <w:rPr>
          <w:rFonts w:cstheme="minorHAnsi"/>
          <w:b/>
          <w:sz w:val="20"/>
          <w:szCs w:val="20"/>
        </w:rPr>
        <w:t xml:space="preserve">Table </w:t>
      </w:r>
      <w:r>
        <w:rPr>
          <w:rFonts w:hint="eastAsia" w:cstheme="minorHAnsi"/>
          <w:b/>
          <w:sz w:val="20"/>
          <w:szCs w:val="20"/>
        </w:rPr>
        <w:t>S2</w:t>
      </w:r>
      <w:r>
        <w:rPr>
          <w:rFonts w:cstheme="minorHAnsi"/>
          <w:b/>
          <w:sz w:val="20"/>
          <w:szCs w:val="20"/>
        </w:rPr>
        <w:t>: Baseline demographics in dapagliflozin treatment and metformin treatment as first line therapy, second line therapy and third therapy</w:t>
      </w:r>
    </w:p>
    <w:tbl>
      <w:tblPr>
        <w:tblStyle w:val="12"/>
        <w:tblW w:w="14143"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1809"/>
        <w:gridCol w:w="1701"/>
        <w:gridCol w:w="1843"/>
        <w:gridCol w:w="1985"/>
        <w:gridCol w:w="1985"/>
        <w:gridCol w:w="1985"/>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top w:val="single" w:color="000000" w:themeColor="text1" w:sz="8" w:space="0"/>
              <w:left w:val="nil"/>
              <w:bottom w:val="single" w:color="auto" w:sz="4" w:space="0"/>
              <w:right w:val="nil"/>
              <w:insideV w:val="nil"/>
            </w:tcBorders>
          </w:tcPr>
          <w:p>
            <w:pPr>
              <w:spacing w:before="0" w:after="0" w:line="240" w:lineRule="auto"/>
              <w:rPr>
                <w:rFonts w:cstheme="minorHAnsi"/>
                <w:b/>
                <w:bCs/>
                <w:color w:val="000000" w:themeColor="text1" w:themeShade="BF"/>
                <w:sz w:val="20"/>
                <w:szCs w:val="20"/>
              </w:rPr>
            </w:pPr>
          </w:p>
        </w:tc>
        <w:tc>
          <w:tcPr>
            <w:tcW w:w="3510" w:type="dxa"/>
            <w:gridSpan w:val="2"/>
            <w:tcBorders>
              <w:top w:val="single" w:color="000000" w:themeColor="text1" w:sz="8" w:space="0"/>
              <w:bottom w:val="single" w:color="auto" w:sz="4" w:space="0"/>
              <w:right w:val="nil"/>
              <w:insideV w:val="nil"/>
            </w:tcBorders>
          </w:tcPr>
          <w:p>
            <w:pPr>
              <w:spacing w:before="0" w:after="0" w:line="240" w:lineRule="auto"/>
              <w:rPr>
                <w:rFonts w:cstheme="minorHAnsi"/>
                <w:b/>
                <w:bCs/>
                <w:color w:val="000000" w:themeColor="text1" w:themeShade="BF"/>
                <w:sz w:val="20"/>
                <w:szCs w:val="20"/>
              </w:rPr>
            </w:pPr>
            <w:r>
              <w:rPr>
                <w:rFonts w:hint="eastAsia" w:cstheme="minorHAnsi"/>
                <w:b/>
                <w:bCs/>
                <w:color w:val="000000" w:themeColor="text1" w:themeShade="BF"/>
                <w:sz w:val="20"/>
                <w:szCs w:val="20"/>
              </w:rPr>
              <w:t>First line therapy</w:t>
            </w:r>
          </w:p>
        </w:tc>
        <w:tc>
          <w:tcPr>
            <w:tcW w:w="3828" w:type="dxa"/>
            <w:gridSpan w:val="2"/>
            <w:tcBorders>
              <w:top w:val="single" w:color="000000" w:themeColor="text1" w:sz="8" w:space="0"/>
              <w:bottom w:val="single" w:color="auto" w:sz="4" w:space="0"/>
              <w:right w:val="nil"/>
              <w:insideV w:val="nil"/>
            </w:tcBorders>
          </w:tcPr>
          <w:p>
            <w:pPr>
              <w:spacing w:before="0" w:after="0" w:line="240" w:lineRule="auto"/>
              <w:rPr>
                <w:rFonts w:cstheme="minorHAnsi"/>
                <w:b/>
                <w:bCs/>
                <w:color w:val="000000" w:themeColor="text1" w:themeShade="BF"/>
                <w:sz w:val="20"/>
                <w:szCs w:val="20"/>
              </w:rPr>
            </w:pPr>
            <w:r>
              <w:rPr>
                <w:rFonts w:hint="eastAsia" w:cstheme="minorHAnsi"/>
                <w:b/>
                <w:bCs/>
                <w:color w:val="000000" w:themeColor="text1" w:themeShade="BF"/>
                <w:sz w:val="20"/>
                <w:szCs w:val="20"/>
              </w:rPr>
              <w:t>Second line therapy</w:t>
            </w:r>
          </w:p>
        </w:tc>
        <w:tc>
          <w:tcPr>
            <w:tcW w:w="3970" w:type="dxa"/>
            <w:gridSpan w:val="2"/>
            <w:tcBorders>
              <w:top w:val="single" w:color="000000" w:themeColor="text1" w:sz="8" w:space="0"/>
              <w:bottom w:val="single" w:color="auto" w:sz="4" w:space="0"/>
              <w:right w:val="nil"/>
              <w:insideV w:val="nil"/>
            </w:tcBorders>
          </w:tcPr>
          <w:p>
            <w:pPr>
              <w:spacing w:before="0" w:after="0" w:line="240" w:lineRule="auto"/>
              <w:rPr>
                <w:rFonts w:cstheme="minorHAnsi"/>
                <w:b/>
                <w:bCs/>
                <w:color w:val="000000" w:themeColor="text1" w:themeShade="BF"/>
                <w:sz w:val="20"/>
                <w:szCs w:val="20"/>
              </w:rPr>
            </w:pPr>
            <w:r>
              <w:rPr>
                <w:rFonts w:hint="eastAsia" w:cstheme="minorHAnsi"/>
                <w:b/>
                <w:bCs/>
                <w:color w:val="000000" w:themeColor="text1" w:themeShade="BF"/>
                <w:sz w:val="20"/>
                <w:szCs w:val="20"/>
              </w:rPr>
              <w:t>Third line therapy</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top w:val="single" w:color="auto" w:sz="4" w:space="0"/>
              <w:left w:val="nil"/>
              <w:bottom w:val="single" w:color="auto" w:sz="4" w:space="0"/>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V</w:t>
            </w:r>
            <w:r>
              <w:rPr>
                <w:rFonts w:hint="eastAsia" w:cstheme="minorHAnsi"/>
                <w:b/>
                <w:bCs/>
                <w:color w:val="000000" w:themeColor="text1" w:themeShade="BF"/>
                <w:sz w:val="20"/>
                <w:szCs w:val="20"/>
              </w:rPr>
              <w:t xml:space="preserve">ariables </w:t>
            </w:r>
          </w:p>
        </w:tc>
        <w:tc>
          <w:tcPr>
            <w:tcW w:w="1809"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 xml:space="preserve">Dapagliflozin </w:t>
            </w:r>
            <w:r>
              <w:rPr>
                <w:rFonts w:hint="eastAsia" w:cstheme="minorHAnsi"/>
                <w:b/>
                <w:color w:val="000000" w:themeColor="text1" w:themeShade="BF"/>
                <w:sz w:val="20"/>
                <w:szCs w:val="20"/>
              </w:rPr>
              <w:t>monotherapy</w:t>
            </w:r>
          </w:p>
        </w:tc>
        <w:tc>
          <w:tcPr>
            <w:tcW w:w="1701"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 xml:space="preserve">Metformin </w:t>
            </w:r>
            <w:r>
              <w:rPr>
                <w:rFonts w:hint="eastAsia" w:cstheme="minorHAnsi"/>
                <w:b/>
                <w:color w:val="000000" w:themeColor="text1" w:themeShade="BF"/>
                <w:sz w:val="20"/>
                <w:szCs w:val="20"/>
              </w:rPr>
              <w:t>monotherapy</w:t>
            </w:r>
          </w:p>
        </w:tc>
        <w:tc>
          <w:tcPr>
            <w:tcW w:w="1843"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Dapagliflozin add</w:t>
            </w:r>
            <w:r>
              <w:rPr>
                <w:rFonts w:hint="eastAsia" w:cstheme="minorHAnsi"/>
                <w:b/>
                <w:color w:val="000000" w:themeColor="text1" w:themeShade="BF"/>
                <w:sz w:val="20"/>
                <w:szCs w:val="20"/>
              </w:rPr>
              <w:t xml:space="preserve"> </w:t>
            </w:r>
            <w:r>
              <w:rPr>
                <w:rFonts w:cstheme="minorHAnsi"/>
                <w:b/>
                <w:color w:val="000000" w:themeColor="text1" w:themeShade="BF"/>
                <w:sz w:val="20"/>
                <w:szCs w:val="20"/>
              </w:rPr>
              <w:t>on SU/TZD</w:t>
            </w:r>
          </w:p>
        </w:tc>
        <w:tc>
          <w:tcPr>
            <w:tcW w:w="1985"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Metformin add</w:t>
            </w:r>
            <w:r>
              <w:rPr>
                <w:rFonts w:hint="eastAsia" w:cstheme="minorHAnsi"/>
                <w:b/>
                <w:color w:val="000000" w:themeColor="text1" w:themeShade="BF"/>
                <w:sz w:val="20"/>
                <w:szCs w:val="20"/>
              </w:rPr>
              <w:t xml:space="preserve"> </w:t>
            </w:r>
            <w:r>
              <w:rPr>
                <w:rFonts w:cstheme="minorHAnsi"/>
                <w:b/>
                <w:color w:val="000000" w:themeColor="text1" w:themeShade="BF"/>
                <w:sz w:val="20"/>
                <w:szCs w:val="20"/>
              </w:rPr>
              <w:t>on SU/TZD</w:t>
            </w:r>
          </w:p>
        </w:tc>
        <w:tc>
          <w:tcPr>
            <w:tcW w:w="1985"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Dapagliflozin add</w:t>
            </w:r>
            <w:r>
              <w:rPr>
                <w:rFonts w:hint="eastAsia" w:cstheme="minorHAnsi"/>
                <w:b/>
                <w:color w:val="000000" w:themeColor="text1" w:themeShade="BF"/>
                <w:sz w:val="20"/>
                <w:szCs w:val="20"/>
              </w:rPr>
              <w:t xml:space="preserve"> </w:t>
            </w:r>
            <w:r>
              <w:rPr>
                <w:rFonts w:cstheme="minorHAnsi"/>
                <w:b/>
                <w:color w:val="000000" w:themeColor="text1" w:themeShade="BF"/>
                <w:sz w:val="20"/>
                <w:szCs w:val="20"/>
              </w:rPr>
              <w:t xml:space="preserve">on </w:t>
            </w:r>
            <w:r>
              <w:rPr>
                <w:rFonts w:hint="eastAsia" w:cstheme="minorHAnsi"/>
                <w:b/>
                <w:color w:val="000000" w:themeColor="text1" w:themeShade="BF"/>
                <w:sz w:val="20"/>
                <w:szCs w:val="20"/>
              </w:rPr>
              <w:t>insulin</w:t>
            </w:r>
          </w:p>
        </w:tc>
        <w:tc>
          <w:tcPr>
            <w:tcW w:w="1985"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Metformin add</w:t>
            </w:r>
            <w:r>
              <w:rPr>
                <w:rFonts w:hint="eastAsia" w:cstheme="minorHAnsi"/>
                <w:b/>
                <w:color w:val="000000" w:themeColor="text1" w:themeShade="BF"/>
                <w:sz w:val="20"/>
                <w:szCs w:val="20"/>
              </w:rPr>
              <w:t xml:space="preserve"> </w:t>
            </w:r>
            <w:r>
              <w:rPr>
                <w:rFonts w:cstheme="minorHAnsi"/>
                <w:b/>
                <w:color w:val="000000" w:themeColor="text1" w:themeShade="BF"/>
                <w:sz w:val="20"/>
                <w:szCs w:val="20"/>
              </w:rPr>
              <w:t xml:space="preserve">on </w:t>
            </w:r>
            <w:r>
              <w:rPr>
                <w:rFonts w:hint="eastAsia" w:cstheme="minorHAnsi"/>
                <w:b/>
                <w:color w:val="000000" w:themeColor="text1" w:themeShade="BF"/>
                <w:sz w:val="20"/>
                <w:szCs w:val="20"/>
              </w:rPr>
              <w:t>insulin</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top w:val="single" w:color="auto" w:sz="4" w:space="0"/>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n.</w:t>
            </w:r>
          </w:p>
        </w:tc>
        <w:tc>
          <w:tcPr>
            <w:tcW w:w="1809" w:type="dxa"/>
            <w:tcBorders>
              <w:top w:val="single" w:color="auto" w:sz="4" w:space="0"/>
            </w:tcBorders>
            <w:shd w:val="clear" w:color="auto" w:fill="auto"/>
          </w:tcPr>
          <w:p>
            <w:pPr>
              <w:rPr>
                <w:rFonts w:cstheme="minorHAnsi"/>
                <w:color w:val="000000" w:themeColor="text1" w:themeShade="BF"/>
                <w:sz w:val="20"/>
                <w:szCs w:val="20"/>
              </w:rPr>
            </w:pPr>
            <w:r>
              <w:rPr>
                <w:rFonts w:hint="eastAsia" w:cstheme="minorHAnsi"/>
                <w:color w:val="000000" w:themeColor="text1" w:themeShade="BF"/>
                <w:sz w:val="20"/>
                <w:szCs w:val="20"/>
              </w:rPr>
              <w:t>219</w:t>
            </w:r>
          </w:p>
        </w:tc>
        <w:tc>
          <w:tcPr>
            <w:tcW w:w="1701" w:type="dxa"/>
            <w:tcBorders>
              <w:top w:val="single" w:color="auto" w:sz="4" w:space="0"/>
            </w:tcBorders>
            <w:shd w:val="clear" w:color="auto" w:fill="auto"/>
          </w:tcPr>
          <w:p>
            <w:pPr>
              <w:rPr>
                <w:rFonts w:cstheme="minorHAnsi"/>
                <w:color w:val="000000" w:themeColor="text1" w:themeShade="BF"/>
                <w:sz w:val="20"/>
                <w:szCs w:val="20"/>
              </w:rPr>
            </w:pPr>
            <w:r>
              <w:rPr>
                <w:rFonts w:hint="eastAsia" w:cstheme="minorHAnsi"/>
                <w:color w:val="000000" w:themeColor="text1" w:themeShade="BF"/>
                <w:sz w:val="20"/>
                <w:szCs w:val="20"/>
              </w:rPr>
              <w:t>208</w:t>
            </w:r>
          </w:p>
        </w:tc>
        <w:tc>
          <w:tcPr>
            <w:tcW w:w="1843" w:type="dxa"/>
            <w:tcBorders>
              <w:top w:val="single" w:color="auto" w:sz="4" w:space="0"/>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291</w:t>
            </w:r>
          </w:p>
        </w:tc>
        <w:tc>
          <w:tcPr>
            <w:tcW w:w="1985" w:type="dxa"/>
            <w:tcBorders>
              <w:top w:val="single" w:color="auto" w:sz="4" w:space="0"/>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3127</w:t>
            </w:r>
          </w:p>
        </w:tc>
        <w:tc>
          <w:tcPr>
            <w:tcW w:w="1985" w:type="dxa"/>
            <w:tcBorders>
              <w:top w:val="single" w:color="auto" w:sz="4" w:space="0"/>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795</w:t>
            </w:r>
          </w:p>
        </w:tc>
        <w:tc>
          <w:tcPr>
            <w:tcW w:w="1985" w:type="dxa"/>
            <w:tcBorders>
              <w:top w:val="single" w:color="auto" w:sz="4" w:space="0"/>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415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 xml:space="preserve">Age </w:t>
            </w:r>
            <w:r>
              <w:rPr>
                <w:rFonts w:hint="eastAsia" w:cstheme="minorHAnsi"/>
                <w:b w:val="0"/>
                <w:bCs/>
                <w:color w:val="000000" w:themeColor="text1" w:themeShade="BF"/>
                <w:sz w:val="20"/>
                <w:szCs w:val="20"/>
              </w:rPr>
              <w:t>(year)</w:t>
            </w:r>
          </w:p>
        </w:tc>
        <w:tc>
          <w:tcPr>
            <w:tcW w:w="1809" w:type="dxa"/>
            <w:tcBorders>
              <w:right w:val="nil"/>
              <w:insideV w:val="nil"/>
            </w:tcBorders>
            <w:shd w:val="clear" w:color="auto" w:fill="auto"/>
          </w:tcPr>
          <w:p>
            <w:pPr>
              <w:rPr>
                <w:rFonts w:cstheme="minorHAnsi"/>
                <w:color w:val="000000" w:themeColor="text1" w:themeShade="BF"/>
                <w:sz w:val="20"/>
                <w:szCs w:val="20"/>
              </w:rPr>
            </w:pPr>
            <w:r>
              <w:rPr>
                <w:rFonts w:hint="eastAsia" w:cstheme="minorHAnsi"/>
                <w:color w:val="000000" w:themeColor="text1" w:themeShade="BF"/>
                <w:sz w:val="20"/>
                <w:szCs w:val="20"/>
              </w:rPr>
              <w:t>51.5</w:t>
            </w:r>
            <w:r>
              <w:rPr>
                <w:rFonts w:cstheme="minorHAnsi"/>
                <w:color w:val="000000" w:themeColor="text1" w:themeShade="BF"/>
                <w:sz w:val="20"/>
                <w:szCs w:val="20"/>
              </w:rPr>
              <w:t>±</w:t>
            </w:r>
            <w:r>
              <w:rPr>
                <w:rFonts w:hint="eastAsia" w:cstheme="minorHAnsi"/>
                <w:color w:val="000000" w:themeColor="text1" w:themeShade="BF"/>
                <w:sz w:val="20"/>
                <w:szCs w:val="20"/>
              </w:rPr>
              <w:t>11.5</w:t>
            </w:r>
          </w:p>
        </w:tc>
        <w:tc>
          <w:tcPr>
            <w:tcW w:w="1701" w:type="dxa"/>
            <w:tcBorders>
              <w:right w:val="nil"/>
              <w:insideV w:val="nil"/>
            </w:tcBorders>
            <w:shd w:val="clear" w:color="auto" w:fill="auto"/>
          </w:tcPr>
          <w:p>
            <w:pPr>
              <w:rPr>
                <w:color w:val="000000" w:themeColor="text1" w:themeShade="BF"/>
                <w:sz w:val="20"/>
                <w:szCs w:val="20"/>
              </w:rPr>
            </w:pPr>
            <w:r>
              <w:rPr>
                <w:rFonts w:hint="eastAsia" w:cstheme="minorHAnsi"/>
                <w:color w:val="000000" w:themeColor="text1" w:themeShade="BF"/>
                <w:sz w:val="20"/>
                <w:szCs w:val="20"/>
              </w:rPr>
              <w:t>52.7</w:t>
            </w:r>
            <w:r>
              <w:rPr>
                <w:rFonts w:cstheme="minorHAnsi"/>
                <w:color w:val="000000" w:themeColor="text1" w:themeShade="BF"/>
                <w:sz w:val="20"/>
                <w:szCs w:val="20"/>
              </w:rPr>
              <w:t>±</w:t>
            </w:r>
            <w:r>
              <w:rPr>
                <w:rFonts w:hint="eastAsia" w:cstheme="minorHAnsi"/>
                <w:color w:val="000000" w:themeColor="text1" w:themeShade="BF"/>
                <w:sz w:val="20"/>
                <w:szCs w:val="20"/>
              </w:rPr>
              <w:t>10.4</w:t>
            </w:r>
          </w:p>
        </w:tc>
        <w:tc>
          <w:tcPr>
            <w:tcW w:w="184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56.50±3.54</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56.25±3.95</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59.00±2.94</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57.17±3.76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Gender (female percent)</w:t>
            </w:r>
          </w:p>
        </w:tc>
        <w:tc>
          <w:tcPr>
            <w:tcW w:w="1809" w:type="dxa"/>
            <w:shd w:val="clear" w:color="auto" w:fill="auto"/>
          </w:tcPr>
          <w:p>
            <w:pPr>
              <w:rPr>
                <w:color w:val="000000" w:themeColor="text1" w:themeShade="BF"/>
                <w:sz w:val="20"/>
                <w:szCs w:val="20"/>
              </w:rPr>
            </w:pPr>
            <w:r>
              <w:rPr>
                <w:rFonts w:hint="eastAsia"/>
                <w:color w:val="000000" w:themeColor="text1" w:themeShade="BF"/>
                <w:sz w:val="20"/>
                <w:szCs w:val="20"/>
              </w:rPr>
              <w:t>52.1%</w:t>
            </w:r>
          </w:p>
        </w:tc>
        <w:tc>
          <w:tcPr>
            <w:tcW w:w="1701" w:type="dxa"/>
            <w:shd w:val="clear" w:color="auto" w:fill="auto"/>
          </w:tcPr>
          <w:p>
            <w:pPr>
              <w:rPr>
                <w:color w:val="000000" w:themeColor="text1" w:themeShade="BF"/>
                <w:sz w:val="20"/>
                <w:szCs w:val="20"/>
              </w:rPr>
            </w:pPr>
            <w:r>
              <w:rPr>
                <w:rFonts w:hint="eastAsia"/>
                <w:color w:val="000000" w:themeColor="text1" w:themeShade="BF"/>
                <w:sz w:val="20"/>
                <w:szCs w:val="20"/>
              </w:rPr>
              <w:t>53.4%</w:t>
            </w:r>
          </w:p>
        </w:tc>
        <w:tc>
          <w:tcPr>
            <w:tcW w:w="184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43.0%</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57.9%</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60.00%</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50.17%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BMI</w:t>
            </w:r>
            <w:r>
              <w:rPr>
                <w:rFonts w:hint="eastAsia" w:cstheme="minorHAnsi"/>
                <w:b w:val="0"/>
                <w:bCs/>
                <w:color w:val="000000" w:themeColor="text1" w:themeShade="BF"/>
                <w:sz w:val="20"/>
                <w:szCs w:val="20"/>
              </w:rPr>
              <w:t>(kg/m2)</w:t>
            </w:r>
          </w:p>
        </w:tc>
        <w:tc>
          <w:tcPr>
            <w:tcW w:w="1809" w:type="dxa"/>
            <w:tcBorders>
              <w:right w:val="nil"/>
              <w:insideV w:val="nil"/>
            </w:tcBorders>
            <w:shd w:val="clear" w:color="auto" w:fill="auto"/>
          </w:tcPr>
          <w:p>
            <w:pPr>
              <w:rPr>
                <w:color w:val="000000" w:themeColor="text1" w:themeShade="BF"/>
                <w:sz w:val="20"/>
                <w:szCs w:val="20"/>
              </w:rPr>
            </w:pPr>
            <w:r>
              <w:rPr>
                <w:rFonts w:hint="eastAsia" w:cstheme="minorHAnsi"/>
                <w:color w:val="000000" w:themeColor="text1" w:themeShade="BF"/>
                <w:sz w:val="20"/>
                <w:szCs w:val="20"/>
              </w:rPr>
              <w:t>/</w:t>
            </w:r>
          </w:p>
        </w:tc>
        <w:tc>
          <w:tcPr>
            <w:tcW w:w="1701" w:type="dxa"/>
            <w:tcBorders>
              <w:right w:val="nil"/>
              <w:insideV w:val="nil"/>
            </w:tcBorders>
            <w:shd w:val="clear" w:color="auto" w:fill="auto"/>
          </w:tcPr>
          <w:p>
            <w:pPr>
              <w:rPr>
                <w:color w:val="000000" w:themeColor="text1" w:themeShade="BF"/>
                <w:sz w:val="20"/>
                <w:szCs w:val="20"/>
              </w:rPr>
            </w:pPr>
            <w:r>
              <w:rPr>
                <w:rFonts w:hint="eastAsia" w:cstheme="minorHAnsi"/>
                <w:color w:val="000000" w:themeColor="text1" w:themeShade="BF"/>
                <w:sz w:val="20"/>
                <w:szCs w:val="20"/>
              </w:rPr>
              <w:t>/</w:t>
            </w:r>
          </w:p>
        </w:tc>
        <w:tc>
          <w:tcPr>
            <w:tcW w:w="184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30.08±2.33</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32.25±3.78</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33.00±2.45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Diabetes duration</w:t>
            </w:r>
            <w:r>
              <w:rPr>
                <w:rFonts w:hint="eastAsia" w:cstheme="minorHAnsi"/>
                <w:b w:val="0"/>
                <w:bCs/>
                <w:color w:val="000000" w:themeColor="text1" w:themeShade="BF"/>
                <w:sz w:val="20"/>
                <w:szCs w:val="20"/>
              </w:rPr>
              <w:t>(year)</w:t>
            </w:r>
          </w:p>
        </w:tc>
        <w:tc>
          <w:tcPr>
            <w:tcW w:w="1809" w:type="dxa"/>
            <w:shd w:val="clear" w:color="auto" w:fill="auto"/>
          </w:tcPr>
          <w:p>
            <w:pPr>
              <w:rPr>
                <w:color w:val="000000" w:themeColor="text1" w:themeShade="BF"/>
                <w:sz w:val="20"/>
                <w:szCs w:val="20"/>
              </w:rPr>
            </w:pPr>
            <w:r>
              <w:rPr>
                <w:rFonts w:hint="eastAsia" w:cstheme="minorHAnsi"/>
                <w:color w:val="000000" w:themeColor="text1" w:themeShade="BF"/>
                <w:sz w:val="20"/>
                <w:szCs w:val="20"/>
              </w:rPr>
              <w:t>2.1</w:t>
            </w:r>
            <w:r>
              <w:rPr>
                <w:rFonts w:cstheme="minorHAnsi"/>
                <w:color w:val="000000" w:themeColor="text1" w:themeShade="BF"/>
                <w:sz w:val="20"/>
                <w:szCs w:val="20"/>
              </w:rPr>
              <w:t>±</w:t>
            </w:r>
            <w:r>
              <w:rPr>
                <w:rFonts w:hint="eastAsia" w:cstheme="minorHAnsi"/>
                <w:color w:val="000000" w:themeColor="text1" w:themeShade="BF"/>
                <w:sz w:val="20"/>
                <w:szCs w:val="20"/>
              </w:rPr>
              <w:t>3.8</w:t>
            </w:r>
          </w:p>
        </w:tc>
        <w:tc>
          <w:tcPr>
            <w:tcW w:w="1701" w:type="dxa"/>
            <w:shd w:val="clear" w:color="auto" w:fill="auto"/>
          </w:tcPr>
          <w:p>
            <w:pPr>
              <w:rPr>
                <w:color w:val="000000" w:themeColor="text1" w:themeShade="BF"/>
                <w:sz w:val="20"/>
                <w:szCs w:val="20"/>
              </w:rPr>
            </w:pPr>
            <w:r>
              <w:rPr>
                <w:rFonts w:hint="eastAsia" w:cstheme="minorHAnsi"/>
                <w:color w:val="000000" w:themeColor="text1" w:themeShade="BF"/>
                <w:sz w:val="20"/>
                <w:szCs w:val="20"/>
              </w:rPr>
              <w:t>1.9</w:t>
            </w:r>
            <w:r>
              <w:rPr>
                <w:rFonts w:cstheme="minorHAnsi"/>
                <w:color w:val="000000" w:themeColor="text1" w:themeShade="BF"/>
                <w:sz w:val="20"/>
                <w:szCs w:val="20"/>
              </w:rPr>
              <w:t>±</w:t>
            </w:r>
            <w:r>
              <w:rPr>
                <w:rFonts w:hint="eastAsia" w:cstheme="minorHAnsi"/>
                <w:color w:val="000000" w:themeColor="text1" w:themeShade="BF"/>
                <w:sz w:val="20"/>
                <w:szCs w:val="20"/>
              </w:rPr>
              <w:t>4.0</w:t>
            </w:r>
          </w:p>
        </w:tc>
        <w:tc>
          <w:tcPr>
            <w:tcW w:w="184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6.50±0.71</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6.05±3.18</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13.50±1.29</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10.33±2.50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HbA1c</w:t>
            </w:r>
            <w:r>
              <w:rPr>
                <w:rFonts w:hint="eastAsia" w:cstheme="minorHAnsi"/>
                <w:b w:val="0"/>
                <w:bCs/>
                <w:color w:val="000000" w:themeColor="text1" w:themeShade="BF"/>
                <w:sz w:val="20"/>
                <w:szCs w:val="20"/>
              </w:rPr>
              <w:t>(%)</w:t>
            </w:r>
          </w:p>
        </w:tc>
        <w:tc>
          <w:tcPr>
            <w:tcW w:w="1809" w:type="dxa"/>
            <w:tcBorders>
              <w:right w:val="nil"/>
              <w:insideV w:val="nil"/>
            </w:tcBorders>
            <w:shd w:val="clear" w:color="auto" w:fill="auto"/>
          </w:tcPr>
          <w:p>
            <w:pPr>
              <w:rPr>
                <w:color w:val="000000" w:themeColor="text1" w:themeShade="BF"/>
                <w:sz w:val="20"/>
                <w:szCs w:val="20"/>
              </w:rPr>
            </w:pPr>
            <w:r>
              <w:rPr>
                <w:rFonts w:hint="eastAsia" w:cstheme="minorHAnsi"/>
                <w:color w:val="000000" w:themeColor="text1" w:themeShade="BF"/>
                <w:sz w:val="20"/>
                <w:szCs w:val="20"/>
              </w:rPr>
              <w:t>9.1</w:t>
            </w:r>
            <w:r>
              <w:rPr>
                <w:rFonts w:cstheme="minorHAnsi"/>
                <w:color w:val="000000" w:themeColor="text1" w:themeShade="BF"/>
                <w:sz w:val="20"/>
                <w:szCs w:val="20"/>
              </w:rPr>
              <w:t>±</w:t>
            </w:r>
            <w:r>
              <w:rPr>
                <w:rFonts w:hint="eastAsia" w:cstheme="minorHAnsi"/>
                <w:color w:val="000000" w:themeColor="text1" w:themeShade="BF"/>
                <w:sz w:val="20"/>
                <w:szCs w:val="20"/>
              </w:rPr>
              <w:t>1.3</w:t>
            </w:r>
          </w:p>
        </w:tc>
        <w:tc>
          <w:tcPr>
            <w:tcW w:w="1701" w:type="dxa"/>
            <w:tcBorders>
              <w:right w:val="nil"/>
              <w:insideV w:val="nil"/>
            </w:tcBorders>
            <w:shd w:val="clear" w:color="auto" w:fill="auto"/>
          </w:tcPr>
          <w:p>
            <w:pPr>
              <w:rPr>
                <w:color w:val="000000" w:themeColor="text1" w:themeShade="BF"/>
                <w:sz w:val="20"/>
                <w:szCs w:val="20"/>
              </w:rPr>
            </w:pPr>
            <w:r>
              <w:rPr>
                <w:rFonts w:hint="eastAsia" w:cstheme="minorHAnsi"/>
                <w:color w:val="000000" w:themeColor="text1" w:themeShade="BF"/>
                <w:sz w:val="20"/>
                <w:szCs w:val="20"/>
              </w:rPr>
              <w:t>9.1</w:t>
            </w:r>
            <w:r>
              <w:rPr>
                <w:rFonts w:cstheme="minorHAnsi"/>
                <w:color w:val="000000" w:themeColor="text1" w:themeShade="BF"/>
                <w:sz w:val="20"/>
                <w:szCs w:val="20"/>
              </w:rPr>
              <w:t>±</w:t>
            </w:r>
            <w:r>
              <w:rPr>
                <w:rFonts w:hint="eastAsia" w:cstheme="minorHAnsi"/>
                <w:color w:val="000000" w:themeColor="text1" w:themeShade="BF"/>
                <w:sz w:val="20"/>
                <w:szCs w:val="20"/>
              </w:rPr>
              <w:t>1.3</w:t>
            </w:r>
          </w:p>
        </w:tc>
        <w:tc>
          <w:tcPr>
            <w:tcW w:w="184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8.00±0.00</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8.26±0.86</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8.25±0.50</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8.83±0.75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Weight</w:t>
            </w:r>
            <w:r>
              <w:rPr>
                <w:rFonts w:hint="eastAsia" w:cstheme="minorHAnsi"/>
                <w:b w:val="0"/>
                <w:bCs/>
                <w:color w:val="000000" w:themeColor="text1" w:themeShade="BF"/>
                <w:sz w:val="20"/>
                <w:szCs w:val="20"/>
              </w:rPr>
              <w:t>(kg)</w:t>
            </w:r>
          </w:p>
        </w:tc>
        <w:tc>
          <w:tcPr>
            <w:tcW w:w="1809" w:type="dxa"/>
            <w:shd w:val="clear" w:color="auto" w:fill="auto"/>
          </w:tcPr>
          <w:p>
            <w:pPr>
              <w:rPr>
                <w:color w:val="000000" w:themeColor="text1" w:themeShade="BF"/>
                <w:sz w:val="20"/>
                <w:szCs w:val="20"/>
              </w:rPr>
            </w:pPr>
            <w:r>
              <w:rPr>
                <w:rFonts w:hint="eastAsia" w:cstheme="minorHAnsi"/>
                <w:color w:val="000000" w:themeColor="text1" w:themeShade="BF"/>
                <w:sz w:val="20"/>
                <w:szCs w:val="20"/>
              </w:rPr>
              <w:t>88.5</w:t>
            </w:r>
            <w:r>
              <w:rPr>
                <w:rFonts w:cstheme="minorHAnsi"/>
                <w:color w:val="000000" w:themeColor="text1" w:themeShade="BF"/>
                <w:sz w:val="20"/>
                <w:szCs w:val="20"/>
              </w:rPr>
              <w:t>±</w:t>
            </w:r>
            <w:r>
              <w:rPr>
                <w:rFonts w:hint="eastAsia" w:cstheme="minorHAnsi"/>
                <w:color w:val="000000" w:themeColor="text1" w:themeShade="BF"/>
                <w:sz w:val="20"/>
                <w:szCs w:val="20"/>
              </w:rPr>
              <w:t>19.3</w:t>
            </w:r>
          </w:p>
        </w:tc>
        <w:tc>
          <w:tcPr>
            <w:tcW w:w="1701" w:type="dxa"/>
            <w:shd w:val="clear" w:color="auto" w:fill="auto"/>
          </w:tcPr>
          <w:p>
            <w:pPr>
              <w:rPr>
                <w:color w:val="000000" w:themeColor="text1" w:themeShade="BF"/>
                <w:sz w:val="20"/>
                <w:szCs w:val="20"/>
              </w:rPr>
            </w:pPr>
            <w:r>
              <w:rPr>
                <w:rFonts w:hint="eastAsia" w:cstheme="minorHAnsi"/>
                <w:color w:val="000000" w:themeColor="text1" w:themeShade="BF"/>
                <w:sz w:val="20"/>
                <w:szCs w:val="20"/>
              </w:rPr>
              <w:t>87.2</w:t>
            </w:r>
            <w:r>
              <w:rPr>
                <w:rFonts w:cstheme="minorHAnsi"/>
                <w:color w:val="000000" w:themeColor="text1" w:themeShade="BF"/>
                <w:sz w:val="20"/>
                <w:szCs w:val="20"/>
              </w:rPr>
              <w:t>±</w:t>
            </w:r>
            <w:r>
              <w:rPr>
                <w:rFonts w:hint="eastAsia" w:cstheme="minorHAnsi"/>
                <w:color w:val="000000" w:themeColor="text1" w:themeShade="BF"/>
                <w:sz w:val="20"/>
                <w:szCs w:val="20"/>
              </w:rPr>
              <w:t>19.4</w:t>
            </w:r>
          </w:p>
        </w:tc>
        <w:tc>
          <w:tcPr>
            <w:tcW w:w="184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83.00±2.83</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88.75±7.62</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91.00±12.19</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96.33±8.31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SBP(mmHg)</w:t>
            </w:r>
          </w:p>
        </w:tc>
        <w:tc>
          <w:tcPr>
            <w:tcW w:w="1809" w:type="dxa"/>
            <w:tcBorders>
              <w:right w:val="nil"/>
              <w:insideV w:val="nil"/>
            </w:tcBorders>
            <w:shd w:val="clear" w:color="auto" w:fill="auto"/>
          </w:tcPr>
          <w:p>
            <w:pPr>
              <w:rPr>
                <w:color w:val="000000" w:themeColor="text1" w:themeShade="BF"/>
                <w:sz w:val="20"/>
                <w:szCs w:val="20"/>
              </w:rPr>
            </w:pPr>
            <w:r>
              <w:rPr>
                <w:rFonts w:hint="eastAsia" w:cstheme="minorHAnsi"/>
                <w:color w:val="000000" w:themeColor="text1" w:themeShade="BF"/>
                <w:sz w:val="20"/>
                <w:szCs w:val="20"/>
              </w:rPr>
              <w:t>127.8</w:t>
            </w:r>
            <w:r>
              <w:rPr>
                <w:rFonts w:cstheme="minorHAnsi"/>
                <w:color w:val="000000" w:themeColor="text1" w:themeShade="BF"/>
                <w:sz w:val="20"/>
                <w:szCs w:val="20"/>
              </w:rPr>
              <w:t>±</w:t>
            </w:r>
            <w:r>
              <w:rPr>
                <w:rFonts w:hint="eastAsia" w:cstheme="minorHAnsi"/>
                <w:color w:val="000000" w:themeColor="text1" w:themeShade="BF"/>
                <w:sz w:val="20"/>
                <w:szCs w:val="20"/>
              </w:rPr>
              <w:t>13.7</w:t>
            </w:r>
          </w:p>
        </w:tc>
        <w:tc>
          <w:tcPr>
            <w:tcW w:w="1701" w:type="dxa"/>
            <w:tcBorders>
              <w:right w:val="nil"/>
              <w:insideV w:val="nil"/>
            </w:tcBorders>
            <w:shd w:val="clear" w:color="auto" w:fill="auto"/>
          </w:tcPr>
          <w:p>
            <w:pPr>
              <w:rPr>
                <w:color w:val="000000" w:themeColor="text1" w:themeShade="BF"/>
                <w:sz w:val="20"/>
                <w:szCs w:val="20"/>
              </w:rPr>
            </w:pPr>
            <w:r>
              <w:rPr>
                <w:rFonts w:hint="eastAsia" w:cstheme="minorHAnsi"/>
                <w:color w:val="000000" w:themeColor="text1" w:themeShade="BF"/>
                <w:sz w:val="20"/>
                <w:szCs w:val="20"/>
              </w:rPr>
              <w:t>130.6</w:t>
            </w:r>
            <w:r>
              <w:rPr>
                <w:rFonts w:cstheme="minorHAnsi"/>
                <w:color w:val="000000" w:themeColor="text1" w:themeShade="BF"/>
                <w:sz w:val="20"/>
                <w:szCs w:val="20"/>
              </w:rPr>
              <w:t>±</w:t>
            </w:r>
            <w:r>
              <w:rPr>
                <w:rFonts w:hint="eastAsia" w:cstheme="minorHAnsi"/>
                <w:color w:val="000000" w:themeColor="text1" w:themeShade="BF"/>
                <w:sz w:val="20"/>
                <w:szCs w:val="20"/>
              </w:rPr>
              <w:t>15.2</w:t>
            </w:r>
          </w:p>
        </w:tc>
        <w:tc>
          <w:tcPr>
            <w:tcW w:w="184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132.00</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132.75±1.50</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135.33±5.13</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153.67±7.10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DBP(mmHg)</w:t>
            </w:r>
          </w:p>
        </w:tc>
        <w:tc>
          <w:tcPr>
            <w:tcW w:w="1809" w:type="dxa"/>
            <w:shd w:val="clear" w:color="auto" w:fill="auto"/>
          </w:tcPr>
          <w:p>
            <w:pPr>
              <w:rPr>
                <w:color w:val="000000" w:themeColor="text1" w:themeShade="BF"/>
                <w:sz w:val="20"/>
                <w:szCs w:val="20"/>
              </w:rPr>
            </w:pPr>
            <w:r>
              <w:rPr>
                <w:rFonts w:hint="eastAsia" w:cstheme="minorHAnsi"/>
                <w:color w:val="000000" w:themeColor="text1" w:themeShade="BF"/>
                <w:sz w:val="20"/>
                <w:szCs w:val="20"/>
              </w:rPr>
              <w:t>80.1</w:t>
            </w:r>
            <w:r>
              <w:rPr>
                <w:rFonts w:cstheme="minorHAnsi"/>
                <w:color w:val="000000" w:themeColor="text1" w:themeShade="BF"/>
                <w:sz w:val="20"/>
                <w:szCs w:val="20"/>
              </w:rPr>
              <w:t>±</w:t>
            </w:r>
            <w:r>
              <w:rPr>
                <w:rFonts w:hint="eastAsia" w:cstheme="minorHAnsi"/>
                <w:color w:val="000000" w:themeColor="text1" w:themeShade="BF"/>
                <w:sz w:val="20"/>
                <w:szCs w:val="20"/>
              </w:rPr>
              <w:t>8.0</w:t>
            </w:r>
          </w:p>
        </w:tc>
        <w:tc>
          <w:tcPr>
            <w:tcW w:w="1701" w:type="dxa"/>
            <w:shd w:val="clear" w:color="auto" w:fill="auto"/>
          </w:tcPr>
          <w:p>
            <w:pPr>
              <w:rPr>
                <w:color w:val="000000" w:themeColor="text1" w:themeShade="BF"/>
                <w:sz w:val="20"/>
                <w:szCs w:val="20"/>
              </w:rPr>
            </w:pPr>
            <w:r>
              <w:rPr>
                <w:rFonts w:hint="eastAsia" w:cstheme="minorHAnsi"/>
                <w:color w:val="000000" w:themeColor="text1" w:themeShade="BF"/>
                <w:sz w:val="20"/>
                <w:szCs w:val="20"/>
              </w:rPr>
              <w:t>80.7</w:t>
            </w:r>
            <w:r>
              <w:rPr>
                <w:rFonts w:cstheme="minorHAnsi"/>
                <w:color w:val="000000" w:themeColor="text1" w:themeShade="BF"/>
                <w:sz w:val="20"/>
                <w:szCs w:val="20"/>
              </w:rPr>
              <w:t>±</w:t>
            </w:r>
            <w:r>
              <w:rPr>
                <w:rFonts w:hint="eastAsia" w:cstheme="minorHAnsi"/>
                <w:color w:val="000000" w:themeColor="text1" w:themeShade="BF"/>
                <w:sz w:val="20"/>
                <w:szCs w:val="20"/>
              </w:rPr>
              <w:t>8.2</w:t>
            </w:r>
          </w:p>
        </w:tc>
        <w:tc>
          <w:tcPr>
            <w:tcW w:w="184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79.00</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81.25±3.50</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78.67±1.53</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84.67±1.16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TCHO(mmol/l)</w:t>
            </w:r>
          </w:p>
        </w:tc>
        <w:tc>
          <w:tcPr>
            <w:tcW w:w="1809" w:type="dxa"/>
            <w:tcBorders>
              <w:right w:val="nil"/>
              <w:insideV w:val="nil"/>
            </w:tcBorders>
            <w:shd w:val="clear" w:color="auto" w:fill="auto"/>
          </w:tcPr>
          <w:p>
            <w:pPr>
              <w:rPr>
                <w:color w:val="000000" w:themeColor="text1" w:themeShade="BF"/>
                <w:sz w:val="20"/>
                <w:szCs w:val="20"/>
              </w:rPr>
            </w:pPr>
            <w:r>
              <w:rPr>
                <w:rFonts w:cstheme="minorHAnsi"/>
                <w:color w:val="000000" w:themeColor="text1" w:themeShade="BF"/>
                <w:sz w:val="20"/>
                <w:szCs w:val="20"/>
              </w:rPr>
              <w:t>/</w:t>
            </w:r>
          </w:p>
        </w:tc>
        <w:tc>
          <w:tcPr>
            <w:tcW w:w="1701" w:type="dxa"/>
            <w:tcBorders>
              <w:right w:val="nil"/>
              <w:insideV w:val="nil"/>
            </w:tcBorders>
            <w:shd w:val="clear" w:color="auto" w:fill="auto"/>
          </w:tcPr>
          <w:p>
            <w:pPr>
              <w:rPr>
                <w:color w:val="000000" w:themeColor="text1" w:themeShade="BF"/>
                <w:sz w:val="20"/>
                <w:szCs w:val="20"/>
              </w:rPr>
            </w:pPr>
            <w:r>
              <w:rPr>
                <w:rFonts w:cstheme="minorHAnsi"/>
                <w:color w:val="000000" w:themeColor="text1" w:themeShade="BF"/>
                <w:sz w:val="20"/>
                <w:szCs w:val="20"/>
              </w:rPr>
              <w:t>/</w:t>
            </w:r>
          </w:p>
        </w:tc>
        <w:tc>
          <w:tcPr>
            <w:tcW w:w="184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5.00</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5.05±0.21</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4.00</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5.65±0.47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TG(mmol/l)</w:t>
            </w:r>
          </w:p>
        </w:tc>
        <w:tc>
          <w:tcPr>
            <w:tcW w:w="1809" w:type="dxa"/>
            <w:shd w:val="clear" w:color="auto" w:fill="auto"/>
          </w:tcPr>
          <w:p>
            <w:pPr>
              <w:rPr>
                <w:color w:val="000000" w:themeColor="text1" w:themeShade="BF"/>
                <w:sz w:val="20"/>
                <w:szCs w:val="20"/>
              </w:rPr>
            </w:pPr>
            <w:r>
              <w:rPr>
                <w:rFonts w:cstheme="minorHAnsi"/>
                <w:color w:val="000000" w:themeColor="text1" w:themeShade="BF"/>
                <w:sz w:val="20"/>
                <w:szCs w:val="20"/>
              </w:rPr>
              <w:t>/</w:t>
            </w:r>
          </w:p>
        </w:tc>
        <w:tc>
          <w:tcPr>
            <w:tcW w:w="1701" w:type="dxa"/>
            <w:shd w:val="clear" w:color="auto" w:fill="auto"/>
          </w:tcPr>
          <w:p>
            <w:pPr>
              <w:rPr>
                <w:color w:val="000000" w:themeColor="text1" w:themeShade="BF"/>
                <w:sz w:val="20"/>
                <w:szCs w:val="20"/>
              </w:rPr>
            </w:pPr>
            <w:r>
              <w:rPr>
                <w:rFonts w:cstheme="minorHAnsi"/>
                <w:color w:val="000000" w:themeColor="text1" w:themeShade="BF"/>
                <w:sz w:val="20"/>
                <w:szCs w:val="20"/>
              </w:rPr>
              <w:t>/</w:t>
            </w:r>
          </w:p>
        </w:tc>
        <w:tc>
          <w:tcPr>
            <w:tcW w:w="184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2.00</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2.30±0.84</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2.00</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2.42±0.68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LDLC(mmol/l)</w:t>
            </w:r>
          </w:p>
        </w:tc>
        <w:tc>
          <w:tcPr>
            <w:tcW w:w="1809" w:type="dxa"/>
            <w:tcBorders>
              <w:right w:val="nil"/>
              <w:insideV w:val="nil"/>
            </w:tcBorders>
            <w:shd w:val="clear" w:color="auto" w:fill="auto"/>
          </w:tcPr>
          <w:p>
            <w:pPr>
              <w:rPr>
                <w:color w:val="000000" w:themeColor="text1" w:themeShade="BF"/>
                <w:sz w:val="20"/>
                <w:szCs w:val="20"/>
              </w:rPr>
            </w:pPr>
            <w:r>
              <w:rPr>
                <w:rFonts w:cstheme="minorHAnsi"/>
                <w:color w:val="000000" w:themeColor="text1" w:themeShade="BF"/>
                <w:sz w:val="20"/>
                <w:szCs w:val="20"/>
              </w:rPr>
              <w:t>/</w:t>
            </w:r>
          </w:p>
        </w:tc>
        <w:tc>
          <w:tcPr>
            <w:tcW w:w="1701" w:type="dxa"/>
            <w:tcBorders>
              <w:right w:val="nil"/>
              <w:insideV w:val="nil"/>
            </w:tcBorders>
            <w:shd w:val="clear" w:color="auto" w:fill="auto"/>
          </w:tcPr>
          <w:p>
            <w:pPr>
              <w:rPr>
                <w:color w:val="000000" w:themeColor="text1" w:themeShade="BF"/>
                <w:sz w:val="20"/>
                <w:szCs w:val="20"/>
              </w:rPr>
            </w:pPr>
            <w:r>
              <w:rPr>
                <w:rFonts w:cstheme="minorHAnsi"/>
                <w:color w:val="000000" w:themeColor="text1" w:themeShade="BF"/>
                <w:sz w:val="20"/>
                <w:szCs w:val="20"/>
              </w:rPr>
              <w:t>/</w:t>
            </w:r>
          </w:p>
        </w:tc>
        <w:tc>
          <w:tcPr>
            <w:tcW w:w="184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3.00</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2.89±0.29</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2.00</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3.53±0.50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HDLC(mmol/l)</w:t>
            </w:r>
          </w:p>
        </w:tc>
        <w:tc>
          <w:tcPr>
            <w:tcW w:w="1809" w:type="dxa"/>
            <w:shd w:val="clear" w:color="auto" w:fill="auto"/>
          </w:tcPr>
          <w:p>
            <w:pPr>
              <w:rPr>
                <w:color w:val="000000" w:themeColor="text1" w:themeShade="BF"/>
                <w:sz w:val="20"/>
                <w:szCs w:val="20"/>
              </w:rPr>
            </w:pPr>
            <w:r>
              <w:rPr>
                <w:rFonts w:cstheme="minorHAnsi"/>
                <w:color w:val="000000" w:themeColor="text1" w:themeShade="BF"/>
                <w:sz w:val="20"/>
                <w:szCs w:val="20"/>
              </w:rPr>
              <w:t>/</w:t>
            </w:r>
          </w:p>
        </w:tc>
        <w:tc>
          <w:tcPr>
            <w:tcW w:w="1701" w:type="dxa"/>
            <w:shd w:val="clear" w:color="auto" w:fill="auto"/>
          </w:tcPr>
          <w:p>
            <w:pPr>
              <w:rPr>
                <w:color w:val="000000" w:themeColor="text1" w:themeShade="BF"/>
                <w:sz w:val="20"/>
                <w:szCs w:val="20"/>
              </w:rPr>
            </w:pPr>
            <w:r>
              <w:rPr>
                <w:rFonts w:cstheme="minorHAnsi"/>
                <w:color w:val="000000" w:themeColor="text1" w:themeShade="BF"/>
                <w:sz w:val="20"/>
                <w:szCs w:val="20"/>
              </w:rPr>
              <w:t>/</w:t>
            </w:r>
          </w:p>
        </w:tc>
        <w:tc>
          <w:tcPr>
            <w:tcW w:w="184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1.00</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1.12±0.13</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1.00</w:t>
            </w:r>
          </w:p>
        </w:tc>
        <w:tc>
          <w:tcPr>
            <w:tcW w:w="198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1.07±0.15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SUA(</w:t>
            </w:r>
            <w:r>
              <w:rPr>
                <w:rFonts w:hint="eastAsia" w:cstheme="minorHAnsi"/>
                <w:b w:val="0"/>
                <w:bCs/>
                <w:color w:val="000000" w:themeColor="text1" w:themeShade="BF"/>
                <w:sz w:val="20"/>
                <w:szCs w:val="20"/>
              </w:rPr>
              <w:t>u</w:t>
            </w:r>
            <w:r>
              <w:rPr>
                <w:rFonts w:cstheme="minorHAnsi"/>
                <w:b w:val="0"/>
                <w:bCs/>
                <w:color w:val="000000" w:themeColor="text1" w:themeShade="BF"/>
                <w:sz w:val="20"/>
                <w:szCs w:val="20"/>
              </w:rPr>
              <w:t>mol/l)</w:t>
            </w:r>
          </w:p>
        </w:tc>
        <w:tc>
          <w:tcPr>
            <w:tcW w:w="1809" w:type="dxa"/>
            <w:tcBorders>
              <w:right w:val="nil"/>
              <w:insideV w:val="nil"/>
            </w:tcBorders>
            <w:shd w:val="clear" w:color="auto" w:fill="auto"/>
          </w:tcPr>
          <w:p>
            <w:pPr>
              <w:rPr>
                <w:color w:val="000000" w:themeColor="text1" w:themeShade="BF"/>
                <w:sz w:val="20"/>
                <w:szCs w:val="20"/>
              </w:rPr>
            </w:pPr>
            <w:r>
              <w:rPr>
                <w:rFonts w:hint="eastAsia" w:cstheme="minorHAnsi"/>
                <w:color w:val="000000" w:themeColor="text1" w:themeShade="BF"/>
                <w:sz w:val="20"/>
                <w:szCs w:val="20"/>
              </w:rPr>
              <w:t>302.2</w:t>
            </w:r>
            <w:r>
              <w:rPr>
                <w:rFonts w:cstheme="minorHAnsi"/>
                <w:color w:val="000000" w:themeColor="text1" w:themeShade="BF"/>
                <w:sz w:val="20"/>
                <w:szCs w:val="20"/>
              </w:rPr>
              <w:t>±</w:t>
            </w:r>
            <w:r>
              <w:rPr>
                <w:rFonts w:hint="eastAsia" w:cstheme="minorHAnsi"/>
                <w:color w:val="000000" w:themeColor="text1" w:themeShade="BF"/>
                <w:sz w:val="20"/>
                <w:szCs w:val="20"/>
              </w:rPr>
              <w:t>85.7</w:t>
            </w:r>
          </w:p>
        </w:tc>
        <w:tc>
          <w:tcPr>
            <w:tcW w:w="1701" w:type="dxa"/>
            <w:tcBorders>
              <w:right w:val="nil"/>
              <w:insideV w:val="nil"/>
            </w:tcBorders>
            <w:shd w:val="clear" w:color="auto" w:fill="auto"/>
          </w:tcPr>
          <w:p>
            <w:pPr>
              <w:rPr>
                <w:color w:val="000000" w:themeColor="text1" w:themeShade="BF"/>
                <w:sz w:val="20"/>
                <w:szCs w:val="20"/>
              </w:rPr>
            </w:pPr>
            <w:r>
              <w:rPr>
                <w:rFonts w:hint="eastAsia" w:cstheme="minorHAnsi"/>
                <w:color w:val="000000" w:themeColor="text1" w:themeShade="BF"/>
                <w:sz w:val="20"/>
                <w:szCs w:val="20"/>
              </w:rPr>
              <w:t>302.8</w:t>
            </w:r>
            <w:r>
              <w:rPr>
                <w:rFonts w:cstheme="minorHAnsi"/>
                <w:color w:val="000000" w:themeColor="text1" w:themeShade="BF"/>
                <w:sz w:val="20"/>
                <w:szCs w:val="20"/>
              </w:rPr>
              <w:t>±</w:t>
            </w:r>
            <w:r>
              <w:rPr>
                <w:rFonts w:hint="eastAsia" w:cstheme="minorHAnsi"/>
                <w:color w:val="000000" w:themeColor="text1" w:themeShade="BF"/>
                <w:sz w:val="20"/>
                <w:szCs w:val="20"/>
              </w:rPr>
              <w:t>77.3</w:t>
            </w:r>
          </w:p>
        </w:tc>
        <w:tc>
          <w:tcPr>
            <w:tcW w:w="184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301.00±82.4</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325.00</w:t>
            </w:r>
          </w:p>
        </w:tc>
        <w:tc>
          <w:tcPr>
            <w:tcW w:w="198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bl>
    <w:p>
      <w:pPr>
        <w:rPr>
          <w:rFonts w:cstheme="minorHAnsi"/>
          <w:sz w:val="24"/>
          <w:szCs w:val="24"/>
        </w:rPr>
      </w:pPr>
    </w:p>
    <w:p/>
    <w:p>
      <w:pPr>
        <w:adjustRightInd w:val="0"/>
        <w:snapToGrid w:val="0"/>
        <w:spacing w:afterLines="50"/>
        <w:jc w:val="left"/>
        <w:rPr>
          <w:b/>
        </w:rPr>
        <w:sectPr>
          <w:pgSz w:w="16838" w:h="11906" w:orient="landscape"/>
          <w:pgMar w:top="1797" w:right="1440" w:bottom="1797" w:left="1440" w:header="851" w:footer="992" w:gutter="0"/>
          <w:cols w:space="425" w:num="1"/>
          <w:docGrid w:type="lines" w:linePitch="312" w:charSpace="0"/>
        </w:sectPr>
      </w:pPr>
    </w:p>
    <w:p>
      <w:pPr>
        <w:adjustRightInd w:val="0"/>
        <w:snapToGrid w:val="0"/>
        <w:spacing w:afterLines="50"/>
        <w:jc w:val="left"/>
        <w:rPr>
          <w:b/>
        </w:rPr>
      </w:pPr>
      <w:r>
        <w:rPr>
          <w:b/>
        </w:rPr>
        <w:t xml:space="preserve">Table </w:t>
      </w:r>
      <w:r>
        <w:rPr>
          <w:rFonts w:hint="eastAsia"/>
          <w:b/>
        </w:rPr>
        <w:t>S3</w:t>
      </w:r>
      <w:r>
        <w:rPr>
          <w:b/>
        </w:rPr>
        <w:t>: Annual treatment costs for different drugs.</w:t>
      </w:r>
    </w:p>
    <w:tbl>
      <w:tblPr>
        <w:tblStyle w:val="11"/>
        <w:tblW w:w="9028" w:type="dxa"/>
        <w:tblInd w:w="0" w:type="dxa"/>
        <w:tblLayout w:type="fixed"/>
        <w:tblCellMar>
          <w:top w:w="0" w:type="dxa"/>
          <w:left w:w="108" w:type="dxa"/>
          <w:bottom w:w="0" w:type="dxa"/>
          <w:right w:w="108" w:type="dxa"/>
        </w:tblCellMar>
      </w:tblPr>
      <w:tblGrid>
        <w:gridCol w:w="1828"/>
        <w:gridCol w:w="1782"/>
        <w:gridCol w:w="1755"/>
        <w:gridCol w:w="2132"/>
        <w:gridCol w:w="1531"/>
      </w:tblGrid>
      <w:tr>
        <w:tblPrEx>
          <w:tblLayout w:type="fixed"/>
          <w:tblCellMar>
            <w:top w:w="0" w:type="dxa"/>
            <w:left w:w="108" w:type="dxa"/>
            <w:bottom w:w="0" w:type="dxa"/>
            <w:right w:w="108" w:type="dxa"/>
          </w:tblCellMar>
        </w:tblPrEx>
        <w:trPr>
          <w:trHeight w:val="657" w:hRule="atLeast"/>
        </w:trPr>
        <w:tc>
          <w:tcPr>
            <w:tcW w:w="1828" w:type="dxa"/>
            <w:tcBorders>
              <w:top w:val="single" w:color="auto" w:sz="4" w:space="0"/>
              <w:left w:val="nil"/>
              <w:bottom w:val="single" w:color="auto" w:sz="4" w:space="0"/>
              <w:right w:val="nil"/>
            </w:tcBorders>
            <w:shd w:val="clear" w:color="000000" w:fill="FFFFFF"/>
            <w:vAlign w:val="center"/>
          </w:tcPr>
          <w:p>
            <w:pPr>
              <w:widowControl/>
              <w:adjustRightInd w:val="0"/>
              <w:snapToGrid w:val="0"/>
              <w:rPr>
                <w:b/>
                <w:bCs/>
                <w:kern w:val="0"/>
              </w:rPr>
            </w:pPr>
            <w:r>
              <w:rPr>
                <w:b/>
                <w:bCs/>
                <w:kern w:val="0"/>
              </w:rPr>
              <w:t>Drug Type</w:t>
            </w:r>
          </w:p>
        </w:tc>
        <w:tc>
          <w:tcPr>
            <w:tcW w:w="1782" w:type="dxa"/>
            <w:tcBorders>
              <w:top w:val="single" w:color="auto" w:sz="4" w:space="0"/>
              <w:left w:val="nil"/>
              <w:bottom w:val="single" w:color="auto" w:sz="4" w:space="0"/>
              <w:right w:val="nil"/>
            </w:tcBorders>
            <w:shd w:val="clear" w:color="000000" w:fill="FFFFFF"/>
            <w:vAlign w:val="center"/>
          </w:tcPr>
          <w:p>
            <w:pPr>
              <w:widowControl/>
              <w:adjustRightInd w:val="0"/>
              <w:snapToGrid w:val="0"/>
              <w:jc w:val="center"/>
              <w:rPr>
                <w:b/>
                <w:bCs/>
                <w:kern w:val="0"/>
              </w:rPr>
            </w:pPr>
            <w:r>
              <w:rPr>
                <w:b/>
                <w:bCs/>
                <w:kern w:val="0"/>
              </w:rPr>
              <w:t>Size (tablets/capsules)</w:t>
            </w:r>
          </w:p>
        </w:tc>
        <w:tc>
          <w:tcPr>
            <w:tcW w:w="1755" w:type="dxa"/>
            <w:tcBorders>
              <w:top w:val="single" w:color="auto" w:sz="4" w:space="0"/>
              <w:left w:val="nil"/>
              <w:bottom w:val="single" w:color="auto" w:sz="4" w:space="0"/>
              <w:right w:val="nil"/>
            </w:tcBorders>
            <w:shd w:val="clear" w:color="000000" w:fill="FFFFFF"/>
            <w:vAlign w:val="center"/>
          </w:tcPr>
          <w:p>
            <w:pPr>
              <w:widowControl/>
              <w:adjustRightInd w:val="0"/>
              <w:snapToGrid w:val="0"/>
              <w:jc w:val="center"/>
              <w:rPr>
                <w:b/>
                <w:bCs/>
                <w:kern w:val="0"/>
              </w:rPr>
            </w:pPr>
            <w:r>
              <w:rPr>
                <w:b/>
                <w:bCs/>
                <w:kern w:val="0"/>
              </w:rPr>
              <w:t>Price per package</w:t>
            </w:r>
          </w:p>
        </w:tc>
        <w:tc>
          <w:tcPr>
            <w:tcW w:w="2132" w:type="dxa"/>
            <w:tcBorders>
              <w:top w:val="single" w:color="auto" w:sz="4" w:space="0"/>
              <w:left w:val="nil"/>
              <w:bottom w:val="single" w:color="auto" w:sz="4" w:space="0"/>
              <w:right w:val="nil"/>
            </w:tcBorders>
            <w:shd w:val="clear" w:color="000000" w:fill="FFFFFF"/>
            <w:vAlign w:val="center"/>
          </w:tcPr>
          <w:p>
            <w:pPr>
              <w:widowControl/>
              <w:adjustRightInd w:val="0"/>
              <w:snapToGrid w:val="0"/>
              <w:jc w:val="center"/>
              <w:rPr>
                <w:b/>
                <w:bCs/>
                <w:kern w:val="0"/>
              </w:rPr>
            </w:pPr>
            <w:r>
              <w:rPr>
                <w:b/>
                <w:bCs/>
                <w:kern w:val="0"/>
              </w:rPr>
              <w:t>Annual Utilization (tablets per patient)</w:t>
            </w:r>
          </w:p>
        </w:tc>
        <w:tc>
          <w:tcPr>
            <w:tcW w:w="1531" w:type="dxa"/>
            <w:tcBorders>
              <w:top w:val="single" w:color="auto" w:sz="4" w:space="0"/>
              <w:left w:val="nil"/>
              <w:bottom w:val="single" w:color="auto" w:sz="4" w:space="0"/>
              <w:right w:val="nil"/>
            </w:tcBorders>
            <w:shd w:val="clear" w:color="000000" w:fill="FFFFFF"/>
            <w:vAlign w:val="center"/>
          </w:tcPr>
          <w:p>
            <w:pPr>
              <w:widowControl/>
              <w:adjustRightInd w:val="0"/>
              <w:snapToGrid w:val="0"/>
              <w:jc w:val="center"/>
              <w:rPr>
                <w:b/>
                <w:bCs/>
                <w:kern w:val="0"/>
              </w:rPr>
            </w:pPr>
            <w:r>
              <w:rPr>
                <w:b/>
                <w:bCs/>
                <w:kern w:val="0"/>
              </w:rPr>
              <w:t>Annual Cost</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center"/>
          </w:tcPr>
          <w:p>
            <w:pPr>
              <w:widowControl/>
              <w:adjustRightInd w:val="0"/>
              <w:snapToGrid w:val="0"/>
              <w:spacing w:line="360" w:lineRule="auto"/>
              <w:rPr>
                <w:bCs/>
                <w:kern w:val="0"/>
                <w:sz w:val="20"/>
                <w:szCs w:val="20"/>
              </w:rPr>
            </w:pPr>
            <w:r>
              <w:rPr>
                <w:bCs/>
                <w:kern w:val="0"/>
                <w:sz w:val="20"/>
                <w:szCs w:val="20"/>
              </w:rPr>
              <w:t>Metformin</w:t>
            </w:r>
          </w:p>
        </w:tc>
        <w:tc>
          <w:tcPr>
            <w:tcW w:w="178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20</w:t>
            </w:r>
          </w:p>
        </w:tc>
        <w:tc>
          <w:tcPr>
            <w:tcW w:w="1755"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25.0</w:t>
            </w:r>
          </w:p>
        </w:tc>
        <w:tc>
          <w:tcPr>
            <w:tcW w:w="213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1277.5</w:t>
            </w:r>
          </w:p>
        </w:tc>
        <w:tc>
          <w:tcPr>
            <w:tcW w:w="1531" w:type="dxa"/>
            <w:tcBorders>
              <w:top w:val="nil"/>
              <w:left w:val="nil"/>
              <w:bottom w:val="nil"/>
              <w:right w:val="nil"/>
            </w:tcBorders>
            <w:shd w:val="clear" w:color="000000" w:fill="FFFFFF"/>
            <w:noWrap/>
            <w:vAlign w:val="center"/>
          </w:tcPr>
          <w:p>
            <w:pPr>
              <w:widowControl/>
              <w:adjustRightInd w:val="0"/>
              <w:snapToGrid w:val="0"/>
              <w:spacing w:line="360" w:lineRule="auto"/>
              <w:jc w:val="center"/>
              <w:rPr>
                <w:bCs/>
                <w:kern w:val="0"/>
                <w:sz w:val="20"/>
                <w:szCs w:val="20"/>
              </w:rPr>
            </w:pPr>
            <w:r>
              <w:rPr>
                <w:bCs/>
                <w:kern w:val="0"/>
                <w:sz w:val="20"/>
                <w:szCs w:val="20"/>
              </w:rPr>
              <w:t>1596.0</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center"/>
          </w:tcPr>
          <w:p>
            <w:pPr>
              <w:widowControl/>
              <w:adjustRightInd w:val="0"/>
              <w:snapToGrid w:val="0"/>
              <w:spacing w:line="360" w:lineRule="auto"/>
              <w:rPr>
                <w:bCs/>
                <w:kern w:val="0"/>
                <w:sz w:val="20"/>
                <w:szCs w:val="20"/>
              </w:rPr>
            </w:pPr>
            <w:r>
              <w:rPr>
                <w:bCs/>
                <w:kern w:val="0"/>
                <w:sz w:val="20"/>
                <w:szCs w:val="20"/>
              </w:rPr>
              <w:t>Dapagliflozin</w:t>
            </w:r>
          </w:p>
        </w:tc>
        <w:tc>
          <w:tcPr>
            <w:tcW w:w="178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14</w:t>
            </w:r>
          </w:p>
        </w:tc>
        <w:tc>
          <w:tcPr>
            <w:tcW w:w="1755"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229.6</w:t>
            </w:r>
          </w:p>
        </w:tc>
        <w:tc>
          <w:tcPr>
            <w:tcW w:w="213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365</w:t>
            </w:r>
          </w:p>
        </w:tc>
        <w:tc>
          <w:tcPr>
            <w:tcW w:w="1531" w:type="dxa"/>
            <w:tcBorders>
              <w:top w:val="nil"/>
              <w:left w:val="nil"/>
              <w:bottom w:val="nil"/>
              <w:right w:val="nil"/>
            </w:tcBorders>
            <w:shd w:val="clear" w:color="000000" w:fill="FFFFFF"/>
            <w:noWrap/>
            <w:vAlign w:val="center"/>
          </w:tcPr>
          <w:p>
            <w:pPr>
              <w:widowControl/>
              <w:adjustRightInd w:val="0"/>
              <w:snapToGrid w:val="0"/>
              <w:spacing w:line="360" w:lineRule="auto"/>
              <w:jc w:val="center"/>
              <w:rPr>
                <w:bCs/>
                <w:kern w:val="0"/>
                <w:sz w:val="20"/>
                <w:szCs w:val="20"/>
              </w:rPr>
            </w:pPr>
            <w:r>
              <w:rPr>
                <w:bCs/>
                <w:kern w:val="0"/>
                <w:sz w:val="20"/>
                <w:szCs w:val="20"/>
              </w:rPr>
              <w:t>5985.8</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center"/>
          </w:tcPr>
          <w:p>
            <w:pPr>
              <w:widowControl/>
              <w:adjustRightInd w:val="0"/>
              <w:snapToGrid w:val="0"/>
              <w:spacing w:line="360" w:lineRule="auto"/>
              <w:rPr>
                <w:bCs/>
                <w:kern w:val="0"/>
                <w:sz w:val="20"/>
                <w:szCs w:val="20"/>
              </w:rPr>
            </w:pPr>
            <w:r>
              <w:rPr>
                <w:bCs/>
                <w:kern w:val="0"/>
                <w:sz w:val="20"/>
                <w:szCs w:val="20"/>
              </w:rPr>
              <w:t>SU/TZD/DPP4 inhibitors</w:t>
            </w:r>
          </w:p>
        </w:tc>
        <w:tc>
          <w:tcPr>
            <w:tcW w:w="178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p>
        </w:tc>
        <w:tc>
          <w:tcPr>
            <w:tcW w:w="1755"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p>
        </w:tc>
        <w:tc>
          <w:tcPr>
            <w:tcW w:w="213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p>
        </w:tc>
        <w:tc>
          <w:tcPr>
            <w:tcW w:w="1531" w:type="dxa"/>
            <w:tcBorders>
              <w:top w:val="nil"/>
              <w:left w:val="nil"/>
              <w:bottom w:val="nil"/>
              <w:right w:val="nil"/>
            </w:tcBorders>
            <w:shd w:val="clear" w:color="000000" w:fill="FFFFFF"/>
            <w:noWrap/>
            <w:vAlign w:val="center"/>
          </w:tcPr>
          <w:p>
            <w:pPr>
              <w:widowControl/>
              <w:adjustRightInd w:val="0"/>
              <w:snapToGrid w:val="0"/>
              <w:spacing w:line="360" w:lineRule="auto"/>
              <w:jc w:val="center"/>
              <w:rPr>
                <w:bCs/>
                <w:kern w:val="0"/>
                <w:sz w:val="20"/>
                <w:szCs w:val="20"/>
              </w:rPr>
            </w:pPr>
            <w:r>
              <w:rPr>
                <w:bCs/>
                <w:kern w:val="0"/>
                <w:sz w:val="20"/>
                <w:szCs w:val="20"/>
              </w:rPr>
              <w:t>2818.4</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center"/>
          </w:tcPr>
          <w:p>
            <w:pPr>
              <w:widowControl/>
              <w:adjustRightInd w:val="0"/>
              <w:snapToGrid w:val="0"/>
              <w:spacing w:line="360" w:lineRule="auto"/>
              <w:ind w:firstLine="100" w:firstLineChars="50"/>
              <w:rPr>
                <w:kern w:val="0"/>
                <w:sz w:val="20"/>
                <w:szCs w:val="20"/>
              </w:rPr>
            </w:pPr>
            <w:r>
              <w:rPr>
                <w:kern w:val="0"/>
                <w:sz w:val="20"/>
                <w:szCs w:val="20"/>
              </w:rPr>
              <w:t>Gliclazide</w:t>
            </w:r>
          </w:p>
        </w:tc>
        <w:tc>
          <w:tcPr>
            <w:tcW w:w="178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30</w:t>
            </w:r>
          </w:p>
        </w:tc>
        <w:tc>
          <w:tcPr>
            <w:tcW w:w="1755"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57.7</w:t>
            </w:r>
          </w:p>
        </w:tc>
        <w:tc>
          <w:tcPr>
            <w:tcW w:w="213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1095</w:t>
            </w:r>
          </w:p>
        </w:tc>
        <w:tc>
          <w:tcPr>
            <w:tcW w:w="1531"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2106.4</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center"/>
          </w:tcPr>
          <w:p>
            <w:pPr>
              <w:widowControl/>
              <w:adjustRightInd w:val="0"/>
              <w:snapToGrid w:val="0"/>
              <w:spacing w:line="360" w:lineRule="auto"/>
              <w:ind w:firstLine="100" w:firstLineChars="50"/>
              <w:rPr>
                <w:kern w:val="0"/>
                <w:sz w:val="20"/>
                <w:szCs w:val="20"/>
              </w:rPr>
            </w:pPr>
            <w:r>
              <w:rPr>
                <w:kern w:val="0"/>
                <w:sz w:val="20"/>
                <w:szCs w:val="20"/>
              </w:rPr>
              <w:t>Glimepiride</w:t>
            </w:r>
          </w:p>
        </w:tc>
        <w:tc>
          <w:tcPr>
            <w:tcW w:w="178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15</w:t>
            </w:r>
          </w:p>
        </w:tc>
        <w:tc>
          <w:tcPr>
            <w:tcW w:w="1755"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66.8</w:t>
            </w:r>
          </w:p>
        </w:tc>
        <w:tc>
          <w:tcPr>
            <w:tcW w:w="213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730</w:t>
            </w:r>
          </w:p>
        </w:tc>
        <w:tc>
          <w:tcPr>
            <w:tcW w:w="1531"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3251.4</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center"/>
          </w:tcPr>
          <w:p>
            <w:pPr>
              <w:widowControl/>
              <w:adjustRightInd w:val="0"/>
              <w:snapToGrid w:val="0"/>
              <w:spacing w:line="360" w:lineRule="auto"/>
              <w:ind w:firstLine="100" w:firstLineChars="50"/>
              <w:rPr>
                <w:kern w:val="0"/>
                <w:sz w:val="20"/>
                <w:szCs w:val="20"/>
              </w:rPr>
            </w:pPr>
            <w:r>
              <w:rPr>
                <w:kern w:val="0"/>
                <w:sz w:val="20"/>
                <w:szCs w:val="20"/>
              </w:rPr>
              <w:t>Glipizide</w:t>
            </w:r>
          </w:p>
        </w:tc>
        <w:tc>
          <w:tcPr>
            <w:tcW w:w="178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30</w:t>
            </w:r>
          </w:p>
        </w:tc>
        <w:tc>
          <w:tcPr>
            <w:tcW w:w="1755"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32.3</w:t>
            </w:r>
          </w:p>
        </w:tc>
        <w:tc>
          <w:tcPr>
            <w:tcW w:w="213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912.5</w:t>
            </w:r>
          </w:p>
        </w:tc>
        <w:tc>
          <w:tcPr>
            <w:tcW w:w="1531"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982.7</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center"/>
          </w:tcPr>
          <w:p>
            <w:pPr>
              <w:widowControl/>
              <w:adjustRightInd w:val="0"/>
              <w:snapToGrid w:val="0"/>
              <w:spacing w:line="360" w:lineRule="auto"/>
              <w:ind w:firstLine="100" w:firstLineChars="50"/>
              <w:rPr>
                <w:kern w:val="0"/>
                <w:sz w:val="20"/>
                <w:szCs w:val="20"/>
              </w:rPr>
            </w:pPr>
            <w:r>
              <w:rPr>
                <w:kern w:val="0"/>
                <w:sz w:val="20"/>
                <w:szCs w:val="20"/>
              </w:rPr>
              <w:t>Pioglitazone</w:t>
            </w:r>
          </w:p>
        </w:tc>
        <w:tc>
          <w:tcPr>
            <w:tcW w:w="178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7</w:t>
            </w:r>
          </w:p>
        </w:tc>
        <w:tc>
          <w:tcPr>
            <w:tcW w:w="1755"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43.9</w:t>
            </w:r>
          </w:p>
        </w:tc>
        <w:tc>
          <w:tcPr>
            <w:tcW w:w="213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365</w:t>
            </w:r>
          </w:p>
        </w:tc>
        <w:tc>
          <w:tcPr>
            <w:tcW w:w="1531"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2287.2</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center"/>
          </w:tcPr>
          <w:p>
            <w:pPr>
              <w:widowControl/>
              <w:adjustRightInd w:val="0"/>
              <w:snapToGrid w:val="0"/>
              <w:spacing w:line="360" w:lineRule="auto"/>
              <w:ind w:firstLine="100" w:firstLineChars="50"/>
              <w:rPr>
                <w:kern w:val="0"/>
                <w:sz w:val="20"/>
                <w:szCs w:val="20"/>
              </w:rPr>
            </w:pPr>
            <w:r>
              <w:rPr>
                <w:kern w:val="0"/>
                <w:sz w:val="20"/>
                <w:szCs w:val="20"/>
              </w:rPr>
              <w:t>Rosiglitazone</w:t>
            </w:r>
          </w:p>
        </w:tc>
        <w:tc>
          <w:tcPr>
            <w:tcW w:w="178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7</w:t>
            </w:r>
          </w:p>
        </w:tc>
        <w:tc>
          <w:tcPr>
            <w:tcW w:w="1755"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65.6</w:t>
            </w:r>
          </w:p>
        </w:tc>
        <w:tc>
          <w:tcPr>
            <w:tcW w:w="2132"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365</w:t>
            </w:r>
          </w:p>
        </w:tc>
        <w:tc>
          <w:tcPr>
            <w:tcW w:w="1531" w:type="dxa"/>
            <w:tcBorders>
              <w:top w:val="nil"/>
              <w:left w:val="nil"/>
              <w:bottom w:val="nil"/>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3419.0</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bottom"/>
          </w:tcPr>
          <w:p>
            <w:pPr>
              <w:spacing w:line="360" w:lineRule="auto"/>
              <w:rPr>
                <w:rFonts w:eastAsia="Times New Roman" w:cs="Times New Roman"/>
                <w:sz w:val="20"/>
                <w:szCs w:val="20"/>
                <w:lang w:eastAsia="en-AU"/>
              </w:rPr>
            </w:pPr>
            <w:r>
              <w:rPr>
                <w:rFonts w:eastAsia="Times New Roman" w:cs="Times New Roman"/>
                <w:sz w:val="20"/>
                <w:szCs w:val="20"/>
                <w:lang w:eastAsia="en-AU"/>
              </w:rPr>
              <w:t xml:space="preserve"> Saxagliptin</w:t>
            </w:r>
          </w:p>
        </w:tc>
        <w:tc>
          <w:tcPr>
            <w:tcW w:w="1782" w:type="dxa"/>
            <w:tcBorders>
              <w:top w:val="nil"/>
              <w:left w:val="nil"/>
              <w:bottom w:val="nil"/>
              <w:right w:val="nil"/>
            </w:tcBorders>
            <w:shd w:val="clear" w:color="000000" w:fill="FFFFFF"/>
            <w:noWrap/>
          </w:tcPr>
          <w:p>
            <w:pPr>
              <w:spacing w:line="360" w:lineRule="auto"/>
              <w:jc w:val="center"/>
            </w:pPr>
            <w:r>
              <w:rPr>
                <w:kern w:val="0"/>
                <w:sz w:val="20"/>
                <w:szCs w:val="20"/>
              </w:rPr>
              <w:t>7</w:t>
            </w:r>
          </w:p>
        </w:tc>
        <w:tc>
          <w:tcPr>
            <w:tcW w:w="1755" w:type="dxa"/>
            <w:tcBorders>
              <w:top w:val="nil"/>
              <w:left w:val="nil"/>
              <w:bottom w:val="nil"/>
              <w:right w:val="nil"/>
            </w:tcBorders>
            <w:shd w:val="clear" w:color="000000" w:fill="FFFFFF"/>
            <w:noWrap/>
            <w:vAlign w:val="bottom"/>
          </w:tcPr>
          <w:p>
            <w:pPr>
              <w:spacing w:line="360" w:lineRule="auto"/>
              <w:jc w:val="center"/>
              <w:rPr>
                <w:rFonts w:eastAsia="Times New Roman" w:cs="Times New Roman"/>
                <w:sz w:val="20"/>
                <w:szCs w:val="20"/>
                <w:lang w:eastAsia="en-AU"/>
              </w:rPr>
            </w:pPr>
            <w:r>
              <w:rPr>
                <w:rFonts w:eastAsia="Times New Roman" w:cs="Times New Roman"/>
                <w:sz w:val="20"/>
                <w:szCs w:val="20"/>
                <w:lang w:eastAsia="en-AU"/>
              </w:rPr>
              <w:t>59.2</w:t>
            </w:r>
          </w:p>
        </w:tc>
        <w:tc>
          <w:tcPr>
            <w:tcW w:w="2132" w:type="dxa"/>
            <w:tcBorders>
              <w:top w:val="nil"/>
              <w:left w:val="nil"/>
              <w:bottom w:val="nil"/>
              <w:right w:val="nil"/>
            </w:tcBorders>
            <w:shd w:val="clear" w:color="000000" w:fill="FFFFFF"/>
            <w:noWrap/>
          </w:tcPr>
          <w:p>
            <w:pPr>
              <w:spacing w:line="360" w:lineRule="auto"/>
              <w:jc w:val="center"/>
            </w:pPr>
            <w:r>
              <w:rPr>
                <w:kern w:val="0"/>
                <w:sz w:val="20"/>
                <w:szCs w:val="20"/>
              </w:rPr>
              <w:t>365</w:t>
            </w:r>
          </w:p>
        </w:tc>
        <w:tc>
          <w:tcPr>
            <w:tcW w:w="1531" w:type="dxa"/>
            <w:tcBorders>
              <w:top w:val="nil"/>
              <w:left w:val="nil"/>
              <w:bottom w:val="nil"/>
              <w:right w:val="nil"/>
            </w:tcBorders>
            <w:shd w:val="clear" w:color="000000" w:fill="FFFFFF"/>
            <w:noWrap/>
            <w:vAlign w:val="bottom"/>
          </w:tcPr>
          <w:p>
            <w:pPr>
              <w:spacing w:line="360" w:lineRule="auto"/>
              <w:jc w:val="center"/>
              <w:rPr>
                <w:rFonts w:eastAsia="Times New Roman" w:cs="Times New Roman"/>
                <w:sz w:val="20"/>
                <w:szCs w:val="20"/>
                <w:lang w:eastAsia="en-AU"/>
              </w:rPr>
            </w:pPr>
            <w:r>
              <w:rPr>
                <w:rFonts w:eastAsia="Times New Roman" w:cs="Times New Roman"/>
                <w:sz w:val="20"/>
                <w:szCs w:val="20"/>
                <w:lang w:eastAsia="en-AU"/>
              </w:rPr>
              <w:t xml:space="preserve">3085.6 </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bottom"/>
          </w:tcPr>
          <w:p>
            <w:pPr>
              <w:spacing w:line="360" w:lineRule="auto"/>
              <w:rPr>
                <w:rFonts w:eastAsia="Times New Roman" w:cs="Times New Roman"/>
                <w:sz w:val="20"/>
                <w:szCs w:val="20"/>
                <w:lang w:eastAsia="en-AU"/>
              </w:rPr>
            </w:pPr>
            <w:r>
              <w:rPr>
                <w:rFonts w:eastAsia="Times New Roman" w:cs="Times New Roman"/>
                <w:sz w:val="20"/>
                <w:szCs w:val="20"/>
                <w:lang w:eastAsia="en-AU"/>
              </w:rPr>
              <w:t xml:space="preserve"> Sitagliptin</w:t>
            </w:r>
          </w:p>
        </w:tc>
        <w:tc>
          <w:tcPr>
            <w:tcW w:w="1782" w:type="dxa"/>
            <w:tcBorders>
              <w:top w:val="nil"/>
              <w:left w:val="nil"/>
              <w:bottom w:val="nil"/>
              <w:right w:val="nil"/>
            </w:tcBorders>
            <w:shd w:val="clear" w:color="000000" w:fill="FFFFFF"/>
            <w:noWrap/>
          </w:tcPr>
          <w:p>
            <w:pPr>
              <w:spacing w:line="360" w:lineRule="auto"/>
              <w:jc w:val="center"/>
            </w:pPr>
            <w:r>
              <w:rPr>
                <w:kern w:val="0"/>
                <w:sz w:val="20"/>
                <w:szCs w:val="20"/>
              </w:rPr>
              <w:t>7</w:t>
            </w:r>
          </w:p>
        </w:tc>
        <w:tc>
          <w:tcPr>
            <w:tcW w:w="1755" w:type="dxa"/>
            <w:tcBorders>
              <w:top w:val="nil"/>
              <w:left w:val="nil"/>
              <w:bottom w:val="nil"/>
              <w:right w:val="nil"/>
            </w:tcBorders>
            <w:shd w:val="clear" w:color="000000" w:fill="FFFFFF"/>
            <w:noWrap/>
            <w:vAlign w:val="bottom"/>
          </w:tcPr>
          <w:p>
            <w:pPr>
              <w:spacing w:line="360" w:lineRule="auto"/>
              <w:jc w:val="center"/>
              <w:rPr>
                <w:rFonts w:eastAsia="Times New Roman" w:cs="Times New Roman"/>
                <w:sz w:val="20"/>
                <w:szCs w:val="20"/>
                <w:lang w:eastAsia="en-AU"/>
              </w:rPr>
            </w:pPr>
            <w:r>
              <w:rPr>
                <w:rFonts w:eastAsia="Times New Roman" w:cs="Times New Roman"/>
                <w:sz w:val="20"/>
                <w:szCs w:val="20"/>
                <w:lang w:eastAsia="en-AU"/>
              </w:rPr>
              <w:t>73.4</w:t>
            </w:r>
          </w:p>
        </w:tc>
        <w:tc>
          <w:tcPr>
            <w:tcW w:w="2132" w:type="dxa"/>
            <w:tcBorders>
              <w:top w:val="nil"/>
              <w:left w:val="nil"/>
              <w:bottom w:val="nil"/>
              <w:right w:val="nil"/>
            </w:tcBorders>
            <w:shd w:val="clear" w:color="000000" w:fill="FFFFFF"/>
            <w:noWrap/>
          </w:tcPr>
          <w:p>
            <w:pPr>
              <w:spacing w:line="360" w:lineRule="auto"/>
              <w:jc w:val="center"/>
            </w:pPr>
            <w:r>
              <w:rPr>
                <w:kern w:val="0"/>
                <w:sz w:val="20"/>
                <w:szCs w:val="20"/>
              </w:rPr>
              <w:t>365</w:t>
            </w:r>
          </w:p>
        </w:tc>
        <w:tc>
          <w:tcPr>
            <w:tcW w:w="1531" w:type="dxa"/>
            <w:tcBorders>
              <w:top w:val="nil"/>
              <w:left w:val="nil"/>
              <w:bottom w:val="nil"/>
              <w:right w:val="nil"/>
            </w:tcBorders>
            <w:shd w:val="clear" w:color="000000" w:fill="FFFFFF"/>
            <w:noWrap/>
            <w:vAlign w:val="bottom"/>
          </w:tcPr>
          <w:p>
            <w:pPr>
              <w:spacing w:line="360" w:lineRule="auto"/>
              <w:jc w:val="center"/>
              <w:rPr>
                <w:rFonts w:eastAsia="Times New Roman" w:cs="Times New Roman"/>
                <w:sz w:val="20"/>
                <w:szCs w:val="20"/>
                <w:lang w:eastAsia="en-AU"/>
              </w:rPr>
            </w:pPr>
            <w:r>
              <w:rPr>
                <w:rFonts w:eastAsia="Times New Roman" w:cs="Times New Roman"/>
                <w:sz w:val="20"/>
                <w:szCs w:val="20"/>
                <w:lang w:eastAsia="en-AU"/>
              </w:rPr>
              <w:t xml:space="preserve">3825.3 </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nil"/>
              <w:right w:val="nil"/>
            </w:tcBorders>
            <w:shd w:val="clear" w:color="000000" w:fill="FFFFFF"/>
            <w:noWrap/>
            <w:vAlign w:val="bottom"/>
          </w:tcPr>
          <w:p>
            <w:pPr>
              <w:spacing w:line="360" w:lineRule="auto"/>
              <w:rPr>
                <w:rFonts w:eastAsia="Times New Roman" w:cs="Times New Roman"/>
                <w:sz w:val="20"/>
                <w:szCs w:val="20"/>
                <w:lang w:eastAsia="en-AU"/>
              </w:rPr>
            </w:pPr>
            <w:r>
              <w:rPr>
                <w:rFonts w:eastAsia="Times New Roman" w:cs="Times New Roman"/>
                <w:sz w:val="20"/>
                <w:szCs w:val="20"/>
                <w:lang w:eastAsia="en-AU"/>
              </w:rPr>
              <w:t xml:space="preserve"> Linagliptin</w:t>
            </w:r>
          </w:p>
        </w:tc>
        <w:tc>
          <w:tcPr>
            <w:tcW w:w="1782" w:type="dxa"/>
            <w:tcBorders>
              <w:top w:val="nil"/>
              <w:left w:val="nil"/>
              <w:bottom w:val="nil"/>
              <w:right w:val="nil"/>
            </w:tcBorders>
            <w:shd w:val="clear" w:color="000000" w:fill="FFFFFF"/>
            <w:noWrap/>
          </w:tcPr>
          <w:p>
            <w:pPr>
              <w:spacing w:line="360" w:lineRule="auto"/>
              <w:jc w:val="center"/>
            </w:pPr>
            <w:r>
              <w:rPr>
                <w:kern w:val="0"/>
                <w:sz w:val="20"/>
                <w:szCs w:val="20"/>
              </w:rPr>
              <w:t>7</w:t>
            </w:r>
          </w:p>
        </w:tc>
        <w:tc>
          <w:tcPr>
            <w:tcW w:w="1755" w:type="dxa"/>
            <w:tcBorders>
              <w:top w:val="nil"/>
              <w:left w:val="nil"/>
              <w:bottom w:val="nil"/>
              <w:right w:val="nil"/>
            </w:tcBorders>
            <w:shd w:val="clear" w:color="000000" w:fill="FFFFFF"/>
            <w:noWrap/>
            <w:vAlign w:val="bottom"/>
          </w:tcPr>
          <w:p>
            <w:pPr>
              <w:spacing w:line="360" w:lineRule="auto"/>
              <w:jc w:val="center"/>
              <w:rPr>
                <w:rFonts w:eastAsia="Times New Roman" w:cs="Times New Roman"/>
                <w:sz w:val="20"/>
                <w:szCs w:val="20"/>
                <w:lang w:eastAsia="en-AU"/>
              </w:rPr>
            </w:pPr>
            <w:r>
              <w:rPr>
                <w:rFonts w:eastAsia="Times New Roman" w:cs="Times New Roman"/>
                <w:sz w:val="20"/>
                <w:szCs w:val="20"/>
                <w:lang w:eastAsia="en-AU"/>
              </w:rPr>
              <w:t>61.2</w:t>
            </w:r>
          </w:p>
        </w:tc>
        <w:tc>
          <w:tcPr>
            <w:tcW w:w="2132" w:type="dxa"/>
            <w:tcBorders>
              <w:top w:val="nil"/>
              <w:left w:val="nil"/>
              <w:bottom w:val="nil"/>
              <w:right w:val="nil"/>
            </w:tcBorders>
            <w:shd w:val="clear" w:color="000000" w:fill="FFFFFF"/>
            <w:noWrap/>
          </w:tcPr>
          <w:p>
            <w:pPr>
              <w:spacing w:line="360" w:lineRule="auto"/>
              <w:jc w:val="center"/>
            </w:pPr>
            <w:r>
              <w:rPr>
                <w:kern w:val="0"/>
                <w:sz w:val="20"/>
                <w:szCs w:val="20"/>
              </w:rPr>
              <w:t>365</w:t>
            </w:r>
          </w:p>
        </w:tc>
        <w:tc>
          <w:tcPr>
            <w:tcW w:w="1531" w:type="dxa"/>
            <w:tcBorders>
              <w:top w:val="nil"/>
              <w:left w:val="nil"/>
              <w:bottom w:val="nil"/>
              <w:right w:val="nil"/>
            </w:tcBorders>
            <w:shd w:val="clear" w:color="000000" w:fill="FFFFFF"/>
            <w:noWrap/>
            <w:vAlign w:val="bottom"/>
          </w:tcPr>
          <w:p>
            <w:pPr>
              <w:spacing w:line="360" w:lineRule="auto"/>
              <w:jc w:val="center"/>
              <w:rPr>
                <w:rFonts w:eastAsia="Times New Roman" w:cs="Times New Roman"/>
                <w:sz w:val="20"/>
                <w:szCs w:val="20"/>
                <w:lang w:eastAsia="en-AU"/>
              </w:rPr>
            </w:pPr>
            <w:r>
              <w:rPr>
                <w:rFonts w:eastAsia="Times New Roman" w:cs="Times New Roman"/>
                <w:sz w:val="20"/>
                <w:szCs w:val="20"/>
                <w:lang w:eastAsia="en-AU"/>
              </w:rPr>
              <w:t xml:space="preserve">3193.7 </w:t>
            </w:r>
          </w:p>
        </w:tc>
      </w:tr>
      <w:tr>
        <w:tblPrEx>
          <w:tblLayout w:type="fixed"/>
          <w:tblCellMar>
            <w:top w:w="0" w:type="dxa"/>
            <w:left w:w="108" w:type="dxa"/>
            <w:bottom w:w="0" w:type="dxa"/>
            <w:right w:w="108" w:type="dxa"/>
          </w:tblCellMar>
        </w:tblPrEx>
        <w:trPr>
          <w:trHeight w:val="348" w:hRule="atLeast"/>
        </w:trPr>
        <w:tc>
          <w:tcPr>
            <w:tcW w:w="1828" w:type="dxa"/>
            <w:tcBorders>
              <w:top w:val="nil"/>
              <w:left w:val="nil"/>
              <w:bottom w:val="single" w:color="auto" w:sz="4" w:space="0"/>
              <w:right w:val="nil"/>
            </w:tcBorders>
            <w:shd w:val="clear" w:color="000000" w:fill="FFFFFF"/>
            <w:noWrap/>
            <w:vAlign w:val="center"/>
          </w:tcPr>
          <w:p>
            <w:pPr>
              <w:spacing w:line="360" w:lineRule="auto"/>
              <w:rPr>
                <w:rFonts w:eastAsia="Times New Roman" w:cs="Times New Roman"/>
                <w:sz w:val="20"/>
                <w:szCs w:val="20"/>
                <w:lang w:eastAsia="en-AU"/>
              </w:rPr>
            </w:pPr>
            <w:r>
              <w:rPr>
                <w:rFonts w:eastAsia="Times New Roman" w:cs="Times New Roman"/>
                <w:sz w:val="20"/>
                <w:szCs w:val="20"/>
                <w:lang w:eastAsia="en-AU"/>
              </w:rPr>
              <w:t xml:space="preserve"> Vildagliptin</w:t>
            </w:r>
          </w:p>
        </w:tc>
        <w:tc>
          <w:tcPr>
            <w:tcW w:w="1782" w:type="dxa"/>
            <w:tcBorders>
              <w:top w:val="nil"/>
              <w:left w:val="nil"/>
              <w:bottom w:val="single" w:color="auto" w:sz="4" w:space="0"/>
              <w:right w:val="nil"/>
            </w:tcBorders>
            <w:shd w:val="clear" w:color="000000" w:fill="FFFFFF"/>
            <w:noWrap/>
          </w:tcPr>
          <w:p>
            <w:pPr>
              <w:spacing w:line="360" w:lineRule="auto"/>
              <w:jc w:val="center"/>
            </w:pPr>
            <w:r>
              <w:rPr>
                <w:kern w:val="0"/>
                <w:sz w:val="20"/>
                <w:szCs w:val="20"/>
              </w:rPr>
              <w:t>14</w:t>
            </w:r>
          </w:p>
        </w:tc>
        <w:tc>
          <w:tcPr>
            <w:tcW w:w="1755" w:type="dxa"/>
            <w:tcBorders>
              <w:top w:val="nil"/>
              <w:left w:val="nil"/>
              <w:bottom w:val="single" w:color="auto" w:sz="4" w:space="0"/>
              <w:right w:val="nil"/>
            </w:tcBorders>
            <w:shd w:val="clear" w:color="000000" w:fill="FFFFFF"/>
            <w:noWrap/>
            <w:vAlign w:val="center"/>
          </w:tcPr>
          <w:p>
            <w:pPr>
              <w:spacing w:line="360" w:lineRule="auto"/>
              <w:jc w:val="center"/>
              <w:rPr>
                <w:rFonts w:eastAsia="Times New Roman" w:cs="Times New Roman"/>
                <w:sz w:val="20"/>
                <w:szCs w:val="20"/>
                <w:lang w:eastAsia="en-AU"/>
              </w:rPr>
            </w:pPr>
            <w:r>
              <w:rPr>
                <w:rFonts w:eastAsia="Times New Roman" w:cs="Times New Roman"/>
                <w:sz w:val="20"/>
                <w:szCs w:val="20"/>
                <w:lang w:eastAsia="en-AU"/>
              </w:rPr>
              <w:t>61.6</w:t>
            </w:r>
          </w:p>
        </w:tc>
        <w:tc>
          <w:tcPr>
            <w:tcW w:w="2132" w:type="dxa"/>
            <w:tcBorders>
              <w:top w:val="nil"/>
              <w:left w:val="nil"/>
              <w:bottom w:val="single" w:color="auto" w:sz="4" w:space="0"/>
              <w:right w:val="nil"/>
            </w:tcBorders>
            <w:shd w:val="clear" w:color="000000" w:fill="FFFFFF"/>
            <w:noWrap/>
            <w:vAlign w:val="center"/>
          </w:tcPr>
          <w:p>
            <w:pPr>
              <w:widowControl/>
              <w:adjustRightInd w:val="0"/>
              <w:snapToGrid w:val="0"/>
              <w:spacing w:line="360" w:lineRule="auto"/>
              <w:jc w:val="center"/>
              <w:rPr>
                <w:kern w:val="0"/>
                <w:sz w:val="20"/>
                <w:szCs w:val="20"/>
              </w:rPr>
            </w:pPr>
            <w:r>
              <w:rPr>
                <w:kern w:val="0"/>
                <w:sz w:val="20"/>
                <w:szCs w:val="20"/>
              </w:rPr>
              <w:t>730</w:t>
            </w:r>
          </w:p>
        </w:tc>
        <w:tc>
          <w:tcPr>
            <w:tcW w:w="1531" w:type="dxa"/>
            <w:tcBorders>
              <w:top w:val="nil"/>
              <w:left w:val="nil"/>
              <w:bottom w:val="single" w:color="auto" w:sz="4" w:space="0"/>
              <w:right w:val="nil"/>
            </w:tcBorders>
            <w:shd w:val="clear" w:color="000000" w:fill="FFFFFF"/>
            <w:noWrap/>
          </w:tcPr>
          <w:p>
            <w:pPr>
              <w:spacing w:line="360" w:lineRule="auto"/>
              <w:jc w:val="center"/>
              <w:rPr>
                <w:rFonts w:eastAsia="Times New Roman" w:cs="Times New Roman"/>
                <w:sz w:val="20"/>
                <w:szCs w:val="20"/>
                <w:lang w:eastAsia="en-AU"/>
              </w:rPr>
            </w:pPr>
            <w:r>
              <w:rPr>
                <w:rFonts w:eastAsia="Times New Roman" w:cs="Times New Roman"/>
                <w:sz w:val="20"/>
                <w:szCs w:val="20"/>
                <w:lang w:eastAsia="en-AU"/>
              </w:rPr>
              <w:t>3214.4</w:t>
            </w:r>
          </w:p>
        </w:tc>
      </w:tr>
    </w:tbl>
    <w:p>
      <w:pPr>
        <w:adjustRightInd w:val="0"/>
        <w:snapToGrid w:val="0"/>
        <w:spacing w:afterLines="50"/>
        <w:rPr>
          <w:sz w:val="20"/>
          <w:szCs w:val="20"/>
        </w:rPr>
      </w:pPr>
      <w:r>
        <w:rPr>
          <w:sz w:val="20"/>
          <w:szCs w:val="20"/>
        </w:rPr>
        <w:t>SU: sulfonylurea; TZD: thiazolidinedione;</w:t>
      </w:r>
      <w:r>
        <w:rPr>
          <w:bCs/>
          <w:kern w:val="0"/>
          <w:sz w:val="20"/>
          <w:szCs w:val="20"/>
        </w:rPr>
        <w:t xml:space="preserve"> DPP4:</w:t>
      </w:r>
      <w:r>
        <w:rPr>
          <w:rStyle w:val="21"/>
          <w:sz w:val="20"/>
          <w:szCs w:val="20"/>
        </w:rPr>
        <w:t xml:space="preserve"> Dipeptidyl peptidase-4</w:t>
      </w:r>
    </w:p>
    <w:p>
      <w:pPr>
        <w:adjustRightInd w:val="0"/>
        <w:snapToGrid w:val="0"/>
        <w:spacing w:afterLines="50"/>
        <w:rPr>
          <w:sz w:val="20"/>
          <w:szCs w:val="20"/>
        </w:rPr>
      </w:pPr>
      <w:r>
        <w:rPr>
          <w:sz w:val="20"/>
          <w:szCs w:val="20"/>
        </w:rPr>
        <w:t>* Annual cost for SU/TZD</w:t>
      </w:r>
      <w:r>
        <w:rPr>
          <w:bCs/>
          <w:kern w:val="0"/>
          <w:sz w:val="20"/>
          <w:szCs w:val="20"/>
        </w:rPr>
        <w:t>/DPP4 inhibitors</w:t>
      </w:r>
      <w:r>
        <w:rPr>
          <w:sz w:val="20"/>
          <w:szCs w:val="20"/>
        </w:rPr>
        <w:t xml:space="preserve"> was calculated as (¥2106.4 + ¥3251.4 + ¥982.7 + ¥2287.2 + ¥3419.0+ ¥3085.6+ ¥3825.3+ ¥3193.7+ ¥3214.4)/5 = ¥</w:t>
      </w:r>
      <w:r>
        <w:rPr>
          <w:bCs/>
          <w:kern w:val="0"/>
          <w:sz w:val="20"/>
          <w:szCs w:val="20"/>
        </w:rPr>
        <w:t>2818.4, due to the lack of utilization pattern of these drugs.</w:t>
      </w:r>
    </w:p>
    <w:p>
      <w:pPr>
        <w:adjustRightInd w:val="0"/>
        <w:snapToGrid w:val="0"/>
        <w:spacing w:afterLines="50"/>
        <w:rPr>
          <w:sz w:val="20"/>
          <w:szCs w:val="20"/>
        </w:rPr>
      </w:pPr>
      <w:r>
        <w:rPr>
          <w:sz w:val="20"/>
          <w:szCs w:val="20"/>
        </w:rPr>
        <w:t>** Annual cost for “metformin add on SU/TZD</w:t>
      </w:r>
      <w:r>
        <w:rPr>
          <w:bCs/>
          <w:kern w:val="0"/>
          <w:sz w:val="20"/>
          <w:szCs w:val="20"/>
        </w:rPr>
        <w:t>/DPP4 inhibitors</w:t>
      </w:r>
      <w:r>
        <w:rPr>
          <w:sz w:val="20"/>
          <w:szCs w:val="20"/>
        </w:rPr>
        <w:t>” was ¥</w:t>
      </w:r>
      <w:r>
        <w:rPr>
          <w:bCs/>
          <w:kern w:val="0"/>
          <w:sz w:val="20"/>
          <w:szCs w:val="20"/>
        </w:rPr>
        <w:t xml:space="preserve">1596 + </w:t>
      </w:r>
      <w:r>
        <w:rPr>
          <w:sz w:val="20"/>
          <w:szCs w:val="20"/>
        </w:rPr>
        <w:t>¥</w:t>
      </w:r>
      <w:r>
        <w:rPr>
          <w:bCs/>
          <w:kern w:val="0"/>
          <w:sz w:val="20"/>
          <w:szCs w:val="20"/>
        </w:rPr>
        <w:t xml:space="preserve">2818.4 = </w:t>
      </w:r>
      <w:r>
        <w:rPr>
          <w:sz w:val="20"/>
          <w:szCs w:val="20"/>
        </w:rPr>
        <w:t>¥4414.4</w:t>
      </w:r>
      <w:r>
        <w:rPr>
          <w:bCs/>
          <w:kern w:val="0"/>
          <w:sz w:val="20"/>
          <w:szCs w:val="20"/>
        </w:rPr>
        <w:t xml:space="preserve">, and that for “dapagliflozin add on SU/TZD/DPP4 inhibitors” was </w:t>
      </w:r>
      <w:r>
        <w:rPr>
          <w:sz w:val="20"/>
          <w:szCs w:val="20"/>
        </w:rPr>
        <w:t>¥</w:t>
      </w:r>
      <w:r>
        <w:rPr>
          <w:bCs/>
          <w:kern w:val="0"/>
          <w:sz w:val="20"/>
          <w:szCs w:val="20"/>
        </w:rPr>
        <w:t xml:space="preserve">5985.8 + </w:t>
      </w:r>
      <w:r>
        <w:rPr>
          <w:sz w:val="20"/>
          <w:szCs w:val="20"/>
        </w:rPr>
        <w:t>¥</w:t>
      </w:r>
      <w:r>
        <w:rPr>
          <w:bCs/>
          <w:kern w:val="0"/>
          <w:sz w:val="20"/>
          <w:szCs w:val="20"/>
        </w:rPr>
        <w:t>2818.4 =</w:t>
      </w:r>
      <w:r>
        <w:rPr>
          <w:sz w:val="20"/>
          <w:szCs w:val="20"/>
        </w:rPr>
        <w:t xml:space="preserve"> ¥8804.2 in 2016.</w:t>
      </w:r>
    </w:p>
    <w:p/>
    <w:p/>
    <w:p>
      <w:pPr>
        <w:adjustRightInd w:val="0"/>
        <w:snapToGrid w:val="0"/>
        <w:spacing w:afterLines="50"/>
        <w:jc w:val="left"/>
        <w:rPr>
          <w:b/>
          <w:sz w:val="24"/>
          <w:szCs w:val="24"/>
        </w:rPr>
        <w:sectPr>
          <w:pgSz w:w="11906" w:h="16838"/>
          <w:pgMar w:top="1440" w:right="1797" w:bottom="1440" w:left="1797" w:header="851" w:footer="992" w:gutter="0"/>
          <w:cols w:space="425" w:num="1"/>
          <w:docGrid w:type="linesAndChars" w:linePitch="312" w:charSpace="0"/>
        </w:sectPr>
      </w:pPr>
    </w:p>
    <w:p>
      <w:pPr>
        <w:adjustRightInd w:val="0"/>
        <w:snapToGrid w:val="0"/>
        <w:spacing w:afterLines="50"/>
        <w:jc w:val="left"/>
        <w:rPr>
          <w:b/>
          <w:sz w:val="20"/>
          <w:szCs w:val="20"/>
        </w:rPr>
      </w:pPr>
      <w:r>
        <w:rPr>
          <w:b/>
          <w:sz w:val="20"/>
          <w:szCs w:val="20"/>
        </w:rPr>
        <w:t xml:space="preserve">Table </w:t>
      </w:r>
      <w:r>
        <w:rPr>
          <w:rFonts w:hint="eastAsia"/>
          <w:b/>
          <w:sz w:val="20"/>
          <w:szCs w:val="20"/>
        </w:rPr>
        <w:t>S4</w:t>
      </w:r>
      <w:r>
        <w:rPr>
          <w:b/>
          <w:sz w:val="20"/>
          <w:szCs w:val="20"/>
        </w:rPr>
        <w:t xml:space="preserve">: Annual direct medical costs for diabetes-related complications and adverse events </w:t>
      </w:r>
    </w:p>
    <w:tbl>
      <w:tblPr>
        <w:tblStyle w:val="11"/>
        <w:tblW w:w="8920" w:type="dxa"/>
        <w:tblInd w:w="0" w:type="dxa"/>
        <w:tblLayout w:type="fixed"/>
        <w:tblCellMar>
          <w:top w:w="0" w:type="dxa"/>
          <w:left w:w="108" w:type="dxa"/>
          <w:bottom w:w="0" w:type="dxa"/>
          <w:right w:w="108" w:type="dxa"/>
        </w:tblCellMar>
      </w:tblPr>
      <w:tblGrid>
        <w:gridCol w:w="2694"/>
        <w:gridCol w:w="1984"/>
        <w:gridCol w:w="1843"/>
        <w:gridCol w:w="2399"/>
      </w:tblGrid>
      <w:tr>
        <w:tblPrEx>
          <w:tblLayout w:type="fixed"/>
          <w:tblCellMar>
            <w:top w:w="0" w:type="dxa"/>
            <w:left w:w="108" w:type="dxa"/>
            <w:bottom w:w="0" w:type="dxa"/>
            <w:right w:w="108" w:type="dxa"/>
          </w:tblCellMar>
        </w:tblPrEx>
        <w:trPr>
          <w:trHeight w:val="370" w:hRule="atLeast"/>
        </w:trPr>
        <w:tc>
          <w:tcPr>
            <w:tcW w:w="2694" w:type="dxa"/>
            <w:tcBorders>
              <w:top w:val="single" w:color="auto" w:sz="4" w:space="0"/>
              <w:left w:val="nil"/>
              <w:bottom w:val="single" w:color="auto" w:sz="4" w:space="0"/>
              <w:right w:val="nil"/>
            </w:tcBorders>
            <w:shd w:val="clear" w:color="000000" w:fill="FFFFFF"/>
            <w:vAlign w:val="center"/>
          </w:tcPr>
          <w:p>
            <w:pPr>
              <w:widowControl/>
              <w:adjustRightInd w:val="0"/>
              <w:snapToGrid w:val="0"/>
              <w:rPr>
                <w:b/>
                <w:bCs/>
                <w:kern w:val="0"/>
              </w:rPr>
            </w:pPr>
            <w:r>
              <w:rPr>
                <w:b/>
                <w:bCs/>
                <w:kern w:val="0"/>
              </w:rPr>
              <w:t>Event</w:t>
            </w:r>
          </w:p>
        </w:tc>
        <w:tc>
          <w:tcPr>
            <w:tcW w:w="1984" w:type="dxa"/>
            <w:tcBorders>
              <w:top w:val="single" w:color="auto" w:sz="4" w:space="0"/>
              <w:left w:val="nil"/>
              <w:bottom w:val="single" w:color="auto" w:sz="4" w:space="0"/>
              <w:right w:val="nil"/>
            </w:tcBorders>
            <w:shd w:val="clear" w:color="000000" w:fill="FFFFFF"/>
            <w:vAlign w:val="center"/>
          </w:tcPr>
          <w:p>
            <w:pPr>
              <w:widowControl/>
              <w:adjustRightInd w:val="0"/>
              <w:snapToGrid w:val="0"/>
              <w:jc w:val="center"/>
              <w:rPr>
                <w:b/>
                <w:bCs/>
                <w:kern w:val="0"/>
              </w:rPr>
            </w:pPr>
            <w:r>
              <w:rPr>
                <w:b/>
                <w:bCs/>
                <w:kern w:val="0"/>
              </w:rPr>
              <w:t>Fatal</w:t>
            </w:r>
          </w:p>
        </w:tc>
        <w:tc>
          <w:tcPr>
            <w:tcW w:w="1843" w:type="dxa"/>
            <w:tcBorders>
              <w:top w:val="single" w:color="auto" w:sz="4" w:space="0"/>
              <w:left w:val="nil"/>
              <w:bottom w:val="single" w:color="auto" w:sz="4" w:space="0"/>
              <w:right w:val="nil"/>
            </w:tcBorders>
            <w:shd w:val="clear" w:color="000000" w:fill="FFFFFF"/>
            <w:vAlign w:val="center"/>
          </w:tcPr>
          <w:p>
            <w:pPr>
              <w:widowControl/>
              <w:adjustRightInd w:val="0"/>
              <w:snapToGrid w:val="0"/>
              <w:jc w:val="center"/>
              <w:rPr>
                <w:b/>
                <w:bCs/>
                <w:kern w:val="0"/>
              </w:rPr>
            </w:pPr>
            <w:r>
              <w:rPr>
                <w:b/>
                <w:bCs/>
                <w:kern w:val="0"/>
              </w:rPr>
              <w:t>Non-fatal</w:t>
            </w:r>
          </w:p>
        </w:tc>
        <w:tc>
          <w:tcPr>
            <w:tcW w:w="2399" w:type="dxa"/>
            <w:tcBorders>
              <w:top w:val="single" w:color="auto" w:sz="4" w:space="0"/>
              <w:left w:val="nil"/>
              <w:bottom w:val="single" w:color="auto" w:sz="4" w:space="0"/>
              <w:right w:val="nil"/>
            </w:tcBorders>
            <w:shd w:val="clear" w:color="000000" w:fill="FFFFFF"/>
            <w:vAlign w:val="center"/>
          </w:tcPr>
          <w:p>
            <w:pPr>
              <w:widowControl/>
              <w:adjustRightInd w:val="0"/>
              <w:snapToGrid w:val="0"/>
              <w:jc w:val="center"/>
              <w:rPr>
                <w:b/>
                <w:bCs/>
                <w:kern w:val="0"/>
              </w:rPr>
            </w:pPr>
            <w:r>
              <w:rPr>
                <w:b/>
                <w:bCs/>
                <w:kern w:val="0"/>
              </w:rPr>
              <w:t>Maintenance</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Ischemic heart disease</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38660.37</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6901.83</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Myocardial infarction</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46092.75</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46092.75</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10588.1</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Congestive heart failure</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15328.57</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15328.57</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9317.53</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Stroke</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13922.2</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17964.09</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8089.54</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Blind</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11930.02</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9207.04</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End stage renal disease</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113521.66</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91084.11</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Amputation</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18055.01</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18055.01</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14391.76</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Ulcer</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14190.51</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4994.42</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Severe hypoglycemia</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3787.91</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nil"/>
              <w:right w:val="nil"/>
            </w:tcBorders>
            <w:shd w:val="clear" w:color="000000" w:fill="FFFFFF"/>
            <w:vAlign w:val="center"/>
          </w:tcPr>
          <w:p>
            <w:pPr>
              <w:widowControl/>
              <w:adjustRightInd w:val="0"/>
              <w:snapToGrid w:val="0"/>
              <w:rPr>
                <w:kern w:val="0"/>
              </w:rPr>
            </w:pPr>
            <w:r>
              <w:rPr>
                <w:kern w:val="0"/>
              </w:rPr>
              <w:t xml:space="preserve">Genital infection </w:t>
            </w:r>
          </w:p>
        </w:tc>
        <w:tc>
          <w:tcPr>
            <w:tcW w:w="1984"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w:t>
            </w:r>
          </w:p>
        </w:tc>
        <w:tc>
          <w:tcPr>
            <w:tcW w:w="1843"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201.7</w:t>
            </w:r>
          </w:p>
        </w:tc>
        <w:tc>
          <w:tcPr>
            <w:tcW w:w="2399"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w:t>
            </w:r>
          </w:p>
        </w:tc>
      </w:tr>
      <w:tr>
        <w:tblPrEx>
          <w:tblLayout w:type="fixed"/>
          <w:tblCellMar>
            <w:top w:w="0" w:type="dxa"/>
            <w:left w:w="108" w:type="dxa"/>
            <w:bottom w:w="0" w:type="dxa"/>
            <w:right w:w="108" w:type="dxa"/>
          </w:tblCellMar>
        </w:tblPrEx>
        <w:trPr>
          <w:trHeight w:val="370" w:hRule="atLeast"/>
        </w:trPr>
        <w:tc>
          <w:tcPr>
            <w:tcW w:w="2694" w:type="dxa"/>
            <w:tcBorders>
              <w:top w:val="nil"/>
              <w:left w:val="nil"/>
              <w:bottom w:val="single" w:color="auto" w:sz="4" w:space="0"/>
              <w:right w:val="nil"/>
            </w:tcBorders>
            <w:shd w:val="clear" w:color="000000" w:fill="FFFFFF"/>
            <w:noWrap/>
            <w:vAlign w:val="center"/>
          </w:tcPr>
          <w:p>
            <w:pPr>
              <w:widowControl/>
              <w:adjustRightInd w:val="0"/>
              <w:snapToGrid w:val="0"/>
              <w:rPr>
                <w:kern w:val="0"/>
              </w:rPr>
            </w:pPr>
            <w:r>
              <w:rPr>
                <w:kern w:val="0"/>
              </w:rPr>
              <w:t>Urinary infection</w:t>
            </w:r>
          </w:p>
        </w:tc>
        <w:tc>
          <w:tcPr>
            <w:tcW w:w="1984" w:type="dxa"/>
            <w:tcBorders>
              <w:top w:val="nil"/>
              <w:left w:val="nil"/>
              <w:bottom w:val="single" w:color="auto" w:sz="4" w:space="0"/>
              <w:right w:val="nil"/>
            </w:tcBorders>
            <w:shd w:val="clear" w:color="000000" w:fill="FFFFFF"/>
            <w:vAlign w:val="center"/>
          </w:tcPr>
          <w:p>
            <w:pPr>
              <w:widowControl/>
              <w:adjustRightInd w:val="0"/>
              <w:snapToGrid w:val="0"/>
              <w:jc w:val="center"/>
              <w:rPr>
                <w:kern w:val="0"/>
              </w:rPr>
            </w:pPr>
            <w:r>
              <w:rPr>
                <w:kern w:val="0"/>
              </w:rPr>
              <w:t>\</w:t>
            </w:r>
          </w:p>
        </w:tc>
        <w:tc>
          <w:tcPr>
            <w:tcW w:w="1843" w:type="dxa"/>
            <w:tcBorders>
              <w:top w:val="nil"/>
              <w:left w:val="nil"/>
              <w:bottom w:val="single" w:color="auto" w:sz="4" w:space="0"/>
              <w:right w:val="nil"/>
            </w:tcBorders>
            <w:shd w:val="clear" w:color="000000" w:fill="FFFFFF"/>
            <w:noWrap/>
            <w:vAlign w:val="center"/>
          </w:tcPr>
          <w:p>
            <w:pPr>
              <w:widowControl/>
              <w:adjustRightInd w:val="0"/>
              <w:snapToGrid w:val="0"/>
              <w:jc w:val="center"/>
              <w:rPr>
                <w:kern w:val="0"/>
              </w:rPr>
            </w:pPr>
            <w:r>
              <w:rPr>
                <w:kern w:val="0"/>
              </w:rPr>
              <w:t>201.7</w:t>
            </w:r>
          </w:p>
        </w:tc>
        <w:tc>
          <w:tcPr>
            <w:tcW w:w="2399" w:type="dxa"/>
            <w:tcBorders>
              <w:top w:val="nil"/>
              <w:left w:val="nil"/>
              <w:bottom w:val="single" w:color="auto" w:sz="4" w:space="0"/>
              <w:right w:val="nil"/>
            </w:tcBorders>
            <w:shd w:val="clear" w:color="000000" w:fill="FFFFFF"/>
            <w:vAlign w:val="center"/>
          </w:tcPr>
          <w:p>
            <w:pPr>
              <w:widowControl/>
              <w:adjustRightInd w:val="0"/>
              <w:snapToGrid w:val="0"/>
              <w:jc w:val="center"/>
              <w:rPr>
                <w:kern w:val="0"/>
              </w:rPr>
            </w:pPr>
            <w:r>
              <w:rPr>
                <w:kern w:val="0"/>
              </w:rPr>
              <w:t>\</w:t>
            </w:r>
          </w:p>
        </w:tc>
      </w:tr>
    </w:tbl>
    <w:p/>
    <w:p/>
    <w:p>
      <w:pPr>
        <w:adjustRightInd w:val="0"/>
        <w:snapToGrid w:val="0"/>
        <w:spacing w:afterLines="50"/>
        <w:rPr>
          <w:b/>
          <w:sz w:val="24"/>
          <w:szCs w:val="24"/>
        </w:rPr>
        <w:sectPr>
          <w:pgSz w:w="11906" w:h="16838"/>
          <w:pgMar w:top="1440" w:right="1797" w:bottom="1440" w:left="1797" w:header="851" w:footer="992" w:gutter="0"/>
          <w:cols w:space="425" w:num="1"/>
          <w:docGrid w:type="lines" w:linePitch="312" w:charSpace="0"/>
        </w:sectPr>
      </w:pPr>
    </w:p>
    <w:p>
      <w:pPr>
        <w:adjustRightInd w:val="0"/>
        <w:snapToGrid w:val="0"/>
        <w:spacing w:afterLines="50"/>
        <w:rPr>
          <w:b/>
          <w:sz w:val="20"/>
          <w:szCs w:val="20"/>
        </w:rPr>
      </w:pPr>
      <w:r>
        <w:rPr>
          <w:b/>
          <w:sz w:val="20"/>
          <w:szCs w:val="20"/>
        </w:rPr>
        <w:t xml:space="preserve">Table </w:t>
      </w:r>
      <w:r>
        <w:rPr>
          <w:rFonts w:hint="eastAsia"/>
          <w:b/>
          <w:sz w:val="20"/>
          <w:szCs w:val="20"/>
        </w:rPr>
        <w:t>S5</w:t>
      </w:r>
      <w:r>
        <w:rPr>
          <w:b/>
          <w:sz w:val="20"/>
          <w:szCs w:val="20"/>
        </w:rPr>
        <w:t xml:space="preserve">: Body mass index (BMI) associated costs </w:t>
      </w:r>
    </w:p>
    <w:tbl>
      <w:tblPr>
        <w:tblStyle w:val="11"/>
        <w:tblW w:w="4955" w:type="dxa"/>
        <w:tblInd w:w="0" w:type="dxa"/>
        <w:tblLayout w:type="fixed"/>
        <w:tblCellMar>
          <w:top w:w="0" w:type="dxa"/>
          <w:left w:w="108" w:type="dxa"/>
          <w:bottom w:w="0" w:type="dxa"/>
          <w:right w:w="108" w:type="dxa"/>
        </w:tblCellMar>
      </w:tblPr>
      <w:tblGrid>
        <w:gridCol w:w="1975"/>
        <w:gridCol w:w="2980"/>
      </w:tblGrid>
      <w:tr>
        <w:tblPrEx>
          <w:tblLayout w:type="fixed"/>
          <w:tblCellMar>
            <w:top w:w="0" w:type="dxa"/>
            <w:left w:w="108" w:type="dxa"/>
            <w:bottom w:w="0" w:type="dxa"/>
            <w:right w:w="108" w:type="dxa"/>
          </w:tblCellMar>
        </w:tblPrEx>
        <w:trPr>
          <w:trHeight w:val="358" w:hRule="atLeast"/>
        </w:trPr>
        <w:tc>
          <w:tcPr>
            <w:tcW w:w="1975" w:type="dxa"/>
            <w:tcBorders>
              <w:top w:val="single" w:color="auto" w:sz="4" w:space="0"/>
              <w:left w:val="nil"/>
              <w:bottom w:val="nil"/>
              <w:right w:val="nil"/>
            </w:tcBorders>
            <w:shd w:val="clear" w:color="000000" w:fill="FFFFFF"/>
            <w:vAlign w:val="center"/>
          </w:tcPr>
          <w:p>
            <w:pPr>
              <w:widowControl/>
              <w:adjustRightInd w:val="0"/>
              <w:snapToGrid w:val="0"/>
              <w:rPr>
                <w:rFonts w:cstheme="minorHAnsi"/>
                <w:b/>
                <w:bCs/>
                <w:kern w:val="0"/>
                <w:sz w:val="20"/>
                <w:szCs w:val="20"/>
              </w:rPr>
            </w:pPr>
            <w:r>
              <w:rPr>
                <w:rFonts w:cstheme="minorHAnsi"/>
                <w:b/>
                <w:bCs/>
                <w:kern w:val="0"/>
                <w:sz w:val="20"/>
                <w:szCs w:val="20"/>
              </w:rPr>
              <w:t>BMI (kg/m2)</w:t>
            </w:r>
          </w:p>
        </w:tc>
        <w:tc>
          <w:tcPr>
            <w:tcW w:w="2980" w:type="dxa"/>
            <w:tcBorders>
              <w:top w:val="single" w:color="auto" w:sz="4" w:space="0"/>
              <w:left w:val="nil"/>
              <w:bottom w:val="nil"/>
              <w:right w:val="nil"/>
            </w:tcBorders>
            <w:shd w:val="clear" w:color="000000" w:fill="FFFFFF"/>
            <w:vAlign w:val="center"/>
          </w:tcPr>
          <w:p>
            <w:pPr>
              <w:widowControl/>
              <w:adjustRightInd w:val="0"/>
              <w:snapToGrid w:val="0"/>
              <w:jc w:val="center"/>
              <w:rPr>
                <w:rFonts w:cstheme="minorHAnsi"/>
                <w:b/>
                <w:bCs/>
                <w:kern w:val="0"/>
                <w:sz w:val="20"/>
                <w:szCs w:val="20"/>
              </w:rPr>
            </w:pPr>
            <w:r>
              <w:rPr>
                <w:rFonts w:cstheme="minorHAnsi"/>
                <w:b/>
                <w:bCs/>
                <w:kern w:val="0"/>
                <w:sz w:val="20"/>
                <w:szCs w:val="20"/>
              </w:rPr>
              <w:t>Annual Cost (</w:t>
            </w:r>
            <w:r>
              <w:rPr>
                <w:rFonts w:cstheme="minorHAnsi"/>
                <w:b/>
                <w:sz w:val="20"/>
                <w:szCs w:val="20"/>
              </w:rPr>
              <w:t>Chinese Yuan)</w:t>
            </w:r>
          </w:p>
        </w:tc>
      </w:tr>
      <w:tr>
        <w:tblPrEx>
          <w:tblLayout w:type="fixed"/>
          <w:tblCellMar>
            <w:top w:w="0" w:type="dxa"/>
            <w:left w:w="108" w:type="dxa"/>
            <w:bottom w:w="0" w:type="dxa"/>
            <w:right w:w="108" w:type="dxa"/>
          </w:tblCellMar>
        </w:tblPrEx>
        <w:trPr>
          <w:trHeight w:val="358" w:hRule="atLeast"/>
        </w:trPr>
        <w:tc>
          <w:tcPr>
            <w:tcW w:w="1975" w:type="dxa"/>
            <w:tcBorders>
              <w:top w:val="single" w:color="auto" w:sz="4" w:space="0"/>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20</w:t>
            </w:r>
          </w:p>
        </w:tc>
        <w:tc>
          <w:tcPr>
            <w:tcW w:w="2980" w:type="dxa"/>
            <w:tcBorders>
              <w:top w:val="single" w:color="auto" w:sz="4" w:space="0"/>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0</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21</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0</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22</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0</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23</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0</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24</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1574.4</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25</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3877.9</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26</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6181.4</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27</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8484.9</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28</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10788.4</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29</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13091.9</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30</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15395.4</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31</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17698.9</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32</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20002.4</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33</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22305.9</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34</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24609.4</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35</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26912.9</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36</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29216.4</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37</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31519.9</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38</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33823.4</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nil"/>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39</w:t>
            </w:r>
          </w:p>
        </w:tc>
        <w:tc>
          <w:tcPr>
            <w:tcW w:w="2980" w:type="dxa"/>
            <w:tcBorders>
              <w:top w:val="nil"/>
              <w:left w:val="nil"/>
              <w:bottom w:val="nil"/>
              <w:right w:val="nil"/>
            </w:tcBorders>
            <w:shd w:val="clear" w:color="000000" w:fill="FFFFFF"/>
            <w:noWrap/>
            <w:vAlign w:val="center"/>
          </w:tcPr>
          <w:p>
            <w:pPr>
              <w:widowControl/>
              <w:adjustRightInd w:val="0"/>
              <w:snapToGrid w:val="0"/>
              <w:jc w:val="center"/>
              <w:rPr>
                <w:rFonts w:cstheme="minorHAnsi"/>
                <w:kern w:val="0"/>
                <w:sz w:val="20"/>
                <w:szCs w:val="20"/>
              </w:rPr>
            </w:pPr>
            <w:r>
              <w:rPr>
                <w:rFonts w:cstheme="minorHAnsi"/>
                <w:kern w:val="0"/>
                <w:sz w:val="20"/>
                <w:szCs w:val="20"/>
              </w:rPr>
              <w:t>36126.9</w:t>
            </w:r>
          </w:p>
        </w:tc>
      </w:tr>
      <w:tr>
        <w:tblPrEx>
          <w:tblLayout w:type="fixed"/>
          <w:tblCellMar>
            <w:top w:w="0" w:type="dxa"/>
            <w:left w:w="108" w:type="dxa"/>
            <w:bottom w:w="0" w:type="dxa"/>
            <w:right w:w="108" w:type="dxa"/>
          </w:tblCellMar>
        </w:tblPrEx>
        <w:trPr>
          <w:trHeight w:val="358" w:hRule="atLeast"/>
        </w:trPr>
        <w:tc>
          <w:tcPr>
            <w:tcW w:w="1975" w:type="dxa"/>
            <w:tcBorders>
              <w:top w:val="nil"/>
              <w:left w:val="nil"/>
              <w:bottom w:val="single" w:color="auto" w:sz="4" w:space="0"/>
              <w:right w:val="nil"/>
            </w:tcBorders>
            <w:shd w:val="clear" w:color="000000" w:fill="FFFFFF"/>
            <w:vAlign w:val="center"/>
          </w:tcPr>
          <w:p>
            <w:pPr>
              <w:widowControl/>
              <w:adjustRightInd w:val="0"/>
              <w:snapToGrid w:val="0"/>
              <w:rPr>
                <w:rFonts w:cstheme="minorHAnsi"/>
                <w:kern w:val="0"/>
                <w:sz w:val="20"/>
                <w:szCs w:val="20"/>
              </w:rPr>
            </w:pPr>
            <w:r>
              <w:rPr>
                <w:rFonts w:cstheme="minorHAnsi"/>
                <w:kern w:val="0"/>
                <w:sz w:val="20"/>
                <w:szCs w:val="20"/>
              </w:rPr>
              <w:t>40+</w:t>
            </w:r>
          </w:p>
        </w:tc>
        <w:tc>
          <w:tcPr>
            <w:tcW w:w="2980" w:type="dxa"/>
            <w:tcBorders>
              <w:top w:val="nil"/>
              <w:left w:val="nil"/>
              <w:bottom w:val="single" w:color="auto" w:sz="4" w:space="0"/>
              <w:right w:val="nil"/>
            </w:tcBorders>
            <w:shd w:val="clear" w:color="000000" w:fill="FFFFFF"/>
            <w:vAlign w:val="center"/>
          </w:tcPr>
          <w:p>
            <w:pPr>
              <w:widowControl/>
              <w:adjustRightInd w:val="0"/>
              <w:snapToGrid w:val="0"/>
              <w:jc w:val="center"/>
              <w:rPr>
                <w:rFonts w:cstheme="minorHAnsi"/>
                <w:kern w:val="0"/>
                <w:sz w:val="20"/>
                <w:szCs w:val="20"/>
              </w:rPr>
            </w:pPr>
            <w:r>
              <w:rPr>
                <w:rFonts w:cstheme="minorHAnsi"/>
                <w:kern w:val="0"/>
                <w:sz w:val="20"/>
                <w:szCs w:val="20"/>
              </w:rPr>
              <w:t>38430.40</w:t>
            </w:r>
          </w:p>
        </w:tc>
      </w:tr>
    </w:tbl>
    <w:p>
      <w:pPr>
        <w:adjustRightInd w:val="0"/>
        <w:snapToGrid w:val="0"/>
        <w:spacing w:afterLines="50"/>
        <w:rPr>
          <w:rFonts w:cstheme="minorHAnsi"/>
          <w:sz w:val="24"/>
          <w:szCs w:val="24"/>
        </w:rPr>
      </w:pPr>
    </w:p>
    <w:p/>
    <w:p/>
    <w:p>
      <w:pPr>
        <w:adjustRightInd w:val="0"/>
        <w:snapToGrid w:val="0"/>
        <w:spacing w:afterLines="50"/>
        <w:jc w:val="left"/>
        <w:rPr>
          <w:b/>
          <w:sz w:val="24"/>
          <w:szCs w:val="24"/>
        </w:rPr>
        <w:sectPr>
          <w:pgSz w:w="11906" w:h="16838"/>
          <w:pgMar w:top="1440" w:right="1797" w:bottom="1440" w:left="1797" w:header="851" w:footer="992" w:gutter="0"/>
          <w:cols w:space="425" w:num="1"/>
          <w:docGrid w:type="linesAndChars" w:linePitch="312" w:charSpace="0"/>
        </w:sectPr>
      </w:pPr>
    </w:p>
    <w:p>
      <w:pPr>
        <w:adjustRightInd w:val="0"/>
        <w:snapToGrid w:val="0"/>
        <w:spacing w:afterLines="50"/>
        <w:jc w:val="left"/>
        <w:rPr>
          <w:b/>
          <w:sz w:val="20"/>
          <w:szCs w:val="20"/>
        </w:rPr>
      </w:pPr>
      <w:r>
        <w:rPr>
          <w:b/>
          <w:sz w:val="20"/>
          <w:szCs w:val="20"/>
        </w:rPr>
        <w:t xml:space="preserve">Table </w:t>
      </w:r>
      <w:r>
        <w:rPr>
          <w:rFonts w:hint="eastAsia"/>
          <w:b/>
          <w:sz w:val="20"/>
          <w:szCs w:val="20"/>
        </w:rPr>
        <w:t>S6</w:t>
      </w:r>
      <w:r>
        <w:rPr>
          <w:b/>
          <w:sz w:val="20"/>
          <w:szCs w:val="20"/>
        </w:rPr>
        <w:t>: Health state utility decrements</w:t>
      </w:r>
    </w:p>
    <w:tbl>
      <w:tblPr>
        <w:tblStyle w:val="11"/>
        <w:tblW w:w="7905" w:type="dxa"/>
        <w:tblInd w:w="0" w:type="dxa"/>
        <w:tblLayout w:type="fixed"/>
        <w:tblCellMar>
          <w:top w:w="0" w:type="dxa"/>
          <w:left w:w="108" w:type="dxa"/>
          <w:bottom w:w="0" w:type="dxa"/>
          <w:right w:w="108" w:type="dxa"/>
        </w:tblCellMar>
      </w:tblPr>
      <w:tblGrid>
        <w:gridCol w:w="4219"/>
        <w:gridCol w:w="3686"/>
      </w:tblGrid>
      <w:tr>
        <w:tblPrEx>
          <w:tblLayout w:type="fixed"/>
          <w:tblCellMar>
            <w:top w:w="0" w:type="dxa"/>
            <w:left w:w="108" w:type="dxa"/>
            <w:bottom w:w="0" w:type="dxa"/>
            <w:right w:w="108" w:type="dxa"/>
          </w:tblCellMar>
        </w:tblPrEx>
        <w:trPr>
          <w:trHeight w:val="398" w:hRule="atLeast"/>
        </w:trPr>
        <w:tc>
          <w:tcPr>
            <w:tcW w:w="4219" w:type="dxa"/>
            <w:tcBorders>
              <w:top w:val="single" w:color="auto" w:sz="4" w:space="0"/>
              <w:left w:val="nil"/>
              <w:bottom w:val="single" w:color="auto" w:sz="4" w:space="0"/>
              <w:right w:val="nil"/>
            </w:tcBorders>
            <w:shd w:val="clear" w:color="000000" w:fill="FFFFFF"/>
            <w:vAlign w:val="center"/>
          </w:tcPr>
          <w:p>
            <w:pPr>
              <w:widowControl/>
              <w:adjustRightInd w:val="0"/>
              <w:snapToGrid w:val="0"/>
              <w:rPr>
                <w:b/>
                <w:bCs/>
                <w:kern w:val="0"/>
              </w:rPr>
            </w:pPr>
            <w:r>
              <w:rPr>
                <w:b/>
                <w:bCs/>
                <w:kern w:val="0"/>
              </w:rPr>
              <w:t>Event</w:t>
            </w:r>
          </w:p>
        </w:tc>
        <w:tc>
          <w:tcPr>
            <w:tcW w:w="3686" w:type="dxa"/>
            <w:tcBorders>
              <w:top w:val="single" w:color="auto" w:sz="4" w:space="0"/>
              <w:left w:val="nil"/>
              <w:bottom w:val="single" w:color="auto" w:sz="4" w:space="0"/>
              <w:right w:val="nil"/>
            </w:tcBorders>
            <w:shd w:val="clear" w:color="000000" w:fill="FFFFFF"/>
            <w:vAlign w:val="center"/>
          </w:tcPr>
          <w:p>
            <w:pPr>
              <w:widowControl/>
              <w:adjustRightInd w:val="0"/>
              <w:snapToGrid w:val="0"/>
              <w:jc w:val="center"/>
              <w:rPr>
                <w:b/>
                <w:bCs/>
                <w:kern w:val="0"/>
              </w:rPr>
            </w:pPr>
            <w:r>
              <w:rPr>
                <w:b/>
                <w:bCs/>
                <w:kern w:val="0"/>
              </w:rPr>
              <w:t>Utility Decrement</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Ischemic heart disease</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0.09</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Myocardial infarction</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0.055</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Congestive heart failure</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0.108</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Stroke</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bookmarkStart w:id="16" w:name="RANGE!B125"/>
            <w:r>
              <w:rPr>
                <w:kern w:val="0"/>
              </w:rPr>
              <w:t>0.164</w:t>
            </w:r>
            <w:bookmarkEnd w:id="16"/>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Blind</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0.074</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bookmarkStart w:id="17" w:name="RANGE!A127"/>
            <w:r>
              <w:rPr>
                <w:kern w:val="0"/>
              </w:rPr>
              <w:t>End-stage renal disease</w:t>
            </w:r>
            <w:bookmarkEnd w:id="17"/>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0.263</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Amputation</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0.28</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Ulcer</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0.059</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Symptomatic hypoglycemia</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0.0142</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Severe hypoglycemia</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0.047</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Urinary tract infection</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0.003</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Genital infection</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0.003</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Gastrointestinal side effects</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0.04</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nil"/>
              <w:right w:val="nil"/>
            </w:tcBorders>
            <w:shd w:val="clear" w:color="000000" w:fill="FFFFFF"/>
            <w:vAlign w:val="center"/>
          </w:tcPr>
          <w:p>
            <w:pPr>
              <w:widowControl/>
              <w:adjustRightInd w:val="0"/>
              <w:snapToGrid w:val="0"/>
              <w:rPr>
                <w:kern w:val="0"/>
              </w:rPr>
            </w:pPr>
            <w:r>
              <w:rPr>
                <w:kern w:val="0"/>
              </w:rPr>
              <w:t>Per unit decrease in BMI</w:t>
            </w:r>
          </w:p>
        </w:tc>
        <w:tc>
          <w:tcPr>
            <w:tcW w:w="3686" w:type="dxa"/>
            <w:tcBorders>
              <w:top w:val="nil"/>
              <w:left w:val="nil"/>
              <w:bottom w:val="nil"/>
              <w:right w:val="nil"/>
            </w:tcBorders>
            <w:shd w:val="clear" w:color="000000" w:fill="FFFFFF"/>
            <w:vAlign w:val="center"/>
          </w:tcPr>
          <w:p>
            <w:pPr>
              <w:widowControl/>
              <w:adjustRightInd w:val="0"/>
              <w:snapToGrid w:val="0"/>
              <w:jc w:val="center"/>
              <w:rPr>
                <w:kern w:val="0"/>
              </w:rPr>
            </w:pPr>
            <w:r>
              <w:rPr>
                <w:kern w:val="0"/>
              </w:rPr>
              <w:t>0.0171</w:t>
            </w:r>
          </w:p>
        </w:tc>
      </w:tr>
      <w:tr>
        <w:tblPrEx>
          <w:tblLayout w:type="fixed"/>
          <w:tblCellMar>
            <w:top w:w="0" w:type="dxa"/>
            <w:left w:w="108" w:type="dxa"/>
            <w:bottom w:w="0" w:type="dxa"/>
            <w:right w:w="108" w:type="dxa"/>
          </w:tblCellMar>
        </w:tblPrEx>
        <w:trPr>
          <w:trHeight w:val="372" w:hRule="atLeast"/>
        </w:trPr>
        <w:tc>
          <w:tcPr>
            <w:tcW w:w="4219" w:type="dxa"/>
            <w:tcBorders>
              <w:top w:val="nil"/>
              <w:left w:val="nil"/>
              <w:bottom w:val="single" w:color="auto" w:sz="4" w:space="0"/>
              <w:right w:val="nil"/>
            </w:tcBorders>
            <w:shd w:val="clear" w:color="000000" w:fill="FFFFFF"/>
            <w:vAlign w:val="center"/>
          </w:tcPr>
          <w:p>
            <w:pPr>
              <w:widowControl/>
              <w:adjustRightInd w:val="0"/>
              <w:snapToGrid w:val="0"/>
              <w:rPr>
                <w:kern w:val="0"/>
              </w:rPr>
            </w:pPr>
            <w:r>
              <w:rPr>
                <w:kern w:val="0"/>
              </w:rPr>
              <w:t>Per unit increase in BMI</w:t>
            </w:r>
          </w:p>
        </w:tc>
        <w:tc>
          <w:tcPr>
            <w:tcW w:w="3686" w:type="dxa"/>
            <w:tcBorders>
              <w:top w:val="nil"/>
              <w:left w:val="nil"/>
              <w:bottom w:val="single" w:color="auto" w:sz="4" w:space="0"/>
              <w:right w:val="nil"/>
            </w:tcBorders>
            <w:shd w:val="clear" w:color="000000" w:fill="FFFFFF"/>
            <w:vAlign w:val="center"/>
          </w:tcPr>
          <w:p>
            <w:pPr>
              <w:widowControl/>
              <w:adjustRightInd w:val="0"/>
              <w:snapToGrid w:val="0"/>
              <w:jc w:val="center"/>
              <w:rPr>
                <w:kern w:val="0"/>
              </w:rPr>
            </w:pPr>
            <w:r>
              <w:rPr>
                <w:kern w:val="0"/>
              </w:rPr>
              <w:t>0.0472</w:t>
            </w:r>
          </w:p>
        </w:tc>
      </w:tr>
    </w:tbl>
    <w:p>
      <w:pPr>
        <w:autoSpaceDE w:val="0"/>
        <w:autoSpaceDN w:val="0"/>
        <w:adjustRightInd w:val="0"/>
        <w:snapToGrid w:val="0"/>
        <w:spacing w:afterLines="50"/>
      </w:pPr>
    </w:p>
    <w:p/>
    <w:p>
      <w:pPr>
        <w:rPr>
          <w:rFonts w:cstheme="minorHAnsi"/>
          <w:b/>
          <w:sz w:val="24"/>
          <w:szCs w:val="24"/>
        </w:rPr>
        <w:sectPr>
          <w:pgSz w:w="11906" w:h="16838"/>
          <w:pgMar w:top="1440" w:right="1797" w:bottom="1440" w:left="1797" w:header="851" w:footer="992" w:gutter="0"/>
          <w:cols w:space="425" w:num="1"/>
          <w:docGrid w:type="lines" w:linePitch="312" w:charSpace="0"/>
        </w:sectPr>
      </w:pPr>
    </w:p>
    <w:p>
      <w:pPr>
        <w:spacing w:line="360" w:lineRule="auto"/>
        <w:outlineLvl w:val="0"/>
        <w:rPr>
          <w:rFonts w:ascii="Calibri" w:hAnsi="Calibri" w:cs="Calibri"/>
          <w:b/>
          <w:sz w:val="20"/>
          <w:szCs w:val="20"/>
        </w:rPr>
      </w:pPr>
      <w:r>
        <w:rPr>
          <w:rFonts w:ascii="Calibri" w:hAnsi="Calibri" w:cs="Calibri"/>
          <w:b/>
          <w:sz w:val="20"/>
          <w:szCs w:val="20"/>
        </w:rPr>
        <w:t>Table S7: Input data for the univariate sensitivity analyses</w:t>
      </w:r>
    </w:p>
    <w:tbl>
      <w:tblPr>
        <w:tblStyle w:val="11"/>
        <w:tblW w:w="8331" w:type="dxa"/>
        <w:tblInd w:w="108" w:type="dxa"/>
        <w:tblLayout w:type="fixed"/>
        <w:tblCellMar>
          <w:top w:w="0" w:type="dxa"/>
          <w:left w:w="108" w:type="dxa"/>
          <w:bottom w:w="0" w:type="dxa"/>
          <w:right w:w="108" w:type="dxa"/>
        </w:tblCellMar>
      </w:tblPr>
      <w:tblGrid>
        <w:gridCol w:w="1670"/>
        <w:gridCol w:w="3075"/>
        <w:gridCol w:w="939"/>
        <w:gridCol w:w="1137"/>
        <w:gridCol w:w="1510"/>
      </w:tblGrid>
      <w:tr>
        <w:tblPrEx>
          <w:tblLayout w:type="fixed"/>
          <w:tblCellMar>
            <w:top w:w="0" w:type="dxa"/>
            <w:left w:w="108" w:type="dxa"/>
            <w:bottom w:w="0" w:type="dxa"/>
            <w:right w:w="108" w:type="dxa"/>
          </w:tblCellMar>
        </w:tblPrEx>
        <w:trPr>
          <w:trHeight w:val="703" w:hRule="atLeast"/>
        </w:trPr>
        <w:tc>
          <w:tcPr>
            <w:tcW w:w="1670" w:type="dxa"/>
            <w:tcBorders>
              <w:top w:val="single" w:color="auto" w:sz="4" w:space="0"/>
              <w:left w:val="nil"/>
              <w:bottom w:val="single" w:color="auto" w:sz="8" w:space="0"/>
              <w:right w:val="nil"/>
            </w:tcBorders>
            <w:shd w:val="clear" w:color="auto" w:fill="auto"/>
            <w:noWrap/>
            <w:vAlign w:val="center"/>
          </w:tcPr>
          <w:p>
            <w:pPr>
              <w:widowControl/>
              <w:jc w:val="center"/>
              <w:rPr>
                <w:rFonts w:eastAsia="宋体" w:cstheme="minorHAnsi"/>
                <w:bCs/>
                <w:kern w:val="0"/>
                <w:sz w:val="20"/>
                <w:szCs w:val="20"/>
              </w:rPr>
            </w:pPr>
            <w:r>
              <w:rPr>
                <w:rFonts w:eastAsia="宋体" w:cstheme="minorHAnsi"/>
                <w:bCs/>
                <w:kern w:val="0"/>
                <w:sz w:val="20"/>
                <w:szCs w:val="20"/>
              </w:rPr>
              <w:t>Parameter Group</w:t>
            </w:r>
          </w:p>
        </w:tc>
        <w:tc>
          <w:tcPr>
            <w:tcW w:w="3075" w:type="dxa"/>
            <w:tcBorders>
              <w:top w:val="single" w:color="auto" w:sz="4" w:space="0"/>
              <w:left w:val="nil"/>
              <w:bottom w:val="single" w:color="auto" w:sz="8" w:space="0"/>
              <w:right w:val="nil"/>
            </w:tcBorders>
            <w:shd w:val="clear" w:color="auto" w:fill="auto"/>
            <w:noWrap/>
            <w:vAlign w:val="center"/>
          </w:tcPr>
          <w:p>
            <w:pPr>
              <w:widowControl/>
              <w:jc w:val="center"/>
              <w:rPr>
                <w:rFonts w:eastAsia="宋体" w:cstheme="minorHAnsi"/>
                <w:bCs/>
                <w:kern w:val="0"/>
                <w:sz w:val="20"/>
                <w:szCs w:val="20"/>
              </w:rPr>
            </w:pPr>
            <w:r>
              <w:rPr>
                <w:rFonts w:eastAsia="宋体" w:cstheme="minorHAnsi"/>
                <w:bCs/>
                <w:kern w:val="0"/>
                <w:sz w:val="20"/>
                <w:szCs w:val="20"/>
              </w:rPr>
              <w:t>Parameter</w:t>
            </w:r>
          </w:p>
        </w:tc>
        <w:tc>
          <w:tcPr>
            <w:tcW w:w="939" w:type="dxa"/>
            <w:tcBorders>
              <w:top w:val="single" w:color="auto" w:sz="4" w:space="0"/>
              <w:left w:val="nil"/>
              <w:bottom w:val="single" w:color="auto" w:sz="8" w:space="0"/>
              <w:right w:val="nil"/>
            </w:tcBorders>
            <w:shd w:val="clear" w:color="auto" w:fill="auto"/>
            <w:noWrap/>
            <w:vAlign w:val="center"/>
          </w:tcPr>
          <w:p>
            <w:pPr>
              <w:widowControl/>
              <w:jc w:val="center"/>
              <w:rPr>
                <w:rFonts w:eastAsia="宋体" w:cstheme="minorHAnsi"/>
                <w:bCs/>
                <w:kern w:val="0"/>
                <w:sz w:val="20"/>
                <w:szCs w:val="20"/>
              </w:rPr>
            </w:pPr>
            <w:r>
              <w:rPr>
                <w:rFonts w:eastAsia="宋体" w:cstheme="minorHAnsi"/>
                <w:bCs/>
                <w:kern w:val="0"/>
                <w:sz w:val="20"/>
                <w:szCs w:val="20"/>
              </w:rPr>
              <w:t>Upper Value</w:t>
            </w:r>
          </w:p>
        </w:tc>
        <w:tc>
          <w:tcPr>
            <w:tcW w:w="1137" w:type="dxa"/>
            <w:tcBorders>
              <w:top w:val="single" w:color="auto" w:sz="4" w:space="0"/>
              <w:left w:val="nil"/>
              <w:bottom w:val="single" w:color="auto" w:sz="8" w:space="0"/>
              <w:right w:val="nil"/>
            </w:tcBorders>
            <w:shd w:val="clear" w:color="auto" w:fill="auto"/>
            <w:noWrap/>
            <w:vAlign w:val="center"/>
          </w:tcPr>
          <w:p>
            <w:pPr>
              <w:widowControl/>
              <w:jc w:val="center"/>
              <w:rPr>
                <w:rFonts w:eastAsia="宋体" w:cstheme="minorHAnsi"/>
                <w:bCs/>
                <w:kern w:val="0"/>
                <w:sz w:val="20"/>
                <w:szCs w:val="20"/>
              </w:rPr>
            </w:pPr>
            <w:r>
              <w:rPr>
                <w:rFonts w:eastAsia="宋体" w:cstheme="minorHAnsi"/>
                <w:bCs/>
                <w:kern w:val="0"/>
                <w:sz w:val="20"/>
                <w:szCs w:val="20"/>
              </w:rPr>
              <w:t>Lower Value</w:t>
            </w:r>
          </w:p>
        </w:tc>
        <w:tc>
          <w:tcPr>
            <w:tcW w:w="1510" w:type="dxa"/>
            <w:tcBorders>
              <w:top w:val="single" w:color="auto" w:sz="4" w:space="0"/>
              <w:left w:val="nil"/>
              <w:bottom w:val="single" w:color="auto" w:sz="8" w:space="0"/>
              <w:right w:val="nil"/>
            </w:tcBorders>
            <w:shd w:val="clear" w:color="auto" w:fill="auto"/>
            <w:noWrap/>
            <w:vAlign w:val="center"/>
          </w:tcPr>
          <w:p>
            <w:pPr>
              <w:widowControl/>
              <w:jc w:val="center"/>
              <w:rPr>
                <w:rFonts w:eastAsia="宋体" w:cstheme="minorHAnsi"/>
                <w:bCs/>
                <w:kern w:val="0"/>
                <w:sz w:val="20"/>
                <w:szCs w:val="20"/>
              </w:rPr>
            </w:pPr>
            <w:r>
              <w:rPr>
                <w:rFonts w:eastAsia="宋体" w:cstheme="minorHAnsi"/>
                <w:bCs/>
                <w:kern w:val="0"/>
                <w:sz w:val="20"/>
                <w:szCs w:val="20"/>
              </w:rPr>
              <w:t>Variation Type</w:t>
            </w:r>
          </w:p>
        </w:tc>
      </w:tr>
      <w:tr>
        <w:tblPrEx>
          <w:tblLayout w:type="fixed"/>
          <w:tblCellMar>
            <w:top w:w="0" w:type="dxa"/>
            <w:left w:w="108" w:type="dxa"/>
            <w:bottom w:w="0" w:type="dxa"/>
            <w:right w:w="108" w:type="dxa"/>
          </w:tblCellMar>
        </w:tblPrEx>
        <w:trPr>
          <w:trHeight w:val="299" w:hRule="atLeast"/>
        </w:trPr>
        <w:tc>
          <w:tcPr>
            <w:tcW w:w="1670" w:type="dxa"/>
            <w:vMerge w:val="restart"/>
            <w:tcBorders>
              <w:top w:val="nil"/>
              <w:left w:val="nil"/>
              <w:bottom w:val="single" w:color="000000" w:sz="4" w:space="0"/>
              <w:right w:val="nil"/>
            </w:tcBorders>
            <w:shd w:val="clear" w:color="auto" w:fill="auto"/>
            <w:vAlign w:val="center"/>
          </w:tcPr>
          <w:p>
            <w:pPr>
              <w:widowControl/>
              <w:jc w:val="left"/>
              <w:rPr>
                <w:rFonts w:eastAsia="宋体" w:cstheme="minorHAnsi"/>
                <w:color w:val="000000"/>
                <w:kern w:val="0"/>
                <w:sz w:val="20"/>
                <w:szCs w:val="20"/>
              </w:rPr>
            </w:pPr>
            <w:r>
              <w:rPr>
                <w:rFonts w:eastAsia="宋体" w:cstheme="minorHAnsi"/>
                <w:color w:val="000000"/>
                <w:kern w:val="0"/>
                <w:sz w:val="20"/>
                <w:szCs w:val="20"/>
              </w:rPr>
              <w:t>Model Settings</w:t>
            </w: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Discounting (%)</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0</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0.06</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Absolute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single" w:color="auto" w:sz="4" w:space="0"/>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Time horizon (years)</w:t>
            </w:r>
          </w:p>
        </w:tc>
        <w:tc>
          <w:tcPr>
            <w:tcW w:w="939"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20</w:t>
            </w:r>
          </w:p>
        </w:tc>
        <w:tc>
          <w:tcPr>
            <w:tcW w:w="1137"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5</w:t>
            </w:r>
          </w:p>
        </w:tc>
        <w:tc>
          <w:tcPr>
            <w:tcW w:w="1510"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Absolute</w:t>
            </w:r>
          </w:p>
        </w:tc>
      </w:tr>
      <w:tr>
        <w:tblPrEx>
          <w:tblLayout w:type="fixed"/>
          <w:tblCellMar>
            <w:top w:w="0" w:type="dxa"/>
            <w:left w:w="108" w:type="dxa"/>
            <w:bottom w:w="0" w:type="dxa"/>
            <w:right w:w="108" w:type="dxa"/>
          </w:tblCellMar>
        </w:tblPrEx>
        <w:trPr>
          <w:trHeight w:val="299" w:hRule="atLeast"/>
        </w:trPr>
        <w:tc>
          <w:tcPr>
            <w:tcW w:w="1670" w:type="dxa"/>
            <w:vMerge w:val="restart"/>
            <w:tcBorders>
              <w:top w:val="nil"/>
              <w:left w:val="nil"/>
              <w:bottom w:val="single" w:color="000000" w:sz="4" w:space="0"/>
              <w:right w:val="nil"/>
            </w:tcBorders>
            <w:shd w:val="clear" w:color="auto" w:fill="auto"/>
            <w:vAlign w:val="center"/>
          </w:tcPr>
          <w:p>
            <w:pPr>
              <w:widowControl/>
              <w:jc w:val="left"/>
              <w:rPr>
                <w:rFonts w:eastAsia="宋体" w:cstheme="minorHAnsi"/>
                <w:color w:val="000000"/>
                <w:kern w:val="0"/>
                <w:sz w:val="20"/>
                <w:szCs w:val="20"/>
              </w:rPr>
            </w:pPr>
            <w:r>
              <w:rPr>
                <w:rFonts w:eastAsia="宋体" w:cstheme="minorHAnsi"/>
                <w:color w:val="000000"/>
                <w:kern w:val="0"/>
                <w:sz w:val="20"/>
                <w:szCs w:val="20"/>
              </w:rPr>
              <w:t>Patient Demographics</w:t>
            </w: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Age (years)</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60</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30</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Absolute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Proportion female (%)</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1</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0</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Absolute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single" w:color="auto" w:sz="4" w:space="0"/>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Current smoker (%)</w:t>
            </w:r>
          </w:p>
        </w:tc>
        <w:tc>
          <w:tcPr>
            <w:tcW w:w="939"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1</w:t>
            </w:r>
          </w:p>
        </w:tc>
        <w:tc>
          <w:tcPr>
            <w:tcW w:w="1137"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0</w:t>
            </w:r>
          </w:p>
        </w:tc>
        <w:tc>
          <w:tcPr>
            <w:tcW w:w="1510"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Absolute</w:t>
            </w:r>
          </w:p>
        </w:tc>
      </w:tr>
      <w:tr>
        <w:tblPrEx>
          <w:tblLayout w:type="fixed"/>
          <w:tblCellMar>
            <w:top w:w="0" w:type="dxa"/>
            <w:left w:w="108" w:type="dxa"/>
            <w:bottom w:w="0" w:type="dxa"/>
            <w:right w:w="108" w:type="dxa"/>
          </w:tblCellMar>
        </w:tblPrEx>
        <w:trPr>
          <w:trHeight w:val="299" w:hRule="atLeast"/>
        </w:trPr>
        <w:tc>
          <w:tcPr>
            <w:tcW w:w="1670" w:type="dxa"/>
            <w:vMerge w:val="restart"/>
            <w:tcBorders>
              <w:top w:val="nil"/>
              <w:left w:val="nil"/>
              <w:bottom w:val="single" w:color="000000" w:sz="4" w:space="0"/>
              <w:right w:val="nil"/>
            </w:tcBorders>
            <w:shd w:val="clear" w:color="auto" w:fill="auto"/>
            <w:vAlign w:val="center"/>
          </w:tcPr>
          <w:p>
            <w:pPr>
              <w:widowControl/>
              <w:jc w:val="left"/>
              <w:rPr>
                <w:rFonts w:eastAsia="宋体" w:cstheme="minorHAnsi"/>
                <w:color w:val="000000"/>
                <w:kern w:val="0"/>
                <w:sz w:val="20"/>
                <w:szCs w:val="20"/>
              </w:rPr>
            </w:pPr>
            <w:r>
              <w:rPr>
                <w:rFonts w:eastAsia="宋体" w:cstheme="minorHAnsi"/>
                <w:color w:val="000000"/>
                <w:kern w:val="0"/>
                <w:sz w:val="20"/>
                <w:szCs w:val="20"/>
              </w:rPr>
              <w:t xml:space="preserve">Patient Clinical </w:t>
            </w:r>
            <w:r>
              <w:rPr>
                <w:rFonts w:eastAsia="宋体" w:cstheme="minorHAnsi"/>
                <w:color w:val="000000"/>
                <w:kern w:val="0"/>
                <w:sz w:val="20"/>
                <w:szCs w:val="20"/>
              </w:rPr>
              <w:br w:type="textWrapping"/>
            </w:r>
            <w:r>
              <w:rPr>
                <w:rFonts w:eastAsia="宋体" w:cstheme="minorHAnsi"/>
                <w:color w:val="000000"/>
                <w:kern w:val="0"/>
                <w:sz w:val="20"/>
                <w:szCs w:val="20"/>
              </w:rPr>
              <w:t>Risk Factors</w:t>
            </w: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HbA1c (%)</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Total cholesterol (%)</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HDL cholesterol (%)</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Systolic blood pressure (mmHg)</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single" w:color="auto" w:sz="4" w:space="0"/>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Weight (kg)</w:t>
            </w:r>
          </w:p>
        </w:tc>
        <w:tc>
          <w:tcPr>
            <w:tcW w:w="939"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restart"/>
            <w:tcBorders>
              <w:top w:val="nil"/>
              <w:left w:val="nil"/>
              <w:bottom w:val="single" w:color="000000" w:sz="4" w:space="0"/>
              <w:right w:val="nil"/>
            </w:tcBorders>
            <w:shd w:val="clear" w:color="auto" w:fill="auto"/>
            <w:vAlign w:val="center"/>
          </w:tcPr>
          <w:p>
            <w:pPr>
              <w:widowControl/>
              <w:jc w:val="left"/>
              <w:rPr>
                <w:rFonts w:eastAsia="宋体" w:cstheme="minorHAnsi"/>
                <w:color w:val="000000"/>
                <w:kern w:val="0"/>
                <w:sz w:val="20"/>
                <w:szCs w:val="20"/>
              </w:rPr>
            </w:pPr>
            <w:r>
              <w:rPr>
                <w:rFonts w:eastAsia="宋体" w:cstheme="minorHAnsi"/>
                <w:color w:val="000000"/>
                <w:kern w:val="0"/>
                <w:sz w:val="20"/>
                <w:szCs w:val="20"/>
              </w:rPr>
              <w:t>Treatment</w:t>
            </w: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HbA1c treatment effect (%)</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Weight treatment effect (kg)</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Non-severe hypoglycemia rates</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Severe hypoglycemia rates</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single" w:color="auto" w:sz="4" w:space="0"/>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Adverse event rates</w:t>
            </w:r>
          </w:p>
        </w:tc>
        <w:tc>
          <w:tcPr>
            <w:tcW w:w="939"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restart"/>
            <w:tcBorders>
              <w:top w:val="nil"/>
              <w:left w:val="nil"/>
              <w:bottom w:val="single" w:color="000000" w:sz="4" w:space="0"/>
              <w:right w:val="nil"/>
            </w:tcBorders>
            <w:shd w:val="clear" w:color="auto" w:fill="auto"/>
            <w:vAlign w:val="center"/>
          </w:tcPr>
          <w:p>
            <w:pPr>
              <w:widowControl/>
              <w:jc w:val="left"/>
              <w:rPr>
                <w:rFonts w:eastAsia="宋体" w:cstheme="minorHAnsi"/>
                <w:color w:val="000000"/>
                <w:kern w:val="0"/>
                <w:sz w:val="20"/>
                <w:szCs w:val="20"/>
              </w:rPr>
            </w:pPr>
            <w:r>
              <w:rPr>
                <w:rFonts w:eastAsia="宋体" w:cstheme="minorHAnsi"/>
                <w:color w:val="000000"/>
                <w:kern w:val="0"/>
                <w:sz w:val="20"/>
                <w:szCs w:val="20"/>
              </w:rPr>
              <w:t>Costs</w:t>
            </w: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Event costs</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single" w:color="auto" w:sz="4" w:space="0"/>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BMI costs</w:t>
            </w:r>
          </w:p>
        </w:tc>
        <w:tc>
          <w:tcPr>
            <w:tcW w:w="939"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restart"/>
            <w:tcBorders>
              <w:top w:val="nil"/>
              <w:left w:val="nil"/>
              <w:bottom w:val="single" w:color="000000" w:sz="4" w:space="0"/>
              <w:right w:val="nil"/>
            </w:tcBorders>
            <w:shd w:val="clear" w:color="auto" w:fill="auto"/>
            <w:vAlign w:val="center"/>
          </w:tcPr>
          <w:p>
            <w:pPr>
              <w:widowControl/>
              <w:jc w:val="left"/>
              <w:rPr>
                <w:rFonts w:eastAsia="宋体" w:cstheme="minorHAnsi"/>
                <w:color w:val="000000"/>
                <w:kern w:val="0"/>
                <w:sz w:val="20"/>
                <w:szCs w:val="20"/>
              </w:rPr>
            </w:pPr>
            <w:r>
              <w:rPr>
                <w:rFonts w:eastAsia="宋体" w:cstheme="minorHAnsi"/>
                <w:color w:val="000000"/>
                <w:kern w:val="0"/>
                <w:sz w:val="20"/>
                <w:szCs w:val="20"/>
              </w:rPr>
              <w:t>Health Utility</w:t>
            </w: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Baseline utility</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nil"/>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Event disutility</w:t>
            </w:r>
          </w:p>
        </w:tc>
        <w:tc>
          <w:tcPr>
            <w:tcW w:w="939"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nil"/>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r>
        <w:tblPrEx>
          <w:tblLayout w:type="fixed"/>
          <w:tblCellMar>
            <w:top w:w="0" w:type="dxa"/>
            <w:left w:w="108" w:type="dxa"/>
            <w:bottom w:w="0" w:type="dxa"/>
            <w:right w:w="108" w:type="dxa"/>
          </w:tblCellMar>
        </w:tblPrEx>
        <w:trPr>
          <w:trHeight w:val="299" w:hRule="atLeast"/>
        </w:trPr>
        <w:tc>
          <w:tcPr>
            <w:tcW w:w="1670" w:type="dxa"/>
            <w:vMerge w:val="continue"/>
            <w:tcBorders>
              <w:top w:val="nil"/>
              <w:left w:val="nil"/>
              <w:bottom w:val="single" w:color="000000" w:sz="4" w:space="0"/>
              <w:right w:val="nil"/>
            </w:tcBorders>
            <w:vAlign w:val="center"/>
          </w:tcPr>
          <w:p>
            <w:pPr>
              <w:widowControl/>
              <w:jc w:val="left"/>
              <w:rPr>
                <w:rFonts w:eastAsia="宋体" w:cstheme="minorHAnsi"/>
                <w:color w:val="000000"/>
                <w:kern w:val="0"/>
                <w:sz w:val="20"/>
                <w:szCs w:val="20"/>
              </w:rPr>
            </w:pPr>
          </w:p>
        </w:tc>
        <w:tc>
          <w:tcPr>
            <w:tcW w:w="3075" w:type="dxa"/>
            <w:tcBorders>
              <w:top w:val="nil"/>
              <w:left w:val="nil"/>
              <w:bottom w:val="single" w:color="auto" w:sz="4" w:space="0"/>
              <w:right w:val="nil"/>
            </w:tcBorders>
            <w:shd w:val="clear" w:color="auto" w:fill="auto"/>
            <w:noWrap/>
            <w:vAlign w:val="bottom"/>
          </w:tcPr>
          <w:p>
            <w:pPr>
              <w:widowControl/>
              <w:jc w:val="left"/>
              <w:rPr>
                <w:rFonts w:eastAsia="宋体" w:cstheme="minorHAnsi"/>
                <w:color w:val="000000"/>
                <w:kern w:val="0"/>
                <w:sz w:val="20"/>
                <w:szCs w:val="20"/>
              </w:rPr>
            </w:pPr>
            <w:r>
              <w:rPr>
                <w:rFonts w:eastAsia="宋体" w:cstheme="minorHAnsi"/>
                <w:color w:val="000000"/>
                <w:kern w:val="0"/>
                <w:sz w:val="20"/>
                <w:szCs w:val="20"/>
              </w:rPr>
              <w:t>BMI-related utility</w:t>
            </w:r>
          </w:p>
        </w:tc>
        <w:tc>
          <w:tcPr>
            <w:tcW w:w="939"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137"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25</w:t>
            </w:r>
          </w:p>
        </w:tc>
        <w:tc>
          <w:tcPr>
            <w:tcW w:w="1510" w:type="dxa"/>
            <w:tcBorders>
              <w:top w:val="nil"/>
              <w:left w:val="nil"/>
              <w:bottom w:val="single" w:color="auto" w:sz="4" w:space="0"/>
              <w:right w:val="nil"/>
            </w:tcBorders>
            <w:shd w:val="clear" w:color="auto" w:fill="auto"/>
            <w:noWrap/>
            <w:vAlign w:val="bottom"/>
          </w:tcPr>
          <w:p>
            <w:pPr>
              <w:widowControl/>
              <w:jc w:val="center"/>
              <w:rPr>
                <w:rFonts w:eastAsia="宋体" w:cstheme="minorHAnsi"/>
                <w:color w:val="000000"/>
                <w:kern w:val="0"/>
                <w:sz w:val="20"/>
                <w:szCs w:val="20"/>
              </w:rPr>
            </w:pPr>
            <w:r>
              <w:rPr>
                <w:rFonts w:eastAsia="宋体" w:cstheme="minorHAnsi"/>
                <w:color w:val="000000"/>
                <w:kern w:val="0"/>
                <w:sz w:val="20"/>
                <w:szCs w:val="20"/>
              </w:rPr>
              <w:t>Percentage</w:t>
            </w:r>
          </w:p>
        </w:tc>
      </w:tr>
    </w:tbl>
    <w:p>
      <w:pPr>
        <w:spacing w:line="360" w:lineRule="auto"/>
        <w:outlineLvl w:val="0"/>
        <w:rPr>
          <w:rFonts w:ascii="Calibri" w:hAnsi="Calibri" w:cs="Calibri"/>
          <w:b/>
          <w:sz w:val="24"/>
          <w:szCs w:val="24"/>
        </w:rPr>
      </w:pPr>
    </w:p>
    <w:p>
      <w:pPr>
        <w:rPr>
          <w:rFonts w:cstheme="minorHAnsi"/>
          <w:b/>
          <w:sz w:val="24"/>
          <w:szCs w:val="24"/>
        </w:rPr>
        <w:sectPr>
          <w:pgSz w:w="11906" w:h="16838"/>
          <w:pgMar w:top="1440" w:right="1797" w:bottom="1440" w:left="1797" w:header="851" w:footer="992" w:gutter="0"/>
          <w:cols w:space="425" w:num="1"/>
          <w:docGrid w:type="linesAndChars" w:linePitch="312" w:charSpace="0"/>
        </w:sectPr>
      </w:pPr>
    </w:p>
    <w:p>
      <w:pPr>
        <w:rPr>
          <w:rFonts w:cstheme="minorHAnsi"/>
          <w:b/>
          <w:sz w:val="20"/>
          <w:szCs w:val="20"/>
        </w:rPr>
      </w:pPr>
      <w:r>
        <w:rPr>
          <w:rFonts w:cstheme="minorHAnsi"/>
          <w:b/>
          <w:sz w:val="20"/>
          <w:szCs w:val="20"/>
        </w:rPr>
        <w:t xml:space="preserve">Table S8: Absolute changes from baseline in dapagliflozin </w:t>
      </w:r>
      <w:r>
        <w:rPr>
          <w:rFonts w:hint="eastAsia" w:cstheme="minorHAnsi"/>
          <w:b/>
          <w:sz w:val="20"/>
          <w:szCs w:val="20"/>
        </w:rPr>
        <w:t>t</w:t>
      </w:r>
      <w:r>
        <w:rPr>
          <w:rFonts w:cstheme="minorHAnsi"/>
          <w:b/>
          <w:sz w:val="20"/>
          <w:szCs w:val="20"/>
        </w:rPr>
        <w:t>reatment</w:t>
      </w:r>
      <w:r>
        <w:rPr>
          <w:rFonts w:hint="eastAsia" w:cstheme="minorHAnsi"/>
          <w:b/>
          <w:sz w:val="20"/>
          <w:szCs w:val="20"/>
        </w:rPr>
        <w:t xml:space="preserve"> </w:t>
      </w:r>
      <w:r>
        <w:rPr>
          <w:rFonts w:cstheme="minorHAnsi"/>
          <w:b/>
          <w:sz w:val="20"/>
          <w:szCs w:val="20"/>
        </w:rPr>
        <w:t xml:space="preserve">and metformin </w:t>
      </w:r>
      <w:r>
        <w:rPr>
          <w:rFonts w:hint="eastAsia" w:cstheme="minorHAnsi"/>
          <w:b/>
          <w:sz w:val="20"/>
          <w:szCs w:val="20"/>
        </w:rPr>
        <w:t>t</w:t>
      </w:r>
      <w:r>
        <w:rPr>
          <w:rFonts w:cstheme="minorHAnsi"/>
          <w:b/>
          <w:sz w:val="20"/>
          <w:szCs w:val="20"/>
        </w:rPr>
        <w:t>reatment as first line therapy, second line therapy and third line therapy</w:t>
      </w:r>
    </w:p>
    <w:p>
      <w:pPr>
        <w:tabs>
          <w:tab w:val="left" w:pos="5376"/>
        </w:tabs>
        <w:rPr>
          <w:rFonts w:cstheme="minorHAnsi"/>
          <w:b/>
          <w:sz w:val="24"/>
          <w:szCs w:val="24"/>
        </w:rPr>
      </w:pPr>
      <w:r>
        <w:rPr>
          <w:rFonts w:cstheme="minorHAnsi"/>
          <w:b/>
          <w:sz w:val="24"/>
          <w:szCs w:val="24"/>
        </w:rPr>
        <w:tab/>
      </w:r>
    </w:p>
    <w:tbl>
      <w:tblPr>
        <w:tblStyle w:val="12"/>
        <w:tblW w:w="8528"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7"/>
        <w:gridCol w:w="1264"/>
        <w:gridCol w:w="1433"/>
        <w:gridCol w:w="819"/>
        <w:gridCol w:w="1282"/>
        <w:gridCol w:w="1431"/>
        <w:gridCol w:w="752"/>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top w:val="single" w:color="000000" w:themeColor="text1" w:sz="8" w:space="0"/>
              <w:left w:val="nil"/>
              <w:bottom w:val="nil"/>
              <w:right w:val="nil"/>
              <w:insideV w:val="nil"/>
            </w:tcBorders>
          </w:tcPr>
          <w:p>
            <w:pPr>
              <w:spacing w:before="0" w:after="0" w:line="240" w:lineRule="auto"/>
              <w:rPr>
                <w:rFonts w:cstheme="minorHAnsi"/>
                <w:b/>
                <w:bCs/>
                <w:color w:val="000000" w:themeColor="text1" w:themeShade="BF"/>
                <w:sz w:val="20"/>
                <w:szCs w:val="20"/>
              </w:rPr>
            </w:pPr>
            <w:r>
              <w:rPr>
                <w:rFonts w:cstheme="minorHAnsi"/>
                <w:b/>
                <w:bCs/>
                <w:color w:val="000000" w:themeColor="text1" w:themeShade="BF"/>
                <w:sz w:val="20"/>
                <w:szCs w:val="20"/>
              </w:rPr>
              <w:t xml:space="preserve">Variables </w:t>
            </w:r>
          </w:p>
        </w:tc>
        <w:tc>
          <w:tcPr>
            <w:tcW w:w="3516" w:type="dxa"/>
            <w:gridSpan w:val="3"/>
            <w:tcBorders>
              <w:top w:val="single" w:color="000000" w:themeColor="text1" w:sz="8" w:space="0"/>
              <w:bottom w:val="single" w:color="auto" w:sz="4" w:space="0"/>
              <w:right w:val="nil"/>
              <w:insideV w:val="nil"/>
            </w:tcBorders>
          </w:tcPr>
          <w:p>
            <w:pPr>
              <w:spacing w:before="0" w:after="0" w:line="240" w:lineRule="auto"/>
              <w:rPr>
                <w:rFonts w:cstheme="minorHAnsi"/>
                <w:b/>
                <w:bCs/>
                <w:color w:val="000000" w:themeColor="text1" w:themeShade="BF"/>
                <w:sz w:val="20"/>
                <w:szCs w:val="20"/>
              </w:rPr>
            </w:pPr>
            <w:r>
              <w:rPr>
                <w:rFonts w:cstheme="minorHAnsi"/>
                <w:b/>
                <w:bCs/>
                <w:color w:val="000000" w:themeColor="text1" w:themeShade="BF"/>
                <w:sz w:val="20"/>
                <w:szCs w:val="20"/>
              </w:rPr>
              <w:t xml:space="preserve">dapagliflozin </w:t>
            </w:r>
          </w:p>
        </w:tc>
        <w:tc>
          <w:tcPr>
            <w:tcW w:w="3465" w:type="dxa"/>
            <w:gridSpan w:val="3"/>
            <w:tcBorders>
              <w:top w:val="single" w:color="000000" w:themeColor="text1" w:sz="8" w:space="0"/>
              <w:bottom w:val="single" w:color="auto" w:sz="4" w:space="0"/>
              <w:right w:val="nil"/>
              <w:insideV w:val="nil"/>
            </w:tcBorders>
          </w:tcPr>
          <w:p>
            <w:pPr>
              <w:spacing w:before="0" w:after="0" w:line="240" w:lineRule="auto"/>
              <w:rPr>
                <w:rFonts w:cstheme="minorHAnsi"/>
                <w:b/>
                <w:bCs/>
                <w:color w:val="000000" w:themeColor="text1" w:themeShade="BF"/>
                <w:sz w:val="20"/>
                <w:szCs w:val="20"/>
              </w:rPr>
            </w:pPr>
            <w:r>
              <w:rPr>
                <w:rFonts w:cstheme="minorHAnsi"/>
                <w:b/>
                <w:bCs/>
                <w:color w:val="000000" w:themeColor="text1" w:themeShade="BF"/>
                <w:sz w:val="20"/>
                <w:szCs w:val="20"/>
              </w:rPr>
              <w:t xml:space="preserve">metformin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top w:val="nil"/>
              <w:left w:val="nil"/>
              <w:bottom w:val="single" w:color="auto" w:sz="4" w:space="0"/>
              <w:right w:val="nil"/>
              <w:insideV w:val="nil"/>
            </w:tcBorders>
            <w:shd w:val="clear" w:color="auto" w:fill="auto"/>
          </w:tcPr>
          <w:p>
            <w:pPr>
              <w:rPr>
                <w:rFonts w:cstheme="minorHAnsi"/>
                <w:b w:val="0"/>
                <w:bCs/>
                <w:color w:val="000000" w:themeColor="text1" w:themeShade="BF"/>
                <w:sz w:val="20"/>
                <w:szCs w:val="20"/>
              </w:rPr>
            </w:pPr>
          </w:p>
        </w:tc>
        <w:tc>
          <w:tcPr>
            <w:tcW w:w="1264"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change from baseline</w:t>
            </w:r>
          </w:p>
        </w:tc>
        <w:tc>
          <w:tcPr>
            <w:tcW w:w="1433"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95%CI</w:t>
            </w:r>
          </w:p>
        </w:tc>
        <w:tc>
          <w:tcPr>
            <w:tcW w:w="819"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P</w:t>
            </w:r>
          </w:p>
        </w:tc>
        <w:tc>
          <w:tcPr>
            <w:tcW w:w="1282"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change from baseline</w:t>
            </w:r>
          </w:p>
        </w:tc>
        <w:tc>
          <w:tcPr>
            <w:tcW w:w="1431"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95%CI</w:t>
            </w:r>
          </w:p>
        </w:tc>
        <w:tc>
          <w:tcPr>
            <w:tcW w:w="752"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P</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8" w:type="dxa"/>
            <w:gridSpan w:val="7"/>
            <w:tcBorders>
              <w:top w:val="single" w:color="auto" w:sz="4" w:space="0"/>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First line therapy (monotherapy)</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HbA1c (%)</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-1.45</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-1.59, -1.31</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-1.44</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-1.59, -1.29</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Weight (kg)</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-2.73</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-3.19, -2.27</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-1.36</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-1.83, -0.89</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SBP (mmHg)</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-4.01</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0.9</w:t>
            </w:r>
            <w:r>
              <w:rPr>
                <w:rFonts w:cstheme="minorHAnsi"/>
                <w:b/>
                <w:color w:val="000000" w:themeColor="text1" w:themeShade="BF"/>
                <w:sz w:val="20"/>
                <w:szCs w:val="20"/>
              </w:rPr>
              <w:t>*</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-1.2</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1.0</w:t>
            </w:r>
            <w:r>
              <w:rPr>
                <w:rFonts w:cstheme="minorHAnsi"/>
                <w:b/>
                <w:color w:val="000000" w:themeColor="text1" w:themeShade="BF"/>
                <w:sz w:val="20"/>
                <w:szCs w:val="20"/>
              </w:rPr>
              <w:t>*</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DBP (mmHg)</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-1.9</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0.5</w:t>
            </w:r>
            <w:r>
              <w:rPr>
                <w:rFonts w:cstheme="minorHAnsi"/>
                <w:b/>
                <w:color w:val="000000" w:themeColor="text1" w:themeShade="BF"/>
                <w:sz w:val="20"/>
                <w:szCs w:val="20"/>
              </w:rPr>
              <w:t>*</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0.6</w:t>
            </w:r>
            <w:r>
              <w:rPr>
                <w:rFonts w:cstheme="minorHAnsi"/>
                <w:b/>
                <w:color w:val="000000" w:themeColor="text1" w:themeShade="BF"/>
                <w:sz w:val="20"/>
                <w:szCs w:val="20"/>
              </w:rPr>
              <w:t>*</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TCHO(mmol/l)</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TG(mmol/l)</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LDLC(mmol/l)</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HDLC(mmol/l)</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SUA(umol/l)</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-33.3</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3.6</w:t>
            </w:r>
            <w:r>
              <w:rPr>
                <w:rFonts w:cstheme="minorHAnsi"/>
                <w:b/>
                <w:color w:val="000000" w:themeColor="text1" w:themeShade="BF"/>
                <w:sz w:val="20"/>
                <w:szCs w:val="20"/>
              </w:rPr>
              <w:t>*</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18.4</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3.6</w:t>
            </w:r>
            <w:r>
              <w:rPr>
                <w:rFonts w:cstheme="minorHAnsi"/>
                <w:b/>
                <w:color w:val="000000" w:themeColor="text1" w:themeShade="BF"/>
                <w:sz w:val="20"/>
                <w:szCs w:val="20"/>
              </w:rPr>
              <w:t>*</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8" w:type="dxa"/>
            <w:gridSpan w:val="7"/>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Second line therapy (add on SU/TZD/DPP4i)</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HbA1c (%)</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-1.008</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-1.723,-0.293</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0.006</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-1.222</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-1.545, -0.898</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Weight (kg)</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-0.841</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-1.584, -0.098</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0.027</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1.442</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0.931, 1.953</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SBP (mmHg)</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-2.2</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-4.552, 0.152</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-2.842</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-4.193, -1.491</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DBP (mmHg)</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-2.4</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-3.772, -1.028</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TCHO(mmol/l)</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1.807</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1.528, 2.086</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TG(mmol/l)</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-0.089</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-0.477, 0.299</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0.653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LDLC(mmol/l)</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0.139</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-0.100, 0.379</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0.255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HDLC(mmol/l)</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0.113</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-0.058, 0.285</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0.195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SUA(umol/l)</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-26.17</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-35.77, -16.57</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8" w:type="dxa"/>
            <w:gridSpan w:val="7"/>
          </w:tcPr>
          <w:p>
            <w:pPr>
              <w:rPr>
                <w:rFonts w:cstheme="minorHAnsi"/>
                <w:b/>
                <w:bCs/>
                <w:color w:val="000000" w:themeColor="text1" w:themeShade="BF"/>
                <w:sz w:val="20"/>
                <w:szCs w:val="20"/>
              </w:rPr>
            </w:pPr>
            <w:r>
              <w:rPr>
                <w:rFonts w:cstheme="minorHAnsi"/>
                <w:b/>
                <w:bCs/>
                <w:color w:val="000000" w:themeColor="text1" w:themeShade="BF"/>
                <w:sz w:val="20"/>
                <w:szCs w:val="20"/>
              </w:rPr>
              <w:t>Third line therapy (add on insulin)</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HbA1c (%)</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-0.61</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-1.089, -0.132</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0.012</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-0.752</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-2.008, 0.504</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0.24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Weight (kg)</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-2.578</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-3.23, -1.927</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3.05</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-14.01,20.11</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0.726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SBP (mmHg)</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-3.734</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-5.747, -1.722</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0.00</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-12.931</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-27.666,1.804</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0.085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DBP (mmHg)</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-2.668</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-4.733, -0.604</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0.011</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-6.444</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-21.179, 8.291</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0.391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TCHO(mmol/l)</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-0.09</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-0.698, 0.518</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0.772</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-0.982</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-2.357, 0.392</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0.161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TG(mmol/l)</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-0.06</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-0.746, 0.626</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0.864</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-0.31</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-1.684, 1.063</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0.658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LDLC(mmol/l)</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-0.100</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-0.649, 0.449</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0.721</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-1.311</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-2.962, 0.340</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0.120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HDLC(mmol/l)</w:t>
            </w:r>
          </w:p>
        </w:tc>
        <w:tc>
          <w:tcPr>
            <w:tcW w:w="1264"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-0.020</w:t>
            </w:r>
          </w:p>
        </w:tc>
        <w:tc>
          <w:tcPr>
            <w:tcW w:w="1433"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-0.118,0.078</w:t>
            </w:r>
          </w:p>
        </w:tc>
        <w:tc>
          <w:tcPr>
            <w:tcW w:w="81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0.689</w:t>
            </w:r>
          </w:p>
        </w:tc>
        <w:tc>
          <w:tcPr>
            <w:tcW w:w="128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0.055</w:t>
            </w:r>
          </w:p>
        </w:tc>
        <w:tc>
          <w:tcPr>
            <w:tcW w:w="143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-0.084, 0.193</w:t>
            </w:r>
          </w:p>
        </w:tc>
        <w:tc>
          <w:tcPr>
            <w:tcW w:w="752"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0.438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47" w:type="dxa"/>
            <w:tcBorders>
              <w:left w:val="nil"/>
              <w:right w:val="nil"/>
              <w:insideV w:val="nil"/>
            </w:tcBorders>
            <w:shd w:val="clear" w:color="auto" w:fill="auto"/>
          </w:tcPr>
          <w:p>
            <w:pPr>
              <w:rPr>
                <w:rFonts w:cstheme="minorHAnsi"/>
                <w:b w:val="0"/>
                <w:bCs/>
                <w:color w:val="000000" w:themeColor="text1" w:themeShade="BF"/>
                <w:sz w:val="20"/>
                <w:szCs w:val="20"/>
              </w:rPr>
            </w:pPr>
            <w:r>
              <w:rPr>
                <w:rFonts w:cstheme="minorHAnsi"/>
                <w:b w:val="0"/>
                <w:bCs/>
                <w:color w:val="000000" w:themeColor="text1" w:themeShade="BF"/>
                <w:sz w:val="20"/>
                <w:szCs w:val="20"/>
              </w:rPr>
              <w:t>SUA(umol/l)</w:t>
            </w:r>
          </w:p>
        </w:tc>
        <w:tc>
          <w:tcPr>
            <w:tcW w:w="1264"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-14.28</w:t>
            </w:r>
          </w:p>
        </w:tc>
        <w:tc>
          <w:tcPr>
            <w:tcW w:w="1433"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-137.66,109.1</w:t>
            </w:r>
          </w:p>
        </w:tc>
        <w:tc>
          <w:tcPr>
            <w:tcW w:w="81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0.821</w:t>
            </w:r>
          </w:p>
        </w:tc>
        <w:tc>
          <w:tcPr>
            <w:tcW w:w="128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43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752"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bl>
    <w:p>
      <w:pPr>
        <w:rPr>
          <w:rFonts w:cstheme="minorHAnsi"/>
          <w:sz w:val="20"/>
          <w:szCs w:val="20"/>
        </w:rPr>
      </w:pPr>
      <w:r>
        <w:rPr>
          <w:rFonts w:cstheme="minorHAnsi"/>
          <w:sz w:val="20"/>
          <w:szCs w:val="20"/>
        </w:rPr>
        <w:t>*: standard deviation (SD)</w:t>
      </w:r>
    </w:p>
    <w:p>
      <w:pPr>
        <w:adjustRightInd w:val="0"/>
        <w:snapToGrid w:val="0"/>
        <w:spacing w:afterLines="50"/>
        <w:rPr>
          <w:i/>
          <w:sz w:val="20"/>
          <w:szCs w:val="20"/>
        </w:rPr>
      </w:pPr>
      <w:r>
        <w:rPr>
          <w:sz w:val="20"/>
          <w:szCs w:val="20"/>
        </w:rPr>
        <w:t>SU: sulfonylurea; TZD: thiazolidinedione;</w:t>
      </w:r>
      <w:r>
        <w:rPr>
          <w:bCs/>
          <w:kern w:val="0"/>
          <w:sz w:val="20"/>
          <w:szCs w:val="20"/>
        </w:rPr>
        <w:t xml:space="preserve"> DPP4:</w:t>
      </w:r>
      <w:r>
        <w:rPr>
          <w:rStyle w:val="21"/>
          <w:sz w:val="20"/>
          <w:szCs w:val="20"/>
        </w:rPr>
        <w:t xml:space="preserve"> Dipeptidyl peptidase-4; </w:t>
      </w:r>
      <w:r>
        <w:rPr>
          <w:rFonts w:cstheme="minorHAnsi"/>
          <w:sz w:val="20"/>
          <w:szCs w:val="20"/>
        </w:rPr>
        <w:t xml:space="preserve">SBP: systolic blood pressure; DBP: diastolic blood pressure; TCHO: total </w:t>
      </w:r>
      <w:r>
        <w:rPr>
          <w:rStyle w:val="8"/>
          <w:sz w:val="20"/>
          <w:szCs w:val="20"/>
        </w:rPr>
        <w:t xml:space="preserve">cholesterol; TG: </w:t>
      </w:r>
      <w:r>
        <w:rPr>
          <w:rStyle w:val="21"/>
          <w:sz w:val="20"/>
          <w:szCs w:val="20"/>
        </w:rPr>
        <w:t>triglyceride; LDLC: low-density</w:t>
      </w:r>
      <w:r>
        <w:rPr>
          <w:sz w:val="20"/>
          <w:szCs w:val="20"/>
        </w:rPr>
        <w:t xml:space="preserve"> </w:t>
      </w:r>
      <w:r>
        <w:rPr>
          <w:rStyle w:val="22"/>
          <w:sz w:val="20"/>
          <w:szCs w:val="20"/>
        </w:rPr>
        <w:t>lipoprotein cholesterol</w:t>
      </w:r>
      <w:r>
        <w:rPr>
          <w:rStyle w:val="8"/>
          <w:sz w:val="20"/>
          <w:szCs w:val="20"/>
        </w:rPr>
        <w:t>; HDLC: high</w:t>
      </w:r>
      <w:r>
        <w:rPr>
          <w:rStyle w:val="21"/>
          <w:sz w:val="20"/>
          <w:szCs w:val="20"/>
        </w:rPr>
        <w:t>-density</w:t>
      </w:r>
      <w:r>
        <w:rPr>
          <w:sz w:val="20"/>
          <w:szCs w:val="20"/>
        </w:rPr>
        <w:t xml:space="preserve"> </w:t>
      </w:r>
      <w:r>
        <w:rPr>
          <w:rStyle w:val="22"/>
          <w:sz w:val="20"/>
          <w:szCs w:val="20"/>
        </w:rPr>
        <w:t>lipoprotein cholesterol; SUA: serum uric acd;</w:t>
      </w:r>
    </w:p>
    <w:p>
      <w:pPr>
        <w:rPr>
          <w:sz w:val="20"/>
          <w:szCs w:val="20"/>
        </w:rPr>
      </w:pPr>
    </w:p>
    <w:p/>
    <w:p/>
    <w:p>
      <w:pPr>
        <w:jc w:val="center"/>
        <w:rPr>
          <w:rFonts w:cstheme="minorHAnsi"/>
          <w:b/>
          <w:sz w:val="24"/>
          <w:szCs w:val="24"/>
        </w:rPr>
        <w:sectPr>
          <w:pgSz w:w="11906" w:h="16838"/>
          <w:pgMar w:top="1440" w:right="1797" w:bottom="1440" w:left="1797" w:header="851" w:footer="992" w:gutter="0"/>
          <w:cols w:space="425" w:num="1"/>
          <w:docGrid w:linePitch="312" w:charSpace="0"/>
        </w:sectPr>
      </w:pPr>
    </w:p>
    <w:p>
      <w:pPr>
        <w:jc w:val="center"/>
        <w:rPr>
          <w:rFonts w:cstheme="minorHAnsi"/>
          <w:sz w:val="20"/>
          <w:szCs w:val="20"/>
        </w:rPr>
      </w:pPr>
      <w:r>
        <w:rPr>
          <w:rFonts w:cstheme="minorHAnsi"/>
          <w:b/>
          <w:sz w:val="20"/>
          <w:szCs w:val="20"/>
        </w:rPr>
        <w:t xml:space="preserve">Table S9: </w:t>
      </w:r>
      <w:r>
        <w:rPr>
          <w:rFonts w:hint="eastAsia" w:cstheme="minorHAnsi"/>
          <w:b/>
          <w:sz w:val="20"/>
          <w:szCs w:val="20"/>
        </w:rPr>
        <w:t>R</w:t>
      </w:r>
      <w:r>
        <w:rPr>
          <w:rFonts w:cstheme="minorHAnsi"/>
          <w:b/>
          <w:sz w:val="20"/>
          <w:szCs w:val="20"/>
        </w:rPr>
        <w:t>isks of the adverse effects in dapagliflozin treatment</w:t>
      </w:r>
      <w:r>
        <w:rPr>
          <w:rFonts w:hint="eastAsia" w:cstheme="minorHAnsi"/>
          <w:b/>
          <w:sz w:val="20"/>
          <w:szCs w:val="20"/>
        </w:rPr>
        <w:t xml:space="preserve"> </w:t>
      </w:r>
      <w:r>
        <w:rPr>
          <w:rFonts w:cstheme="minorHAnsi"/>
          <w:b/>
          <w:sz w:val="20"/>
          <w:szCs w:val="20"/>
        </w:rPr>
        <w:t>and metformin treatment as first line therapy, second line therapy and third line therapy</w:t>
      </w:r>
    </w:p>
    <w:tbl>
      <w:tblPr>
        <w:tblStyle w:val="12"/>
        <w:tblW w:w="8528"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3"/>
        <w:gridCol w:w="977"/>
        <w:gridCol w:w="1361"/>
        <w:gridCol w:w="373"/>
        <w:gridCol w:w="1305"/>
        <w:gridCol w:w="1859"/>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vMerge w:val="restart"/>
            <w:tcBorders>
              <w:top w:val="single" w:color="000000" w:themeColor="text1" w:sz="8" w:space="0"/>
              <w:left w:val="nil"/>
              <w:bottom w:val="single" w:color="000000" w:themeColor="text1" w:sz="8" w:space="0"/>
              <w:right w:val="nil"/>
              <w:insideH w:val="single" w:sz="8" w:space="0"/>
              <w:insideV w:val="nil"/>
            </w:tcBorders>
          </w:tcPr>
          <w:p>
            <w:pPr>
              <w:spacing w:before="0" w:after="0" w:line="240" w:lineRule="auto"/>
              <w:rPr>
                <w:rFonts w:cstheme="minorHAnsi"/>
                <w:b/>
                <w:bCs/>
                <w:color w:val="000000" w:themeColor="text1" w:themeShade="BF"/>
                <w:sz w:val="20"/>
                <w:szCs w:val="20"/>
              </w:rPr>
            </w:pPr>
            <w:r>
              <w:rPr>
                <w:rFonts w:cstheme="minorHAnsi"/>
                <w:b/>
                <w:bCs/>
                <w:color w:val="000000" w:themeColor="text1" w:themeShade="BF"/>
                <w:sz w:val="20"/>
                <w:szCs w:val="20"/>
              </w:rPr>
              <w:t xml:space="preserve">Variables </w:t>
            </w:r>
          </w:p>
        </w:tc>
        <w:tc>
          <w:tcPr>
            <w:tcW w:w="2711" w:type="dxa"/>
            <w:gridSpan w:val="3"/>
            <w:tcBorders>
              <w:top w:val="single" w:color="000000" w:themeColor="text1" w:sz="8" w:space="0"/>
              <w:bottom w:val="single" w:color="auto" w:sz="4" w:space="0"/>
              <w:right w:val="nil"/>
              <w:insideV w:val="nil"/>
            </w:tcBorders>
          </w:tcPr>
          <w:p>
            <w:pPr>
              <w:spacing w:before="0" w:after="0" w:line="240" w:lineRule="auto"/>
              <w:rPr>
                <w:rFonts w:cstheme="minorHAnsi"/>
                <w:b/>
                <w:bCs/>
                <w:color w:val="000000" w:themeColor="text1" w:themeShade="BF"/>
                <w:sz w:val="20"/>
                <w:szCs w:val="20"/>
              </w:rPr>
            </w:pPr>
            <w:r>
              <w:rPr>
                <w:rFonts w:cstheme="minorHAnsi"/>
                <w:b/>
                <w:bCs/>
                <w:color w:val="000000" w:themeColor="text1" w:themeShade="BF"/>
                <w:sz w:val="20"/>
                <w:szCs w:val="20"/>
              </w:rPr>
              <w:t xml:space="preserve">dapagliflozin </w:t>
            </w:r>
          </w:p>
        </w:tc>
        <w:tc>
          <w:tcPr>
            <w:tcW w:w="1305" w:type="dxa"/>
            <w:tcBorders>
              <w:top w:val="single" w:color="000000" w:themeColor="text1" w:sz="8" w:space="0"/>
              <w:bottom w:val="single" w:color="auto" w:sz="4" w:space="0"/>
              <w:right w:val="nil"/>
              <w:insideV w:val="nil"/>
            </w:tcBorders>
          </w:tcPr>
          <w:p>
            <w:pPr>
              <w:spacing w:before="0" w:after="0" w:line="240" w:lineRule="auto"/>
              <w:rPr>
                <w:rFonts w:cstheme="minorHAnsi"/>
                <w:b/>
                <w:bCs/>
                <w:color w:val="000000" w:themeColor="text1" w:themeShade="BF"/>
                <w:sz w:val="20"/>
                <w:szCs w:val="20"/>
              </w:rPr>
            </w:pPr>
            <w:r>
              <w:rPr>
                <w:rFonts w:cstheme="minorHAnsi"/>
                <w:b/>
                <w:bCs/>
                <w:color w:val="000000" w:themeColor="text1" w:themeShade="BF"/>
                <w:sz w:val="20"/>
                <w:szCs w:val="20"/>
              </w:rPr>
              <w:t>metformin</w:t>
            </w:r>
          </w:p>
        </w:tc>
        <w:tc>
          <w:tcPr>
            <w:tcW w:w="1859" w:type="dxa"/>
            <w:tcBorders>
              <w:top w:val="single" w:color="000000" w:themeColor="text1" w:sz="8" w:space="0"/>
              <w:bottom w:val="single" w:color="auto" w:sz="4" w:space="0"/>
              <w:right w:val="nil"/>
              <w:insideV w:val="nil"/>
            </w:tcBorders>
          </w:tcPr>
          <w:p>
            <w:pPr>
              <w:spacing w:before="0" w:after="0" w:line="240" w:lineRule="auto"/>
              <w:rPr>
                <w:rFonts w:cstheme="minorHAnsi"/>
                <w:b/>
                <w:bCs/>
                <w:color w:val="000000" w:themeColor="text1" w:themeShade="BF"/>
                <w:sz w:val="20"/>
                <w:szCs w:val="20"/>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vMerge w:val="continue"/>
            <w:tcBorders>
              <w:left w:val="nil"/>
              <w:bottom w:val="single" w:color="auto" w:sz="4" w:space="0"/>
              <w:right w:val="nil"/>
              <w:insideV w:val="nil"/>
            </w:tcBorders>
            <w:shd w:val="clear" w:color="auto" w:fill="auto"/>
          </w:tcPr>
          <w:p>
            <w:pPr>
              <w:rPr>
                <w:rFonts w:cstheme="minorHAnsi"/>
                <w:b/>
                <w:bCs/>
                <w:color w:val="000000" w:themeColor="text1" w:themeShade="BF"/>
                <w:sz w:val="20"/>
                <w:szCs w:val="20"/>
              </w:rPr>
            </w:pPr>
          </w:p>
        </w:tc>
        <w:tc>
          <w:tcPr>
            <w:tcW w:w="977"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N</w:t>
            </w:r>
          </w:p>
        </w:tc>
        <w:tc>
          <w:tcPr>
            <w:tcW w:w="1361"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Total number</w:t>
            </w:r>
          </w:p>
        </w:tc>
        <w:tc>
          <w:tcPr>
            <w:tcW w:w="373"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p>
        </w:tc>
        <w:tc>
          <w:tcPr>
            <w:tcW w:w="1305"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N</w:t>
            </w:r>
          </w:p>
        </w:tc>
        <w:tc>
          <w:tcPr>
            <w:tcW w:w="1859" w:type="dxa"/>
            <w:tcBorders>
              <w:top w:val="single" w:color="auto" w:sz="4" w:space="0"/>
              <w:bottom w:val="single" w:color="auto" w:sz="4" w:space="0"/>
              <w:right w:val="nil"/>
              <w:insideV w:val="nil"/>
            </w:tcBorders>
            <w:shd w:val="clear" w:color="auto" w:fill="auto"/>
          </w:tcPr>
          <w:p>
            <w:pPr>
              <w:rPr>
                <w:rFonts w:cstheme="minorHAnsi"/>
                <w:b/>
                <w:color w:val="000000" w:themeColor="text1" w:themeShade="BF"/>
                <w:sz w:val="20"/>
                <w:szCs w:val="20"/>
              </w:rPr>
            </w:pPr>
            <w:r>
              <w:rPr>
                <w:rFonts w:cstheme="minorHAnsi"/>
                <w:b/>
                <w:color w:val="000000" w:themeColor="text1" w:themeShade="BF"/>
                <w:sz w:val="20"/>
                <w:szCs w:val="20"/>
              </w:rPr>
              <w:t>Total number</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top w:val="single" w:color="auto" w:sz="4" w:space="0"/>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First line therapy (monotherapy)</w:t>
            </w:r>
          </w:p>
        </w:tc>
        <w:tc>
          <w:tcPr>
            <w:tcW w:w="977" w:type="dxa"/>
            <w:tcBorders>
              <w:top w:val="single" w:color="auto" w:sz="4" w:space="0"/>
            </w:tcBorders>
            <w:shd w:val="clear" w:color="auto" w:fill="auto"/>
          </w:tcPr>
          <w:p>
            <w:pPr>
              <w:rPr>
                <w:rFonts w:cstheme="minorHAnsi"/>
                <w:b/>
                <w:color w:val="000000" w:themeColor="text1" w:themeShade="BF"/>
                <w:sz w:val="20"/>
                <w:szCs w:val="20"/>
              </w:rPr>
            </w:pPr>
          </w:p>
        </w:tc>
        <w:tc>
          <w:tcPr>
            <w:tcW w:w="1361" w:type="dxa"/>
            <w:tcBorders>
              <w:top w:val="single" w:color="auto" w:sz="4" w:space="0"/>
            </w:tcBorders>
            <w:shd w:val="clear" w:color="auto" w:fill="auto"/>
          </w:tcPr>
          <w:p>
            <w:pPr>
              <w:rPr>
                <w:rFonts w:cstheme="minorHAnsi"/>
                <w:b/>
                <w:color w:val="000000" w:themeColor="text1" w:themeShade="BF"/>
                <w:sz w:val="20"/>
                <w:szCs w:val="20"/>
              </w:rPr>
            </w:pPr>
          </w:p>
        </w:tc>
        <w:tc>
          <w:tcPr>
            <w:tcW w:w="373" w:type="dxa"/>
            <w:tcBorders>
              <w:top w:val="single" w:color="auto" w:sz="4" w:space="0"/>
            </w:tcBorders>
            <w:shd w:val="clear" w:color="auto" w:fill="auto"/>
          </w:tcPr>
          <w:p>
            <w:pPr>
              <w:rPr>
                <w:rFonts w:cstheme="minorHAnsi"/>
                <w:b/>
                <w:color w:val="000000" w:themeColor="text1" w:themeShade="BF"/>
                <w:sz w:val="20"/>
                <w:szCs w:val="20"/>
              </w:rPr>
            </w:pPr>
          </w:p>
        </w:tc>
        <w:tc>
          <w:tcPr>
            <w:tcW w:w="1305" w:type="dxa"/>
            <w:tcBorders>
              <w:top w:val="single" w:color="auto" w:sz="4" w:space="0"/>
            </w:tcBorders>
            <w:shd w:val="clear" w:color="auto" w:fill="auto"/>
          </w:tcPr>
          <w:p>
            <w:pPr>
              <w:rPr>
                <w:rFonts w:cstheme="minorHAnsi"/>
                <w:b/>
                <w:color w:val="000000" w:themeColor="text1" w:themeShade="BF"/>
                <w:sz w:val="20"/>
                <w:szCs w:val="20"/>
              </w:rPr>
            </w:pPr>
          </w:p>
        </w:tc>
        <w:tc>
          <w:tcPr>
            <w:tcW w:w="1859" w:type="dxa"/>
            <w:tcBorders>
              <w:top w:val="single" w:color="auto" w:sz="4" w:space="0"/>
            </w:tcBorders>
            <w:shd w:val="clear" w:color="auto" w:fill="auto"/>
          </w:tcPr>
          <w:p>
            <w:pPr>
              <w:rPr>
                <w:rFonts w:cstheme="minorHAnsi"/>
                <w:b/>
                <w:color w:val="000000" w:themeColor="text1" w:themeShade="BF"/>
                <w:sz w:val="20"/>
                <w:szCs w:val="20"/>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hypoglycemia</w:t>
            </w:r>
          </w:p>
        </w:tc>
        <w:tc>
          <w:tcPr>
            <w:tcW w:w="977"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w:t>
            </w:r>
          </w:p>
        </w:tc>
        <w:tc>
          <w:tcPr>
            <w:tcW w:w="136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219</w:t>
            </w:r>
          </w:p>
        </w:tc>
        <w:tc>
          <w:tcPr>
            <w:tcW w:w="373" w:type="dxa"/>
            <w:tcBorders>
              <w:right w:val="nil"/>
              <w:insideV w:val="nil"/>
            </w:tcBorders>
            <w:shd w:val="clear" w:color="auto" w:fill="auto"/>
          </w:tcPr>
          <w:p>
            <w:pPr>
              <w:rPr>
                <w:rFonts w:cstheme="minorHAnsi"/>
                <w:color w:val="000000" w:themeColor="text1" w:themeShade="BF"/>
                <w:sz w:val="20"/>
                <w:szCs w:val="20"/>
              </w:rPr>
            </w:pPr>
          </w:p>
        </w:tc>
        <w:tc>
          <w:tcPr>
            <w:tcW w:w="130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6</w:t>
            </w:r>
          </w:p>
        </w:tc>
        <w:tc>
          <w:tcPr>
            <w:tcW w:w="185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 xml:space="preserve">Genital infection </w:t>
            </w:r>
          </w:p>
        </w:tc>
        <w:tc>
          <w:tcPr>
            <w:tcW w:w="977"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28</w:t>
            </w:r>
          </w:p>
        </w:tc>
        <w:tc>
          <w:tcPr>
            <w:tcW w:w="136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219</w:t>
            </w: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w:t>
            </w:r>
          </w:p>
        </w:tc>
        <w:tc>
          <w:tcPr>
            <w:tcW w:w="185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Urinary infection</w:t>
            </w:r>
          </w:p>
        </w:tc>
        <w:tc>
          <w:tcPr>
            <w:tcW w:w="977"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24</w:t>
            </w:r>
          </w:p>
        </w:tc>
        <w:tc>
          <w:tcPr>
            <w:tcW w:w="136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219</w:t>
            </w:r>
          </w:p>
        </w:tc>
        <w:tc>
          <w:tcPr>
            <w:tcW w:w="373" w:type="dxa"/>
            <w:tcBorders>
              <w:right w:val="nil"/>
              <w:insideV w:val="nil"/>
            </w:tcBorders>
            <w:shd w:val="clear" w:color="auto" w:fill="auto"/>
          </w:tcPr>
          <w:p>
            <w:pPr>
              <w:rPr>
                <w:rFonts w:cstheme="minorHAnsi"/>
                <w:color w:val="000000" w:themeColor="text1" w:themeShade="BF"/>
                <w:sz w:val="20"/>
                <w:szCs w:val="20"/>
              </w:rPr>
            </w:pPr>
          </w:p>
        </w:tc>
        <w:tc>
          <w:tcPr>
            <w:tcW w:w="130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9</w:t>
            </w:r>
          </w:p>
        </w:tc>
        <w:tc>
          <w:tcPr>
            <w:tcW w:w="185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GI side effects</w:t>
            </w:r>
          </w:p>
        </w:tc>
        <w:tc>
          <w:tcPr>
            <w:tcW w:w="977"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14</w:t>
            </w:r>
          </w:p>
        </w:tc>
        <w:tc>
          <w:tcPr>
            <w:tcW w:w="136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219</w:t>
            </w: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25</w:t>
            </w:r>
          </w:p>
        </w:tc>
        <w:tc>
          <w:tcPr>
            <w:tcW w:w="185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Serious side effects</w:t>
            </w:r>
          </w:p>
        </w:tc>
        <w:tc>
          <w:tcPr>
            <w:tcW w:w="977"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5</w:t>
            </w:r>
          </w:p>
        </w:tc>
        <w:tc>
          <w:tcPr>
            <w:tcW w:w="136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219</w:t>
            </w:r>
          </w:p>
        </w:tc>
        <w:tc>
          <w:tcPr>
            <w:tcW w:w="373" w:type="dxa"/>
            <w:tcBorders>
              <w:right w:val="nil"/>
              <w:insideV w:val="nil"/>
            </w:tcBorders>
            <w:shd w:val="clear" w:color="auto" w:fill="auto"/>
          </w:tcPr>
          <w:p>
            <w:pPr>
              <w:rPr>
                <w:rFonts w:cstheme="minorHAnsi"/>
                <w:color w:val="000000" w:themeColor="text1" w:themeShade="BF"/>
                <w:sz w:val="20"/>
                <w:szCs w:val="20"/>
              </w:rPr>
            </w:pPr>
          </w:p>
        </w:tc>
        <w:tc>
          <w:tcPr>
            <w:tcW w:w="130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4</w:t>
            </w:r>
          </w:p>
        </w:tc>
        <w:tc>
          <w:tcPr>
            <w:tcW w:w="185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Therapy discontinuation</w:t>
            </w:r>
          </w:p>
        </w:tc>
        <w:tc>
          <w:tcPr>
            <w:tcW w:w="977"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9</w:t>
            </w:r>
          </w:p>
        </w:tc>
        <w:tc>
          <w:tcPr>
            <w:tcW w:w="136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219</w:t>
            </w: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8</w:t>
            </w:r>
          </w:p>
        </w:tc>
        <w:tc>
          <w:tcPr>
            <w:tcW w:w="185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28" w:type="dxa"/>
            <w:gridSpan w:val="6"/>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Second line therapy (add on SU/TZD/DPP4i)</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hypoglycemia</w:t>
            </w:r>
          </w:p>
        </w:tc>
        <w:tc>
          <w:tcPr>
            <w:tcW w:w="977"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12</w:t>
            </w:r>
          </w:p>
        </w:tc>
        <w:tc>
          <w:tcPr>
            <w:tcW w:w="136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291</w:t>
            </w: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319</w:t>
            </w:r>
          </w:p>
        </w:tc>
        <w:tc>
          <w:tcPr>
            <w:tcW w:w="185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3011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 xml:space="preserve">Genital infection </w:t>
            </w:r>
          </w:p>
        </w:tc>
        <w:tc>
          <w:tcPr>
            <w:tcW w:w="977"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22</w:t>
            </w:r>
          </w:p>
        </w:tc>
        <w:tc>
          <w:tcPr>
            <w:tcW w:w="136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291</w:t>
            </w:r>
          </w:p>
        </w:tc>
        <w:tc>
          <w:tcPr>
            <w:tcW w:w="373" w:type="dxa"/>
            <w:tcBorders>
              <w:right w:val="nil"/>
              <w:insideV w:val="nil"/>
            </w:tcBorders>
            <w:shd w:val="clear" w:color="auto" w:fill="auto"/>
          </w:tcPr>
          <w:p>
            <w:pPr>
              <w:rPr>
                <w:rFonts w:cstheme="minorHAnsi"/>
                <w:color w:val="000000" w:themeColor="text1" w:themeShade="BF"/>
                <w:sz w:val="20"/>
                <w:szCs w:val="20"/>
              </w:rPr>
            </w:pPr>
          </w:p>
        </w:tc>
        <w:tc>
          <w:tcPr>
            <w:tcW w:w="130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c>
          <w:tcPr>
            <w:tcW w:w="185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Urinary infection</w:t>
            </w:r>
          </w:p>
        </w:tc>
        <w:tc>
          <w:tcPr>
            <w:tcW w:w="977"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15</w:t>
            </w:r>
          </w:p>
        </w:tc>
        <w:tc>
          <w:tcPr>
            <w:tcW w:w="136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291</w:t>
            </w: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6</w:t>
            </w:r>
          </w:p>
        </w:tc>
        <w:tc>
          <w:tcPr>
            <w:tcW w:w="185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201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GI side effects</w:t>
            </w:r>
          </w:p>
        </w:tc>
        <w:tc>
          <w:tcPr>
            <w:tcW w:w="977"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113</w:t>
            </w:r>
          </w:p>
        </w:tc>
        <w:tc>
          <w:tcPr>
            <w:tcW w:w="136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291</w:t>
            </w:r>
          </w:p>
        </w:tc>
        <w:tc>
          <w:tcPr>
            <w:tcW w:w="373" w:type="dxa"/>
            <w:tcBorders>
              <w:right w:val="nil"/>
              <w:insideV w:val="nil"/>
            </w:tcBorders>
            <w:shd w:val="clear" w:color="auto" w:fill="auto"/>
          </w:tcPr>
          <w:p>
            <w:pPr>
              <w:rPr>
                <w:rFonts w:cstheme="minorHAnsi"/>
                <w:color w:val="000000" w:themeColor="text1" w:themeShade="BF"/>
                <w:sz w:val="20"/>
                <w:szCs w:val="20"/>
              </w:rPr>
            </w:pPr>
          </w:p>
        </w:tc>
        <w:tc>
          <w:tcPr>
            <w:tcW w:w="130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1056</w:t>
            </w:r>
          </w:p>
        </w:tc>
        <w:tc>
          <w:tcPr>
            <w:tcW w:w="185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3036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Serious side effects</w:t>
            </w:r>
          </w:p>
        </w:tc>
        <w:tc>
          <w:tcPr>
            <w:tcW w:w="977"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11</w:t>
            </w:r>
          </w:p>
        </w:tc>
        <w:tc>
          <w:tcPr>
            <w:tcW w:w="1361"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291</w:t>
            </w: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62</w:t>
            </w:r>
          </w:p>
        </w:tc>
        <w:tc>
          <w:tcPr>
            <w:tcW w:w="1859" w:type="dxa"/>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1923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Therapy discontinuation</w:t>
            </w:r>
          </w:p>
        </w:tc>
        <w:tc>
          <w:tcPr>
            <w:tcW w:w="977"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7</w:t>
            </w:r>
          </w:p>
        </w:tc>
        <w:tc>
          <w:tcPr>
            <w:tcW w:w="1361"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291</w:t>
            </w:r>
          </w:p>
        </w:tc>
        <w:tc>
          <w:tcPr>
            <w:tcW w:w="373" w:type="dxa"/>
            <w:tcBorders>
              <w:right w:val="nil"/>
              <w:insideV w:val="nil"/>
            </w:tcBorders>
            <w:shd w:val="clear" w:color="auto" w:fill="auto"/>
          </w:tcPr>
          <w:p>
            <w:pPr>
              <w:rPr>
                <w:rFonts w:cstheme="minorHAnsi"/>
                <w:color w:val="000000" w:themeColor="text1" w:themeShade="BF"/>
                <w:sz w:val="20"/>
                <w:szCs w:val="20"/>
              </w:rPr>
            </w:pPr>
          </w:p>
        </w:tc>
        <w:tc>
          <w:tcPr>
            <w:tcW w:w="1305"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303</w:t>
            </w:r>
          </w:p>
        </w:tc>
        <w:tc>
          <w:tcPr>
            <w:tcW w:w="1859" w:type="dxa"/>
            <w:tcBorders>
              <w:right w:val="nil"/>
              <w:insideV w:val="nil"/>
            </w:tcBorders>
            <w:shd w:val="clear" w:color="auto" w:fill="auto"/>
          </w:tcPr>
          <w:p>
            <w:pPr>
              <w:rPr>
                <w:rFonts w:cstheme="minorHAnsi"/>
                <w:color w:val="000000" w:themeColor="text1" w:themeShade="BF"/>
                <w:sz w:val="20"/>
                <w:szCs w:val="20"/>
              </w:rPr>
            </w:pPr>
            <w:r>
              <w:rPr>
                <w:rFonts w:cstheme="minorHAnsi"/>
                <w:color w:val="000000" w:themeColor="text1" w:themeShade="BF"/>
                <w:sz w:val="20"/>
                <w:szCs w:val="20"/>
              </w:rPr>
              <w:t>2606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Third line therapy (add on insulin)</w:t>
            </w:r>
          </w:p>
        </w:tc>
        <w:tc>
          <w:tcPr>
            <w:tcW w:w="977" w:type="dxa"/>
            <w:shd w:val="clear" w:color="auto" w:fill="auto"/>
          </w:tcPr>
          <w:p>
            <w:pPr>
              <w:rPr>
                <w:rFonts w:cstheme="minorHAnsi"/>
                <w:color w:val="000000" w:themeColor="text1" w:themeShade="BF"/>
                <w:sz w:val="20"/>
                <w:szCs w:val="20"/>
              </w:rPr>
            </w:pPr>
          </w:p>
        </w:tc>
        <w:tc>
          <w:tcPr>
            <w:tcW w:w="1361" w:type="dxa"/>
            <w:shd w:val="clear" w:color="auto" w:fill="auto"/>
          </w:tcPr>
          <w:p>
            <w:pPr>
              <w:rPr>
                <w:rFonts w:cstheme="minorHAnsi"/>
                <w:color w:val="000000" w:themeColor="text1" w:themeShade="BF"/>
                <w:sz w:val="20"/>
                <w:szCs w:val="20"/>
              </w:rPr>
            </w:pP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rPr>
                <w:rFonts w:cstheme="minorHAnsi"/>
                <w:color w:val="000000" w:themeColor="text1" w:themeShade="BF"/>
                <w:sz w:val="20"/>
                <w:szCs w:val="20"/>
              </w:rPr>
            </w:pPr>
          </w:p>
        </w:tc>
        <w:tc>
          <w:tcPr>
            <w:tcW w:w="1859" w:type="dxa"/>
            <w:shd w:val="clear" w:color="auto" w:fill="auto"/>
          </w:tcPr>
          <w:p>
            <w:pPr>
              <w:rPr>
                <w:rFonts w:cstheme="minorHAnsi"/>
                <w:color w:val="000000" w:themeColor="text1" w:themeShade="BF"/>
                <w:sz w:val="20"/>
                <w:szCs w:val="20"/>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hypoglycemia</w:t>
            </w:r>
          </w:p>
        </w:tc>
        <w:tc>
          <w:tcPr>
            <w:tcW w:w="977" w:type="dxa"/>
            <w:tcBorders>
              <w:right w:val="nil"/>
              <w:insideV w:val="nil"/>
            </w:tcBorders>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252</w:t>
            </w:r>
          </w:p>
        </w:tc>
        <w:tc>
          <w:tcPr>
            <w:tcW w:w="1361" w:type="dxa"/>
            <w:tcBorders>
              <w:right w:val="nil"/>
              <w:insideV w:val="nil"/>
            </w:tcBorders>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795</w:t>
            </w:r>
          </w:p>
        </w:tc>
        <w:tc>
          <w:tcPr>
            <w:tcW w:w="373" w:type="dxa"/>
            <w:tcBorders>
              <w:right w:val="nil"/>
              <w:insideV w:val="nil"/>
            </w:tcBorders>
            <w:shd w:val="clear" w:color="auto" w:fill="auto"/>
          </w:tcPr>
          <w:p>
            <w:pPr>
              <w:rPr>
                <w:rFonts w:cstheme="minorHAnsi"/>
                <w:color w:val="000000" w:themeColor="text1" w:themeShade="BF"/>
                <w:sz w:val="20"/>
                <w:szCs w:val="20"/>
              </w:rPr>
            </w:pPr>
          </w:p>
        </w:tc>
        <w:tc>
          <w:tcPr>
            <w:tcW w:w="1305" w:type="dxa"/>
            <w:tcBorders>
              <w:right w:val="nil"/>
              <w:insideV w:val="nil"/>
            </w:tcBorders>
            <w:shd w:val="clear" w:color="auto" w:fill="auto"/>
          </w:tcPr>
          <w:p>
            <w:pPr>
              <w:widowControl/>
              <w:rPr>
                <w:color w:val="auto"/>
                <w:sz w:val="20"/>
                <w:szCs w:val="20"/>
              </w:rPr>
            </w:pPr>
            <w:r>
              <w:rPr>
                <w:color w:val="auto"/>
                <w:sz w:val="20"/>
                <w:szCs w:val="20"/>
              </w:rPr>
              <w:t>10</w:t>
            </w:r>
          </w:p>
        </w:tc>
        <w:tc>
          <w:tcPr>
            <w:tcW w:w="1859" w:type="dxa"/>
            <w:tcBorders>
              <w:right w:val="nil"/>
              <w:insideV w:val="nil"/>
            </w:tcBorders>
            <w:shd w:val="clear" w:color="auto" w:fill="auto"/>
          </w:tcPr>
          <w:p>
            <w:pPr>
              <w:rPr>
                <w:color w:val="auto"/>
                <w:sz w:val="20"/>
                <w:szCs w:val="20"/>
              </w:rPr>
            </w:pPr>
            <w:r>
              <w:rPr>
                <w:color w:val="auto"/>
                <w:sz w:val="20"/>
                <w:szCs w:val="20"/>
              </w:rPr>
              <w:t>325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 xml:space="preserve">Genital infection </w:t>
            </w:r>
          </w:p>
        </w:tc>
        <w:tc>
          <w:tcPr>
            <w:tcW w:w="977" w:type="dxa"/>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50</w:t>
            </w:r>
          </w:p>
        </w:tc>
        <w:tc>
          <w:tcPr>
            <w:tcW w:w="1361" w:type="dxa"/>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795</w:t>
            </w: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jc w:val="left"/>
              <w:rPr>
                <w:color w:val="auto"/>
                <w:sz w:val="20"/>
                <w:szCs w:val="20"/>
              </w:rPr>
            </w:pPr>
            <w:r>
              <w:rPr>
                <w:color w:val="auto"/>
                <w:sz w:val="20"/>
                <w:szCs w:val="20"/>
              </w:rPr>
              <w:t>/</w:t>
            </w:r>
          </w:p>
        </w:tc>
        <w:tc>
          <w:tcPr>
            <w:tcW w:w="1859" w:type="dxa"/>
            <w:shd w:val="clear" w:color="auto" w:fill="auto"/>
          </w:tcPr>
          <w:p>
            <w:pPr>
              <w:rPr>
                <w:color w:val="auto"/>
                <w:sz w:val="20"/>
                <w:szCs w:val="20"/>
              </w:rPr>
            </w:pPr>
            <w:r>
              <w:rPr>
                <w:color w:val="auto"/>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Urinary infection</w:t>
            </w:r>
          </w:p>
        </w:tc>
        <w:tc>
          <w:tcPr>
            <w:tcW w:w="977" w:type="dxa"/>
            <w:tcBorders>
              <w:right w:val="nil"/>
              <w:insideV w:val="nil"/>
            </w:tcBorders>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49</w:t>
            </w:r>
          </w:p>
        </w:tc>
        <w:tc>
          <w:tcPr>
            <w:tcW w:w="1361" w:type="dxa"/>
            <w:tcBorders>
              <w:right w:val="nil"/>
              <w:insideV w:val="nil"/>
            </w:tcBorders>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795</w:t>
            </w:r>
          </w:p>
        </w:tc>
        <w:tc>
          <w:tcPr>
            <w:tcW w:w="373" w:type="dxa"/>
            <w:tcBorders>
              <w:right w:val="nil"/>
              <w:insideV w:val="nil"/>
            </w:tcBorders>
            <w:shd w:val="clear" w:color="auto" w:fill="auto"/>
          </w:tcPr>
          <w:p>
            <w:pPr>
              <w:rPr>
                <w:rFonts w:cstheme="minorHAnsi"/>
                <w:color w:val="000000" w:themeColor="text1" w:themeShade="BF"/>
                <w:sz w:val="20"/>
                <w:szCs w:val="20"/>
              </w:rPr>
            </w:pPr>
          </w:p>
        </w:tc>
        <w:tc>
          <w:tcPr>
            <w:tcW w:w="1305" w:type="dxa"/>
            <w:tcBorders>
              <w:right w:val="nil"/>
              <w:insideV w:val="nil"/>
            </w:tcBorders>
            <w:shd w:val="clear" w:color="auto" w:fill="auto"/>
          </w:tcPr>
          <w:p>
            <w:pPr>
              <w:rPr>
                <w:color w:val="auto"/>
                <w:sz w:val="20"/>
                <w:szCs w:val="20"/>
              </w:rPr>
            </w:pPr>
            <w:r>
              <w:rPr>
                <w:color w:val="auto"/>
                <w:sz w:val="20"/>
                <w:szCs w:val="20"/>
              </w:rPr>
              <w:t>/</w:t>
            </w:r>
          </w:p>
        </w:tc>
        <w:tc>
          <w:tcPr>
            <w:tcW w:w="1859" w:type="dxa"/>
            <w:tcBorders>
              <w:right w:val="nil"/>
              <w:insideV w:val="nil"/>
            </w:tcBorders>
            <w:shd w:val="clear" w:color="auto" w:fill="auto"/>
          </w:tcPr>
          <w:p>
            <w:pPr>
              <w:rPr>
                <w:color w:val="auto"/>
                <w:sz w:val="20"/>
                <w:szCs w:val="20"/>
              </w:rPr>
            </w:pPr>
            <w:r>
              <w:rPr>
                <w:color w:val="auto"/>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GI side effects</w:t>
            </w:r>
          </w:p>
        </w:tc>
        <w:tc>
          <w:tcPr>
            <w:tcW w:w="977" w:type="dxa"/>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236</w:t>
            </w:r>
          </w:p>
        </w:tc>
        <w:tc>
          <w:tcPr>
            <w:tcW w:w="1361" w:type="dxa"/>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795</w:t>
            </w: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rPr>
                <w:color w:val="auto"/>
                <w:sz w:val="20"/>
                <w:szCs w:val="20"/>
              </w:rPr>
            </w:pPr>
            <w:r>
              <w:rPr>
                <w:color w:val="auto"/>
                <w:sz w:val="20"/>
                <w:szCs w:val="20"/>
              </w:rPr>
              <w:t>69</w:t>
            </w:r>
          </w:p>
        </w:tc>
        <w:tc>
          <w:tcPr>
            <w:tcW w:w="1859" w:type="dxa"/>
            <w:shd w:val="clear" w:color="auto" w:fill="auto"/>
          </w:tcPr>
          <w:p>
            <w:pPr>
              <w:rPr>
                <w:color w:val="auto"/>
                <w:sz w:val="20"/>
                <w:szCs w:val="20"/>
              </w:rPr>
            </w:pPr>
            <w:r>
              <w:rPr>
                <w:color w:val="auto"/>
                <w:sz w:val="20"/>
                <w:szCs w:val="20"/>
              </w:rPr>
              <w:t>415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tcBorders>
              <w:left w:val="nil"/>
              <w:right w:val="nil"/>
              <w:insideV w:val="nil"/>
            </w:tcBorders>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Serious side effects</w:t>
            </w:r>
          </w:p>
        </w:tc>
        <w:tc>
          <w:tcPr>
            <w:tcW w:w="977" w:type="dxa"/>
            <w:tcBorders>
              <w:right w:val="nil"/>
              <w:insideV w:val="nil"/>
            </w:tcBorders>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88</w:t>
            </w:r>
          </w:p>
        </w:tc>
        <w:tc>
          <w:tcPr>
            <w:tcW w:w="1361" w:type="dxa"/>
            <w:tcBorders>
              <w:right w:val="nil"/>
              <w:insideV w:val="nil"/>
            </w:tcBorders>
            <w:shd w:val="clear" w:color="auto" w:fill="auto"/>
          </w:tcPr>
          <w:p>
            <w:pPr>
              <w:widowControl/>
              <w:jc w:val="left"/>
              <w:rPr>
                <w:rFonts w:eastAsia="Times New Roman" w:cs="Times New Roman"/>
                <w:color w:val="auto"/>
                <w:kern w:val="0"/>
                <w:sz w:val="20"/>
                <w:szCs w:val="20"/>
                <w:lang w:val="en-AU" w:eastAsia="en-AU"/>
              </w:rPr>
            </w:pPr>
            <w:r>
              <w:rPr>
                <w:rFonts w:eastAsia="Times New Roman" w:cs="Times New Roman"/>
                <w:color w:val="auto"/>
                <w:kern w:val="0"/>
                <w:sz w:val="20"/>
                <w:szCs w:val="20"/>
                <w:lang w:val="en-AU" w:eastAsia="en-AU"/>
              </w:rPr>
              <w:t>795</w:t>
            </w:r>
          </w:p>
        </w:tc>
        <w:tc>
          <w:tcPr>
            <w:tcW w:w="373" w:type="dxa"/>
            <w:tcBorders>
              <w:right w:val="nil"/>
              <w:insideV w:val="nil"/>
            </w:tcBorders>
            <w:shd w:val="clear" w:color="auto" w:fill="auto"/>
          </w:tcPr>
          <w:p>
            <w:pPr>
              <w:rPr>
                <w:rFonts w:cstheme="minorHAnsi"/>
                <w:color w:val="000000" w:themeColor="text1" w:themeShade="BF"/>
                <w:sz w:val="20"/>
                <w:szCs w:val="20"/>
              </w:rPr>
            </w:pPr>
          </w:p>
        </w:tc>
        <w:tc>
          <w:tcPr>
            <w:tcW w:w="1305" w:type="dxa"/>
            <w:tcBorders>
              <w:right w:val="nil"/>
              <w:insideV w:val="nil"/>
            </w:tcBorders>
            <w:shd w:val="clear" w:color="auto" w:fill="auto"/>
          </w:tcPr>
          <w:p>
            <w:pPr>
              <w:rPr>
                <w:color w:val="auto"/>
                <w:sz w:val="20"/>
                <w:szCs w:val="20"/>
              </w:rPr>
            </w:pPr>
            <w:r>
              <w:rPr>
                <w:color w:val="auto"/>
                <w:sz w:val="20"/>
                <w:szCs w:val="20"/>
              </w:rPr>
              <w:t>/</w:t>
            </w:r>
          </w:p>
        </w:tc>
        <w:tc>
          <w:tcPr>
            <w:tcW w:w="1859" w:type="dxa"/>
            <w:tcBorders>
              <w:right w:val="nil"/>
              <w:insideV w:val="nil"/>
            </w:tcBorders>
            <w:shd w:val="clear" w:color="auto" w:fill="auto"/>
          </w:tcPr>
          <w:p>
            <w:pPr>
              <w:rPr>
                <w:color w:val="auto"/>
                <w:sz w:val="20"/>
                <w:szCs w:val="20"/>
              </w:rPr>
            </w:pPr>
            <w:r>
              <w:rPr>
                <w:color w:val="auto"/>
                <w:sz w:val="20"/>
                <w:szCs w:val="2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3" w:type="dxa"/>
            <w:shd w:val="clear" w:color="auto" w:fill="auto"/>
          </w:tcPr>
          <w:p>
            <w:pPr>
              <w:rPr>
                <w:rFonts w:cstheme="minorHAnsi"/>
                <w:b/>
                <w:bCs/>
                <w:color w:val="000000" w:themeColor="text1" w:themeShade="BF"/>
                <w:sz w:val="20"/>
                <w:szCs w:val="20"/>
              </w:rPr>
            </w:pPr>
            <w:r>
              <w:rPr>
                <w:rFonts w:cstheme="minorHAnsi"/>
                <w:b/>
                <w:bCs/>
                <w:color w:val="000000" w:themeColor="text1" w:themeShade="BF"/>
                <w:sz w:val="20"/>
                <w:szCs w:val="20"/>
              </w:rPr>
              <w:t>Therapy discontinuation</w:t>
            </w:r>
          </w:p>
        </w:tc>
        <w:tc>
          <w:tcPr>
            <w:tcW w:w="977" w:type="dxa"/>
            <w:shd w:val="clear" w:color="auto" w:fill="auto"/>
          </w:tcPr>
          <w:p>
            <w:pPr>
              <w:rPr>
                <w:rFonts w:cstheme="minorHAnsi"/>
                <w:color w:val="auto"/>
                <w:sz w:val="20"/>
                <w:szCs w:val="20"/>
              </w:rPr>
            </w:pPr>
            <w:r>
              <w:rPr>
                <w:rFonts w:cstheme="minorHAnsi"/>
                <w:color w:val="auto"/>
                <w:sz w:val="20"/>
                <w:szCs w:val="20"/>
              </w:rPr>
              <w:t>70</w:t>
            </w:r>
          </w:p>
        </w:tc>
        <w:tc>
          <w:tcPr>
            <w:tcW w:w="1361" w:type="dxa"/>
            <w:shd w:val="clear" w:color="auto" w:fill="auto"/>
          </w:tcPr>
          <w:p>
            <w:pPr>
              <w:rPr>
                <w:rFonts w:cstheme="minorHAnsi"/>
                <w:color w:val="auto"/>
                <w:sz w:val="20"/>
                <w:szCs w:val="20"/>
              </w:rPr>
            </w:pPr>
            <w:r>
              <w:rPr>
                <w:rFonts w:cstheme="minorHAnsi"/>
                <w:color w:val="auto"/>
                <w:sz w:val="20"/>
                <w:szCs w:val="20"/>
              </w:rPr>
              <w:t>795</w:t>
            </w:r>
          </w:p>
        </w:tc>
        <w:tc>
          <w:tcPr>
            <w:tcW w:w="373" w:type="dxa"/>
            <w:shd w:val="clear" w:color="auto" w:fill="auto"/>
          </w:tcPr>
          <w:p>
            <w:pPr>
              <w:rPr>
                <w:rFonts w:cstheme="minorHAnsi"/>
                <w:color w:val="000000" w:themeColor="text1" w:themeShade="BF"/>
                <w:sz w:val="20"/>
                <w:szCs w:val="20"/>
              </w:rPr>
            </w:pPr>
          </w:p>
        </w:tc>
        <w:tc>
          <w:tcPr>
            <w:tcW w:w="1305" w:type="dxa"/>
            <w:shd w:val="clear" w:color="auto" w:fill="auto"/>
          </w:tcPr>
          <w:p>
            <w:pPr>
              <w:rPr>
                <w:color w:val="auto"/>
                <w:sz w:val="20"/>
                <w:szCs w:val="20"/>
              </w:rPr>
            </w:pPr>
            <w:r>
              <w:rPr>
                <w:color w:val="auto"/>
                <w:sz w:val="20"/>
                <w:szCs w:val="20"/>
              </w:rPr>
              <w:t>95</w:t>
            </w:r>
          </w:p>
        </w:tc>
        <w:tc>
          <w:tcPr>
            <w:tcW w:w="1859" w:type="dxa"/>
            <w:shd w:val="clear" w:color="auto" w:fill="auto"/>
          </w:tcPr>
          <w:p>
            <w:pPr>
              <w:rPr>
                <w:color w:val="auto"/>
                <w:sz w:val="20"/>
                <w:szCs w:val="20"/>
              </w:rPr>
            </w:pPr>
            <w:r>
              <w:rPr>
                <w:color w:val="auto"/>
                <w:sz w:val="20"/>
                <w:szCs w:val="20"/>
              </w:rPr>
              <w:t>399</w:t>
            </w:r>
          </w:p>
        </w:tc>
      </w:tr>
    </w:tbl>
    <w:p/>
    <w:p>
      <w:pPr>
        <w:jc w:val="left"/>
        <w:rPr>
          <w:rFonts w:eastAsia="Arial Unicode MS" w:cstheme="minorHAnsi"/>
          <w:b/>
          <w:color w:val="000000"/>
          <w:sz w:val="20"/>
          <w:szCs w:val="20"/>
        </w:rPr>
      </w:pPr>
    </w:p>
    <w:p>
      <w:pPr>
        <w:adjustRightInd w:val="0"/>
        <w:snapToGrid w:val="0"/>
        <w:spacing w:line="480" w:lineRule="auto"/>
        <w:rPr>
          <w:rFonts w:cstheme="minorHAnsi"/>
          <w:b/>
          <w:sz w:val="20"/>
          <w:szCs w:val="20"/>
        </w:rPr>
      </w:pPr>
    </w:p>
    <w:p>
      <w:pPr>
        <w:spacing w:line="240" w:lineRule="auto"/>
        <w:rPr>
          <w:b/>
          <w:bCs/>
          <w:highlight w:val="yellow"/>
        </w:rPr>
      </w:pPr>
      <w:r>
        <w:rPr>
          <w:b/>
          <w:bCs/>
          <w:highlight w:val="yellow"/>
        </w:rPr>
        <w:t>T</w:t>
      </w:r>
      <w:r>
        <w:rPr>
          <w:rFonts w:hint="eastAsia"/>
          <w:b/>
          <w:bCs/>
          <w:highlight w:val="yellow"/>
        </w:rPr>
        <w:t>able</w:t>
      </w:r>
      <w:r>
        <w:rPr>
          <w:rFonts w:hint="eastAsia"/>
          <w:b/>
          <w:bCs/>
          <w:highlight w:val="yellow"/>
          <w:lang w:val="en-US" w:eastAsia="zh-CN"/>
        </w:rPr>
        <w:t xml:space="preserve"> S10:</w:t>
      </w:r>
      <w:r>
        <w:rPr>
          <w:b/>
          <w:bCs/>
          <w:highlight w:val="yellow"/>
        </w:rPr>
        <w:t xml:space="preserve"> The results of univariate sensitivity analyses</w:t>
      </w:r>
    </w:p>
    <w:p>
      <w:pPr>
        <w:spacing w:line="240" w:lineRule="auto"/>
      </w:pPr>
    </w:p>
    <w:tbl>
      <w:tblPr>
        <w:tblStyle w:val="11"/>
        <w:tblW w:w="8784" w:type="dxa"/>
        <w:tblInd w:w="0" w:type="dxa"/>
        <w:tblLayout w:type="fixed"/>
        <w:tblCellMar>
          <w:top w:w="0" w:type="dxa"/>
          <w:left w:w="108" w:type="dxa"/>
          <w:bottom w:w="0" w:type="dxa"/>
          <w:right w:w="108" w:type="dxa"/>
        </w:tblCellMar>
      </w:tblPr>
      <w:tblGrid>
        <w:gridCol w:w="3256"/>
        <w:gridCol w:w="1134"/>
        <w:gridCol w:w="1275"/>
        <w:gridCol w:w="1276"/>
        <w:gridCol w:w="1843"/>
      </w:tblGrid>
      <w:tr>
        <w:tblPrEx>
          <w:tblLayout w:type="fixed"/>
          <w:tblCellMar>
            <w:top w:w="0" w:type="dxa"/>
            <w:left w:w="108" w:type="dxa"/>
            <w:bottom w:w="0" w:type="dxa"/>
            <w:right w:w="108" w:type="dxa"/>
          </w:tblCellMar>
        </w:tblPrEx>
        <w:trPr>
          <w:trHeight w:val="255" w:hRule="atLeast"/>
        </w:trPr>
        <w:tc>
          <w:tcPr>
            <w:tcW w:w="325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Parameter</w:t>
            </w:r>
          </w:p>
        </w:tc>
        <w:tc>
          <w:tcPr>
            <w:tcW w:w="1134" w:type="dxa"/>
            <w:tcBorders>
              <w:top w:val="single" w:color="auto" w:sz="4" w:space="0"/>
              <w:left w:val="nil"/>
              <w:bottom w:val="single" w:color="auto" w:sz="4" w:space="0"/>
              <w:right w:val="single" w:color="auto" w:sz="4" w:space="0"/>
            </w:tcBorders>
            <w:shd w:val="clear" w:color="auto" w:fill="BEBEBE" w:themeFill="background1" w:themeFillShade="BF"/>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Variation</w:t>
            </w:r>
          </w:p>
        </w:tc>
        <w:tc>
          <w:tcPr>
            <w:tcW w:w="2551" w:type="dxa"/>
            <w:gridSpan w:val="2"/>
            <w:tcBorders>
              <w:top w:val="single" w:color="auto" w:sz="4" w:space="0"/>
              <w:left w:val="nil"/>
              <w:bottom w:val="single" w:color="auto" w:sz="4" w:space="0"/>
              <w:right w:val="single" w:color="auto" w:sz="4" w:space="0"/>
            </w:tcBorders>
            <w:shd w:val="clear" w:color="auto" w:fill="BEBEBE" w:themeFill="background1" w:themeFillShade="BF"/>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Incremental</w:t>
            </w:r>
          </w:p>
        </w:tc>
        <w:tc>
          <w:tcPr>
            <w:tcW w:w="1843" w:type="dxa"/>
            <w:tcBorders>
              <w:top w:val="single" w:color="auto" w:sz="4" w:space="0"/>
              <w:left w:val="nil"/>
              <w:bottom w:val="single" w:color="auto" w:sz="4" w:space="0"/>
              <w:right w:val="single" w:color="auto" w:sz="4" w:space="0"/>
            </w:tcBorders>
            <w:shd w:val="clear" w:color="auto" w:fill="BEBEBE" w:themeFill="background1" w:themeFillShade="BF"/>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ICER (¥/QALY)</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BEBEBE" w:themeFill="background1" w:themeFillShade="BF"/>
            <w:noWrap/>
            <w:vAlign w:val="bottom"/>
          </w:tcPr>
          <w:p>
            <w:pPr>
              <w:spacing w:after="0" w:line="240" w:lineRule="auto"/>
              <w:rPr>
                <w:rFonts w:ascii="Calibri" w:hAnsi="Calibri" w:eastAsia="宋体" w:cs="Calibri"/>
                <w:color w:val="000000"/>
                <w:sz w:val="20"/>
                <w:szCs w:val="20"/>
              </w:rPr>
            </w:pPr>
          </w:p>
        </w:tc>
        <w:tc>
          <w:tcPr>
            <w:tcW w:w="1134" w:type="dxa"/>
            <w:tcBorders>
              <w:top w:val="nil"/>
              <w:left w:val="nil"/>
              <w:bottom w:val="single" w:color="auto" w:sz="4" w:space="0"/>
              <w:right w:val="single" w:color="auto" w:sz="4" w:space="0"/>
            </w:tcBorders>
            <w:shd w:val="clear" w:color="auto" w:fill="BEBEBE" w:themeFill="background1" w:themeFillShade="BF"/>
            <w:noWrap/>
            <w:vAlign w:val="bottom"/>
          </w:tcPr>
          <w:p>
            <w:pPr>
              <w:spacing w:after="0" w:line="240" w:lineRule="auto"/>
              <w:rPr>
                <w:rFonts w:ascii="Calibri" w:hAnsi="Calibri" w:eastAsia="宋体" w:cs="Calibri"/>
                <w:color w:val="000000"/>
                <w:sz w:val="20"/>
                <w:szCs w:val="20"/>
              </w:rPr>
            </w:pPr>
          </w:p>
        </w:tc>
        <w:tc>
          <w:tcPr>
            <w:tcW w:w="1275" w:type="dxa"/>
            <w:tcBorders>
              <w:top w:val="nil"/>
              <w:left w:val="nil"/>
              <w:bottom w:val="single" w:color="auto" w:sz="4" w:space="0"/>
              <w:right w:val="single" w:color="auto" w:sz="4" w:space="0"/>
            </w:tcBorders>
            <w:shd w:val="clear" w:color="auto" w:fill="BEBEBE" w:themeFill="background1" w:themeFillShade="BF"/>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Costs</w:t>
            </w:r>
          </w:p>
        </w:tc>
        <w:tc>
          <w:tcPr>
            <w:tcW w:w="1276" w:type="dxa"/>
            <w:tcBorders>
              <w:top w:val="nil"/>
              <w:left w:val="nil"/>
              <w:bottom w:val="single" w:color="auto" w:sz="4" w:space="0"/>
              <w:right w:val="single" w:color="auto" w:sz="4" w:space="0"/>
            </w:tcBorders>
            <w:shd w:val="clear" w:color="auto" w:fill="BEBEBE" w:themeFill="background1" w:themeFillShade="BF"/>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QALYs</w:t>
            </w:r>
          </w:p>
        </w:tc>
        <w:tc>
          <w:tcPr>
            <w:tcW w:w="1843" w:type="dxa"/>
            <w:tcBorders>
              <w:top w:val="nil"/>
              <w:left w:val="nil"/>
              <w:bottom w:val="single" w:color="auto" w:sz="4" w:space="0"/>
              <w:right w:val="single" w:color="auto" w:sz="4" w:space="0"/>
            </w:tcBorders>
            <w:shd w:val="clear" w:color="auto" w:fill="BEBEBE" w:themeFill="background1" w:themeFillShade="BF"/>
            <w:noWrap/>
            <w:vAlign w:val="bottom"/>
          </w:tcPr>
          <w:p>
            <w:pPr>
              <w:spacing w:after="0" w:line="240" w:lineRule="auto"/>
              <w:jc w:val="center"/>
              <w:rPr>
                <w:rFonts w:ascii="Calibri" w:hAnsi="Calibri" w:eastAsia="宋体" w:cs="Calibri"/>
                <w:bCs/>
                <w:color w:val="000000"/>
                <w:sz w:val="20"/>
                <w:szCs w:val="20"/>
              </w:rPr>
            </w:pP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Baseline</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10729</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Discounting = 0%</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2047</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1.30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1575</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Discounting = 6%</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3610</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0.01</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344903</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Time horizon =20 years</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14639</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0.58</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25447</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Time horizon =5 years</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9683</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0.77</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12581</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Age =60 years</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11705</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0.70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16765</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Age =30 years</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-19709</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1.64</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-12007</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Proportion Female (%)=1</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5424</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0.86</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6297</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Proportion Female (%)=0</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12925</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0.73</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17673</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Current Smoker (%)=1</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10641</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13382</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Current Smoker (%)=0</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6674</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0.20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34014</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HbA1c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-20563</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1.04</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-19772</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HbA1c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32246</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0.52</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61672</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Total Cholesterol (%)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9637</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12096</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Total Cholesterol (%)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7568</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0.81</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9331</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HDL Cholesterol (%)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7957</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0.82</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9761</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HDL Cholesterol (%)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9658</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0.78</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12307</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SBP (mmHg)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10820</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0.77</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14096</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SBP (mmHg)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6734</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0.83</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8087</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Weight (kg)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-20563</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1.04</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sz w:val="20"/>
                <w:szCs w:val="20"/>
              </w:rPr>
            </w:pPr>
            <w:r>
              <w:rPr>
                <w:rFonts w:ascii="Calibri" w:hAnsi="Calibri" w:eastAsia="宋体" w:cs="Calibri"/>
                <w:bCs/>
                <w:sz w:val="20"/>
                <w:szCs w:val="20"/>
              </w:rPr>
              <w:t>-19772</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Weight (kg)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68437</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0.85</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80188</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HbA1c Treatment Effect (%)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10882</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0.76</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14321</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HbA1c Treatment Effect (%)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8933</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11099</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Weight Treatment Effect (kg)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53621</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2.92</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18379</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Weight Treatment Effect (kg)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27679</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1.77</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15614</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Non-severe Hypoglycemia Rate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0.81</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10692</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Non-severe Hypoglycemia Rate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10766</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Severe Hypoglycaemia Rates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8461</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0.81</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10499</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Severe Hypoglycaemia Rates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8790</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10960</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Adverse Event Rates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8722</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0.79</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10975</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Adverse Event Rates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8529</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0.81</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10489</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Event Costs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9333</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11608</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Event Costs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7919</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9849</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BMI Costs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-5653</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sz w:val="20"/>
                <w:szCs w:val="20"/>
              </w:rPr>
              <w:t>-7032</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BMI Costs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22905</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28489</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Baseline Utility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0.82</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10472</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Baseline Utility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0.78</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10998</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Event Disutility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0.80</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10803</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Event Disutility -25%</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0.81</w:t>
            </w:r>
          </w:p>
        </w:tc>
        <w:tc>
          <w:tcPr>
            <w:tcW w:w="1843" w:type="dxa"/>
            <w:tcBorders>
              <w:top w:val="nil"/>
              <w:left w:val="nil"/>
              <w:bottom w:val="single" w:color="auto" w:sz="4" w:space="0"/>
              <w:right w:val="single" w:color="auto" w:sz="4" w:space="0"/>
            </w:tcBorders>
            <w:shd w:val="clear" w:color="000000" w:fill="auto"/>
            <w:noWrap/>
            <w:vAlign w:val="bottom"/>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10656</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BMI Utility +25% (</w:t>
            </w:r>
            <w:r>
              <w:rPr>
                <w:rFonts w:hint="eastAsia" w:ascii="Calibri" w:hAnsi="Calibri" w:eastAsia="宋体" w:cs="Calibri"/>
                <w:bCs/>
                <w:color w:val="000000"/>
                <w:sz w:val="20"/>
                <w:szCs w:val="20"/>
              </w:rPr>
              <w:t>0</w:t>
            </w:r>
            <w:r>
              <w:rPr>
                <w:rFonts w:ascii="Calibri" w:hAnsi="Calibri" w:eastAsia="宋体" w:cs="Calibri"/>
                <w:bCs/>
                <w:color w:val="000000"/>
                <w:sz w:val="20"/>
                <w:szCs w:val="20"/>
              </w:rPr>
              <w:t xml:space="preserve">.0214; </w:t>
            </w:r>
            <w:r>
              <w:rPr>
                <w:rFonts w:hint="eastAsia" w:ascii="Calibri" w:hAnsi="Calibri" w:eastAsia="宋体" w:cs="Calibri"/>
                <w:bCs/>
                <w:color w:val="000000"/>
                <w:sz w:val="20"/>
                <w:szCs w:val="20"/>
              </w:rPr>
              <w:t>0</w:t>
            </w:r>
            <w:r>
              <w:rPr>
                <w:rFonts w:ascii="Calibri" w:hAnsi="Calibri" w:eastAsia="宋体" w:cs="Calibri"/>
                <w:bCs/>
                <w:color w:val="000000"/>
                <w:sz w:val="20"/>
                <w:szCs w:val="20"/>
              </w:rPr>
              <w:t>.059)</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Upper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宋体" w:cs="Calibri"/>
                <w:color w:val="000000"/>
                <w:sz w:val="20"/>
                <w:szCs w:val="20"/>
              </w:rPr>
            </w:pPr>
            <w:r>
              <w:rPr>
                <w:sz w:val="20"/>
                <w:szCs w:val="20"/>
              </w:rPr>
              <w:t>1.00</w:t>
            </w:r>
          </w:p>
        </w:tc>
        <w:tc>
          <w:tcPr>
            <w:tcW w:w="1843" w:type="dxa"/>
            <w:tcBorders>
              <w:top w:val="nil"/>
              <w:left w:val="nil"/>
              <w:bottom w:val="single" w:color="auto" w:sz="4" w:space="0"/>
              <w:right w:val="single" w:color="auto" w:sz="4" w:space="0"/>
            </w:tcBorders>
            <w:shd w:val="clear" w:color="000000" w:fill="auto"/>
            <w:noWrap/>
          </w:tcPr>
          <w:p>
            <w:pPr>
              <w:spacing w:after="0" w:line="240" w:lineRule="auto"/>
              <w:jc w:val="center"/>
              <w:rPr>
                <w:rFonts w:ascii="Calibri" w:hAnsi="Calibri" w:eastAsia="宋体" w:cs="Calibri"/>
                <w:bCs/>
                <w:color w:val="000000"/>
                <w:sz w:val="20"/>
                <w:szCs w:val="20"/>
              </w:rPr>
            </w:pPr>
            <w:r>
              <w:rPr>
                <w:sz w:val="20"/>
                <w:szCs w:val="20"/>
              </w:rPr>
              <w:t>8625</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bCs/>
                <w:color w:val="000000"/>
                <w:sz w:val="20"/>
                <w:szCs w:val="20"/>
              </w:rPr>
              <w:t>BMI Utility -25% (0.0128; 0.0354)</w:t>
            </w:r>
          </w:p>
        </w:tc>
        <w:tc>
          <w:tcPr>
            <w:tcW w:w="113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宋体" w:cs="Calibri"/>
                <w:color w:val="000000"/>
                <w:sz w:val="20"/>
                <w:szCs w:val="20"/>
              </w:rPr>
            </w:pPr>
            <w:r>
              <w:rPr>
                <w:rFonts w:ascii="Calibri" w:hAnsi="Calibri" w:eastAsia="宋体" w:cs="Calibri"/>
                <w:color w:val="000000"/>
                <w:sz w:val="20"/>
                <w:szCs w:val="20"/>
              </w:rPr>
              <w:t>Lower</w:t>
            </w: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宋体" w:cs="Calibri"/>
                <w:color w:val="000000"/>
                <w:sz w:val="20"/>
                <w:szCs w:val="20"/>
              </w:rPr>
            </w:pPr>
            <w:r>
              <w:rPr>
                <w:sz w:val="20"/>
                <w:szCs w:val="20"/>
              </w:rPr>
              <w:t>0.62</w:t>
            </w:r>
          </w:p>
        </w:tc>
        <w:tc>
          <w:tcPr>
            <w:tcW w:w="1843" w:type="dxa"/>
            <w:tcBorders>
              <w:top w:val="nil"/>
              <w:left w:val="nil"/>
              <w:bottom w:val="single" w:color="auto" w:sz="4" w:space="0"/>
              <w:right w:val="single" w:color="auto" w:sz="4" w:space="0"/>
            </w:tcBorders>
            <w:shd w:val="clear" w:color="000000" w:fill="auto"/>
            <w:noWrap/>
          </w:tcPr>
          <w:p>
            <w:pPr>
              <w:spacing w:after="0" w:line="240" w:lineRule="auto"/>
              <w:jc w:val="center"/>
              <w:rPr>
                <w:rFonts w:ascii="Calibri" w:hAnsi="Calibri" w:eastAsia="宋体" w:cs="Calibri"/>
                <w:bCs/>
                <w:color w:val="000000"/>
                <w:sz w:val="20"/>
                <w:szCs w:val="20"/>
              </w:rPr>
            </w:pPr>
            <w:r>
              <w:rPr>
                <w:sz w:val="20"/>
                <w:szCs w:val="20"/>
              </w:rPr>
              <w:t>14022</w:t>
            </w:r>
          </w:p>
        </w:tc>
      </w:tr>
      <w:tr>
        <w:tblPrEx>
          <w:tblLayout w:type="fixed"/>
          <w:tblCellMar>
            <w:top w:w="0" w:type="dxa"/>
            <w:left w:w="108" w:type="dxa"/>
            <w:bottom w:w="0" w:type="dxa"/>
            <w:right w:w="108" w:type="dxa"/>
          </w:tblCellMar>
        </w:tblPrEx>
        <w:trPr>
          <w:trHeight w:val="255" w:hRule="atLeast"/>
        </w:trPr>
        <w:tc>
          <w:tcPr>
            <w:tcW w:w="325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tcPr>
          <w:p>
            <w:pPr>
              <w:spacing w:after="0" w:line="240" w:lineRule="auto"/>
              <w:rPr>
                <w:rFonts w:ascii="Calibri" w:hAnsi="Calibri" w:eastAsia="宋体" w:cs="Calibri"/>
                <w:bCs/>
                <w:color w:val="000000"/>
                <w:sz w:val="20"/>
                <w:szCs w:val="20"/>
              </w:rPr>
            </w:pPr>
            <w:r>
              <w:rPr>
                <w:sz w:val="20"/>
                <w:szCs w:val="20"/>
              </w:rPr>
              <w:t>Scenario analysis:</w:t>
            </w:r>
          </w:p>
        </w:tc>
        <w:tc>
          <w:tcPr>
            <w:tcW w:w="1134" w:type="dxa"/>
            <w:tcBorders>
              <w:top w:val="single" w:color="auto" w:sz="4" w:space="0"/>
              <w:left w:val="nil"/>
              <w:bottom w:val="single" w:color="auto" w:sz="4" w:space="0"/>
              <w:right w:val="single" w:color="auto" w:sz="4" w:space="0"/>
            </w:tcBorders>
            <w:shd w:val="clear" w:color="auto" w:fill="BEBEBE" w:themeFill="background1" w:themeFillShade="BF"/>
            <w:noWrap/>
          </w:tcPr>
          <w:p>
            <w:pPr>
              <w:spacing w:after="0" w:line="240" w:lineRule="auto"/>
              <w:rPr>
                <w:rFonts w:ascii="Calibri" w:hAnsi="Calibri" w:eastAsia="宋体" w:cs="Calibri"/>
                <w:color w:val="000000"/>
                <w:sz w:val="20"/>
                <w:szCs w:val="20"/>
              </w:rPr>
            </w:pPr>
          </w:p>
        </w:tc>
        <w:tc>
          <w:tcPr>
            <w:tcW w:w="1275" w:type="dxa"/>
            <w:tcBorders>
              <w:top w:val="single" w:color="auto" w:sz="4" w:space="0"/>
              <w:left w:val="nil"/>
              <w:bottom w:val="single" w:color="auto" w:sz="4" w:space="0"/>
              <w:right w:val="single" w:color="auto" w:sz="4" w:space="0"/>
            </w:tcBorders>
            <w:shd w:val="clear" w:color="auto" w:fill="BEBEBE" w:themeFill="background1" w:themeFillShade="BF"/>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Costs</w:t>
            </w:r>
          </w:p>
        </w:tc>
        <w:tc>
          <w:tcPr>
            <w:tcW w:w="1276" w:type="dxa"/>
            <w:tcBorders>
              <w:top w:val="single" w:color="auto" w:sz="4" w:space="0"/>
              <w:left w:val="nil"/>
              <w:bottom w:val="single" w:color="auto" w:sz="4" w:space="0"/>
              <w:right w:val="single" w:color="auto" w:sz="4" w:space="0"/>
            </w:tcBorders>
            <w:shd w:val="clear" w:color="auto" w:fill="BEBEBE" w:themeFill="background1" w:themeFillShade="BF"/>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QALYs</w:t>
            </w:r>
          </w:p>
        </w:tc>
        <w:tc>
          <w:tcPr>
            <w:tcW w:w="1843" w:type="dxa"/>
            <w:tcBorders>
              <w:top w:val="single" w:color="auto" w:sz="4" w:space="0"/>
              <w:left w:val="nil"/>
              <w:bottom w:val="single" w:color="auto" w:sz="4" w:space="0"/>
              <w:right w:val="single" w:color="auto" w:sz="4" w:space="0"/>
            </w:tcBorders>
            <w:shd w:val="clear" w:color="auto" w:fill="BEBEBE" w:themeFill="background1" w:themeFillShade="BF"/>
            <w:noWrap/>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ICER (¥/QALY)</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tcPr>
          <w:p>
            <w:pPr>
              <w:spacing w:after="0" w:line="240" w:lineRule="auto"/>
              <w:rPr>
                <w:sz w:val="20"/>
                <w:szCs w:val="20"/>
              </w:rPr>
            </w:pPr>
            <w:r>
              <w:rPr>
                <w:sz w:val="20"/>
                <w:szCs w:val="20"/>
              </w:rPr>
              <w:t>BMI utility=0.0061; 0.0061</w:t>
            </w:r>
          </w:p>
        </w:tc>
        <w:tc>
          <w:tcPr>
            <w:tcW w:w="1134" w:type="dxa"/>
            <w:tcBorders>
              <w:top w:val="nil"/>
              <w:left w:val="nil"/>
              <w:bottom w:val="single" w:color="auto" w:sz="4" w:space="0"/>
              <w:right w:val="single" w:color="auto" w:sz="4" w:space="0"/>
            </w:tcBorders>
            <w:shd w:val="clear" w:color="auto" w:fill="auto"/>
            <w:noWrap/>
          </w:tcPr>
          <w:p>
            <w:pPr>
              <w:spacing w:after="0" w:line="240" w:lineRule="auto"/>
              <w:rPr>
                <w:rFonts w:ascii="Calibri" w:hAnsi="Calibri" w:eastAsia="宋体" w:cs="Calibri"/>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8626</w:t>
            </w:r>
          </w:p>
        </w:tc>
        <w:tc>
          <w:tcPr>
            <w:tcW w:w="1276"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宋体" w:cs="Calibri"/>
                <w:color w:val="000000"/>
                <w:sz w:val="20"/>
                <w:szCs w:val="20"/>
              </w:rPr>
            </w:pPr>
            <w:r>
              <w:rPr>
                <w:rFonts w:ascii="Calibri" w:hAnsi="Calibri" w:eastAsia="宋体" w:cs="Calibri"/>
                <w:color w:val="000000"/>
                <w:sz w:val="20"/>
                <w:szCs w:val="20"/>
              </w:rPr>
              <w:t>0.19</w:t>
            </w:r>
          </w:p>
        </w:tc>
        <w:tc>
          <w:tcPr>
            <w:tcW w:w="1843" w:type="dxa"/>
            <w:tcBorders>
              <w:top w:val="nil"/>
              <w:left w:val="nil"/>
              <w:bottom w:val="single" w:color="auto" w:sz="4" w:space="0"/>
              <w:right w:val="single" w:color="auto" w:sz="4" w:space="0"/>
            </w:tcBorders>
            <w:shd w:val="clear" w:color="000000" w:fill="auto"/>
            <w:noWrap/>
          </w:tcPr>
          <w:p>
            <w:pPr>
              <w:spacing w:after="0" w:line="240" w:lineRule="auto"/>
              <w:jc w:val="center"/>
              <w:rPr>
                <w:rFonts w:ascii="Calibri" w:hAnsi="Calibri" w:eastAsia="宋体" w:cs="Calibri"/>
                <w:bCs/>
                <w:color w:val="000000"/>
                <w:sz w:val="20"/>
                <w:szCs w:val="20"/>
              </w:rPr>
            </w:pPr>
            <w:r>
              <w:rPr>
                <w:rFonts w:ascii="Calibri" w:hAnsi="Calibri" w:eastAsia="宋体" w:cs="Calibri"/>
                <w:color w:val="000000"/>
                <w:sz w:val="20"/>
                <w:szCs w:val="20"/>
              </w:rPr>
              <w:t>45548</w:t>
            </w: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BEBEBE" w:themeFill="background1" w:themeFillShade="BF"/>
            <w:noWrap/>
            <w:vAlign w:val="center"/>
          </w:tcPr>
          <w:p>
            <w:pPr>
              <w:spacing w:after="0" w:line="240" w:lineRule="auto"/>
              <w:rPr>
                <w:sz w:val="20"/>
                <w:szCs w:val="20"/>
              </w:rPr>
            </w:pPr>
            <w:r>
              <w:rPr>
                <w:rFonts w:ascii="Calibri" w:hAnsi="Calibri" w:eastAsia="宋体" w:cs="Calibri"/>
                <w:bCs/>
                <w:color w:val="000000"/>
                <w:sz w:val="20"/>
                <w:szCs w:val="20"/>
              </w:rPr>
              <w:t>B</w:t>
            </w:r>
            <w:r>
              <w:rPr>
                <w:rFonts w:hint="eastAsia" w:ascii="Calibri" w:hAnsi="Calibri" w:eastAsia="宋体" w:cs="Calibri"/>
                <w:bCs/>
                <w:color w:val="000000"/>
                <w:sz w:val="20"/>
                <w:szCs w:val="20"/>
              </w:rPr>
              <w:t>ase</w:t>
            </w:r>
            <w:r>
              <w:rPr>
                <w:rFonts w:ascii="Calibri" w:hAnsi="Calibri" w:eastAsia="宋体" w:cs="Calibri"/>
                <w:bCs/>
                <w:color w:val="000000"/>
                <w:sz w:val="20"/>
                <w:szCs w:val="20"/>
              </w:rPr>
              <w:t xml:space="preserve"> </w:t>
            </w:r>
            <w:r>
              <w:rPr>
                <w:rFonts w:hint="eastAsia" w:ascii="Calibri" w:hAnsi="Calibri" w:eastAsia="宋体" w:cs="Calibri"/>
                <w:bCs/>
                <w:color w:val="000000"/>
                <w:sz w:val="20"/>
                <w:szCs w:val="20"/>
              </w:rPr>
              <w:t>case</w:t>
            </w:r>
            <w:r>
              <w:rPr>
                <w:rFonts w:ascii="Calibri" w:hAnsi="Calibri" w:eastAsia="宋体" w:cs="Calibri"/>
                <w:bCs/>
                <w:color w:val="000000"/>
                <w:sz w:val="20"/>
                <w:szCs w:val="20"/>
              </w:rPr>
              <w:t xml:space="preserve"> </w:t>
            </w:r>
            <w:r>
              <w:rPr>
                <w:rFonts w:hint="eastAsia" w:ascii="Calibri" w:hAnsi="Calibri" w:eastAsia="宋体" w:cs="Calibri"/>
                <w:bCs/>
                <w:color w:val="000000"/>
                <w:sz w:val="20"/>
                <w:szCs w:val="20"/>
              </w:rPr>
              <w:t>analysis</w:t>
            </w:r>
          </w:p>
        </w:tc>
        <w:tc>
          <w:tcPr>
            <w:tcW w:w="1134" w:type="dxa"/>
            <w:tcBorders>
              <w:top w:val="nil"/>
              <w:left w:val="nil"/>
              <w:bottom w:val="single" w:color="auto" w:sz="4" w:space="0"/>
              <w:right w:val="single" w:color="auto" w:sz="4" w:space="0"/>
            </w:tcBorders>
            <w:shd w:val="clear" w:color="auto" w:fill="BEBEBE" w:themeFill="background1" w:themeFillShade="BF"/>
            <w:noWrap/>
            <w:vAlign w:val="center"/>
          </w:tcPr>
          <w:p>
            <w:pPr>
              <w:spacing w:after="0" w:line="240" w:lineRule="auto"/>
              <w:jc w:val="center"/>
              <w:rPr>
                <w:rFonts w:ascii="Calibri" w:hAnsi="Calibri" w:eastAsia="宋体" w:cs="Calibri"/>
                <w:color w:val="000000"/>
                <w:sz w:val="20"/>
                <w:szCs w:val="20"/>
              </w:rPr>
            </w:pPr>
            <w:r>
              <w:rPr>
                <w:rFonts w:ascii="Calibri" w:hAnsi="Calibri" w:eastAsia="宋体" w:cs="Calibri"/>
                <w:bCs/>
                <w:color w:val="000000"/>
                <w:sz w:val="20"/>
                <w:szCs w:val="20"/>
              </w:rPr>
              <w:t>Utility Decrement</w:t>
            </w:r>
          </w:p>
        </w:tc>
        <w:tc>
          <w:tcPr>
            <w:tcW w:w="1275" w:type="dxa"/>
            <w:tcBorders>
              <w:top w:val="nil"/>
              <w:left w:val="nil"/>
              <w:bottom w:val="single" w:color="auto" w:sz="4" w:space="0"/>
              <w:right w:val="single" w:color="auto" w:sz="4" w:space="0"/>
            </w:tcBorders>
            <w:shd w:val="clear" w:color="auto" w:fill="BEBEBE" w:themeFill="background1" w:themeFillShade="BF"/>
            <w:noWrap/>
          </w:tcPr>
          <w:p>
            <w:pPr>
              <w:spacing w:after="0" w:line="240" w:lineRule="auto"/>
              <w:jc w:val="center"/>
              <w:rPr>
                <w:rFonts w:ascii="Calibri" w:hAnsi="Calibri" w:eastAsia="宋体" w:cs="Calibri"/>
                <w:color w:val="000000"/>
                <w:sz w:val="20"/>
                <w:szCs w:val="20"/>
              </w:rPr>
            </w:pPr>
            <w:r>
              <w:rPr>
                <w:rFonts w:hint="eastAsia" w:ascii="Calibri" w:hAnsi="Calibri" w:eastAsia="宋体" w:cs="Calibri"/>
                <w:bCs/>
                <w:color w:val="000000"/>
                <w:sz w:val="20"/>
                <w:szCs w:val="20"/>
              </w:rPr>
              <w:t>+</w:t>
            </w:r>
            <w:r>
              <w:rPr>
                <w:rFonts w:ascii="Calibri" w:hAnsi="Calibri" w:eastAsia="宋体" w:cs="Calibri"/>
                <w:bCs/>
                <w:color w:val="000000"/>
                <w:sz w:val="20"/>
                <w:szCs w:val="20"/>
              </w:rPr>
              <w:t>25%</w:t>
            </w:r>
          </w:p>
        </w:tc>
        <w:tc>
          <w:tcPr>
            <w:tcW w:w="1276" w:type="dxa"/>
            <w:tcBorders>
              <w:top w:val="nil"/>
              <w:left w:val="nil"/>
              <w:bottom w:val="single" w:color="auto" w:sz="4" w:space="0"/>
              <w:right w:val="single" w:color="auto" w:sz="4" w:space="0"/>
            </w:tcBorders>
            <w:shd w:val="clear" w:color="auto" w:fill="BEBEBE" w:themeFill="background1" w:themeFillShade="BF"/>
            <w:noWrap/>
          </w:tcPr>
          <w:p>
            <w:pPr>
              <w:spacing w:after="0" w:line="240" w:lineRule="auto"/>
              <w:jc w:val="center"/>
              <w:rPr>
                <w:rFonts w:ascii="Calibri" w:hAnsi="Calibri" w:eastAsia="宋体" w:cs="Calibri"/>
                <w:color w:val="000000"/>
                <w:sz w:val="20"/>
                <w:szCs w:val="20"/>
              </w:rPr>
            </w:pPr>
            <w:r>
              <w:rPr>
                <w:rFonts w:hint="eastAsia" w:ascii="Calibri" w:hAnsi="Calibri" w:eastAsia="宋体" w:cs="Calibri"/>
                <w:bCs/>
                <w:color w:val="000000"/>
                <w:sz w:val="20"/>
                <w:szCs w:val="20"/>
              </w:rPr>
              <w:t>-</w:t>
            </w:r>
            <w:r>
              <w:rPr>
                <w:rFonts w:ascii="Calibri" w:hAnsi="Calibri" w:eastAsia="宋体" w:cs="Calibri"/>
                <w:bCs/>
                <w:color w:val="000000"/>
                <w:sz w:val="20"/>
                <w:szCs w:val="20"/>
              </w:rPr>
              <w:t>25%</w:t>
            </w:r>
          </w:p>
        </w:tc>
        <w:tc>
          <w:tcPr>
            <w:tcW w:w="1843" w:type="dxa"/>
            <w:tcBorders>
              <w:top w:val="nil"/>
              <w:left w:val="nil"/>
              <w:bottom w:val="single" w:color="auto" w:sz="4" w:space="0"/>
              <w:right w:val="single" w:color="auto" w:sz="4" w:space="0"/>
            </w:tcBorders>
            <w:shd w:val="clear" w:color="auto" w:fill="BEBEBE" w:themeFill="background1" w:themeFillShade="BF"/>
            <w:noWrap/>
          </w:tcPr>
          <w:p>
            <w:pPr>
              <w:spacing w:after="0" w:line="240" w:lineRule="auto"/>
              <w:jc w:val="center"/>
              <w:rPr>
                <w:rFonts w:ascii="Calibri" w:hAnsi="Calibri" w:eastAsia="宋体" w:cs="Calibri"/>
                <w:color w:val="000000"/>
                <w:sz w:val="20"/>
                <w:szCs w:val="20"/>
              </w:rPr>
            </w:pP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sz w:val="20"/>
                <w:szCs w:val="20"/>
              </w:rPr>
            </w:pPr>
            <w:r>
              <w:rPr>
                <w:rFonts w:ascii="Calibri" w:hAnsi="Calibri" w:eastAsia="宋体" w:cs="Calibri"/>
                <w:bCs/>
                <w:color w:val="000000"/>
                <w:sz w:val="20"/>
                <w:szCs w:val="20"/>
              </w:rPr>
              <w:t>Per unit decrease in BMI</w:t>
            </w:r>
          </w:p>
        </w:tc>
        <w:tc>
          <w:tcPr>
            <w:tcW w:w="113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宋体" w:cs="Calibri"/>
                <w:color w:val="000000"/>
                <w:sz w:val="20"/>
                <w:szCs w:val="20"/>
              </w:rPr>
            </w:pPr>
            <w:r>
              <w:rPr>
                <w:rFonts w:ascii="Calibri" w:hAnsi="Calibri" w:eastAsia="宋体" w:cs="Calibri"/>
                <w:bCs/>
                <w:color w:val="000000"/>
                <w:sz w:val="20"/>
                <w:szCs w:val="20"/>
              </w:rPr>
              <w:t>0.0171</w:t>
            </w:r>
          </w:p>
        </w:tc>
        <w:tc>
          <w:tcPr>
            <w:tcW w:w="1275"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宋体" w:cs="Calibri"/>
                <w:color w:val="000000"/>
                <w:sz w:val="20"/>
                <w:szCs w:val="20"/>
              </w:rPr>
            </w:pPr>
            <w:r>
              <w:rPr>
                <w:rFonts w:hint="eastAsia" w:ascii="Calibri" w:hAnsi="Calibri" w:eastAsia="宋体" w:cs="Calibri"/>
                <w:bCs/>
                <w:color w:val="000000"/>
                <w:sz w:val="20"/>
                <w:szCs w:val="20"/>
              </w:rPr>
              <w:t>0</w:t>
            </w:r>
            <w:r>
              <w:rPr>
                <w:rFonts w:ascii="Calibri" w:hAnsi="Calibri" w:eastAsia="宋体" w:cs="Calibri"/>
                <w:bCs/>
                <w:color w:val="000000"/>
                <w:sz w:val="20"/>
                <w:szCs w:val="20"/>
              </w:rPr>
              <w:t>.0214</w:t>
            </w:r>
          </w:p>
        </w:tc>
        <w:tc>
          <w:tcPr>
            <w:tcW w:w="1276"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宋体" w:cs="Calibri"/>
                <w:color w:val="000000"/>
                <w:sz w:val="20"/>
                <w:szCs w:val="20"/>
              </w:rPr>
            </w:pPr>
            <w:r>
              <w:rPr>
                <w:rFonts w:ascii="Calibri" w:hAnsi="Calibri" w:eastAsia="宋体" w:cs="Calibri"/>
                <w:bCs/>
                <w:color w:val="000000"/>
                <w:sz w:val="20"/>
                <w:szCs w:val="20"/>
              </w:rPr>
              <w:t>0.0128</w:t>
            </w:r>
          </w:p>
        </w:tc>
        <w:tc>
          <w:tcPr>
            <w:tcW w:w="1843" w:type="dxa"/>
            <w:tcBorders>
              <w:top w:val="nil"/>
              <w:left w:val="nil"/>
              <w:bottom w:val="single" w:color="auto" w:sz="4" w:space="0"/>
              <w:right w:val="single" w:color="auto" w:sz="4" w:space="0"/>
            </w:tcBorders>
            <w:shd w:val="clear" w:color="000000" w:fill="auto"/>
            <w:noWrap/>
          </w:tcPr>
          <w:p>
            <w:pPr>
              <w:spacing w:after="0" w:line="240" w:lineRule="auto"/>
              <w:jc w:val="center"/>
              <w:rPr>
                <w:rFonts w:ascii="Calibri" w:hAnsi="Calibri" w:eastAsia="宋体" w:cs="Calibri"/>
                <w:color w:val="000000"/>
                <w:sz w:val="20"/>
                <w:szCs w:val="20"/>
              </w:rPr>
            </w:pPr>
          </w:p>
        </w:tc>
      </w:tr>
      <w:tr>
        <w:tblPrEx>
          <w:tblLayout w:type="fixed"/>
          <w:tblCellMar>
            <w:top w:w="0" w:type="dxa"/>
            <w:left w:w="108" w:type="dxa"/>
            <w:bottom w:w="0" w:type="dxa"/>
            <w:right w:w="108" w:type="dxa"/>
          </w:tblCellMar>
        </w:tblPrEx>
        <w:trPr>
          <w:trHeight w:val="255" w:hRule="atLeast"/>
        </w:trPr>
        <w:tc>
          <w:tcPr>
            <w:tcW w:w="3256"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rFonts w:ascii="Calibri" w:hAnsi="Calibri" w:eastAsia="宋体" w:cs="Calibri"/>
                <w:bCs/>
                <w:color w:val="000000"/>
                <w:sz w:val="20"/>
                <w:szCs w:val="20"/>
              </w:rPr>
            </w:pPr>
            <w:r>
              <w:rPr>
                <w:rFonts w:ascii="Calibri" w:hAnsi="Calibri" w:eastAsia="宋体" w:cs="Calibri"/>
                <w:bCs/>
                <w:color w:val="000000"/>
                <w:sz w:val="20"/>
                <w:szCs w:val="20"/>
              </w:rPr>
              <w:t>Per unit increase in BMI</w:t>
            </w:r>
          </w:p>
        </w:tc>
        <w:tc>
          <w:tcPr>
            <w:tcW w:w="113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0.0472</w:t>
            </w:r>
          </w:p>
        </w:tc>
        <w:tc>
          <w:tcPr>
            <w:tcW w:w="1275"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宋体" w:cs="Calibri"/>
                <w:bCs/>
                <w:color w:val="000000"/>
                <w:sz w:val="20"/>
                <w:szCs w:val="20"/>
              </w:rPr>
            </w:pPr>
            <w:r>
              <w:rPr>
                <w:rFonts w:hint="eastAsia" w:ascii="Calibri" w:hAnsi="Calibri" w:eastAsia="宋体" w:cs="Calibri"/>
                <w:bCs/>
                <w:color w:val="000000"/>
                <w:sz w:val="20"/>
                <w:szCs w:val="20"/>
              </w:rPr>
              <w:t>0</w:t>
            </w:r>
            <w:r>
              <w:rPr>
                <w:rFonts w:ascii="Calibri" w:hAnsi="Calibri" w:eastAsia="宋体" w:cs="Calibri"/>
                <w:bCs/>
                <w:color w:val="000000"/>
                <w:sz w:val="20"/>
                <w:szCs w:val="20"/>
              </w:rPr>
              <w:t>.059</w:t>
            </w:r>
          </w:p>
        </w:tc>
        <w:tc>
          <w:tcPr>
            <w:tcW w:w="1276" w:type="dxa"/>
            <w:tcBorders>
              <w:top w:val="nil"/>
              <w:left w:val="nil"/>
              <w:bottom w:val="single" w:color="auto" w:sz="4" w:space="0"/>
              <w:right w:val="single" w:color="auto" w:sz="4" w:space="0"/>
            </w:tcBorders>
            <w:shd w:val="clear" w:color="auto" w:fill="auto"/>
            <w:noWrap/>
          </w:tcPr>
          <w:p>
            <w:pPr>
              <w:spacing w:after="0" w:line="240" w:lineRule="auto"/>
              <w:jc w:val="center"/>
              <w:rPr>
                <w:rFonts w:ascii="Calibri" w:hAnsi="Calibri" w:eastAsia="宋体" w:cs="Calibri"/>
                <w:bCs/>
                <w:color w:val="000000"/>
                <w:sz w:val="20"/>
                <w:szCs w:val="20"/>
              </w:rPr>
            </w:pPr>
            <w:r>
              <w:rPr>
                <w:rFonts w:ascii="Calibri" w:hAnsi="Calibri" w:eastAsia="宋体" w:cs="Calibri"/>
                <w:bCs/>
                <w:color w:val="000000"/>
                <w:sz w:val="20"/>
                <w:szCs w:val="20"/>
              </w:rPr>
              <w:t>0.0354</w:t>
            </w:r>
          </w:p>
        </w:tc>
        <w:tc>
          <w:tcPr>
            <w:tcW w:w="1843" w:type="dxa"/>
            <w:tcBorders>
              <w:top w:val="nil"/>
              <w:left w:val="nil"/>
              <w:bottom w:val="single" w:color="auto" w:sz="4" w:space="0"/>
              <w:right w:val="single" w:color="auto" w:sz="4" w:space="0"/>
            </w:tcBorders>
            <w:shd w:val="clear" w:color="000000" w:fill="auto"/>
            <w:noWrap/>
          </w:tcPr>
          <w:p>
            <w:pPr>
              <w:spacing w:after="0" w:line="240" w:lineRule="auto"/>
              <w:jc w:val="center"/>
              <w:rPr>
                <w:rFonts w:ascii="Calibri" w:hAnsi="Calibri" w:eastAsia="宋体" w:cs="Calibri"/>
                <w:color w:val="000000"/>
                <w:sz w:val="20"/>
                <w:szCs w:val="20"/>
              </w:rPr>
            </w:pPr>
          </w:p>
        </w:tc>
      </w:tr>
      <w:tr>
        <w:tblPrEx>
          <w:tblLayout w:type="fixed"/>
          <w:tblCellMar>
            <w:top w:w="0" w:type="dxa"/>
            <w:left w:w="108" w:type="dxa"/>
            <w:bottom w:w="0" w:type="dxa"/>
            <w:right w:w="108" w:type="dxa"/>
          </w:tblCellMar>
        </w:tblPrEx>
        <w:trPr>
          <w:trHeight w:val="255" w:hRule="atLeast"/>
        </w:trPr>
        <w:tc>
          <w:tcPr>
            <w:tcW w:w="3256" w:type="dxa"/>
            <w:vAlign w:val="center"/>
          </w:tcPr>
          <w:p>
            <w:pPr>
              <w:spacing w:after="0" w:line="240" w:lineRule="auto"/>
              <w:rPr>
                <w:rFonts w:ascii="Calibri" w:hAnsi="Calibri" w:eastAsia="宋体" w:cs="Calibri"/>
                <w:bCs/>
                <w:color w:val="000000"/>
                <w:sz w:val="20"/>
                <w:szCs w:val="20"/>
              </w:rPr>
            </w:pPr>
          </w:p>
        </w:tc>
        <w:tc>
          <w:tcPr>
            <w:tcW w:w="1134" w:type="dxa"/>
            <w:vAlign w:val="center"/>
          </w:tcPr>
          <w:p>
            <w:pPr>
              <w:spacing w:after="0" w:line="240" w:lineRule="auto"/>
              <w:jc w:val="center"/>
              <w:rPr>
                <w:rFonts w:ascii="Calibri" w:hAnsi="Calibri" w:eastAsia="宋体" w:cs="Calibri"/>
                <w:color w:val="000000"/>
                <w:sz w:val="20"/>
                <w:szCs w:val="20"/>
              </w:rPr>
            </w:pPr>
          </w:p>
        </w:tc>
        <w:tc>
          <w:tcPr>
            <w:tcW w:w="1275" w:type="dxa"/>
          </w:tcPr>
          <w:p>
            <w:pPr>
              <w:spacing w:after="0" w:line="240" w:lineRule="auto"/>
              <w:jc w:val="center"/>
              <w:rPr>
                <w:rFonts w:ascii="Calibri" w:hAnsi="Calibri" w:eastAsia="宋体" w:cs="Calibri"/>
                <w:color w:val="000000"/>
                <w:sz w:val="20"/>
                <w:szCs w:val="20"/>
              </w:rPr>
            </w:pPr>
          </w:p>
        </w:tc>
        <w:tc>
          <w:tcPr>
            <w:tcW w:w="1276" w:type="dxa"/>
          </w:tcPr>
          <w:p>
            <w:pPr>
              <w:spacing w:after="0" w:line="240" w:lineRule="auto"/>
              <w:jc w:val="center"/>
              <w:rPr>
                <w:rFonts w:ascii="Calibri" w:hAnsi="Calibri" w:eastAsia="宋体" w:cs="Calibri"/>
                <w:color w:val="000000"/>
                <w:sz w:val="20"/>
                <w:szCs w:val="20"/>
              </w:rPr>
            </w:pPr>
          </w:p>
        </w:tc>
        <w:tc>
          <w:tcPr>
            <w:tcW w:w="1843" w:type="dxa"/>
          </w:tcPr>
          <w:p>
            <w:pPr>
              <w:spacing w:after="0" w:line="240" w:lineRule="auto"/>
              <w:jc w:val="center"/>
              <w:rPr>
                <w:rFonts w:ascii="Calibri" w:hAnsi="Calibri" w:eastAsia="宋体" w:cs="Calibri"/>
                <w:bCs/>
                <w:color w:val="000000"/>
                <w:sz w:val="20"/>
                <w:szCs w:val="20"/>
              </w:rPr>
            </w:pPr>
          </w:p>
        </w:tc>
      </w:tr>
    </w:tbl>
    <w:p/>
    <w:p/>
    <w:p>
      <w:bookmarkStart w:id="18" w:name="_GoBack"/>
      <w:bookmarkEnd w:id="18"/>
    </w:p>
    <w:p>
      <w:pPr>
        <w:adjustRightInd w:val="0"/>
        <w:snapToGrid w:val="0"/>
        <w:spacing w:line="480" w:lineRule="auto"/>
        <w:rPr>
          <w:rFonts w:cstheme="minorHAnsi"/>
          <w:b/>
          <w:sz w:val="20"/>
          <w:szCs w:val="20"/>
        </w:rPr>
      </w:pPr>
    </w:p>
    <w:p>
      <w:pPr>
        <w:adjustRightInd w:val="0"/>
        <w:snapToGrid w:val="0"/>
        <w:spacing w:line="480" w:lineRule="auto"/>
        <w:rPr>
          <w:rFonts w:hint="eastAsia" w:cstheme="minorHAnsi"/>
          <w:b/>
          <w:sz w:val="20"/>
          <w:szCs w:val="20"/>
        </w:rPr>
      </w:pPr>
      <w:r>
        <w:rPr>
          <w:rFonts w:cstheme="minorHAnsi"/>
          <w:b/>
          <w:sz w:val="20"/>
          <w:szCs w:val="20"/>
        </w:rPr>
        <w:drawing>
          <wp:inline distT="0" distB="0" distL="0" distR="0">
            <wp:extent cx="5278120" cy="3518535"/>
            <wp:effectExtent l="19050" t="0" r="0" b="0"/>
            <wp:docPr id="1" name="图片 1" descr="D:\cardiff model analysis\荟萃图\Funnel plot of metformin addon su tzd insu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cardiff model analysis\荟萃图\Funnel plot of metformin addon su tzd insulin.png"/>
                    <pic:cNvPicPr>
                      <a:picLocks noChangeAspect="1" noChangeArrowheads="1"/>
                    </pic:cNvPicPr>
                  </pic:nvPicPr>
                  <pic:blipFill>
                    <a:blip r:embed="rId4" cstate="print"/>
                    <a:srcRect/>
                    <a:stretch>
                      <a:fillRect/>
                    </a:stretch>
                  </pic:blipFill>
                  <pic:spPr>
                    <a:xfrm>
                      <a:off x="0" y="0"/>
                      <a:ext cx="5278120" cy="3518747"/>
                    </a:xfrm>
                    <a:prstGeom prst="rect">
                      <a:avLst/>
                    </a:prstGeom>
                    <a:noFill/>
                    <a:ln w="9525">
                      <a:noFill/>
                      <a:miter lim="800000"/>
                      <a:headEnd/>
                      <a:tailEnd/>
                    </a:ln>
                  </pic:spPr>
                </pic:pic>
              </a:graphicData>
            </a:graphic>
          </wp:inline>
        </w:drawing>
      </w:r>
    </w:p>
    <w:p>
      <w:pPr>
        <w:adjustRightInd w:val="0"/>
        <w:snapToGrid w:val="0"/>
        <w:spacing w:line="480" w:lineRule="auto"/>
        <w:jc w:val="center"/>
        <w:rPr>
          <w:rFonts w:cstheme="minorHAnsi"/>
          <w:b/>
          <w:sz w:val="20"/>
          <w:szCs w:val="20"/>
        </w:rPr>
      </w:pPr>
      <w:r>
        <w:rPr>
          <w:rFonts w:hint="eastAsia" w:cstheme="minorHAnsi"/>
          <w:b/>
          <w:sz w:val="20"/>
          <w:szCs w:val="20"/>
        </w:rPr>
        <w:t>Figure</w:t>
      </w:r>
      <w:r>
        <w:rPr>
          <w:rFonts w:cstheme="minorHAnsi"/>
          <w:b/>
          <w:sz w:val="20"/>
          <w:szCs w:val="20"/>
        </w:rPr>
        <w:t xml:space="preserve"> S1:</w:t>
      </w:r>
      <w:r>
        <w:rPr>
          <w:rFonts w:hint="eastAsia" w:cstheme="minorHAnsi"/>
          <w:b/>
          <w:sz w:val="20"/>
          <w:szCs w:val="20"/>
        </w:rPr>
        <w:t xml:space="preserve"> Funnel plot of included studies with metformin treatment</w:t>
      </w:r>
    </w:p>
    <w:p>
      <w:pPr>
        <w:adjustRightInd w:val="0"/>
        <w:snapToGrid w:val="0"/>
        <w:spacing w:line="480" w:lineRule="auto"/>
        <w:rPr>
          <w:rFonts w:cstheme="minorHAnsi"/>
          <w:b/>
          <w:sz w:val="20"/>
          <w:szCs w:val="20"/>
        </w:rPr>
        <w:sectPr>
          <w:pgSz w:w="11906" w:h="16838"/>
          <w:pgMar w:top="1440" w:right="1797" w:bottom="1440" w:left="1797" w:header="851" w:footer="992" w:gutter="0"/>
          <w:cols w:space="425" w:num="1"/>
          <w:docGrid w:linePitch="312" w:charSpace="0"/>
        </w:sectPr>
      </w:pPr>
    </w:p>
    <w:p>
      <w:pPr>
        <w:adjustRightInd w:val="0"/>
        <w:snapToGrid w:val="0"/>
        <w:spacing w:line="480" w:lineRule="auto"/>
        <w:rPr>
          <w:rFonts w:cstheme="minorHAnsi"/>
          <w:b/>
          <w:sz w:val="20"/>
          <w:szCs w:val="20"/>
        </w:rPr>
      </w:pPr>
    </w:p>
    <w:p>
      <w:pPr>
        <w:jc w:val="left"/>
        <w:rPr>
          <w:rFonts w:hint="eastAsia" w:eastAsia="Arial Unicode MS" w:cstheme="minorHAnsi"/>
          <w:b/>
          <w:color w:val="000000"/>
          <w:sz w:val="20"/>
          <w:szCs w:val="20"/>
        </w:rPr>
      </w:pPr>
      <w:r>
        <w:rPr>
          <w:rFonts w:eastAsia="Arial Unicode MS" w:cstheme="minorHAnsi"/>
          <w:b/>
          <w:color w:val="000000"/>
          <w:sz w:val="20"/>
          <w:szCs w:val="20"/>
        </w:rPr>
        <w:drawing>
          <wp:inline distT="0" distB="0" distL="0" distR="0">
            <wp:extent cx="5278120" cy="3518535"/>
            <wp:effectExtent l="19050" t="0" r="0" b="0"/>
            <wp:docPr id="2" name="图片 2" descr="D:\cardiff model analysis\荟萃图\Funnel plot of dapagliflozin addon su tzd insu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cardiff model analysis\荟萃图\Funnel plot of dapagliflozin addon su tzd insulin.png"/>
                    <pic:cNvPicPr>
                      <a:picLocks noChangeAspect="1" noChangeArrowheads="1"/>
                    </pic:cNvPicPr>
                  </pic:nvPicPr>
                  <pic:blipFill>
                    <a:blip r:embed="rId5" cstate="print"/>
                    <a:srcRect/>
                    <a:stretch>
                      <a:fillRect/>
                    </a:stretch>
                  </pic:blipFill>
                  <pic:spPr>
                    <a:xfrm>
                      <a:off x="0" y="0"/>
                      <a:ext cx="5278120" cy="3518747"/>
                    </a:xfrm>
                    <a:prstGeom prst="rect">
                      <a:avLst/>
                    </a:prstGeom>
                    <a:noFill/>
                    <a:ln w="9525">
                      <a:noFill/>
                      <a:miter lim="800000"/>
                      <a:headEnd/>
                      <a:tailEnd/>
                    </a:ln>
                  </pic:spPr>
                </pic:pic>
              </a:graphicData>
            </a:graphic>
          </wp:inline>
        </w:drawing>
      </w:r>
    </w:p>
    <w:p>
      <w:pPr>
        <w:jc w:val="center"/>
        <w:rPr>
          <w:rFonts w:eastAsia="Arial Unicode MS" w:cstheme="minorHAnsi"/>
          <w:b/>
          <w:color w:val="000000"/>
          <w:sz w:val="20"/>
          <w:szCs w:val="20"/>
        </w:rPr>
      </w:pPr>
      <w:r>
        <w:rPr>
          <w:rFonts w:hint="eastAsia" w:cstheme="minorHAnsi"/>
          <w:b/>
          <w:sz w:val="20"/>
          <w:szCs w:val="20"/>
        </w:rPr>
        <w:t>Figure</w:t>
      </w:r>
      <w:r>
        <w:rPr>
          <w:rFonts w:cstheme="minorHAnsi"/>
          <w:b/>
          <w:sz w:val="20"/>
          <w:szCs w:val="20"/>
        </w:rPr>
        <w:t xml:space="preserve"> S</w:t>
      </w:r>
      <w:r>
        <w:rPr>
          <w:rFonts w:hint="eastAsia" w:cstheme="minorHAnsi"/>
          <w:b/>
          <w:sz w:val="20"/>
          <w:szCs w:val="20"/>
        </w:rPr>
        <w:t>2</w:t>
      </w:r>
      <w:r>
        <w:rPr>
          <w:rFonts w:cstheme="minorHAnsi"/>
          <w:b/>
          <w:sz w:val="20"/>
          <w:szCs w:val="20"/>
        </w:rPr>
        <w:t>:</w:t>
      </w:r>
      <w:r>
        <w:rPr>
          <w:rFonts w:hint="eastAsia" w:cstheme="minorHAnsi"/>
          <w:b/>
          <w:sz w:val="20"/>
          <w:szCs w:val="20"/>
        </w:rPr>
        <w:t xml:space="preserve"> Funnel plot of included studies with dapagliflozin treatment</w:t>
      </w:r>
    </w:p>
    <w:p>
      <w:pPr>
        <w:jc w:val="left"/>
        <w:rPr>
          <w:rFonts w:eastAsia="Arial Unicode MS" w:cstheme="minorHAnsi"/>
          <w:b/>
          <w:color w:val="000000"/>
          <w:sz w:val="20"/>
          <w:szCs w:val="20"/>
        </w:rPr>
        <w:sectPr>
          <w:pgSz w:w="11906" w:h="16838"/>
          <w:pgMar w:top="1440" w:right="1797" w:bottom="1440" w:left="1797" w:header="851" w:footer="992" w:gutter="0"/>
          <w:cols w:space="425" w:num="1"/>
          <w:docGrid w:linePitch="312" w:charSpace="0"/>
        </w:sectPr>
      </w:pPr>
    </w:p>
    <w:p>
      <w:pPr>
        <w:jc w:val="left"/>
        <w:rPr>
          <w:rFonts w:eastAsia="Arial Unicode MS" w:cstheme="minorHAnsi"/>
          <w:b/>
          <w:color w:val="000000"/>
          <w:sz w:val="20"/>
          <w:szCs w:val="20"/>
        </w:rPr>
      </w:pPr>
      <w:r>
        <w:rPr>
          <w:rFonts w:eastAsia="Arial Unicode MS" w:cstheme="minorHAnsi"/>
          <w:b/>
          <w:color w:val="000000"/>
          <w:sz w:val="20"/>
          <w:szCs w:val="20"/>
        </w:rPr>
        <w:t>Supplement Methods:</w:t>
      </w:r>
    </w:p>
    <w:p>
      <w:pPr>
        <w:spacing w:line="360" w:lineRule="auto"/>
        <w:outlineLvl w:val="0"/>
        <w:rPr>
          <w:b/>
          <w:i/>
          <w:sz w:val="20"/>
          <w:szCs w:val="20"/>
        </w:rPr>
      </w:pPr>
      <w:r>
        <w:rPr>
          <w:b/>
          <w:i/>
          <w:sz w:val="20"/>
          <w:szCs w:val="20"/>
        </w:rPr>
        <w:t>1. Search</w:t>
      </w:r>
      <w:r>
        <w:rPr>
          <w:rFonts w:hint="eastAsia"/>
          <w:b/>
          <w:i/>
          <w:sz w:val="20"/>
          <w:szCs w:val="20"/>
        </w:rPr>
        <w:t xml:space="preserve"> </w:t>
      </w:r>
      <w:r>
        <w:rPr>
          <w:b/>
          <w:i/>
          <w:sz w:val="20"/>
          <w:szCs w:val="20"/>
        </w:rPr>
        <w:t>Strategy</w:t>
      </w:r>
      <w:r>
        <w:rPr>
          <w:rFonts w:hint="eastAsia"/>
          <w:b/>
          <w:i/>
          <w:sz w:val="20"/>
          <w:szCs w:val="20"/>
        </w:rPr>
        <w:t xml:space="preserve"> and Inclusion Criteria</w:t>
      </w:r>
    </w:p>
    <w:p>
      <w:pPr>
        <w:spacing w:line="360" w:lineRule="auto"/>
        <w:rPr>
          <w:sz w:val="20"/>
          <w:szCs w:val="20"/>
        </w:rPr>
      </w:pPr>
      <w:r>
        <w:rPr>
          <w:sz w:val="20"/>
          <w:szCs w:val="20"/>
        </w:rPr>
        <w:t>The</w:t>
      </w:r>
      <w:r>
        <w:rPr>
          <w:rFonts w:hint="eastAsia"/>
          <w:sz w:val="20"/>
          <w:szCs w:val="20"/>
        </w:rPr>
        <w:t xml:space="preserve"> databases of the </w:t>
      </w:r>
      <w:r>
        <w:rPr>
          <w:sz w:val="20"/>
          <w:szCs w:val="20"/>
        </w:rPr>
        <w:t>MEDLINE</w:t>
      </w:r>
      <w:r>
        <w:rPr>
          <w:rFonts w:hint="eastAsia"/>
          <w:sz w:val="20"/>
          <w:szCs w:val="20"/>
        </w:rPr>
        <w:t xml:space="preserve"> </w:t>
      </w:r>
      <w:r>
        <w:rPr>
          <w:sz w:val="20"/>
          <w:szCs w:val="20"/>
        </w:rPr>
        <w:t>and</w:t>
      </w:r>
      <w:r>
        <w:rPr>
          <w:rFonts w:hint="eastAsia"/>
          <w:sz w:val="20"/>
          <w:szCs w:val="20"/>
        </w:rPr>
        <w:t xml:space="preserve"> the </w:t>
      </w:r>
      <w:r>
        <w:rPr>
          <w:sz w:val="20"/>
          <w:szCs w:val="20"/>
        </w:rPr>
        <w:t>Cochrane</w:t>
      </w:r>
      <w:r>
        <w:rPr>
          <w:rFonts w:hint="eastAsia"/>
          <w:sz w:val="20"/>
          <w:szCs w:val="20"/>
        </w:rPr>
        <w:t xml:space="preserve"> </w:t>
      </w:r>
      <w:r>
        <w:rPr>
          <w:sz w:val="20"/>
          <w:szCs w:val="20"/>
        </w:rPr>
        <w:t>Library Central</w:t>
      </w:r>
      <w:r>
        <w:rPr>
          <w:rFonts w:hint="eastAsia"/>
          <w:sz w:val="20"/>
          <w:szCs w:val="20"/>
        </w:rPr>
        <w:t xml:space="preserve"> </w:t>
      </w:r>
      <w:r>
        <w:rPr>
          <w:sz w:val="20"/>
          <w:szCs w:val="20"/>
        </w:rPr>
        <w:t>Register</w:t>
      </w:r>
      <w:r>
        <w:rPr>
          <w:rFonts w:hint="eastAsia"/>
          <w:sz w:val="20"/>
          <w:szCs w:val="20"/>
        </w:rPr>
        <w:t xml:space="preserve"> </w:t>
      </w:r>
      <w:r>
        <w:rPr>
          <w:sz w:val="20"/>
          <w:szCs w:val="20"/>
        </w:rPr>
        <w:t>of</w:t>
      </w:r>
      <w:r>
        <w:rPr>
          <w:rFonts w:hint="eastAsia"/>
          <w:sz w:val="20"/>
          <w:szCs w:val="20"/>
        </w:rPr>
        <w:t xml:space="preserve"> </w:t>
      </w:r>
      <w:r>
        <w:rPr>
          <w:sz w:val="20"/>
          <w:szCs w:val="20"/>
        </w:rPr>
        <w:t>Controlled</w:t>
      </w:r>
      <w:r>
        <w:rPr>
          <w:rFonts w:hint="eastAsia"/>
          <w:sz w:val="20"/>
          <w:szCs w:val="20"/>
        </w:rPr>
        <w:t xml:space="preserve"> </w:t>
      </w:r>
      <w:r>
        <w:rPr>
          <w:sz w:val="20"/>
          <w:szCs w:val="20"/>
        </w:rPr>
        <w:t>Trials</w:t>
      </w:r>
      <w:r>
        <w:rPr>
          <w:rFonts w:hint="eastAsia"/>
          <w:sz w:val="20"/>
          <w:szCs w:val="20"/>
        </w:rPr>
        <w:t xml:space="preserve"> </w:t>
      </w:r>
      <w:r>
        <w:rPr>
          <w:sz w:val="20"/>
          <w:szCs w:val="20"/>
        </w:rPr>
        <w:t>were</w:t>
      </w:r>
      <w:r>
        <w:rPr>
          <w:rFonts w:hint="eastAsia"/>
          <w:sz w:val="20"/>
          <w:szCs w:val="20"/>
        </w:rPr>
        <w:t xml:space="preserve"> </w:t>
      </w:r>
      <w:r>
        <w:rPr>
          <w:sz w:val="20"/>
          <w:szCs w:val="20"/>
        </w:rPr>
        <w:t>searched</w:t>
      </w:r>
      <w:r>
        <w:rPr>
          <w:rFonts w:hint="eastAsia"/>
          <w:sz w:val="20"/>
          <w:szCs w:val="20"/>
        </w:rPr>
        <w:t xml:space="preserve"> in December 2016 and </w:t>
      </w:r>
      <w:r>
        <w:rPr>
          <w:sz w:val="20"/>
          <w:szCs w:val="20"/>
        </w:rPr>
        <w:t>updated</w:t>
      </w:r>
      <w:r>
        <w:rPr>
          <w:rFonts w:hint="eastAsia"/>
          <w:sz w:val="20"/>
          <w:szCs w:val="20"/>
        </w:rPr>
        <w:t xml:space="preserve"> in July 2017.</w:t>
      </w:r>
      <w:r>
        <w:rPr>
          <w:sz w:val="20"/>
          <w:szCs w:val="20"/>
        </w:rPr>
        <w:t xml:space="preserve"> </w:t>
      </w:r>
      <w:r>
        <w:rPr>
          <w:rFonts w:hint="eastAsia"/>
          <w:sz w:val="20"/>
          <w:szCs w:val="20"/>
        </w:rPr>
        <w:t>R</w:t>
      </w:r>
      <w:r>
        <w:rPr>
          <w:sz w:val="20"/>
          <w:szCs w:val="20"/>
        </w:rPr>
        <w:t>andomized</w:t>
      </w:r>
      <w:r>
        <w:rPr>
          <w:rFonts w:hint="eastAsia"/>
          <w:sz w:val="20"/>
          <w:szCs w:val="20"/>
        </w:rPr>
        <w:t xml:space="preserve"> </w:t>
      </w:r>
      <w:r>
        <w:rPr>
          <w:sz w:val="20"/>
          <w:szCs w:val="20"/>
        </w:rPr>
        <w:t>clinical</w:t>
      </w:r>
      <w:r>
        <w:rPr>
          <w:rFonts w:hint="eastAsia"/>
          <w:sz w:val="20"/>
          <w:szCs w:val="20"/>
        </w:rPr>
        <w:t xml:space="preserve"> </w:t>
      </w:r>
      <w:r>
        <w:rPr>
          <w:sz w:val="20"/>
          <w:szCs w:val="20"/>
        </w:rPr>
        <w:t>trials</w:t>
      </w:r>
      <w:r>
        <w:rPr>
          <w:rFonts w:hint="eastAsia"/>
          <w:sz w:val="20"/>
          <w:szCs w:val="20"/>
        </w:rPr>
        <w:t xml:space="preserve"> </w:t>
      </w:r>
      <w:r>
        <w:rPr>
          <w:sz w:val="20"/>
          <w:szCs w:val="20"/>
        </w:rPr>
        <w:t>publicly</w:t>
      </w:r>
      <w:r>
        <w:rPr>
          <w:rFonts w:hint="eastAsia"/>
          <w:sz w:val="20"/>
          <w:szCs w:val="20"/>
        </w:rPr>
        <w:t xml:space="preserve"> </w:t>
      </w:r>
      <w:r>
        <w:rPr>
          <w:sz w:val="20"/>
          <w:szCs w:val="20"/>
        </w:rPr>
        <w:t>available</w:t>
      </w:r>
      <w:r>
        <w:rPr>
          <w:rFonts w:hint="eastAsia"/>
          <w:sz w:val="20"/>
          <w:szCs w:val="20"/>
        </w:rPr>
        <w:t xml:space="preserve"> before July 2017</w:t>
      </w:r>
      <w:r>
        <w:rPr>
          <w:sz w:val="20"/>
          <w:szCs w:val="20"/>
        </w:rPr>
        <w:t>, comparing</w:t>
      </w:r>
      <w:r>
        <w:rPr>
          <w:rFonts w:hint="eastAsia"/>
          <w:sz w:val="20"/>
          <w:szCs w:val="20"/>
        </w:rPr>
        <w:t xml:space="preserve"> dapagliflozin treatment with placebo or active anti-diabetes drugs as monotherapy or add-on therapy as well as metformin treatment with placebo or active anti-diabetes drugs as monotherapy or add-on therapy in </w:t>
      </w:r>
      <w:r>
        <w:rPr>
          <w:sz w:val="20"/>
          <w:szCs w:val="20"/>
        </w:rPr>
        <w:t>type</w:t>
      </w:r>
      <w:r>
        <w:rPr>
          <w:rFonts w:hint="eastAsia"/>
          <w:sz w:val="20"/>
          <w:szCs w:val="20"/>
        </w:rPr>
        <w:t xml:space="preserve"> </w:t>
      </w:r>
      <w:r>
        <w:rPr>
          <w:sz w:val="20"/>
          <w:szCs w:val="20"/>
        </w:rPr>
        <w:t>2</w:t>
      </w:r>
      <w:r>
        <w:rPr>
          <w:rFonts w:hint="eastAsia"/>
          <w:sz w:val="20"/>
          <w:szCs w:val="20"/>
        </w:rPr>
        <w:t xml:space="preserve"> </w:t>
      </w:r>
      <w:r>
        <w:rPr>
          <w:sz w:val="20"/>
          <w:szCs w:val="20"/>
        </w:rPr>
        <w:t>diabetes</w:t>
      </w:r>
      <w:r>
        <w:rPr>
          <w:rFonts w:hint="eastAsia"/>
          <w:sz w:val="20"/>
          <w:szCs w:val="20"/>
        </w:rPr>
        <w:t xml:space="preserve"> patients </w:t>
      </w:r>
      <w:r>
        <w:rPr>
          <w:sz w:val="20"/>
          <w:szCs w:val="20"/>
        </w:rPr>
        <w:t>were</w:t>
      </w:r>
      <w:r>
        <w:rPr>
          <w:rFonts w:hint="eastAsia"/>
          <w:sz w:val="20"/>
          <w:szCs w:val="20"/>
        </w:rPr>
        <w:t xml:space="preserve"> </w:t>
      </w:r>
      <w:r>
        <w:rPr>
          <w:sz w:val="20"/>
          <w:szCs w:val="20"/>
        </w:rPr>
        <w:t>identified.</w:t>
      </w:r>
      <w:r>
        <w:rPr>
          <w:rFonts w:hint="eastAsia"/>
          <w:sz w:val="20"/>
          <w:szCs w:val="20"/>
        </w:rPr>
        <w:t xml:space="preserve"> </w:t>
      </w:r>
      <w:r>
        <w:rPr>
          <w:sz w:val="20"/>
          <w:szCs w:val="20"/>
        </w:rPr>
        <w:t xml:space="preserve">The search </w:t>
      </w:r>
      <w:r>
        <w:rPr>
          <w:rFonts w:eastAsia="Arial Unicode MS" w:cs="Arial Unicode MS"/>
          <w:color w:val="000000"/>
          <w:kern w:val="0"/>
          <w:sz w:val="20"/>
          <w:szCs w:val="20"/>
        </w:rPr>
        <w:t>terms</w:t>
      </w:r>
      <w:r>
        <w:rPr>
          <w:rFonts w:hint="eastAsia" w:eastAsia="Arial Unicode MS" w:cs="Arial Unicode MS"/>
          <w:color w:val="000000"/>
          <w:kern w:val="0"/>
          <w:sz w:val="20"/>
          <w:szCs w:val="20"/>
        </w:rPr>
        <w:t xml:space="preserve"> were</w:t>
      </w:r>
      <w:r>
        <w:rPr>
          <w:rFonts w:eastAsia="Arial Unicode MS" w:cs="Arial Unicode MS"/>
          <w:color w:val="000000"/>
          <w:kern w:val="0"/>
          <w:sz w:val="20"/>
          <w:szCs w:val="20"/>
        </w:rPr>
        <w:t xml:space="preserve">: type 2 diabetes, </w:t>
      </w:r>
      <w:r>
        <w:rPr>
          <w:rFonts w:eastAsia="Arial Unicode MS" w:cs="Arial Unicode MS"/>
          <w:sz w:val="20"/>
          <w:szCs w:val="20"/>
        </w:rPr>
        <w:t>sodium-glucose cotransporter 2 inhibitors,</w:t>
      </w:r>
      <w:r>
        <w:rPr>
          <w:rFonts w:eastAsia="Arial Unicode MS" w:cs="Arial Unicode MS"/>
          <w:color w:val="000000"/>
          <w:kern w:val="0"/>
          <w:sz w:val="20"/>
          <w:szCs w:val="20"/>
        </w:rPr>
        <w:t xml:space="preserve"> dapagliflozin, </w:t>
      </w:r>
      <w:r>
        <w:rPr>
          <w:rFonts w:hint="eastAsia" w:eastAsia="Arial Unicode MS" w:cs="Arial Unicode MS"/>
          <w:color w:val="000000"/>
          <w:kern w:val="0"/>
          <w:sz w:val="20"/>
          <w:szCs w:val="20"/>
        </w:rPr>
        <w:t xml:space="preserve">biguides, metformin, </w:t>
      </w:r>
      <w:r>
        <w:rPr>
          <w:rFonts w:eastAsia="Arial Unicode MS" w:cs="Arial Unicode MS"/>
          <w:bCs/>
          <w:color w:val="000000"/>
          <w:kern w:val="0"/>
          <w:sz w:val="20"/>
          <w:szCs w:val="20"/>
        </w:rPr>
        <w:t>and</w:t>
      </w:r>
      <w:r>
        <w:rPr>
          <w:rFonts w:eastAsia="Arial Unicode MS" w:cs="Arial Unicode MS"/>
          <w:color w:val="000000"/>
          <w:kern w:val="0"/>
          <w:sz w:val="20"/>
          <w:szCs w:val="20"/>
        </w:rPr>
        <w:t xml:space="preserve"> randomized controlled trials. </w:t>
      </w:r>
    </w:p>
    <w:p>
      <w:pPr>
        <w:spacing w:line="360" w:lineRule="auto"/>
        <w:rPr>
          <w:rFonts w:eastAsia="Arial Unicode MS" w:cs="Arial Unicode MS"/>
          <w:color w:val="000000"/>
          <w:kern w:val="0"/>
          <w:sz w:val="20"/>
          <w:szCs w:val="20"/>
        </w:rPr>
      </w:pPr>
      <w:r>
        <w:rPr>
          <w:rFonts w:eastAsia="Arial Unicode MS" w:cs="Arial Unicode MS"/>
          <w:color w:val="000000"/>
          <w:kern w:val="0"/>
          <w:sz w:val="20"/>
          <w:szCs w:val="20"/>
        </w:rPr>
        <w:t>The i</w:t>
      </w:r>
      <w:r>
        <w:rPr>
          <w:bCs/>
          <w:sz w:val="20"/>
          <w:szCs w:val="20"/>
        </w:rPr>
        <w:t xml:space="preserve">nclusion criteria </w:t>
      </w:r>
      <w:r>
        <w:rPr>
          <w:rFonts w:eastAsia="Arial Unicode MS" w:cs="Arial Unicode MS"/>
          <w:color w:val="000000"/>
          <w:kern w:val="0"/>
          <w:sz w:val="20"/>
          <w:szCs w:val="20"/>
        </w:rPr>
        <w:t>were as follows: (1) p</w:t>
      </w:r>
      <w:r>
        <w:rPr>
          <w:sz w:val="20"/>
          <w:szCs w:val="20"/>
        </w:rPr>
        <w:t xml:space="preserve">lacebo-controlled </w:t>
      </w:r>
      <w:r>
        <w:rPr>
          <w:rFonts w:hint="eastAsia"/>
          <w:sz w:val="20"/>
          <w:szCs w:val="20"/>
        </w:rPr>
        <w:t>or active anti-diabetes drugs</w:t>
      </w:r>
      <w:r>
        <w:rPr>
          <w:sz w:val="20"/>
          <w:szCs w:val="20"/>
        </w:rPr>
        <w:t xml:space="preserve"> </w:t>
      </w:r>
      <w:r>
        <w:rPr>
          <w:rFonts w:hint="eastAsia"/>
          <w:sz w:val="20"/>
          <w:szCs w:val="20"/>
        </w:rPr>
        <w:t xml:space="preserve">controlled </w:t>
      </w:r>
      <w:r>
        <w:rPr>
          <w:sz w:val="20"/>
          <w:szCs w:val="20"/>
        </w:rPr>
        <w:t xml:space="preserve">trial of </w:t>
      </w:r>
      <w:r>
        <w:rPr>
          <w:rFonts w:hint="eastAsia"/>
          <w:sz w:val="20"/>
          <w:szCs w:val="20"/>
        </w:rPr>
        <w:t>dapagliflozin</w:t>
      </w:r>
      <w:r>
        <w:rPr>
          <w:sz w:val="20"/>
          <w:szCs w:val="20"/>
        </w:rPr>
        <w:t xml:space="preserve"> treatment</w:t>
      </w:r>
      <w:r>
        <w:rPr>
          <w:rFonts w:hint="eastAsia"/>
          <w:sz w:val="20"/>
          <w:szCs w:val="20"/>
        </w:rPr>
        <w:t>,</w:t>
      </w:r>
      <w:r>
        <w:rPr>
          <w:rFonts w:eastAsia="Arial Unicode MS" w:cs="Arial Unicode MS"/>
          <w:color w:val="000000"/>
          <w:kern w:val="0"/>
          <w:sz w:val="20"/>
          <w:szCs w:val="20"/>
        </w:rPr>
        <w:t xml:space="preserve"> (2) p</w:t>
      </w:r>
      <w:r>
        <w:rPr>
          <w:sz w:val="20"/>
          <w:szCs w:val="20"/>
        </w:rPr>
        <w:t xml:space="preserve">lacebo-controlled </w:t>
      </w:r>
      <w:r>
        <w:rPr>
          <w:rFonts w:hint="eastAsia"/>
          <w:sz w:val="20"/>
          <w:szCs w:val="20"/>
        </w:rPr>
        <w:t>or active anti-diabetes drugs</w:t>
      </w:r>
      <w:r>
        <w:rPr>
          <w:sz w:val="20"/>
          <w:szCs w:val="20"/>
        </w:rPr>
        <w:t xml:space="preserve"> </w:t>
      </w:r>
      <w:r>
        <w:rPr>
          <w:rFonts w:hint="eastAsia"/>
          <w:sz w:val="20"/>
          <w:szCs w:val="20"/>
        </w:rPr>
        <w:t xml:space="preserve">controlled </w:t>
      </w:r>
      <w:r>
        <w:rPr>
          <w:sz w:val="20"/>
          <w:szCs w:val="20"/>
        </w:rPr>
        <w:t xml:space="preserve">trial of </w:t>
      </w:r>
      <w:r>
        <w:rPr>
          <w:rFonts w:hint="eastAsia"/>
          <w:sz w:val="20"/>
          <w:szCs w:val="20"/>
        </w:rPr>
        <w:t>metformin</w:t>
      </w:r>
      <w:r>
        <w:rPr>
          <w:sz w:val="20"/>
          <w:szCs w:val="20"/>
        </w:rPr>
        <w:t xml:space="preserve"> treatment</w:t>
      </w:r>
      <w:r>
        <w:rPr>
          <w:rFonts w:hint="eastAsia"/>
          <w:sz w:val="20"/>
          <w:szCs w:val="20"/>
        </w:rPr>
        <w:t>,</w:t>
      </w:r>
      <w:r>
        <w:rPr>
          <w:rFonts w:eastAsia="Arial Unicode MS" w:cs="Arial Unicode MS"/>
          <w:color w:val="000000"/>
          <w:kern w:val="0"/>
          <w:sz w:val="20"/>
          <w:szCs w:val="20"/>
        </w:rPr>
        <w:t xml:space="preserve"> (</w:t>
      </w:r>
      <w:r>
        <w:rPr>
          <w:rFonts w:hint="eastAsia" w:eastAsia="Arial Unicode MS" w:cs="Arial Unicode MS"/>
          <w:color w:val="000000"/>
          <w:kern w:val="0"/>
          <w:sz w:val="20"/>
          <w:szCs w:val="20"/>
        </w:rPr>
        <w:t>3</w:t>
      </w:r>
      <w:r>
        <w:rPr>
          <w:rFonts w:eastAsia="Arial Unicode MS" w:cs="Arial Unicode MS"/>
          <w:color w:val="000000"/>
          <w:kern w:val="0"/>
          <w:sz w:val="20"/>
          <w:szCs w:val="20"/>
        </w:rPr>
        <w:t>)</w:t>
      </w:r>
      <w:r>
        <w:rPr>
          <w:sz w:val="20"/>
          <w:szCs w:val="20"/>
        </w:rPr>
        <w:t xml:space="preserve"> type 2 diabetes participants,</w:t>
      </w:r>
      <w:r>
        <w:rPr>
          <w:rFonts w:eastAsia="Arial Unicode MS" w:cs="Arial Unicode MS"/>
          <w:color w:val="000000"/>
          <w:kern w:val="0"/>
          <w:sz w:val="20"/>
          <w:szCs w:val="20"/>
        </w:rPr>
        <w:t xml:space="preserve"> (</w:t>
      </w:r>
      <w:r>
        <w:rPr>
          <w:rFonts w:hint="eastAsia" w:eastAsia="Arial Unicode MS" w:cs="Arial Unicode MS"/>
          <w:color w:val="000000"/>
          <w:kern w:val="0"/>
          <w:sz w:val="20"/>
          <w:szCs w:val="20"/>
        </w:rPr>
        <w:t>4</w:t>
      </w:r>
      <w:r>
        <w:rPr>
          <w:rFonts w:eastAsia="Arial Unicode MS" w:cs="Arial Unicode MS"/>
          <w:color w:val="000000"/>
          <w:kern w:val="0"/>
          <w:sz w:val="20"/>
          <w:szCs w:val="20"/>
        </w:rPr>
        <w:t xml:space="preserve">) </w:t>
      </w:r>
      <w:r>
        <w:rPr>
          <w:rFonts w:hint="eastAsia" w:eastAsia="Arial Unicode MS" w:cs="Arial Unicode MS"/>
          <w:color w:val="000000"/>
          <w:kern w:val="0"/>
          <w:sz w:val="20"/>
          <w:szCs w:val="20"/>
        </w:rPr>
        <w:t xml:space="preserve">the efficacy of glucose control </w:t>
      </w:r>
      <w:r>
        <w:rPr>
          <w:sz w:val="20"/>
          <w:szCs w:val="20"/>
        </w:rPr>
        <w:t xml:space="preserve">was </w:t>
      </w:r>
      <w:r>
        <w:rPr>
          <w:rFonts w:hint="eastAsia"/>
          <w:sz w:val="20"/>
          <w:szCs w:val="20"/>
        </w:rPr>
        <w:t>the primary outcome of the study</w:t>
      </w:r>
      <w:r>
        <w:rPr>
          <w:sz w:val="20"/>
          <w:szCs w:val="20"/>
        </w:rPr>
        <w:t>,</w:t>
      </w:r>
      <w:r>
        <w:rPr>
          <w:rFonts w:eastAsia="Arial Unicode MS" w:cs="Arial Unicode MS"/>
          <w:color w:val="000000"/>
          <w:kern w:val="0"/>
          <w:sz w:val="20"/>
          <w:szCs w:val="20"/>
        </w:rPr>
        <w:t xml:space="preserve"> and (</w:t>
      </w:r>
      <w:r>
        <w:rPr>
          <w:rFonts w:hint="eastAsia" w:eastAsia="Arial Unicode MS" w:cs="Arial Unicode MS"/>
          <w:color w:val="000000"/>
          <w:kern w:val="0"/>
          <w:sz w:val="20"/>
          <w:szCs w:val="20"/>
        </w:rPr>
        <w:t>5</w:t>
      </w:r>
      <w:r>
        <w:rPr>
          <w:rFonts w:eastAsia="Arial Unicode MS" w:cs="Arial Unicode MS"/>
          <w:color w:val="000000"/>
          <w:kern w:val="0"/>
          <w:sz w:val="20"/>
          <w:szCs w:val="20"/>
        </w:rPr>
        <w:t xml:space="preserve">) </w:t>
      </w:r>
      <w:r>
        <w:rPr>
          <w:rFonts w:hint="eastAsia"/>
          <w:iCs/>
          <w:sz w:val="20"/>
          <w:szCs w:val="20"/>
        </w:rPr>
        <w:t>randomized controlled trials</w:t>
      </w:r>
      <w:r>
        <w:rPr>
          <w:rFonts w:eastAsia="Arial Unicode MS" w:cs="Arial Unicode MS"/>
          <w:color w:val="000000"/>
          <w:kern w:val="0"/>
          <w:sz w:val="20"/>
          <w:szCs w:val="20"/>
        </w:rPr>
        <w:t xml:space="preserve">. </w:t>
      </w:r>
    </w:p>
    <w:p>
      <w:pPr>
        <w:spacing w:line="360" w:lineRule="auto"/>
        <w:rPr>
          <w:sz w:val="20"/>
          <w:szCs w:val="20"/>
        </w:rPr>
      </w:pPr>
      <w:r>
        <w:rPr>
          <w:rFonts w:eastAsia="Arial Unicode MS" w:cs="Arial Unicode MS"/>
          <w:color w:val="000000"/>
          <w:kern w:val="0"/>
          <w:sz w:val="20"/>
          <w:szCs w:val="20"/>
        </w:rPr>
        <w:t>The ex</w:t>
      </w:r>
      <w:r>
        <w:rPr>
          <w:bCs/>
          <w:sz w:val="20"/>
          <w:szCs w:val="20"/>
        </w:rPr>
        <w:t xml:space="preserve">clusion criteria </w:t>
      </w:r>
      <w:r>
        <w:rPr>
          <w:rFonts w:eastAsia="Arial Unicode MS" w:cs="Arial Unicode MS"/>
          <w:color w:val="000000"/>
          <w:kern w:val="0"/>
          <w:sz w:val="20"/>
          <w:szCs w:val="20"/>
        </w:rPr>
        <w:t xml:space="preserve">were as follows: (1) </w:t>
      </w:r>
      <w:r>
        <w:rPr>
          <w:sz w:val="20"/>
          <w:szCs w:val="20"/>
        </w:rPr>
        <w:t>nonrandomized trial</w:t>
      </w:r>
      <w:r>
        <w:rPr>
          <w:rFonts w:hint="eastAsia"/>
          <w:sz w:val="20"/>
          <w:szCs w:val="20"/>
        </w:rPr>
        <w:t xml:space="preserve"> or observational study</w:t>
      </w:r>
      <w:r>
        <w:rPr>
          <w:sz w:val="20"/>
          <w:szCs w:val="20"/>
        </w:rPr>
        <w:t>, (</w:t>
      </w:r>
      <w:r>
        <w:rPr>
          <w:rFonts w:hint="eastAsia"/>
          <w:sz w:val="20"/>
          <w:szCs w:val="20"/>
        </w:rPr>
        <w:t>2</w:t>
      </w:r>
      <w:r>
        <w:rPr>
          <w:sz w:val="20"/>
          <w:szCs w:val="20"/>
        </w:rPr>
        <w:t>) trials in type 1 diabetes, (</w:t>
      </w:r>
      <w:r>
        <w:rPr>
          <w:rFonts w:hint="eastAsia"/>
          <w:sz w:val="20"/>
          <w:szCs w:val="20"/>
        </w:rPr>
        <w:t>3</w:t>
      </w:r>
      <w:r>
        <w:rPr>
          <w:sz w:val="20"/>
          <w:szCs w:val="20"/>
        </w:rPr>
        <w:t xml:space="preserve">) </w:t>
      </w:r>
      <w:r>
        <w:rPr>
          <w:rFonts w:hint="eastAsia"/>
          <w:sz w:val="20"/>
          <w:szCs w:val="20"/>
        </w:rPr>
        <w:t>the</w:t>
      </w:r>
      <w:r>
        <w:rPr>
          <w:rFonts w:hint="eastAsia" w:eastAsia="Arial Unicode MS" w:cs="Arial Unicode MS"/>
          <w:color w:val="000000"/>
          <w:kern w:val="0"/>
          <w:sz w:val="20"/>
          <w:szCs w:val="20"/>
        </w:rPr>
        <w:t xml:space="preserve"> efficacy of glucose control was</w:t>
      </w:r>
      <w:r>
        <w:rPr>
          <w:iCs/>
          <w:sz w:val="20"/>
          <w:szCs w:val="20"/>
        </w:rPr>
        <w:t xml:space="preserve"> not </w:t>
      </w:r>
      <w:r>
        <w:rPr>
          <w:rFonts w:hint="eastAsia"/>
          <w:iCs/>
          <w:sz w:val="20"/>
          <w:szCs w:val="20"/>
        </w:rPr>
        <w:t>the primary endpoint of</w:t>
      </w:r>
      <w:r>
        <w:rPr>
          <w:iCs/>
          <w:sz w:val="20"/>
          <w:szCs w:val="20"/>
        </w:rPr>
        <w:t xml:space="preserve"> the trial</w:t>
      </w:r>
      <w:r>
        <w:rPr>
          <w:sz w:val="20"/>
          <w:szCs w:val="20"/>
        </w:rPr>
        <w:t xml:space="preserve">. </w:t>
      </w:r>
    </w:p>
    <w:p>
      <w:pPr>
        <w:spacing w:line="360" w:lineRule="auto"/>
        <w:rPr>
          <w:rFonts w:cs="ScalaLancetPro"/>
          <w:kern w:val="0"/>
          <w:sz w:val="20"/>
          <w:szCs w:val="20"/>
        </w:rPr>
      </w:pPr>
      <w:r>
        <w:rPr>
          <w:sz w:val="20"/>
          <w:szCs w:val="20"/>
        </w:rPr>
        <w:t>Two</w:t>
      </w:r>
      <w:r>
        <w:rPr>
          <w:rFonts w:hint="eastAsia"/>
          <w:sz w:val="20"/>
          <w:szCs w:val="20"/>
        </w:rPr>
        <w:t xml:space="preserve"> </w:t>
      </w:r>
      <w:r>
        <w:rPr>
          <w:sz w:val="20"/>
          <w:szCs w:val="20"/>
        </w:rPr>
        <w:t>investigators</w:t>
      </w:r>
      <w:r>
        <w:rPr>
          <w:rFonts w:hint="eastAsia"/>
          <w:sz w:val="20"/>
          <w:szCs w:val="20"/>
        </w:rPr>
        <w:t xml:space="preserve"> </w:t>
      </w:r>
      <w:r>
        <w:rPr>
          <w:sz w:val="20"/>
          <w:szCs w:val="20"/>
        </w:rPr>
        <w:t>(</w:t>
      </w:r>
      <w:r>
        <w:rPr>
          <w:rFonts w:hint="eastAsia"/>
          <w:sz w:val="20"/>
          <w:szCs w:val="20"/>
        </w:rPr>
        <w:t>XYG and WJY</w:t>
      </w:r>
      <w:r>
        <w:rPr>
          <w:sz w:val="20"/>
          <w:szCs w:val="20"/>
        </w:rPr>
        <w:t>)</w:t>
      </w:r>
      <w:r>
        <w:rPr>
          <w:rFonts w:hint="eastAsia"/>
          <w:sz w:val="20"/>
          <w:szCs w:val="20"/>
        </w:rPr>
        <w:t xml:space="preserve"> </w:t>
      </w:r>
      <w:r>
        <w:rPr>
          <w:sz w:val="20"/>
          <w:szCs w:val="20"/>
        </w:rPr>
        <w:t>screened</w:t>
      </w:r>
      <w:r>
        <w:rPr>
          <w:rFonts w:hint="eastAsia"/>
          <w:sz w:val="20"/>
          <w:szCs w:val="20"/>
        </w:rPr>
        <w:t xml:space="preserve"> </w:t>
      </w:r>
      <w:r>
        <w:rPr>
          <w:sz w:val="20"/>
          <w:szCs w:val="20"/>
        </w:rPr>
        <w:t>the</w:t>
      </w:r>
      <w:r>
        <w:rPr>
          <w:rFonts w:hint="eastAsia"/>
          <w:sz w:val="20"/>
          <w:szCs w:val="20"/>
        </w:rPr>
        <w:t xml:space="preserve"> </w:t>
      </w:r>
      <w:r>
        <w:rPr>
          <w:sz w:val="20"/>
          <w:szCs w:val="20"/>
        </w:rPr>
        <w:t>titles</w:t>
      </w:r>
      <w:r>
        <w:rPr>
          <w:rFonts w:hint="eastAsia"/>
          <w:sz w:val="20"/>
          <w:szCs w:val="20"/>
        </w:rPr>
        <w:t xml:space="preserve"> </w:t>
      </w:r>
      <w:r>
        <w:rPr>
          <w:sz w:val="20"/>
          <w:szCs w:val="20"/>
        </w:rPr>
        <w:t>and</w:t>
      </w:r>
      <w:r>
        <w:rPr>
          <w:rFonts w:hint="eastAsia"/>
          <w:sz w:val="20"/>
          <w:szCs w:val="20"/>
        </w:rPr>
        <w:t xml:space="preserve"> </w:t>
      </w:r>
      <w:r>
        <w:rPr>
          <w:sz w:val="20"/>
          <w:szCs w:val="20"/>
        </w:rPr>
        <w:t>abstracts</w:t>
      </w:r>
      <w:r>
        <w:rPr>
          <w:rFonts w:hint="eastAsia"/>
          <w:sz w:val="20"/>
          <w:szCs w:val="20"/>
        </w:rPr>
        <w:t xml:space="preserve"> </w:t>
      </w:r>
      <w:r>
        <w:rPr>
          <w:sz w:val="20"/>
          <w:szCs w:val="20"/>
        </w:rPr>
        <w:t>independently</w:t>
      </w:r>
      <w:r>
        <w:rPr>
          <w:rFonts w:hint="eastAsia"/>
          <w:sz w:val="20"/>
          <w:szCs w:val="20"/>
        </w:rPr>
        <w:t xml:space="preserve"> </w:t>
      </w:r>
      <w:r>
        <w:rPr>
          <w:sz w:val="20"/>
          <w:szCs w:val="20"/>
        </w:rPr>
        <w:t>to</w:t>
      </w:r>
      <w:r>
        <w:rPr>
          <w:rFonts w:hint="eastAsia"/>
          <w:sz w:val="20"/>
          <w:szCs w:val="20"/>
        </w:rPr>
        <w:t xml:space="preserve"> </w:t>
      </w:r>
      <w:r>
        <w:rPr>
          <w:sz w:val="20"/>
          <w:szCs w:val="20"/>
        </w:rPr>
        <w:t>identify</w:t>
      </w:r>
      <w:r>
        <w:rPr>
          <w:rFonts w:hint="eastAsia"/>
          <w:sz w:val="20"/>
          <w:szCs w:val="20"/>
        </w:rPr>
        <w:t xml:space="preserve"> </w:t>
      </w:r>
      <w:r>
        <w:rPr>
          <w:sz w:val="20"/>
          <w:szCs w:val="20"/>
        </w:rPr>
        <w:t xml:space="preserve">potentially eligible trials. </w:t>
      </w:r>
      <w:r>
        <w:rPr>
          <w:rFonts w:hint="eastAsia"/>
          <w:sz w:val="20"/>
          <w:szCs w:val="20"/>
        </w:rPr>
        <w:t>Then,</w:t>
      </w:r>
      <w:r>
        <w:rPr>
          <w:sz w:val="20"/>
          <w:szCs w:val="20"/>
        </w:rPr>
        <w:t xml:space="preserve"> </w:t>
      </w:r>
      <w:r>
        <w:rPr>
          <w:rFonts w:hint="eastAsia"/>
          <w:sz w:val="20"/>
          <w:szCs w:val="20"/>
        </w:rPr>
        <w:t>r</w:t>
      </w:r>
      <w:r>
        <w:rPr>
          <w:sz w:val="20"/>
          <w:szCs w:val="20"/>
        </w:rPr>
        <w:t>elevant</w:t>
      </w:r>
      <w:r>
        <w:rPr>
          <w:rFonts w:hint="eastAsia"/>
          <w:sz w:val="20"/>
          <w:szCs w:val="20"/>
        </w:rPr>
        <w:t xml:space="preserve"> </w:t>
      </w:r>
      <w:r>
        <w:rPr>
          <w:sz w:val="20"/>
          <w:szCs w:val="20"/>
        </w:rPr>
        <w:t>citation</w:t>
      </w:r>
      <w:r>
        <w:rPr>
          <w:rFonts w:hint="eastAsia"/>
          <w:sz w:val="20"/>
          <w:szCs w:val="20"/>
        </w:rPr>
        <w:t xml:space="preserve"> </w:t>
      </w:r>
      <w:r>
        <w:rPr>
          <w:sz w:val="20"/>
          <w:szCs w:val="20"/>
        </w:rPr>
        <w:t>was</w:t>
      </w:r>
      <w:r>
        <w:rPr>
          <w:rFonts w:hint="eastAsia"/>
          <w:sz w:val="20"/>
          <w:szCs w:val="20"/>
        </w:rPr>
        <w:t xml:space="preserve"> evaluated </w:t>
      </w:r>
      <w:r>
        <w:rPr>
          <w:sz w:val="20"/>
          <w:szCs w:val="20"/>
        </w:rPr>
        <w:t>in</w:t>
      </w:r>
      <w:r>
        <w:rPr>
          <w:rFonts w:hint="eastAsia"/>
          <w:sz w:val="20"/>
          <w:szCs w:val="20"/>
        </w:rPr>
        <w:t xml:space="preserve"> </w:t>
      </w:r>
      <w:r>
        <w:rPr>
          <w:sz w:val="20"/>
          <w:szCs w:val="20"/>
        </w:rPr>
        <w:t>full-text</w:t>
      </w:r>
      <w:r>
        <w:rPr>
          <w:rFonts w:hint="eastAsia"/>
          <w:sz w:val="20"/>
          <w:szCs w:val="20"/>
        </w:rPr>
        <w:t>.</w:t>
      </w:r>
      <w:r>
        <w:rPr>
          <w:sz w:val="20"/>
          <w:szCs w:val="20"/>
        </w:rPr>
        <w:t xml:space="preserve"> T</w:t>
      </w:r>
      <w:r>
        <w:rPr>
          <w:rFonts w:hint="eastAsia"/>
          <w:sz w:val="20"/>
          <w:szCs w:val="20"/>
        </w:rPr>
        <w:t>he two investigators</w:t>
      </w:r>
      <w:r>
        <w:rPr>
          <w:sz w:val="20"/>
          <w:szCs w:val="20"/>
        </w:rPr>
        <w:t xml:space="preserve"> independently</w:t>
      </w:r>
      <w:r>
        <w:rPr>
          <w:rFonts w:hint="eastAsia"/>
          <w:sz w:val="20"/>
          <w:szCs w:val="20"/>
        </w:rPr>
        <w:t xml:space="preserve"> </w:t>
      </w:r>
      <w:r>
        <w:rPr>
          <w:sz w:val="20"/>
          <w:szCs w:val="20"/>
        </w:rPr>
        <w:t>reviewed</w:t>
      </w:r>
      <w:r>
        <w:rPr>
          <w:rFonts w:hint="eastAsia"/>
          <w:sz w:val="20"/>
          <w:szCs w:val="20"/>
        </w:rPr>
        <w:t xml:space="preserve"> </w:t>
      </w:r>
      <w:r>
        <w:rPr>
          <w:sz w:val="20"/>
          <w:szCs w:val="20"/>
        </w:rPr>
        <w:t>the</w:t>
      </w:r>
      <w:r>
        <w:rPr>
          <w:rFonts w:hint="eastAsia"/>
          <w:sz w:val="20"/>
          <w:szCs w:val="20"/>
        </w:rPr>
        <w:t xml:space="preserve"> </w:t>
      </w:r>
      <w:r>
        <w:rPr>
          <w:sz w:val="20"/>
          <w:szCs w:val="20"/>
        </w:rPr>
        <w:t>main</w:t>
      </w:r>
      <w:r>
        <w:rPr>
          <w:rFonts w:hint="eastAsia"/>
          <w:sz w:val="20"/>
          <w:szCs w:val="20"/>
        </w:rPr>
        <w:t xml:space="preserve"> </w:t>
      </w:r>
      <w:r>
        <w:rPr>
          <w:sz w:val="20"/>
          <w:szCs w:val="20"/>
        </w:rPr>
        <w:t>reports and</w:t>
      </w:r>
      <w:r>
        <w:rPr>
          <w:rFonts w:hint="eastAsia"/>
          <w:sz w:val="20"/>
          <w:szCs w:val="20"/>
        </w:rPr>
        <w:t xml:space="preserve"> </w:t>
      </w:r>
      <w:r>
        <w:rPr>
          <w:sz w:val="20"/>
          <w:szCs w:val="20"/>
        </w:rPr>
        <w:t>supplementary</w:t>
      </w:r>
      <w:r>
        <w:rPr>
          <w:rFonts w:hint="eastAsia"/>
          <w:sz w:val="20"/>
          <w:szCs w:val="20"/>
        </w:rPr>
        <w:t xml:space="preserve"> </w:t>
      </w:r>
      <w:r>
        <w:rPr>
          <w:sz w:val="20"/>
          <w:szCs w:val="20"/>
        </w:rPr>
        <w:t>materials, and</w:t>
      </w:r>
      <w:r>
        <w:rPr>
          <w:rFonts w:hint="eastAsia"/>
          <w:sz w:val="20"/>
          <w:szCs w:val="20"/>
        </w:rPr>
        <w:t xml:space="preserve"> </w:t>
      </w:r>
      <w:r>
        <w:rPr>
          <w:sz w:val="20"/>
          <w:szCs w:val="20"/>
        </w:rPr>
        <w:t>extracted</w:t>
      </w:r>
      <w:r>
        <w:rPr>
          <w:rFonts w:hint="eastAsia"/>
          <w:sz w:val="20"/>
          <w:szCs w:val="20"/>
        </w:rPr>
        <w:t xml:space="preserve"> </w:t>
      </w:r>
      <w:r>
        <w:rPr>
          <w:sz w:val="20"/>
          <w:szCs w:val="20"/>
        </w:rPr>
        <w:t>study</w:t>
      </w:r>
      <w:r>
        <w:rPr>
          <w:rFonts w:hint="eastAsia"/>
          <w:sz w:val="20"/>
          <w:szCs w:val="20"/>
        </w:rPr>
        <w:t xml:space="preserve"> </w:t>
      </w:r>
      <w:r>
        <w:rPr>
          <w:sz w:val="20"/>
          <w:szCs w:val="20"/>
        </w:rPr>
        <w:t>and</w:t>
      </w:r>
      <w:r>
        <w:rPr>
          <w:rFonts w:hint="eastAsia"/>
          <w:sz w:val="20"/>
          <w:szCs w:val="20"/>
        </w:rPr>
        <w:t xml:space="preserve"> </w:t>
      </w:r>
      <w:r>
        <w:rPr>
          <w:sz w:val="20"/>
          <w:szCs w:val="20"/>
        </w:rPr>
        <w:t>patient</w:t>
      </w:r>
      <w:r>
        <w:rPr>
          <w:rFonts w:hint="eastAsia"/>
          <w:sz w:val="20"/>
          <w:szCs w:val="20"/>
        </w:rPr>
        <w:t xml:space="preserve"> </w:t>
      </w:r>
      <w:r>
        <w:rPr>
          <w:sz w:val="20"/>
          <w:szCs w:val="20"/>
        </w:rPr>
        <w:t>characteristics</w:t>
      </w:r>
      <w:r>
        <w:rPr>
          <w:rFonts w:hint="eastAsia"/>
          <w:sz w:val="20"/>
          <w:szCs w:val="20"/>
        </w:rPr>
        <w:t xml:space="preserve"> </w:t>
      </w:r>
      <w:r>
        <w:rPr>
          <w:sz w:val="20"/>
          <w:szCs w:val="20"/>
        </w:rPr>
        <w:t>and</w:t>
      </w:r>
      <w:r>
        <w:rPr>
          <w:rFonts w:hint="eastAsia"/>
          <w:sz w:val="20"/>
          <w:szCs w:val="20"/>
        </w:rPr>
        <w:t xml:space="preserve"> </w:t>
      </w:r>
      <w:r>
        <w:rPr>
          <w:sz w:val="20"/>
          <w:szCs w:val="20"/>
        </w:rPr>
        <w:t>treatment</w:t>
      </w:r>
      <w:r>
        <w:rPr>
          <w:rFonts w:hint="eastAsia"/>
          <w:sz w:val="20"/>
          <w:szCs w:val="20"/>
        </w:rPr>
        <w:t xml:space="preserve"> </w:t>
      </w:r>
      <w:r>
        <w:rPr>
          <w:sz w:val="20"/>
          <w:szCs w:val="20"/>
        </w:rPr>
        <w:t>strategies.</w:t>
      </w:r>
      <w:r>
        <w:rPr>
          <w:rFonts w:eastAsia="Arial Unicode MS" w:cs="Arial Unicode MS"/>
          <w:color w:val="000000"/>
          <w:kern w:val="0"/>
          <w:sz w:val="20"/>
          <w:szCs w:val="20"/>
        </w:rPr>
        <w:t xml:space="preserve"> The quality of each study and </w:t>
      </w:r>
      <w:r>
        <w:rPr>
          <w:rFonts w:eastAsia="ScalaLancetPro" w:cs="ScalaLancetPro"/>
          <w:kern w:val="0"/>
          <w:sz w:val="20"/>
          <w:szCs w:val="20"/>
        </w:rPr>
        <w:t>the risk of bias</w:t>
      </w:r>
      <w:r>
        <w:rPr>
          <w:rFonts w:eastAsia="Arial Unicode MS" w:cs="Arial Unicode MS"/>
          <w:color w:val="000000"/>
          <w:kern w:val="0"/>
          <w:sz w:val="20"/>
          <w:szCs w:val="20"/>
        </w:rPr>
        <w:t xml:space="preserve"> were evaluated using the</w:t>
      </w:r>
      <w:r>
        <w:rPr>
          <w:rFonts w:eastAsia="ScalaLancetPro" w:cs="ScalaLancetPro"/>
          <w:kern w:val="0"/>
          <w:sz w:val="20"/>
          <w:szCs w:val="20"/>
        </w:rPr>
        <w:t xml:space="preserve"> Cochrane</w:t>
      </w:r>
      <w:r>
        <w:rPr>
          <w:rFonts w:cs="ScalaLancetPro"/>
          <w:kern w:val="0"/>
          <w:sz w:val="20"/>
          <w:szCs w:val="20"/>
        </w:rPr>
        <w:t xml:space="preserve"> </w:t>
      </w:r>
      <w:r>
        <w:rPr>
          <w:rFonts w:eastAsia="ScalaLancetPro" w:cs="ScalaLancetPro"/>
          <w:kern w:val="0"/>
          <w:sz w:val="20"/>
          <w:szCs w:val="20"/>
        </w:rPr>
        <w:t>instrument</w:t>
      </w:r>
      <w:r>
        <w:rPr>
          <w:rFonts w:hint="eastAsia" w:cs="ScalaLancetPro"/>
          <w:kern w:val="0"/>
          <w:sz w:val="20"/>
          <w:szCs w:val="20"/>
        </w:rPr>
        <w:t>.</w:t>
      </w:r>
    </w:p>
    <w:p>
      <w:pPr>
        <w:spacing w:line="360" w:lineRule="auto"/>
        <w:outlineLvl w:val="0"/>
        <w:rPr>
          <w:rFonts w:cs="ScalaLancetPro"/>
          <w:b/>
          <w:i/>
          <w:kern w:val="0"/>
          <w:sz w:val="20"/>
          <w:szCs w:val="20"/>
        </w:rPr>
      </w:pPr>
      <w:r>
        <w:rPr>
          <w:rFonts w:cs="ScalaLancetPro"/>
          <w:b/>
          <w:i/>
          <w:kern w:val="0"/>
          <w:sz w:val="20"/>
          <w:szCs w:val="20"/>
        </w:rPr>
        <w:t xml:space="preserve">2. </w:t>
      </w:r>
      <w:r>
        <w:rPr>
          <w:rFonts w:hint="eastAsia" w:cs="ScalaLancetPro"/>
          <w:b/>
          <w:i/>
          <w:kern w:val="0"/>
          <w:sz w:val="20"/>
          <w:szCs w:val="20"/>
        </w:rPr>
        <w:t>Endpoints</w:t>
      </w:r>
    </w:p>
    <w:p>
      <w:pPr>
        <w:spacing w:line="360" w:lineRule="auto"/>
        <w:rPr>
          <w:sz w:val="20"/>
          <w:szCs w:val="20"/>
        </w:rPr>
      </w:pPr>
      <w:r>
        <w:rPr>
          <w:sz w:val="20"/>
          <w:szCs w:val="20"/>
        </w:rPr>
        <w:t>T</w:t>
      </w:r>
      <w:r>
        <w:rPr>
          <w:rFonts w:hint="eastAsia"/>
          <w:sz w:val="20"/>
          <w:szCs w:val="20"/>
        </w:rPr>
        <w:t xml:space="preserve">he primary endpoint of this meta-analysis was </w:t>
      </w:r>
      <w:r>
        <w:rPr>
          <w:rFonts w:cstheme="minorHAnsi"/>
          <w:sz w:val="20"/>
          <w:szCs w:val="20"/>
        </w:rPr>
        <w:t xml:space="preserve">absolute HbA1c change from baseline after </w:t>
      </w:r>
      <w:r>
        <w:rPr>
          <w:rFonts w:hint="eastAsia"/>
          <w:sz w:val="20"/>
          <w:szCs w:val="20"/>
        </w:rPr>
        <w:t>dapagliflozin</w:t>
      </w:r>
      <w:r>
        <w:rPr>
          <w:rFonts w:cstheme="minorHAnsi"/>
          <w:sz w:val="20"/>
          <w:szCs w:val="20"/>
        </w:rPr>
        <w:t xml:space="preserve"> treatment and </w:t>
      </w:r>
      <w:r>
        <w:rPr>
          <w:rFonts w:hint="eastAsia"/>
          <w:sz w:val="20"/>
          <w:szCs w:val="20"/>
        </w:rPr>
        <w:t>metformin</w:t>
      </w:r>
      <w:r>
        <w:rPr>
          <w:rFonts w:cstheme="minorHAnsi"/>
          <w:sz w:val="20"/>
          <w:szCs w:val="20"/>
        </w:rPr>
        <w:t xml:space="preserve"> </w:t>
      </w:r>
      <w:r>
        <w:rPr>
          <w:rFonts w:eastAsia="Arial Unicode MS" w:cstheme="minorHAnsi"/>
          <w:color w:val="000000"/>
          <w:kern w:val="0"/>
          <w:sz w:val="20"/>
          <w:szCs w:val="20"/>
        </w:rPr>
        <w:t>treatment in</w:t>
      </w:r>
      <w:r>
        <w:rPr>
          <w:rFonts w:cstheme="minorHAnsi"/>
          <w:sz w:val="20"/>
          <w:szCs w:val="20"/>
        </w:rPr>
        <w:t xml:space="preserve"> type 2 diabetes patients.</w:t>
      </w:r>
      <w:r>
        <w:rPr>
          <w:rFonts w:hint="eastAsia"/>
          <w:sz w:val="20"/>
          <w:szCs w:val="20"/>
        </w:rPr>
        <w:t xml:space="preserve"> </w:t>
      </w:r>
    </w:p>
    <w:p>
      <w:pPr>
        <w:spacing w:line="360" w:lineRule="auto"/>
        <w:rPr>
          <w:sz w:val="20"/>
          <w:szCs w:val="20"/>
        </w:rPr>
      </w:pPr>
      <w:r>
        <w:rPr>
          <w:sz w:val="20"/>
          <w:szCs w:val="20"/>
        </w:rPr>
        <w:t>T</w:t>
      </w:r>
      <w:r>
        <w:rPr>
          <w:rFonts w:hint="eastAsia"/>
          <w:sz w:val="20"/>
          <w:szCs w:val="20"/>
        </w:rPr>
        <w:t xml:space="preserve">he secondary endpoints were </w:t>
      </w:r>
      <w:r>
        <w:rPr>
          <w:rFonts w:cstheme="minorHAnsi"/>
          <w:sz w:val="20"/>
          <w:szCs w:val="20"/>
        </w:rPr>
        <w:t xml:space="preserve">(1) absolute </w:t>
      </w:r>
      <w:r>
        <w:rPr>
          <w:rFonts w:hint="eastAsia" w:cstheme="minorHAnsi"/>
          <w:sz w:val="20"/>
          <w:szCs w:val="20"/>
        </w:rPr>
        <w:t>weight</w:t>
      </w:r>
      <w:r>
        <w:rPr>
          <w:rFonts w:cstheme="minorHAnsi"/>
          <w:sz w:val="20"/>
          <w:szCs w:val="20"/>
        </w:rPr>
        <w:t xml:space="preserve"> changes from baseline after </w:t>
      </w:r>
      <w:r>
        <w:rPr>
          <w:rFonts w:hint="eastAsia"/>
          <w:sz w:val="20"/>
          <w:szCs w:val="20"/>
        </w:rPr>
        <w:t>dapagliflozin</w:t>
      </w:r>
      <w:r>
        <w:rPr>
          <w:rFonts w:cstheme="minorHAnsi"/>
          <w:sz w:val="20"/>
          <w:szCs w:val="20"/>
        </w:rPr>
        <w:t xml:space="preserve"> treatment and after </w:t>
      </w:r>
      <w:r>
        <w:rPr>
          <w:rFonts w:hint="eastAsia"/>
          <w:sz w:val="20"/>
          <w:szCs w:val="20"/>
        </w:rPr>
        <w:t>metformin</w:t>
      </w:r>
      <w:r>
        <w:rPr>
          <w:rFonts w:cstheme="minorHAnsi"/>
          <w:sz w:val="20"/>
          <w:szCs w:val="20"/>
        </w:rPr>
        <w:t xml:space="preserve"> </w:t>
      </w:r>
      <w:r>
        <w:rPr>
          <w:rFonts w:eastAsia="Arial Unicode MS" w:cstheme="minorHAnsi"/>
          <w:color w:val="000000"/>
          <w:kern w:val="0"/>
          <w:sz w:val="20"/>
          <w:szCs w:val="20"/>
        </w:rPr>
        <w:t xml:space="preserve">treatment; (2) </w:t>
      </w:r>
      <w:r>
        <w:rPr>
          <w:rFonts w:cstheme="minorHAnsi"/>
          <w:sz w:val="20"/>
          <w:szCs w:val="20"/>
        </w:rPr>
        <w:t>absolute systolic blood pressure (</w:t>
      </w:r>
      <w:r>
        <w:rPr>
          <w:rFonts w:hint="eastAsia" w:cstheme="minorHAnsi"/>
          <w:sz w:val="20"/>
          <w:szCs w:val="20"/>
        </w:rPr>
        <w:t>SBP</w:t>
      </w:r>
      <w:r>
        <w:rPr>
          <w:rFonts w:cstheme="minorHAnsi"/>
          <w:sz w:val="20"/>
          <w:szCs w:val="20"/>
        </w:rPr>
        <w:t xml:space="preserve">) changes from baseline after </w:t>
      </w:r>
      <w:r>
        <w:rPr>
          <w:rFonts w:hint="eastAsia"/>
          <w:sz w:val="20"/>
          <w:szCs w:val="20"/>
        </w:rPr>
        <w:t>dapagliflozin</w:t>
      </w:r>
      <w:r>
        <w:rPr>
          <w:rFonts w:cstheme="minorHAnsi"/>
          <w:sz w:val="20"/>
          <w:szCs w:val="20"/>
        </w:rPr>
        <w:t xml:space="preserve"> treatment and after </w:t>
      </w:r>
      <w:r>
        <w:rPr>
          <w:rFonts w:hint="eastAsia"/>
          <w:sz w:val="20"/>
          <w:szCs w:val="20"/>
        </w:rPr>
        <w:t>metformin</w:t>
      </w:r>
      <w:r>
        <w:rPr>
          <w:rFonts w:cstheme="minorHAnsi"/>
          <w:sz w:val="20"/>
          <w:szCs w:val="20"/>
        </w:rPr>
        <w:t xml:space="preserve"> </w:t>
      </w:r>
      <w:r>
        <w:rPr>
          <w:rFonts w:eastAsia="Arial Unicode MS" w:cstheme="minorHAnsi"/>
          <w:color w:val="000000"/>
          <w:kern w:val="0"/>
          <w:sz w:val="20"/>
          <w:szCs w:val="20"/>
        </w:rPr>
        <w:t>treatment;</w:t>
      </w:r>
      <w:r>
        <w:rPr>
          <w:rFonts w:cstheme="minorHAnsi"/>
          <w:sz w:val="20"/>
          <w:szCs w:val="20"/>
        </w:rPr>
        <w:t xml:space="preserve"> (3) absolute total cholesterol (</w:t>
      </w:r>
      <w:r>
        <w:rPr>
          <w:rFonts w:hint="eastAsia" w:cstheme="minorHAnsi"/>
          <w:sz w:val="20"/>
          <w:szCs w:val="20"/>
        </w:rPr>
        <w:t>TCHO</w:t>
      </w:r>
      <w:r>
        <w:rPr>
          <w:rFonts w:cstheme="minorHAnsi"/>
          <w:sz w:val="20"/>
          <w:szCs w:val="20"/>
        </w:rPr>
        <w:t xml:space="preserve">) changes from baseline after </w:t>
      </w:r>
      <w:r>
        <w:rPr>
          <w:rFonts w:hint="eastAsia"/>
          <w:sz w:val="20"/>
          <w:szCs w:val="20"/>
        </w:rPr>
        <w:t>dapagliflozin</w:t>
      </w:r>
      <w:r>
        <w:rPr>
          <w:rFonts w:cstheme="minorHAnsi"/>
          <w:sz w:val="20"/>
          <w:szCs w:val="20"/>
        </w:rPr>
        <w:t xml:space="preserve"> treatment and after </w:t>
      </w:r>
      <w:r>
        <w:rPr>
          <w:rFonts w:hint="eastAsia"/>
          <w:sz w:val="20"/>
          <w:szCs w:val="20"/>
        </w:rPr>
        <w:t>metformin</w:t>
      </w:r>
      <w:r>
        <w:rPr>
          <w:rFonts w:cstheme="minorHAnsi"/>
          <w:sz w:val="20"/>
          <w:szCs w:val="20"/>
        </w:rPr>
        <w:t xml:space="preserve"> </w:t>
      </w:r>
      <w:r>
        <w:rPr>
          <w:rFonts w:eastAsia="Arial Unicode MS" w:cstheme="minorHAnsi"/>
          <w:color w:val="000000"/>
          <w:kern w:val="0"/>
          <w:sz w:val="20"/>
          <w:szCs w:val="20"/>
        </w:rPr>
        <w:t>treatment;</w:t>
      </w:r>
      <w:r>
        <w:rPr>
          <w:rFonts w:cstheme="minorHAnsi"/>
          <w:sz w:val="20"/>
          <w:szCs w:val="20"/>
        </w:rPr>
        <w:t xml:space="preserve"> (</w:t>
      </w:r>
      <w:r>
        <w:rPr>
          <w:rFonts w:hint="eastAsia" w:cstheme="minorHAnsi"/>
          <w:sz w:val="20"/>
          <w:szCs w:val="20"/>
        </w:rPr>
        <w:t>4</w:t>
      </w:r>
      <w:r>
        <w:rPr>
          <w:rFonts w:cstheme="minorHAnsi"/>
          <w:sz w:val="20"/>
          <w:szCs w:val="20"/>
        </w:rPr>
        <w:t>)</w:t>
      </w:r>
      <w:r>
        <w:rPr>
          <w:rFonts w:hint="eastAsia" w:cstheme="minorHAnsi"/>
          <w:sz w:val="20"/>
          <w:szCs w:val="20"/>
        </w:rPr>
        <w:t xml:space="preserve"> </w:t>
      </w:r>
      <w:r>
        <w:rPr>
          <w:rFonts w:hint="eastAsia"/>
          <w:sz w:val="20"/>
          <w:szCs w:val="20"/>
        </w:rPr>
        <w:t xml:space="preserve">the risks of adverse effects including </w:t>
      </w:r>
      <w:r>
        <w:rPr>
          <w:sz w:val="20"/>
          <w:szCs w:val="20"/>
        </w:rPr>
        <w:t>hypoglycemia</w:t>
      </w:r>
      <w:r>
        <w:rPr>
          <w:rFonts w:hint="eastAsia"/>
          <w:sz w:val="20"/>
          <w:szCs w:val="20"/>
        </w:rPr>
        <w:t xml:space="preserve">, </w:t>
      </w:r>
      <w:r>
        <w:rPr>
          <w:rFonts w:hint="eastAsia"/>
          <w:kern w:val="0"/>
          <w:sz w:val="20"/>
          <w:szCs w:val="20"/>
        </w:rPr>
        <w:t>g</w:t>
      </w:r>
      <w:r>
        <w:rPr>
          <w:kern w:val="0"/>
          <w:sz w:val="20"/>
          <w:szCs w:val="20"/>
        </w:rPr>
        <w:t>enital infection</w:t>
      </w:r>
      <w:r>
        <w:rPr>
          <w:rFonts w:hint="eastAsia"/>
          <w:kern w:val="0"/>
          <w:sz w:val="20"/>
          <w:szCs w:val="20"/>
        </w:rPr>
        <w:t>, urinary infection, g</w:t>
      </w:r>
      <w:r>
        <w:rPr>
          <w:kern w:val="0"/>
          <w:sz w:val="20"/>
          <w:szCs w:val="20"/>
        </w:rPr>
        <w:t>astrointestinal side effects</w:t>
      </w:r>
      <w:r>
        <w:rPr>
          <w:rFonts w:hint="eastAsia"/>
          <w:kern w:val="0"/>
          <w:sz w:val="20"/>
          <w:szCs w:val="20"/>
        </w:rPr>
        <w:t xml:space="preserve"> and t</w:t>
      </w:r>
      <w:r>
        <w:rPr>
          <w:kern w:val="0"/>
          <w:sz w:val="20"/>
          <w:szCs w:val="20"/>
        </w:rPr>
        <w:t>herapy discontinuation</w:t>
      </w:r>
      <w:r>
        <w:rPr>
          <w:rFonts w:hint="eastAsia"/>
          <w:sz w:val="20"/>
          <w:szCs w:val="20"/>
        </w:rPr>
        <w:t xml:space="preserve"> </w:t>
      </w:r>
      <w:r>
        <w:rPr>
          <w:rFonts w:cstheme="minorHAnsi"/>
          <w:sz w:val="20"/>
          <w:szCs w:val="20"/>
        </w:rPr>
        <w:t xml:space="preserve">after </w:t>
      </w:r>
      <w:r>
        <w:rPr>
          <w:rFonts w:hint="eastAsia"/>
          <w:sz w:val="20"/>
          <w:szCs w:val="20"/>
        </w:rPr>
        <w:t>dapagliflozin</w:t>
      </w:r>
      <w:r>
        <w:rPr>
          <w:rFonts w:cstheme="minorHAnsi"/>
          <w:sz w:val="20"/>
          <w:szCs w:val="20"/>
        </w:rPr>
        <w:t xml:space="preserve"> treatment and after </w:t>
      </w:r>
      <w:r>
        <w:rPr>
          <w:rFonts w:hint="eastAsia"/>
          <w:sz w:val="20"/>
          <w:szCs w:val="20"/>
        </w:rPr>
        <w:t>metformin</w:t>
      </w:r>
      <w:r>
        <w:rPr>
          <w:rFonts w:cstheme="minorHAnsi"/>
          <w:sz w:val="20"/>
          <w:szCs w:val="20"/>
        </w:rPr>
        <w:t xml:space="preserve"> </w:t>
      </w:r>
      <w:r>
        <w:rPr>
          <w:rFonts w:eastAsia="Arial Unicode MS" w:cstheme="minorHAnsi"/>
          <w:color w:val="000000"/>
          <w:kern w:val="0"/>
          <w:sz w:val="20"/>
          <w:szCs w:val="20"/>
        </w:rPr>
        <w:t>treatment</w:t>
      </w:r>
      <w:r>
        <w:rPr>
          <w:rFonts w:hint="eastAsia"/>
          <w:sz w:val="20"/>
          <w:szCs w:val="20"/>
        </w:rPr>
        <w:t>.</w:t>
      </w:r>
    </w:p>
    <w:p>
      <w:pPr>
        <w:spacing w:line="360" w:lineRule="auto"/>
        <w:outlineLvl w:val="0"/>
        <w:rPr>
          <w:b/>
          <w:i/>
          <w:sz w:val="20"/>
          <w:szCs w:val="20"/>
        </w:rPr>
      </w:pPr>
      <w:r>
        <w:rPr>
          <w:b/>
          <w:i/>
          <w:sz w:val="20"/>
          <w:szCs w:val="20"/>
        </w:rPr>
        <w:t>3 Statistical</w:t>
      </w:r>
      <w:r>
        <w:rPr>
          <w:rFonts w:hint="eastAsia"/>
          <w:b/>
          <w:i/>
          <w:sz w:val="20"/>
          <w:szCs w:val="20"/>
        </w:rPr>
        <w:t xml:space="preserve"> </w:t>
      </w:r>
      <w:r>
        <w:rPr>
          <w:b/>
          <w:i/>
          <w:sz w:val="20"/>
          <w:szCs w:val="20"/>
        </w:rPr>
        <w:t xml:space="preserve">Analysis </w:t>
      </w:r>
    </w:p>
    <w:p>
      <w:pPr>
        <w:spacing w:line="360" w:lineRule="auto"/>
        <w:rPr>
          <w:sz w:val="20"/>
          <w:szCs w:val="20"/>
        </w:rPr>
      </w:pPr>
      <w:r>
        <w:rPr>
          <w:sz w:val="20"/>
          <w:szCs w:val="20"/>
        </w:rPr>
        <w:t>Treatment effects were estimated</w:t>
      </w:r>
      <w:r>
        <w:rPr>
          <w:rFonts w:hint="eastAsia"/>
          <w:sz w:val="20"/>
          <w:szCs w:val="20"/>
        </w:rPr>
        <w:t xml:space="preserve"> </w:t>
      </w:r>
      <w:r>
        <w:rPr>
          <w:sz w:val="20"/>
          <w:szCs w:val="20"/>
        </w:rPr>
        <w:t>by</w:t>
      </w:r>
      <w:r>
        <w:rPr>
          <w:rFonts w:hint="eastAsia"/>
          <w:sz w:val="20"/>
          <w:szCs w:val="20"/>
        </w:rPr>
        <w:t xml:space="preserve"> </w:t>
      </w:r>
      <w:r>
        <w:rPr>
          <w:sz w:val="20"/>
          <w:szCs w:val="20"/>
        </w:rPr>
        <w:t>random-effects</w:t>
      </w:r>
      <w:r>
        <w:rPr>
          <w:rFonts w:hint="eastAsia"/>
          <w:sz w:val="20"/>
          <w:szCs w:val="20"/>
        </w:rPr>
        <w:t xml:space="preserve"> or fixed-effects pairwise </w:t>
      </w:r>
      <w:r>
        <w:rPr>
          <w:sz w:val="20"/>
          <w:szCs w:val="20"/>
        </w:rPr>
        <w:t>meta-analysis.</w:t>
      </w:r>
      <w:r>
        <w:rPr>
          <w:rFonts w:hint="eastAsia"/>
          <w:sz w:val="20"/>
          <w:szCs w:val="20"/>
        </w:rPr>
        <w:t xml:space="preserve"> </w:t>
      </w:r>
      <w:r>
        <w:rPr>
          <w:sz w:val="20"/>
          <w:szCs w:val="20"/>
        </w:rPr>
        <w:t>The</w:t>
      </w:r>
      <w:r>
        <w:rPr>
          <w:rFonts w:hint="eastAsia"/>
          <w:sz w:val="20"/>
          <w:szCs w:val="20"/>
        </w:rPr>
        <w:t xml:space="preserve"> results were shown in</w:t>
      </w:r>
      <w:r>
        <w:rPr>
          <w:rFonts w:eastAsia="Arial Unicode MS" w:cs="Arial Unicode MS"/>
          <w:kern w:val="0"/>
          <w:sz w:val="20"/>
          <w:szCs w:val="20"/>
        </w:rPr>
        <w:t xml:space="preserve"> the weighted mean difference (WMD) </w:t>
      </w:r>
      <w:r>
        <w:rPr>
          <w:sz w:val="20"/>
          <w:szCs w:val="20"/>
        </w:rPr>
        <w:t>for</w:t>
      </w:r>
      <w:r>
        <w:rPr>
          <w:rFonts w:hint="eastAsia"/>
          <w:sz w:val="20"/>
          <w:szCs w:val="20"/>
        </w:rPr>
        <w:t xml:space="preserve"> </w:t>
      </w:r>
      <w:r>
        <w:rPr>
          <w:sz w:val="20"/>
          <w:szCs w:val="20"/>
        </w:rPr>
        <w:t>HbA1c</w:t>
      </w:r>
      <w:r>
        <w:rPr>
          <w:rFonts w:hint="eastAsia"/>
          <w:sz w:val="20"/>
          <w:szCs w:val="20"/>
        </w:rPr>
        <w:t xml:space="preserve"> </w:t>
      </w:r>
      <w:r>
        <w:rPr>
          <w:sz w:val="20"/>
          <w:szCs w:val="20"/>
        </w:rPr>
        <w:t>level</w:t>
      </w:r>
      <w:r>
        <w:rPr>
          <w:rFonts w:hint="eastAsia"/>
          <w:sz w:val="20"/>
          <w:szCs w:val="20"/>
        </w:rPr>
        <w:t xml:space="preserve">, blood pressure level, lipid profile levels </w:t>
      </w:r>
      <w:r>
        <w:rPr>
          <w:sz w:val="20"/>
          <w:szCs w:val="20"/>
        </w:rPr>
        <w:t>and</w:t>
      </w:r>
      <w:r>
        <w:rPr>
          <w:rFonts w:hint="eastAsia"/>
          <w:sz w:val="20"/>
          <w:szCs w:val="20"/>
        </w:rPr>
        <w:t xml:space="preserve"> </w:t>
      </w:r>
      <w:r>
        <w:rPr>
          <w:sz w:val="20"/>
          <w:szCs w:val="20"/>
        </w:rPr>
        <w:t>body</w:t>
      </w:r>
      <w:r>
        <w:rPr>
          <w:rFonts w:hint="eastAsia"/>
          <w:sz w:val="20"/>
          <w:szCs w:val="20"/>
        </w:rPr>
        <w:t xml:space="preserve"> </w:t>
      </w:r>
      <w:r>
        <w:rPr>
          <w:sz w:val="20"/>
          <w:szCs w:val="20"/>
        </w:rPr>
        <w:t>weight</w:t>
      </w:r>
      <w:r>
        <w:rPr>
          <w:rFonts w:hint="eastAsia"/>
          <w:sz w:val="20"/>
          <w:szCs w:val="20"/>
        </w:rPr>
        <w:t xml:space="preserve">, </w:t>
      </w:r>
      <w:r>
        <w:rPr>
          <w:sz w:val="20"/>
          <w:szCs w:val="20"/>
        </w:rPr>
        <w:t>and</w:t>
      </w:r>
      <w:r>
        <w:rPr>
          <w:rFonts w:hint="eastAsia"/>
          <w:sz w:val="20"/>
          <w:szCs w:val="20"/>
        </w:rPr>
        <w:t xml:space="preserve"> in the </w:t>
      </w:r>
      <w:r>
        <w:rPr>
          <w:sz w:val="20"/>
          <w:szCs w:val="20"/>
        </w:rPr>
        <w:t>odds</w:t>
      </w:r>
      <w:r>
        <w:rPr>
          <w:rFonts w:hint="eastAsia"/>
          <w:sz w:val="20"/>
          <w:szCs w:val="20"/>
        </w:rPr>
        <w:t xml:space="preserve"> </w:t>
      </w:r>
      <w:r>
        <w:rPr>
          <w:sz w:val="20"/>
          <w:szCs w:val="20"/>
        </w:rPr>
        <w:t>ratios</w:t>
      </w:r>
      <w:r>
        <w:rPr>
          <w:rFonts w:hint="eastAsia"/>
          <w:sz w:val="20"/>
          <w:szCs w:val="20"/>
        </w:rPr>
        <w:t xml:space="preserve"> </w:t>
      </w:r>
      <w:r>
        <w:rPr>
          <w:sz w:val="20"/>
          <w:szCs w:val="20"/>
        </w:rPr>
        <w:t>(ORs)</w:t>
      </w:r>
      <w:r>
        <w:rPr>
          <w:rFonts w:hint="eastAsia"/>
          <w:sz w:val="20"/>
          <w:szCs w:val="20"/>
        </w:rPr>
        <w:t xml:space="preserve"> </w:t>
      </w:r>
      <w:r>
        <w:rPr>
          <w:sz w:val="20"/>
          <w:szCs w:val="20"/>
        </w:rPr>
        <w:t>for</w:t>
      </w:r>
      <w:r>
        <w:rPr>
          <w:rFonts w:hint="eastAsia"/>
          <w:sz w:val="20"/>
          <w:szCs w:val="20"/>
        </w:rPr>
        <w:t xml:space="preserve"> all the </w:t>
      </w:r>
      <w:r>
        <w:rPr>
          <w:sz w:val="20"/>
          <w:szCs w:val="20"/>
        </w:rPr>
        <w:t>adverse</w:t>
      </w:r>
      <w:r>
        <w:rPr>
          <w:rFonts w:hint="eastAsia"/>
          <w:sz w:val="20"/>
          <w:szCs w:val="20"/>
        </w:rPr>
        <w:t xml:space="preserve"> </w:t>
      </w:r>
      <w:r>
        <w:rPr>
          <w:sz w:val="20"/>
          <w:szCs w:val="20"/>
        </w:rPr>
        <w:t>events</w:t>
      </w:r>
      <w:r>
        <w:rPr>
          <w:rFonts w:hint="eastAsia"/>
          <w:sz w:val="20"/>
          <w:szCs w:val="20"/>
        </w:rPr>
        <w:t xml:space="preserve"> a</w:t>
      </w:r>
      <w:r>
        <w:rPr>
          <w:sz w:val="20"/>
          <w:szCs w:val="20"/>
        </w:rPr>
        <w:t>nd</w:t>
      </w:r>
      <w:r>
        <w:rPr>
          <w:rFonts w:hint="eastAsia"/>
          <w:sz w:val="20"/>
          <w:szCs w:val="20"/>
        </w:rPr>
        <w:t xml:space="preserve"> </w:t>
      </w:r>
      <w:r>
        <w:rPr>
          <w:sz w:val="20"/>
          <w:szCs w:val="20"/>
        </w:rPr>
        <w:t>hypoglycemia,</w:t>
      </w:r>
      <w:r>
        <w:rPr>
          <w:rFonts w:hint="eastAsia"/>
          <w:sz w:val="20"/>
          <w:szCs w:val="20"/>
        </w:rPr>
        <w:t xml:space="preserve"> </w:t>
      </w:r>
      <w:r>
        <w:rPr>
          <w:sz w:val="20"/>
          <w:szCs w:val="20"/>
        </w:rPr>
        <w:t>together with</w:t>
      </w:r>
      <w:r>
        <w:rPr>
          <w:rFonts w:hint="eastAsia"/>
          <w:sz w:val="20"/>
          <w:szCs w:val="20"/>
        </w:rPr>
        <w:t xml:space="preserve"> </w:t>
      </w:r>
      <w:r>
        <w:rPr>
          <w:sz w:val="20"/>
          <w:szCs w:val="20"/>
        </w:rPr>
        <w:t>95%</w:t>
      </w:r>
      <w:r>
        <w:rPr>
          <w:rFonts w:hint="eastAsia"/>
          <w:sz w:val="20"/>
          <w:szCs w:val="20"/>
        </w:rPr>
        <w:t xml:space="preserve"> </w:t>
      </w:r>
      <w:r>
        <w:rPr>
          <w:sz w:val="20"/>
          <w:szCs w:val="20"/>
        </w:rPr>
        <w:t>confidence</w:t>
      </w:r>
      <w:r>
        <w:rPr>
          <w:rFonts w:hint="eastAsia"/>
          <w:sz w:val="20"/>
          <w:szCs w:val="20"/>
        </w:rPr>
        <w:t xml:space="preserve"> </w:t>
      </w:r>
      <w:r>
        <w:rPr>
          <w:sz w:val="20"/>
          <w:szCs w:val="20"/>
        </w:rPr>
        <w:t>intervals</w:t>
      </w:r>
      <w:r>
        <w:rPr>
          <w:rFonts w:hint="eastAsia"/>
          <w:sz w:val="20"/>
          <w:szCs w:val="20"/>
        </w:rPr>
        <w:t xml:space="preserve"> </w:t>
      </w:r>
      <w:r>
        <w:rPr>
          <w:rFonts w:eastAsia="Arial Unicode MS" w:cs="Arial Unicode MS"/>
          <w:kern w:val="0"/>
          <w:sz w:val="20"/>
          <w:szCs w:val="20"/>
        </w:rPr>
        <w:t>(</w:t>
      </w:r>
      <w:r>
        <w:rPr>
          <w:rFonts w:hint="eastAsia" w:eastAsia="Arial Unicode MS" w:cs="Arial Unicode MS"/>
          <w:kern w:val="0"/>
          <w:sz w:val="20"/>
          <w:szCs w:val="20"/>
        </w:rPr>
        <w:t>95%</w:t>
      </w:r>
      <w:r>
        <w:rPr>
          <w:rFonts w:eastAsia="Arial Unicode MS" w:cs="Arial Unicode MS"/>
          <w:kern w:val="0"/>
          <w:sz w:val="20"/>
          <w:szCs w:val="20"/>
        </w:rPr>
        <w:t xml:space="preserve"> CI)</w:t>
      </w:r>
      <w:r>
        <w:rPr>
          <w:sz w:val="20"/>
          <w:szCs w:val="20"/>
        </w:rPr>
        <w:t>.</w:t>
      </w:r>
      <w:r>
        <w:rPr>
          <w:rFonts w:hint="eastAsia"/>
          <w:sz w:val="20"/>
          <w:szCs w:val="20"/>
        </w:rPr>
        <w:t xml:space="preserve"> </w:t>
      </w:r>
      <w:r>
        <w:rPr>
          <w:rFonts w:eastAsia="Arial Unicode MS" w:cs="Arial Unicode MS"/>
          <w:color w:val="000000"/>
          <w:sz w:val="20"/>
          <w:szCs w:val="20"/>
        </w:rPr>
        <w:t xml:space="preserve">Higgins </w:t>
      </w:r>
      <w:r>
        <w:rPr>
          <w:rFonts w:eastAsia="Arial Unicode MS" w:cs="Arial Unicode MS"/>
          <w:i/>
          <w:iCs/>
          <w:color w:val="000000"/>
          <w:sz w:val="20"/>
          <w:szCs w:val="20"/>
        </w:rPr>
        <w:t>I</w:t>
      </w:r>
      <w:r>
        <w:rPr>
          <w:rFonts w:eastAsia="Arial Unicode MS" w:cs="Arial Unicode MS"/>
          <w:color w:val="000000"/>
          <w:sz w:val="20"/>
          <w:szCs w:val="20"/>
          <w:vertAlign w:val="superscript"/>
        </w:rPr>
        <w:t>2</w:t>
      </w:r>
      <w:r>
        <w:rPr>
          <w:rFonts w:eastAsia="Arial Unicode MS" w:cs="Arial Unicode MS"/>
          <w:color w:val="000000"/>
          <w:sz w:val="20"/>
          <w:szCs w:val="20"/>
        </w:rPr>
        <w:t xml:space="preserve"> statistics were used to quantify the percentage of the total variance in the summary estimate due to between-study heterogeneity. Publication bias was assessed via a funnel plot </w:t>
      </w:r>
      <w:r>
        <w:rPr>
          <w:rFonts w:hint="eastAsia" w:eastAsia="Arial Unicode MS" w:cs="Arial Unicode MS"/>
          <w:color w:val="000000"/>
          <w:sz w:val="20"/>
          <w:szCs w:val="20"/>
        </w:rPr>
        <w:t>vision</w:t>
      </w:r>
      <w:r>
        <w:rPr>
          <w:rFonts w:eastAsia="Arial Unicode MS" w:cs="Arial Unicode MS"/>
          <w:color w:val="000000"/>
          <w:sz w:val="20"/>
          <w:szCs w:val="20"/>
        </w:rPr>
        <w:t>.</w:t>
      </w:r>
      <w:r>
        <w:rPr>
          <w:rFonts w:hint="eastAsia" w:eastAsia="Arial Unicode MS" w:cs="Arial Unicode MS"/>
          <w:color w:val="000000"/>
          <w:sz w:val="20"/>
          <w:szCs w:val="20"/>
        </w:rPr>
        <w:t xml:space="preserve"> </w:t>
      </w:r>
      <w:r>
        <w:rPr>
          <w:sz w:val="20"/>
          <w:szCs w:val="20"/>
        </w:rPr>
        <w:t>Statistical</w:t>
      </w:r>
      <w:r>
        <w:rPr>
          <w:rFonts w:hint="eastAsia"/>
          <w:sz w:val="20"/>
          <w:szCs w:val="20"/>
        </w:rPr>
        <w:t xml:space="preserve"> </w:t>
      </w:r>
      <w:r>
        <w:rPr>
          <w:sz w:val="20"/>
          <w:szCs w:val="20"/>
        </w:rPr>
        <w:t>testing</w:t>
      </w:r>
      <w:r>
        <w:rPr>
          <w:rFonts w:hint="eastAsia"/>
          <w:sz w:val="20"/>
          <w:szCs w:val="20"/>
        </w:rPr>
        <w:t xml:space="preserve"> </w:t>
      </w:r>
      <w:r>
        <w:rPr>
          <w:sz w:val="20"/>
          <w:szCs w:val="20"/>
        </w:rPr>
        <w:t>was</w:t>
      </w:r>
      <w:r>
        <w:rPr>
          <w:rFonts w:hint="eastAsia"/>
          <w:sz w:val="20"/>
          <w:szCs w:val="20"/>
        </w:rPr>
        <w:t xml:space="preserve"> two</w:t>
      </w:r>
      <w:r>
        <w:rPr>
          <w:sz w:val="20"/>
          <w:szCs w:val="20"/>
        </w:rPr>
        <w:t>-sided,</w:t>
      </w:r>
      <w:r>
        <w:rPr>
          <w:rFonts w:hint="eastAsia"/>
          <w:sz w:val="20"/>
          <w:szCs w:val="20"/>
        </w:rPr>
        <w:t xml:space="preserve"> </w:t>
      </w:r>
      <w:r>
        <w:rPr>
          <w:sz w:val="20"/>
          <w:szCs w:val="20"/>
        </w:rPr>
        <w:t>with</w:t>
      </w:r>
      <w:r>
        <w:rPr>
          <w:rFonts w:hint="eastAsia"/>
          <w:sz w:val="20"/>
          <w:szCs w:val="20"/>
        </w:rPr>
        <w:t xml:space="preserve"> </w:t>
      </w:r>
      <w:r>
        <w:rPr>
          <w:sz w:val="20"/>
          <w:szCs w:val="20"/>
        </w:rPr>
        <w:t>P&lt;</w:t>
      </w:r>
      <w:r>
        <w:rPr>
          <w:rFonts w:hint="eastAsia"/>
          <w:sz w:val="20"/>
          <w:szCs w:val="20"/>
        </w:rPr>
        <w:t>0</w:t>
      </w:r>
      <w:r>
        <w:rPr>
          <w:sz w:val="20"/>
          <w:szCs w:val="20"/>
        </w:rPr>
        <w:t>.05</w:t>
      </w:r>
      <w:r>
        <w:rPr>
          <w:rFonts w:hint="eastAsia"/>
          <w:sz w:val="20"/>
          <w:szCs w:val="20"/>
        </w:rPr>
        <w:t xml:space="preserve"> </w:t>
      </w:r>
      <w:r>
        <w:rPr>
          <w:sz w:val="20"/>
          <w:szCs w:val="20"/>
        </w:rPr>
        <w:t>considered</w:t>
      </w:r>
      <w:r>
        <w:rPr>
          <w:rFonts w:hint="eastAsia"/>
          <w:sz w:val="20"/>
          <w:szCs w:val="20"/>
        </w:rPr>
        <w:t xml:space="preserve"> </w:t>
      </w:r>
      <w:r>
        <w:rPr>
          <w:sz w:val="20"/>
          <w:szCs w:val="20"/>
        </w:rPr>
        <w:t>statistically</w:t>
      </w:r>
      <w:r>
        <w:rPr>
          <w:rFonts w:hint="eastAsia"/>
          <w:sz w:val="20"/>
          <w:szCs w:val="20"/>
        </w:rPr>
        <w:t xml:space="preserve"> </w:t>
      </w:r>
      <w:r>
        <w:rPr>
          <w:sz w:val="20"/>
          <w:szCs w:val="20"/>
        </w:rPr>
        <w:t>significant.</w:t>
      </w:r>
      <w:r>
        <w:rPr>
          <w:rFonts w:hint="eastAsia"/>
          <w:sz w:val="20"/>
          <w:szCs w:val="20"/>
        </w:rPr>
        <w:t xml:space="preserve"> S</w:t>
      </w:r>
      <w:r>
        <w:rPr>
          <w:rFonts w:eastAsia="Arial Unicode MS" w:cs="Arial Unicode MS"/>
          <w:kern w:val="0"/>
          <w:sz w:val="20"/>
          <w:szCs w:val="20"/>
        </w:rPr>
        <w:t>tatistical analyses were performed with the</w:t>
      </w:r>
      <w:r>
        <w:rPr>
          <w:rFonts w:eastAsia="Arial Unicode MS" w:cs="Arial Unicode MS"/>
          <w:sz w:val="20"/>
          <w:szCs w:val="20"/>
        </w:rPr>
        <w:t xml:space="preserve"> STATA statistical software package (Version 11.0).</w:t>
      </w:r>
      <w:r>
        <w:rPr>
          <w:rFonts w:eastAsia="Arial Unicode MS" w:cs="Arial Unicode MS"/>
          <w:kern w:val="0"/>
          <w:sz w:val="20"/>
          <w:szCs w:val="20"/>
        </w:rPr>
        <w:t xml:space="preserve"> </w:t>
      </w:r>
      <w:r>
        <w:rPr>
          <w:rFonts w:eastAsia="Arial Unicode MS" w:cs="Arial Unicode MS"/>
          <w:color w:val="000000"/>
          <w:kern w:val="0"/>
          <w:sz w:val="20"/>
          <w:szCs w:val="20"/>
        </w:rPr>
        <w:t xml:space="preserve">This meta-analysis was conducted according to the </w:t>
      </w:r>
      <w:r>
        <w:rPr>
          <w:rFonts w:eastAsia="Arial Unicode MS" w:cs="Arial Unicode MS"/>
          <w:bCs/>
          <w:color w:val="000000"/>
          <w:kern w:val="0"/>
          <w:sz w:val="20"/>
          <w:szCs w:val="20"/>
        </w:rPr>
        <w:t>Preferred Reporting Items for Systematic Reviews and Meta-Analyses (</w:t>
      </w:r>
      <w:r>
        <w:rPr>
          <w:rFonts w:eastAsia="Arial Unicode MS" w:cs="Arial Unicode MS"/>
          <w:color w:val="000000"/>
          <w:kern w:val="0"/>
          <w:sz w:val="20"/>
          <w:szCs w:val="20"/>
        </w:rPr>
        <w:t xml:space="preserve">PRISMA) guidelines for conducting and reporting meta-analyses of randomized controlled trials (RCTs). </w:t>
      </w:r>
    </w:p>
    <w:p>
      <w:pPr>
        <w:jc w:val="left"/>
        <w:rPr>
          <w:rFonts w:eastAsia="Arial Unicode MS" w:cstheme="minorHAnsi"/>
          <w:b/>
          <w:color w:val="000000"/>
          <w:sz w:val="20"/>
          <w:szCs w:val="20"/>
        </w:rPr>
        <w:sectPr>
          <w:pgSz w:w="11906" w:h="16838"/>
          <w:pgMar w:top="1440" w:right="1797" w:bottom="1440" w:left="1797" w:header="851" w:footer="992" w:gutter="0"/>
          <w:cols w:space="425" w:num="1"/>
          <w:docGrid w:linePitch="312" w:charSpace="0"/>
        </w:sectPr>
      </w:pPr>
    </w:p>
    <w:p>
      <w:pPr>
        <w:jc w:val="left"/>
        <w:rPr>
          <w:rFonts w:eastAsia="Arial Unicode MS" w:cstheme="minorHAnsi"/>
          <w:b/>
          <w:color w:val="000000"/>
          <w:sz w:val="20"/>
          <w:szCs w:val="20"/>
        </w:rPr>
      </w:pPr>
      <w:r>
        <w:rPr>
          <w:rFonts w:hint="eastAsia" w:eastAsia="Arial Unicode MS" w:cstheme="minorHAnsi"/>
          <w:b/>
          <w:color w:val="000000"/>
          <w:sz w:val="20"/>
          <w:szCs w:val="20"/>
        </w:rPr>
        <w:t>Supplement</w:t>
      </w:r>
      <w:r>
        <w:rPr>
          <w:rFonts w:eastAsia="Arial Unicode MS" w:cstheme="minorHAnsi"/>
          <w:b/>
          <w:color w:val="000000"/>
          <w:sz w:val="20"/>
          <w:szCs w:val="20"/>
        </w:rPr>
        <w:t xml:space="preserve"> references:</w:t>
      </w:r>
    </w:p>
    <w:p>
      <w:pPr>
        <w:pStyle w:val="25"/>
        <w:ind w:left="720" w:hanging="720"/>
      </w:pPr>
      <w:r>
        <w:t>1.</w:t>
      </w:r>
      <w:r>
        <w:tab/>
      </w:r>
      <w:r>
        <w:t xml:space="preserve">Henry RR, Murray AV, Marmolejo MH, et al. Dapagliflozin, metformin XR, or both: initial pharmacotherapy for type 2 diabetes, a randomised controlled trial. International journal of clinical practice. 2012 May;66(5):446-56. </w:t>
      </w:r>
    </w:p>
    <w:p>
      <w:pPr>
        <w:pStyle w:val="25"/>
        <w:ind w:left="720" w:hanging="720"/>
      </w:pPr>
      <w:r>
        <w:t>2.</w:t>
      </w:r>
      <w:r>
        <w:tab/>
      </w:r>
      <w:r>
        <w:t xml:space="preserve">Rosenstock J, Vico M, Wei L, et al. Effects of dapagliflozin, an SGLT2 inhibitor, on HbA(1c), body weight, and hypoglycemia risk in patients with type 2 diabetes inadequately controlled on pioglitazone monotherapy. Diabetes care. 2012 Jul;35(7):1473-8. </w:t>
      </w:r>
    </w:p>
    <w:p>
      <w:pPr>
        <w:pStyle w:val="25"/>
        <w:ind w:left="720" w:hanging="720"/>
      </w:pPr>
      <w:r>
        <w:t>3.</w:t>
      </w:r>
      <w:r>
        <w:tab/>
      </w:r>
      <w:r>
        <w:t xml:space="preserve">Strojek K, Yoon KH, Hruba V, et al. Effect of dapagliflozin in patients with type 2 diabetes who have inadequate glycaemic control with glimepiride: a randomized, 24-week, double-blind, placebo-controlled trial. Diabetes, obesity &amp; metabolism. 2011 Oct;13(10):928-38. </w:t>
      </w:r>
    </w:p>
    <w:p>
      <w:pPr>
        <w:pStyle w:val="25"/>
        <w:ind w:left="720" w:hanging="720"/>
      </w:pPr>
      <w:r>
        <w:t>4.</w:t>
      </w:r>
      <w:r>
        <w:tab/>
      </w:r>
      <w:r>
        <w:t xml:space="preserve">Ahren B, Gomis R, Standl E, et al. Twelve- and 52-week efficacy of the dipeptidyl peptidase IV inhibitor LAF237 in metformin-treated patients with type 2 diabetes. Diabetes care. 2004 Dec;27(12):2874-80. </w:t>
      </w:r>
    </w:p>
    <w:p>
      <w:pPr>
        <w:pStyle w:val="25"/>
        <w:ind w:left="720" w:hanging="720"/>
      </w:pPr>
      <w:r>
        <w:t>5.</w:t>
      </w:r>
      <w:r>
        <w:tab/>
      </w:r>
      <w:r>
        <w:t>Barnett AH, Huisman H, Jones R, et al. Linagliptin for patients aged 70 years or older with type 2 diabetes inadequately controlled with common antidiabetes treatments: a randomised, double-blind, placebo-controlled trial. Lancet. 2013 Oct 26;382(9902):1413-23.</w:t>
      </w:r>
    </w:p>
    <w:p>
      <w:pPr>
        <w:pStyle w:val="25"/>
        <w:ind w:left="720" w:hanging="720"/>
      </w:pPr>
      <w:r>
        <w:t>6.</w:t>
      </w:r>
      <w:r>
        <w:tab/>
      </w:r>
      <w:r>
        <w:t xml:space="preserve">Bergenstal RM, Forti A, Chiasson JL, et al. Efficacy and safety of taspoglutide versus sitagliptin for type 2 diabetes mellitus (T-emerge 4 trial). Diabetes Ther. 2012 Dec;3(1):13. </w:t>
      </w:r>
    </w:p>
    <w:p>
      <w:pPr>
        <w:pStyle w:val="25"/>
        <w:ind w:left="720" w:hanging="720"/>
      </w:pPr>
      <w:r>
        <w:t>7.</w:t>
      </w:r>
      <w:r>
        <w:tab/>
      </w:r>
      <w:r>
        <w:t xml:space="preserve">Berhanu P, Perez A, Yu S. Effect of pioglitazone in combination with insulin therapy on glycaemic control, insulin dose requirement and lipid profile in patients with type 2 diabetes previously poorly controlled with combination therapy. Diabetes, obesity &amp; metabolism. 2007 Jul;9(4):512-20. </w:t>
      </w:r>
    </w:p>
    <w:p>
      <w:pPr>
        <w:pStyle w:val="25"/>
        <w:ind w:left="720" w:hanging="720"/>
      </w:pPr>
      <w:r>
        <w:t>8.</w:t>
      </w:r>
      <w:r>
        <w:tab/>
      </w:r>
      <w:r>
        <w:t xml:space="preserve">Borges JL, Bilezikian JP, Jones-Leone AR, et al. A randomized, parallel group, double-blind, multicentre study comparing the efficacy and safety of Avandamet (rosiglitazone/metformin) and metformin on long-term glycaemic control and bone mineral density after 80 weeks of treatment in drug-naive type 2 diabetes mellitus patients. Diabetes, obesity &amp; metabolism. 2011 Nov;13(11):1036-46. </w:t>
      </w:r>
    </w:p>
    <w:p>
      <w:pPr>
        <w:pStyle w:val="25"/>
        <w:ind w:left="720" w:hanging="720"/>
      </w:pPr>
      <w:r>
        <w:t>9.</w:t>
      </w:r>
      <w:r>
        <w:tab/>
      </w:r>
      <w:r>
        <w:t>Bosi E, Camisasca RP, Collober C, et al. Effects of vildagliptin on glucose control over 24 weeks in patients with type 2 diabetes inadequately controlled with metformin. Diabetes care. 2007 Apr;30(4):890-5.</w:t>
      </w:r>
    </w:p>
    <w:p>
      <w:pPr>
        <w:pStyle w:val="25"/>
        <w:ind w:left="720" w:hanging="720"/>
      </w:pPr>
      <w:r>
        <w:t>10.</w:t>
      </w:r>
      <w:r>
        <w:tab/>
      </w:r>
      <w:r>
        <w:t xml:space="preserve">Bosi E, Ellis GC, Wilson CA, et al. Alogliptin as a third oral antidiabetic drug in patients with type 2 diabetes and inadequate glycaemic control on metformin and pioglitazone: a 52-week, randomized, double-blind, active-controlled, parallel-group study. Diabetes, obesity &amp; metabolism. 2011 Dec;13(12):1088-96. </w:t>
      </w:r>
    </w:p>
    <w:p>
      <w:pPr>
        <w:pStyle w:val="25"/>
        <w:ind w:left="720" w:hanging="720"/>
      </w:pPr>
      <w:r>
        <w:t>11.</w:t>
      </w:r>
      <w:r>
        <w:tab/>
      </w:r>
      <w:r>
        <w:t xml:space="preserve">Brackenridge AL, Jackson N, Jefferson W, et al. Effects of rosiglitazone and pioglitazone on lipoprotein metabolism in patients with Type 2 diabetes and normal lipids. Diabetic medicine : a journal of the British Diabetic Association. 2009 May;26(5):532-9. </w:t>
      </w:r>
    </w:p>
    <w:p>
      <w:pPr>
        <w:pStyle w:val="25"/>
        <w:ind w:left="720" w:hanging="720"/>
      </w:pPr>
      <w:r>
        <w:t>12.</w:t>
      </w:r>
      <w:r>
        <w:tab/>
      </w:r>
      <w:r>
        <w:t xml:space="preserve">Charbonnel B, Karasik A, Liu J, et al. Efficacy and safety of the dipeptidyl peptidase-4 inhibitor sitagliptin added to ongoing metformin therapy in patients with type 2 diabetes inadequately controlled with metformin alone. Diabetes care. 2006 Dec;29(12):2638-43. </w:t>
      </w:r>
    </w:p>
    <w:p>
      <w:pPr>
        <w:pStyle w:val="25"/>
        <w:ind w:left="720" w:hanging="720"/>
      </w:pPr>
      <w:r>
        <w:t>13.</w:t>
      </w:r>
      <w:r>
        <w:tab/>
      </w:r>
      <w:r>
        <w:t>Xiaoyan C, Jing W, Xiaochun H, et al. Effects of vildagliptin versus saxagliptin on daily acute glucose fluctuations in Chinese patients with T2DM inadequately controlled with a combination of metformin and sulfonylurea. Curr Med Res Opin. 2016 Jun;32(6):1131-6.</w:t>
      </w:r>
    </w:p>
    <w:p>
      <w:pPr>
        <w:pStyle w:val="25"/>
        <w:ind w:left="720" w:hanging="720"/>
      </w:pPr>
      <w:r>
        <w:t>14.</w:t>
      </w:r>
      <w:r>
        <w:tab/>
      </w:r>
      <w:r>
        <w:t xml:space="preserve">Dailey GE, 3rd, Noor MA, Park JS, et al. Glycemic control with glyburide/metformin tablets in combination with rosiglitazone in patients with type 2 diabetes: a randomized, double-blind trial. The American journal of medicine. 2004 Feb 15;116(4):223-9. </w:t>
      </w:r>
    </w:p>
    <w:p>
      <w:pPr>
        <w:pStyle w:val="25"/>
        <w:ind w:left="720" w:hanging="720"/>
      </w:pPr>
      <w:r>
        <w:t>15.</w:t>
      </w:r>
      <w:r>
        <w:tab/>
      </w:r>
      <w:r>
        <w:t xml:space="preserve">DeFronzo RA, Burant CF, Fleck P, et al. Efficacy and tolerability of the DPP-4 inhibitor alogliptin combined with pioglitazone, in metformin-treated patients with type 2 diabetes. J Clin Endocrinol Metab. 2012 May;97(5):1615-22. </w:t>
      </w:r>
    </w:p>
    <w:p>
      <w:pPr>
        <w:pStyle w:val="25"/>
        <w:ind w:left="720" w:hanging="720"/>
      </w:pPr>
      <w:r>
        <w:t>16.</w:t>
      </w:r>
      <w:r>
        <w:tab/>
      </w:r>
      <w:r>
        <w:t xml:space="preserve">Derosa G, Salvadeo SA, D'Angelo A, et al. Rosiglitazone therapy improves insulin resistance parameters in overweight and obese diabetic patients intolerant to metformin. Arch Med Res. 2008 May;39(4):412-9. </w:t>
      </w:r>
    </w:p>
    <w:p>
      <w:pPr>
        <w:pStyle w:val="25"/>
        <w:ind w:left="720" w:hanging="720"/>
      </w:pPr>
      <w:r>
        <w:t>17.</w:t>
      </w:r>
      <w:r>
        <w:tab/>
      </w:r>
      <w:r>
        <w:t xml:space="preserve">Derosa G, Carbone A, D'Angelo A, et al. A randomized, double-blind, placebo-controlled trial evaluating sitagliptin action on insulin resistance parameters and beta-cell function. Expert Opin Pharmacother. 2012 Dec;13(17):2433-42. </w:t>
      </w:r>
    </w:p>
    <w:p>
      <w:pPr>
        <w:pStyle w:val="25"/>
        <w:ind w:left="720" w:hanging="720"/>
      </w:pPr>
      <w:r>
        <w:t>18.</w:t>
      </w:r>
      <w:r>
        <w:tab/>
      </w:r>
      <w:r>
        <w:t>Derosa G, Ragonesi PD, Carbone A, et al. Vildagliptin added to metformin on beta-cell function after a euglycemic hyperinsulinemic and hyperglycemic clamp in type 2 diabetes patients. Diabetes Technol Ther. 2012 Jun;14(6):475-84.</w:t>
      </w:r>
    </w:p>
    <w:p>
      <w:pPr>
        <w:pStyle w:val="25"/>
        <w:ind w:left="720" w:hanging="720"/>
      </w:pPr>
      <w:r>
        <w:t>19.</w:t>
      </w:r>
      <w:r>
        <w:tab/>
      </w:r>
      <w:r>
        <w:t xml:space="preserve">Dobs AS, Goldstein BJ, Aschner P, et al. Efficacy and safety of sitagliptin added to ongoing metformin and rosiglitazone combination therapy in a randomized placebo-controlled 54-week trial in patients with type 2 diabetes. J Diabetes. 2013 Mar;5(1):68-79. </w:t>
      </w:r>
    </w:p>
    <w:p>
      <w:pPr>
        <w:pStyle w:val="25"/>
        <w:ind w:left="720" w:hanging="720"/>
      </w:pPr>
      <w:r>
        <w:t>20.</w:t>
      </w:r>
      <w:r>
        <w:tab/>
      </w:r>
      <w:r>
        <w:t xml:space="preserve">Einhorn D, Rendell M, Rosenzweig J, et al. Pioglitazone hydrochloride in combination with metformin in the treatment of type 2 diabetes mellitus: a randomized, placebo-controlled study. The Pioglitazone 027 Study Group. Clinical therapeutics. 2000 Dec;22(12):1395-409. </w:t>
      </w:r>
    </w:p>
    <w:p>
      <w:pPr>
        <w:pStyle w:val="25"/>
        <w:ind w:left="720" w:hanging="720"/>
      </w:pPr>
      <w:r>
        <w:t>21.</w:t>
      </w:r>
      <w:r>
        <w:tab/>
      </w:r>
      <w:r>
        <w:t>Feinglos M, Dailey G, Cefalu W, et al. Effect on glycemic control of the addition of 2.5 mg glipizide GITS to metformin in patients with T2DM. Diabetes research and clinical practice. 2005 May;68(2):167-75.</w:t>
      </w:r>
    </w:p>
    <w:p>
      <w:pPr>
        <w:pStyle w:val="25"/>
        <w:ind w:left="720" w:hanging="720"/>
      </w:pPr>
      <w:r>
        <w:t>22.</w:t>
      </w:r>
      <w:r>
        <w:tab/>
      </w:r>
      <w:r>
        <w:t xml:space="preserve">Fonseca V, Rosenstock J, Patwardhan R, et al. Effect of metformin and rosiglitazone combination therapy in patients with type 2 diabetes mellitus: a randomized controlled trial. JAMA. 2000 Apr 5;283(13):1695-702. </w:t>
      </w:r>
    </w:p>
    <w:p>
      <w:pPr>
        <w:pStyle w:val="25"/>
        <w:ind w:left="720" w:hanging="720"/>
      </w:pPr>
      <w:r>
        <w:t>23.</w:t>
      </w:r>
      <w:r>
        <w:tab/>
      </w:r>
      <w:r>
        <w:t xml:space="preserve">Fonseca V, Staels B, Morgan JD, 2nd, et al. Efficacy and safety of sitagliptin added to ongoing metformin and pioglitazone combination therapy in a randomized, placebo-controlled, 26-week trial in patients with type 2 diabetes. J Diabetes Complications. 2013 Mar-Apr;27(2):177-83. </w:t>
      </w:r>
    </w:p>
    <w:p>
      <w:pPr>
        <w:pStyle w:val="25"/>
        <w:ind w:left="720" w:hanging="720"/>
      </w:pPr>
      <w:r>
        <w:t>24.</w:t>
      </w:r>
      <w:r>
        <w:tab/>
      </w:r>
      <w:r>
        <w:t xml:space="preserve">Forst T, Uhlig-Laske B, Ring A, et al. Linagliptin (BI 1356), a potent and selective DPP-4 inhibitor, is safe and efficacious in combination with metformin in patients with inadequately controlled Type 2 diabetes. Diabetic medicine : a journal of the British Diabetic Association. 2010 Dec;27(12):1409-19. </w:t>
      </w:r>
    </w:p>
    <w:p>
      <w:pPr>
        <w:pStyle w:val="25"/>
        <w:ind w:left="720" w:hanging="720"/>
      </w:pPr>
      <w:r>
        <w:t>25.</w:t>
      </w:r>
      <w:r>
        <w:tab/>
      </w:r>
      <w:r>
        <w:t xml:space="preserve">Garber AJ, Larsen J, Schneider SH, et al. Simultaneous glyburide/metformin therapy is superior to component monotherapy as an initial pharmacological treatment for type 2 diabetes. Diabetes, obesity &amp; metabolism. 2002 May;4(3):201-8. </w:t>
      </w:r>
    </w:p>
    <w:p>
      <w:pPr>
        <w:pStyle w:val="25"/>
        <w:ind w:left="720" w:hanging="720"/>
      </w:pPr>
      <w:r>
        <w:t>26.</w:t>
      </w:r>
      <w:r>
        <w:tab/>
      </w:r>
      <w:r>
        <w:t xml:space="preserve">Garber AJ, Donovan DS, Jr., Dandona P, et al. Efficacy of glyburide/metformin tablets compared with initial monotherapy in type 2 diabetes. J Clin Endocrinol Metab. 2003 Aug;88(8):3598-604. </w:t>
      </w:r>
    </w:p>
    <w:p>
      <w:pPr>
        <w:pStyle w:val="25"/>
        <w:ind w:left="720" w:hanging="720"/>
      </w:pPr>
      <w:r>
        <w:t>27.</w:t>
      </w:r>
      <w:r>
        <w:tab/>
      </w:r>
      <w:r>
        <w:t xml:space="preserve">Gomez-Perez FJ, Fanghanel-Salmon G, Antonio Barbosa J, et al. Efficacy and safety of rosiglitazone plus metformin in Mexicans with type 2 diabetes. Diabetes Metab Res Rev. 2002 Mar-Apr;18(2):127-34. </w:t>
      </w:r>
    </w:p>
    <w:p>
      <w:pPr>
        <w:pStyle w:val="25"/>
        <w:ind w:left="720" w:hanging="720"/>
      </w:pPr>
      <w:r>
        <w:t>28.</w:t>
      </w:r>
      <w:r>
        <w:tab/>
      </w:r>
      <w:r>
        <w:t xml:space="preserve">Goodman M, Thurston H, Penman J. Efficacy and tolerability of vildagliptin in patients with type 2 diabetes inadequately controlled with metformin monotherapy. Horm Metab Res. 2009 May;41(5):368-73. </w:t>
      </w:r>
    </w:p>
    <w:p>
      <w:pPr>
        <w:pStyle w:val="25"/>
        <w:ind w:left="720" w:hanging="720"/>
      </w:pPr>
      <w:r>
        <w:t>29.</w:t>
      </w:r>
      <w:r>
        <w:tab/>
      </w:r>
      <w:r>
        <w:t xml:space="preserve">Haak T, Meinicke T, Jones R, et al. Initial combination of linagliptin and metformin improves glycaemic control in type 2 diabetes: a randomized, double-blind, placebo-controlled study. Diabetes, obesity &amp; metabolism. 2012 Jun;14(6):565-74. </w:t>
      </w:r>
    </w:p>
    <w:p>
      <w:pPr>
        <w:pStyle w:val="25"/>
        <w:ind w:left="720" w:hanging="720"/>
      </w:pPr>
      <w:r>
        <w:t>30.</w:t>
      </w:r>
      <w:r>
        <w:tab/>
      </w:r>
      <w:r>
        <w:t xml:space="preserve">Hermansen K, Kipnes M, Luo E, et al. Efficacy and safety of the dipeptidyl peptidase-4 inhibitor, sitagliptin, in patients with type 2 diabetes mellitus inadequately controlled on glimepiride alone or on glimepiride and metformin. Diabetes, obesity &amp; metabolism. 2007 Sep;9(5):733-45. </w:t>
      </w:r>
    </w:p>
    <w:p>
      <w:pPr>
        <w:pStyle w:val="25"/>
        <w:ind w:left="720" w:hanging="720"/>
      </w:pPr>
      <w:r>
        <w:t>31.</w:t>
      </w:r>
      <w:r>
        <w:tab/>
      </w:r>
      <w:r>
        <w:t xml:space="preserve">Jadzinsky M, Pfutzner A, Paz-Pacheco E, et al. Saxagliptin given in combination with metformin as initial therapy improves glycaemic control in patients with type 2 diabetes compared with either monotherapy: a randomized controlled trial. Diabetes, obesity &amp; metabolism. 2009 Jun;11(6):611-22. </w:t>
      </w:r>
    </w:p>
    <w:p>
      <w:pPr>
        <w:pStyle w:val="25"/>
        <w:ind w:left="720" w:hanging="720"/>
      </w:pPr>
      <w:r>
        <w:t>32.</w:t>
      </w:r>
      <w:r>
        <w:tab/>
      </w:r>
      <w:r>
        <w:t>Ji LN, Pan CY, Lu JM, et al. Efficacy and safety of combination therapy with vildagliptin and metformin versus metformin uptitration in Chinese patients with type 2 diabetes inadequately controlled with metformin monotherapy: a randomized, open-label, prospective study (VISION). Diabetes, obesity &amp; metabolism. 2016 Aug;18(8):775-82.</w:t>
      </w:r>
    </w:p>
    <w:p>
      <w:pPr>
        <w:pStyle w:val="25"/>
        <w:ind w:left="720" w:hanging="720"/>
      </w:pPr>
      <w:r>
        <w:t>33.</w:t>
      </w:r>
      <w:r>
        <w:tab/>
      </w:r>
      <w:r>
        <w:t xml:space="preserve">Kaku K. Efficacy and safety of therapy with metformin plus pioglitazone in the treatment of patients with type 2 diabetes: a double-blind, placebo-controlled, clinical trial. Curr Med Res Opin. 2009 May;25(5):1111-9. </w:t>
      </w:r>
    </w:p>
    <w:p>
      <w:pPr>
        <w:pStyle w:val="25"/>
        <w:ind w:left="720" w:hanging="720"/>
      </w:pPr>
      <w:r>
        <w:t>34.</w:t>
      </w:r>
      <w:r>
        <w:tab/>
      </w:r>
      <w:r>
        <w:t xml:space="preserve">Lavalle-Gonzalez FJ, Januszewicz A, Davidson J, et al. Efficacy and safety of canagliflozin compared with placebo and sitagliptin in patients with type 2 diabetes on background metformin monotherapy: a randomised trial. Diabetologia. 2013 Dec;56(12):2582-92. </w:t>
      </w:r>
    </w:p>
    <w:p>
      <w:pPr>
        <w:pStyle w:val="25"/>
        <w:ind w:left="720" w:hanging="720"/>
      </w:pPr>
      <w:r>
        <w:t>35.</w:t>
      </w:r>
      <w:r>
        <w:tab/>
      </w:r>
      <w:r>
        <w:t>Lv C YP, Zhou S, et al. [Eficacy and safety of saxagliptin combined metformin in newly diagnosed type 2 diabetes mellitus patients]. Chin J Diabetes Mellitus. 2013;5(12):759-762. Chinese.</w:t>
      </w:r>
    </w:p>
    <w:p>
      <w:pPr>
        <w:pStyle w:val="25"/>
        <w:ind w:left="720" w:hanging="720"/>
      </w:pPr>
      <w:r>
        <w:t>36.</w:t>
      </w:r>
      <w:r>
        <w:tab/>
      </w:r>
      <w:r>
        <w:t xml:space="preserve">Lukashevich V, Del Prato S, Araga M, et al. Efficacy and safety of vildagliptin in patients with type 2 diabetes mellitus inadequately controlled with dual combination of metformin and sulphonylurea. Diabetes, obesity &amp; metabolism. 2014 May;16(5):403-9. </w:t>
      </w:r>
    </w:p>
    <w:p>
      <w:pPr>
        <w:pStyle w:val="25"/>
        <w:ind w:left="720" w:hanging="720"/>
      </w:pPr>
      <w:r>
        <w:t>37.</w:t>
      </w:r>
      <w:r>
        <w:tab/>
      </w:r>
      <w:r>
        <w:t xml:space="preserve">Li CJ, Liu XJ, Bai L, et al. Efficacy and safety of vildagliptin, Saxagliptin or Sitagliptin as add-on therapy in Chinese patients with type 2 diabetes inadequately controlled with dual combination of traditional oral hypoglycemic agents. Diabetol Metab Syndr. 2014;6:69. </w:t>
      </w:r>
    </w:p>
    <w:p>
      <w:pPr>
        <w:pStyle w:val="25"/>
        <w:ind w:left="720" w:hanging="720"/>
      </w:pPr>
      <w:r>
        <w:t>38.</w:t>
      </w:r>
      <w:r>
        <w:tab/>
      </w:r>
      <w:r>
        <w:t xml:space="preserve">Du J, Li L, Fang H, et al. Efficacy and safety of saxagliptin compared with acarbose in Chinese patients with type 2 diabetes mellitus uncontrolled on metformin monotherapy: results of a phase IV open-label randomized controlled study (the SMART study). Diabetes, obesity &amp; metabolism. 2017 Nov;19(11):1513-1520.  </w:t>
      </w:r>
    </w:p>
    <w:p>
      <w:pPr>
        <w:pStyle w:val="25"/>
        <w:ind w:left="720" w:hanging="720"/>
      </w:pPr>
      <w:r>
        <w:t>39.</w:t>
      </w:r>
      <w:r>
        <w:tab/>
      </w:r>
      <w:r>
        <w:t xml:space="preserve">Nauck M, Frid A, Hermansen K, et al. Efficacy and safety comparison of liraglutide, glimepiride, and placebo, all in combination with metformin, in type 2 diabetes: the LEAD (liraglutide effect and action in diabetes)-2 study. Diabetes care. 2009 Jan;32(1):84-90. </w:t>
      </w:r>
    </w:p>
    <w:p>
      <w:pPr>
        <w:pStyle w:val="25"/>
        <w:ind w:left="720" w:hanging="720"/>
      </w:pPr>
      <w:r>
        <w:t>40.</w:t>
      </w:r>
      <w:r>
        <w:tab/>
      </w:r>
      <w:r>
        <w:t xml:space="preserve">Nauck MA, Ellis GC, Fleck PR, et al. Efficacy and safety of adding the dipeptidyl peptidase-4 inhibitor alogliptin to metformin therapy in patients with type 2 diabetes inadequately controlled with metformin monotherapy: a multicentre, randomised, double-blind, placebo-controlled study. International journal of clinical practice. 2009 Jan;63(1):46-55. </w:t>
      </w:r>
    </w:p>
    <w:p>
      <w:pPr>
        <w:pStyle w:val="25"/>
        <w:ind w:left="720" w:hanging="720"/>
      </w:pPr>
      <w:r>
        <w:t>41.</w:t>
      </w:r>
      <w:r>
        <w:tab/>
      </w:r>
      <w:r>
        <w:t xml:space="preserve">Negro R, Mangieri T, Dazzi D, et al. Rosiglitazone effects on blood pressure and metabolic parameters in nondipper diabetic patients. Diabetes research and clinical practice. 2005 Oct;70(1):20-5. </w:t>
      </w:r>
    </w:p>
    <w:p>
      <w:pPr>
        <w:pStyle w:val="25"/>
        <w:ind w:left="720" w:hanging="720"/>
      </w:pPr>
      <w:r>
        <w:t>42.</w:t>
      </w:r>
      <w:r>
        <w:tab/>
      </w:r>
      <w:r>
        <w:t xml:space="preserve">Owens DR, Swallow R, Dugi KA, et al. Efficacy and safety of linagliptin in persons with type 2 diabetes inadequately controlled by a combination of metformin and sulphonylurea: a 24-week randomized study. Diabetic medicine : a journal of the British Diabetic Association. 2011 Nov;28(11):1352-61. </w:t>
      </w:r>
    </w:p>
    <w:p>
      <w:pPr>
        <w:pStyle w:val="25"/>
        <w:ind w:left="720" w:hanging="720"/>
      </w:pPr>
      <w:r>
        <w:t>43.</w:t>
      </w:r>
      <w:r>
        <w:tab/>
      </w:r>
      <w:r>
        <w:t>Pan C, Gao Y, Gao X, et al. [The efficacy and safety of pioglitazone hydrochloride in combination with sulphonylureas and metfomin in the treatment of type 2 diabetes mellitus a 12-week randomized multi-centres placebo-controlled parallel study]. Zhonghua Nei Ke Za Zhi. 2002 Jun;41(6):388-92. Chinese.</w:t>
      </w:r>
    </w:p>
    <w:p>
      <w:pPr>
        <w:pStyle w:val="25"/>
        <w:ind w:left="720" w:hanging="720"/>
      </w:pPr>
      <w:r>
        <w:t>44.</w:t>
      </w:r>
      <w:r>
        <w:tab/>
      </w:r>
      <w:r>
        <w:t xml:space="preserve">Pan C, Xing X, Han P, et al. Efficacy and tolerability of vildagliptin as add-on therapy to metformin in Chinese patients with type 2 diabetes mellitus. Diabetes, obesity &amp; metabolism. 2012 Aug;14(8):737-44. </w:t>
      </w:r>
    </w:p>
    <w:p>
      <w:pPr>
        <w:pStyle w:val="25"/>
        <w:ind w:left="720" w:hanging="720"/>
      </w:pPr>
      <w:r>
        <w:t>45.</w:t>
      </w:r>
      <w:r>
        <w:tab/>
      </w:r>
      <w:r>
        <w:t>Pan C, Li W, Zeng J, et al. [Efficacy and safety of alogliptin in treatment of type 2 diabetes mellitus: a multicenter, randomized, double-blind, placebo-controlled phase III clinical trial in mainland China]. Zhonghua Nei Ke Za Zhi. 2015 Nov;54(11):949-53.Chinese.</w:t>
      </w:r>
    </w:p>
    <w:p>
      <w:pPr>
        <w:pStyle w:val="25"/>
        <w:ind w:left="720" w:hanging="720"/>
      </w:pPr>
      <w:r>
        <w:t>46.</w:t>
      </w:r>
      <w:r>
        <w:tab/>
      </w:r>
      <w:r>
        <w:t>Perez A, Zhao Z, Jacks R, et al. Efficacy and safety of pioglitazone/metformin fixed-dose combination therapy compared with pioglitazone and metformin monotherapy in treating patients with T2DM. Curr Med Res Opin. 2009 Dec;25(12):2915-23.</w:t>
      </w:r>
    </w:p>
    <w:p>
      <w:pPr>
        <w:pStyle w:val="25"/>
        <w:ind w:left="720" w:hanging="720"/>
      </w:pPr>
      <w:r>
        <w:t>47.</w:t>
      </w:r>
      <w:r>
        <w:tab/>
      </w:r>
      <w:r>
        <w:t xml:space="preserve">Raz I, Chen Y, Wu M, et al. Efficacy and safety of sitagliptin added to ongoing metformin therapy in patients with type 2 diabetes. Curr Med Res Opin. 2008 Feb;24(2):537-50. </w:t>
      </w:r>
    </w:p>
    <w:p>
      <w:pPr>
        <w:pStyle w:val="25"/>
        <w:ind w:left="720" w:hanging="720"/>
      </w:pPr>
      <w:r>
        <w:t>48.</w:t>
      </w:r>
      <w:r>
        <w:tab/>
      </w:r>
      <w:r>
        <w:t xml:space="preserve">Roberts VL, Stewart J, Issa M, et al. Triple therapy with glimepiride in patients with type 2 diabetes mellitus inadequately controlled by metformin and a thiazolidinedione: results of a 30-week, randomized, double-blind, placebo-controlled, parallel-group study. Clinical therapeutics. 2005 Oct;27(10):1535-47. </w:t>
      </w:r>
    </w:p>
    <w:p>
      <w:pPr>
        <w:pStyle w:val="25"/>
        <w:ind w:left="720" w:hanging="720"/>
      </w:pPr>
      <w:r>
        <w:t>49.</w:t>
      </w:r>
      <w:r>
        <w:tab/>
      </w:r>
      <w:r>
        <w:t xml:space="preserve">Rosenstock J, Brazg R, Andryuk PJ, et al. Efficacy and safety of the dipeptidyl peptidase-4 inhibitor sitagliptin added to ongoing pioglitazone therapy in patients with type 2 diabetes: a 24-week, multicenter, randomized, double-blind, placebo-controlled, parallel-group study. Clinical therapeutics. 2006 Oct;28(10):1556-68. </w:t>
      </w:r>
    </w:p>
    <w:p>
      <w:pPr>
        <w:pStyle w:val="25"/>
        <w:ind w:left="720" w:hanging="720"/>
      </w:pPr>
      <w:r>
        <w:t>50.</w:t>
      </w:r>
      <w:r>
        <w:tab/>
      </w:r>
      <w:r>
        <w:t xml:space="preserve">Rosenstock J, Aggarwal N, Polidori D, et al. Dose-ranging effects of canagliflozin, a sodium-glucose cotransporter 2 inhibitor, as add-on to metformin in subjects with type 2 diabetes. Diabetes care. 2012 Jun;35(6):1232-8. </w:t>
      </w:r>
    </w:p>
    <w:p>
      <w:pPr>
        <w:pStyle w:val="25"/>
        <w:ind w:left="720" w:hanging="720"/>
      </w:pPr>
      <w:r>
        <w:t>51.</w:t>
      </w:r>
      <w:r>
        <w:tab/>
      </w:r>
      <w:r>
        <w:t xml:space="preserve">Ross SA, Rafeiro E, Meinicke T, et al. Efficacy and safety of linagliptin 2.5 mg twice daily versus 5 mg once daily in patients with type 2 diabetes inadequately controlled on metformin: a randomised, double-blind, placebo-controlled trial. Curr Med Res Opin. 2012 Sep;28(9):1465-74. </w:t>
      </w:r>
    </w:p>
    <w:p>
      <w:pPr>
        <w:pStyle w:val="25"/>
        <w:ind w:left="720" w:hanging="720"/>
      </w:pPr>
      <w:r>
        <w:t>52.</w:t>
      </w:r>
      <w:r>
        <w:tab/>
      </w:r>
      <w:r>
        <w:t xml:space="preserve">Scheen AJ, Tan MH, Betteridge DJ, et al. Long-term glycaemic effects of pioglitazone compared with placebo as add-on treatment to metformin or sulphonylurea monotherapy in PROactive (PROactive 18). Diabetic medicine : a journal of the British Diabetic Association. 2009 Dec;26(12):1242-9. </w:t>
      </w:r>
    </w:p>
    <w:p>
      <w:pPr>
        <w:pStyle w:val="25"/>
        <w:ind w:left="720" w:hanging="720"/>
      </w:pPr>
      <w:r>
        <w:t>53.</w:t>
      </w:r>
      <w:r>
        <w:tab/>
      </w:r>
      <w:r>
        <w:t xml:space="preserve">Scott R, Loeys T, Davies MJ, et al. Efficacy and safety of sitagliptin when added to ongoing metformin therapy in patients with type 2 diabetes. Diabetes, obesity &amp; metabolism. 2008 Sep;10(10):959-69. </w:t>
      </w:r>
    </w:p>
    <w:p>
      <w:pPr>
        <w:pStyle w:val="25"/>
        <w:ind w:left="720" w:hanging="720"/>
      </w:pPr>
      <w:r>
        <w:t>54.</w:t>
      </w:r>
      <w:r>
        <w:tab/>
      </w:r>
      <w:r>
        <w:t xml:space="preserve">Seino Y, Miyata Y, Hiroi S, et al. Efficacy and safety of alogliptin added to metformin in Japanese patients with type 2 diabetes: a randomized, double-blind, placebo-controlled trial with an open-label, long-term extension study. Diabetes, obesity &amp; metabolism. 2012 Oct;14(10):927-36. </w:t>
      </w:r>
    </w:p>
    <w:p>
      <w:pPr>
        <w:pStyle w:val="25"/>
        <w:ind w:left="720" w:hanging="720"/>
      </w:pPr>
      <w:r>
        <w:t>55.</w:t>
      </w:r>
      <w:r>
        <w:tab/>
      </w:r>
      <w:r>
        <w:t xml:space="preserve">Sridhar S, Walia R, Sachdeva N, et al. Effect of pioglitazone on testosterone in eugonadal men with type 2 diabetes mellitus: a randomized double-blind placebo-controlled study. Clin Endocrinol (Oxf). 2013 Mar;78(3):454-9. </w:t>
      </w:r>
    </w:p>
    <w:p>
      <w:pPr>
        <w:pStyle w:val="25"/>
        <w:ind w:left="720" w:hanging="720"/>
      </w:pPr>
      <w:r>
        <w:t>56.</w:t>
      </w:r>
      <w:r>
        <w:tab/>
      </w:r>
      <w:r>
        <w:t xml:space="preserve">Stewart MW, Cirkel DT, Furuseth K, et al. Effect of metformin plus roziglitazone compared with metformin alone on glycaemic control in well-controlled Type 2 diabetes. Diabetic medicine : a journal of the British Diabetic Association. 2006 Oct;23(10):1069-78. </w:t>
      </w:r>
    </w:p>
    <w:p>
      <w:pPr>
        <w:pStyle w:val="25"/>
        <w:ind w:left="720" w:hanging="720"/>
      </w:pPr>
      <w:r>
        <w:t>57.</w:t>
      </w:r>
      <w:r>
        <w:tab/>
      </w:r>
      <w:r>
        <w:t>Taskinen MR, Rosenstock J, Tamminen I, et al. Safety and efficacy of linagliptin as add-on therapy to metformin in patients with type 2 diabetes: a randomized, double-blind, placebo-controlled study. Diabetes, obesity &amp; metabolism. 2011 Jan;13(1):65-74.</w:t>
      </w:r>
    </w:p>
    <w:p>
      <w:pPr>
        <w:pStyle w:val="25"/>
        <w:ind w:left="720" w:hanging="720"/>
      </w:pPr>
      <w:r>
        <w:t>58.</w:t>
      </w:r>
      <w:r>
        <w:tab/>
      </w:r>
      <w:r>
        <w:t>Wang W, Yang J, Yang G, et al. Efficacy and safety of linagliptin in Asian patients with type 2 diabetes mellitus inadequately controlled by metformin: A multinational 24-week, randomized clinical trial. J Diabetes. 2016 Mar;8(2):229-37.</w:t>
      </w:r>
    </w:p>
    <w:p>
      <w:pPr>
        <w:pStyle w:val="25"/>
        <w:ind w:left="720" w:hanging="720"/>
      </w:pPr>
      <w:r>
        <w:t xml:space="preserve"> 59.</w:t>
      </w:r>
      <w:r>
        <w:tab/>
      </w:r>
      <w:r>
        <w:t xml:space="preserve">Yale JF, Valiquett TR, Ghazzi MN, et al. The effect of a thiazolidinedione drug, troglitazone, on glycemia in patients with type 2 diabetes mellitus poorly controlled with sulfonylurea and metformin. A multicenter, randomized, double-blind, placebo-controlled trial. Ann Intern Med. 2001 May 1;134(9 Pt 1):737-45. </w:t>
      </w:r>
    </w:p>
    <w:p>
      <w:pPr>
        <w:pStyle w:val="25"/>
        <w:ind w:left="720" w:hanging="720"/>
      </w:pPr>
      <w:r>
        <w:t>60.</w:t>
      </w:r>
      <w:r>
        <w:tab/>
      </w:r>
      <w:r>
        <w:t xml:space="preserve">Yang W, Pan CY, Tou C, et al. Efficacy and safety of saxagliptin added to metformin in Asian people with type 2 diabetes mellitus: a randomized controlled trial. Diabetes research and clinical practice. 2011 Nov;94(2):217-24. </w:t>
      </w:r>
    </w:p>
    <w:p>
      <w:pPr>
        <w:pStyle w:val="25"/>
        <w:ind w:left="720" w:hanging="720"/>
      </w:pPr>
      <w:r>
        <w:t>61.</w:t>
      </w:r>
      <w:r>
        <w:tab/>
      </w:r>
      <w:r>
        <w:t xml:space="preserve">Yang W, Guan Y, Shentu Y, et al. The addition of sitagliptin to ongoing metformin therapy significantly improves glycemic control in Chinese patients with type 2 diabetes. J Diabetes. 2012 Sep;4(3):227-37. </w:t>
      </w:r>
    </w:p>
    <w:p>
      <w:pPr>
        <w:pStyle w:val="25"/>
        <w:ind w:left="720" w:hanging="720"/>
      </w:pPr>
      <w:r>
        <w:t>62.</w:t>
      </w:r>
      <w:r>
        <w:tab/>
      </w:r>
      <w:r>
        <w:t xml:space="preserve">Araki E, Onishi Y, Asano M, et al. Efficacy and safety of dapagliflozin in addition to insulin therapy in Japanese patients with type 2 diabetes: Results of the interim analysis of 16-week double-blind treatment period. J Diabetes Investig. 2016 Jul;7(4):555-64. </w:t>
      </w:r>
    </w:p>
    <w:p>
      <w:pPr>
        <w:pStyle w:val="25"/>
        <w:ind w:left="720" w:hanging="720"/>
      </w:pPr>
      <w:r>
        <w:t>63.</w:t>
      </w:r>
      <w:r>
        <w:tab/>
      </w:r>
      <w:r>
        <w:t>Cefalu WT, Leiter LA, de Bruin TW, et al. Dapagliflozin's Effects on Glycemia and Cardiovascular Risk Factors in High-Risk Patients With Type 2 Diabetes: A 24-Week, Multicenter, Randomized, Double-Blind, Placebo-Controlled Study With a 28-Week Extension. Diabetes care. 2015 Jul;38(7):1218-27.</w:t>
      </w:r>
    </w:p>
    <w:p>
      <w:pPr>
        <w:pStyle w:val="25"/>
        <w:ind w:left="720" w:hanging="720"/>
      </w:pPr>
      <w:r>
        <w:t>64.</w:t>
      </w:r>
      <w:r>
        <w:tab/>
      </w:r>
      <w:r>
        <w:t xml:space="preserve">Wilding JP, Norwood P, T'Joen C, et al. A study of dapagliflozin in patients with type 2 diabetes receiving high doses of insulin plus insulin sensitizers: applicability of a novel insulin-independent treatment. Diabetes care. 2009 Sep;32(9):1656-62. doi: 10.2337/dc09-0517. </w:t>
      </w:r>
    </w:p>
    <w:p>
      <w:pPr>
        <w:pStyle w:val="25"/>
        <w:ind w:left="720" w:hanging="720"/>
      </w:pPr>
      <w:r>
        <w:t>65.</w:t>
      </w:r>
      <w:r>
        <w:tab/>
      </w:r>
      <w:r>
        <w:t>Wilding JP, Woo V, Soler NG, et al. Long-term efficacy of dapagliflozin in patients with type 2 diabetes mellitus receiving high doses of insulin: a randomized trial. Ann Intern Med. 2012 Mar 20;156(6):405-15.</w:t>
      </w:r>
    </w:p>
    <w:p>
      <w:pPr>
        <w:pStyle w:val="25"/>
        <w:ind w:left="720" w:hanging="720"/>
      </w:pPr>
      <w:r>
        <w:t>66.</w:t>
      </w:r>
      <w:r>
        <w:tab/>
      </w:r>
      <w:r>
        <w:t>Aviles-Santa L, Sinding J, Raskin P. Effects of metformin in patients with poorly controlled, insulin-treated type 2 diabetes mellitus. A randomized, double-blind, placebo-controlled trial. Ann Intern Med. 1999 Aug 3;131(3):182-8.</w:t>
      </w:r>
    </w:p>
    <w:p>
      <w:pPr>
        <w:pStyle w:val="25"/>
        <w:ind w:left="720" w:hanging="720"/>
      </w:pPr>
      <w:r>
        <w:t>67.</w:t>
      </w:r>
      <w:r>
        <w:tab/>
      </w:r>
      <w:r>
        <w:t>Douek IF, Allen SE, Ewings P, et al. Continuing metformin when starting insulin in patients with Type 2 diabetes: a double-blind randomized placebo-controlled trial. Diabetic medicine : a journal of the British Diabetic Association. 2005 May;22(5):634-40..</w:t>
      </w:r>
    </w:p>
    <w:p>
      <w:pPr>
        <w:pStyle w:val="25"/>
        <w:ind w:left="720" w:hanging="720"/>
      </w:pPr>
      <w:r>
        <w:t>68.</w:t>
      </w:r>
      <w:r>
        <w:tab/>
      </w:r>
      <w:r>
        <w:t xml:space="preserve">Gram J, Henriksen JE, Grodum E, et al. Pharmacological treatment of the pathogenetic defects in type 2 diabetes: the randomized multicenter South Danish Diabetes Study. Diabetes care. 2011 Jan;34(1):27-33. </w:t>
      </w:r>
    </w:p>
    <w:p>
      <w:pPr>
        <w:pStyle w:val="25"/>
        <w:ind w:left="720" w:hanging="720"/>
      </w:pPr>
      <w:r>
        <w:t>69.</w:t>
      </w:r>
      <w:r>
        <w:tab/>
      </w:r>
      <w:r>
        <w:t>Hermann LS, Kalen J, Katzman P, et al. Long-term glycaemic improvement after addition of metformin to insulin in insulin-treated obese type 2 diabetes patients. Diabetes, obesity &amp; metabolism. 2001 Dec;3(6):428-34.</w:t>
      </w:r>
    </w:p>
    <w:p>
      <w:pPr>
        <w:pStyle w:val="25"/>
        <w:ind w:left="720" w:hanging="720"/>
      </w:pPr>
      <w:r>
        <w:t>70.</w:t>
      </w:r>
      <w:r>
        <w:tab/>
      </w:r>
      <w:r>
        <w:t xml:space="preserve">Kooy A, de Jager J, Lehert P, et al. Long-term effects of metformin on metabolism and microvascular and macrovascular disease in patients with type 2 diabetes mellitus. Arch Intern Med. 2009 Mar 23;169(6):616-25. </w:t>
      </w:r>
    </w:p>
    <w:p>
      <w:pPr>
        <w:rPr>
          <w:rFonts w:cstheme="minorHAnsi"/>
          <w:sz w:val="20"/>
          <w:szCs w:val="20"/>
        </w:rPr>
      </w:pPr>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ScalaLancetPro">
    <w:altName w:val="Kozuka Mincho Pr6N R"/>
    <w:panose1 w:val="00000000000000000000"/>
    <w:charset w:val="80"/>
    <w:family w:val="auto"/>
    <w:pitch w:val="default"/>
    <w:sig w:usb0="00000000" w:usb1="00000000" w:usb2="00000010" w:usb3="00000000" w:csb0="00020000" w:csb1="00000000"/>
  </w:font>
  <w:font w:name="Kozuka Mincho Pr6N R">
    <w:panose1 w:val="02020400000000000000"/>
    <w:charset w:val="80"/>
    <w:family w:val="auto"/>
    <w:pitch w:val="default"/>
    <w:sig w:usb0="000002D7" w:usb1="2AC71C11"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A6B8E"/>
    <w:rsid w:val="000A07DA"/>
    <w:rsid w:val="002F1764"/>
    <w:rsid w:val="0039219E"/>
    <w:rsid w:val="003D1A86"/>
    <w:rsid w:val="006A6B8E"/>
    <w:rsid w:val="007A6946"/>
    <w:rsid w:val="007E3171"/>
    <w:rsid w:val="008C4554"/>
    <w:rsid w:val="009F5CE8"/>
    <w:rsid w:val="00A0266E"/>
    <w:rsid w:val="00AB4A8D"/>
    <w:rsid w:val="00BE7CA5"/>
    <w:rsid w:val="00DF7BD9"/>
    <w:rsid w:val="00EE2722"/>
    <w:rsid w:val="0B504C6D"/>
    <w:rsid w:val="5B373C3B"/>
    <w:rsid w:val="6D954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uiPriority w:val="99"/>
    <w:rPr>
      <w:b/>
      <w:bCs/>
    </w:rPr>
  </w:style>
  <w:style w:type="paragraph" w:styleId="3">
    <w:name w:val="annotation text"/>
    <w:basedOn w:val="1"/>
    <w:link w:val="15"/>
    <w:semiHidden/>
    <w:unhideWhenUsed/>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styleId="9">
    <w:name w:val="Hyperlink"/>
    <w:basedOn w:val="7"/>
    <w:semiHidden/>
    <w:unhideWhenUsed/>
    <w:qFormat/>
    <w:uiPriority w:val="99"/>
    <w:rPr>
      <w:color w:val="0000FF"/>
      <w:u w:val="single"/>
    </w:rPr>
  </w:style>
  <w:style w:type="character" w:styleId="10">
    <w:name w:val="annotation reference"/>
    <w:basedOn w:val="7"/>
    <w:semiHidden/>
    <w:unhideWhenUsed/>
    <w:qFormat/>
    <w:uiPriority w:val="99"/>
    <w:rPr>
      <w:sz w:val="21"/>
      <w:szCs w:val="21"/>
    </w:rPr>
  </w:style>
  <w:style w:type="table" w:styleId="12">
    <w:name w:val="Light Shading"/>
    <w:basedOn w:val="11"/>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character" w:customStyle="1" w:styleId="13">
    <w:name w:val="页眉 Char"/>
    <w:basedOn w:val="7"/>
    <w:link w:val="6"/>
    <w:uiPriority w:val="99"/>
    <w:rPr>
      <w:sz w:val="18"/>
      <w:szCs w:val="18"/>
    </w:rPr>
  </w:style>
  <w:style w:type="character" w:customStyle="1" w:styleId="14">
    <w:name w:val="页脚 Char"/>
    <w:basedOn w:val="7"/>
    <w:link w:val="5"/>
    <w:uiPriority w:val="99"/>
    <w:rPr>
      <w:sz w:val="18"/>
      <w:szCs w:val="18"/>
    </w:rPr>
  </w:style>
  <w:style w:type="character" w:customStyle="1" w:styleId="15">
    <w:name w:val="批注文字 Char"/>
    <w:basedOn w:val="7"/>
    <w:link w:val="3"/>
    <w:semiHidden/>
    <w:uiPriority w:val="99"/>
  </w:style>
  <w:style w:type="character" w:customStyle="1" w:styleId="16">
    <w:name w:val="批注主题 Char"/>
    <w:basedOn w:val="15"/>
    <w:link w:val="2"/>
    <w:semiHidden/>
    <w:uiPriority w:val="99"/>
    <w:rPr>
      <w:b/>
      <w:bCs/>
    </w:rPr>
  </w:style>
  <w:style w:type="character" w:customStyle="1" w:styleId="17">
    <w:name w:val="批注框文本 Char"/>
    <w:basedOn w:val="7"/>
    <w:link w:val="4"/>
    <w:semiHidden/>
    <w:uiPriority w:val="99"/>
    <w:rPr>
      <w:sz w:val="18"/>
      <w:szCs w:val="18"/>
    </w:rPr>
  </w:style>
  <w:style w:type="paragraph" w:styleId="18">
    <w:name w:val="List Paragraph"/>
    <w:basedOn w:val="1"/>
    <w:qFormat/>
    <w:uiPriority w:val="34"/>
    <w:pPr>
      <w:ind w:firstLine="420" w:firstLineChars="200"/>
    </w:pPr>
    <w:rPr>
      <w:rFonts w:ascii="Calibri" w:hAnsi="Calibri" w:eastAsia="宋体" w:cs="Times New Roman"/>
    </w:rPr>
  </w:style>
  <w:style w:type="paragraph" w:customStyle="1" w:styleId="19">
    <w:name w:val="p0"/>
    <w:basedOn w:val="1"/>
    <w:uiPriority w:val="0"/>
    <w:pPr>
      <w:widowControl/>
    </w:pPr>
    <w:rPr>
      <w:rFonts w:ascii="Times New Roman" w:hAnsi="Times New Roman" w:eastAsia="宋体" w:cs="Times New Roman"/>
      <w:kern w:val="0"/>
      <w:szCs w:val="21"/>
    </w:rPr>
  </w:style>
  <w:style w:type="character" w:customStyle="1" w:styleId="20">
    <w:name w:val="highlight"/>
    <w:basedOn w:val="7"/>
    <w:uiPriority w:val="0"/>
  </w:style>
  <w:style w:type="character" w:customStyle="1" w:styleId="21">
    <w:name w:val="st"/>
    <w:basedOn w:val="7"/>
    <w:uiPriority w:val="0"/>
  </w:style>
  <w:style w:type="character" w:customStyle="1" w:styleId="22">
    <w:name w:val="_tgc"/>
    <w:basedOn w:val="7"/>
    <w:uiPriority w:val="0"/>
  </w:style>
  <w:style w:type="paragraph" w:customStyle="1" w:styleId="23">
    <w:name w:val="EndNote Bibliography Title"/>
    <w:basedOn w:val="1"/>
    <w:link w:val="24"/>
    <w:uiPriority w:val="0"/>
    <w:pPr>
      <w:jc w:val="center"/>
    </w:pPr>
    <w:rPr>
      <w:rFonts w:ascii="Calibri" w:hAnsi="Calibri"/>
      <w:sz w:val="20"/>
    </w:rPr>
  </w:style>
  <w:style w:type="character" w:customStyle="1" w:styleId="24">
    <w:name w:val="EndNote Bibliography Title Char"/>
    <w:basedOn w:val="7"/>
    <w:link w:val="23"/>
    <w:uiPriority w:val="0"/>
    <w:rPr>
      <w:rFonts w:ascii="Calibri" w:hAnsi="Calibri"/>
      <w:sz w:val="20"/>
    </w:rPr>
  </w:style>
  <w:style w:type="paragraph" w:customStyle="1" w:styleId="25">
    <w:name w:val="EndNote Bibliography"/>
    <w:basedOn w:val="1"/>
    <w:link w:val="26"/>
    <w:uiPriority w:val="0"/>
    <w:rPr>
      <w:rFonts w:ascii="Calibri" w:hAnsi="Calibri"/>
      <w:sz w:val="20"/>
    </w:rPr>
  </w:style>
  <w:style w:type="character" w:customStyle="1" w:styleId="26">
    <w:name w:val="EndNote Bibliography Char"/>
    <w:basedOn w:val="7"/>
    <w:link w:val="25"/>
    <w:uiPriority w:val="0"/>
    <w:rPr>
      <w:rFonts w:ascii="Calibri" w:hAnsi="Calibri"/>
      <w:sz w:val="20"/>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6287</Words>
  <Characters>35836</Characters>
  <Lines>298</Lines>
  <Paragraphs>84</Paragraphs>
  <TotalTime>1</TotalTime>
  <ScaleCrop>false</ScaleCrop>
  <LinksUpToDate>false</LinksUpToDate>
  <CharactersWithSpaces>42039</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2018-10-05T17:06:00Z</dcterms:created>
  <dc:creator>Yifei Chen</dc:creator>
  <cp:lastModifiedBy>Thinkpad</cp:lastModifiedBy>
  <dcterms:modified xsi:type="dcterms:W3CDTF">2018-12-11T15:12:03Z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