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EF" w:rsidRDefault="005255EF" w:rsidP="005255E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b/>
          <w:szCs w:val="24"/>
          <w:lang w:val="en-GB"/>
        </w:rPr>
      </w:pPr>
      <w:r w:rsidRPr="00311A69">
        <w:rPr>
          <w:b/>
          <w:szCs w:val="24"/>
          <w:lang w:val="en-GB"/>
        </w:rPr>
        <w:t>SUPPLEMENTARY INFORMATION</w:t>
      </w:r>
    </w:p>
    <w:p w:rsidR="005255EF" w:rsidRDefault="005255EF" w:rsidP="005255E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5255EF" w:rsidRPr="00AE6692" w:rsidRDefault="005255EF" w:rsidP="005255EF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AE6692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AE6692">
        <w:rPr>
          <w:rFonts w:ascii="Times New Roman" w:hAnsi="Times New Roman"/>
          <w:b/>
          <w:sz w:val="24"/>
          <w:szCs w:val="24"/>
          <w:lang w:val="en-US"/>
        </w:rPr>
        <w:t>1.</w:t>
      </w:r>
      <w:r w:rsidRPr="00AE6692">
        <w:rPr>
          <w:rFonts w:ascii="Times New Roman" w:hAnsi="Times New Roman"/>
          <w:sz w:val="24"/>
          <w:szCs w:val="24"/>
          <w:lang w:val="en-US"/>
        </w:rPr>
        <w:t xml:space="preserve"> Species, sex, sample size, age and biometrics (mean ± SD) on the investigated sculpins. F: female. M: male. n/a: not available.</w:t>
      </w:r>
    </w:p>
    <w:p w:rsidR="005255EF" w:rsidRPr="00AE6692" w:rsidRDefault="005255EF" w:rsidP="005255EF">
      <w:pPr>
        <w:pStyle w:val="NoSpacing"/>
        <w:rPr>
          <w:rFonts w:ascii="Times New Roman" w:hAnsi="Times New Roman"/>
          <w:lang w:val="en-US"/>
        </w:rPr>
      </w:pPr>
    </w:p>
    <w:tbl>
      <w:tblPr>
        <w:tblW w:w="4790" w:type="pct"/>
        <w:jc w:val="center"/>
        <w:tblLook w:val="04A0" w:firstRow="1" w:lastRow="0" w:firstColumn="1" w:lastColumn="0" w:noHBand="0" w:noVBand="1"/>
      </w:tblPr>
      <w:tblGrid>
        <w:gridCol w:w="559"/>
        <w:gridCol w:w="1673"/>
        <w:gridCol w:w="546"/>
        <w:gridCol w:w="436"/>
        <w:gridCol w:w="1107"/>
        <w:gridCol w:w="1286"/>
        <w:gridCol w:w="1162"/>
        <w:gridCol w:w="1878"/>
      </w:tblGrid>
      <w:tr w:rsidR="005255EF" w:rsidRPr="00AE6692" w:rsidTr="00FE7797">
        <w:trPr>
          <w:trHeight w:val="325"/>
          <w:jc w:val="center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Site</w:t>
            </w:r>
          </w:p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Species</w:t>
            </w:r>
          </w:p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Sex</w:t>
            </w:r>
          </w:p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i/>
                <w:lang w:val="en-US"/>
              </w:rPr>
            </w:pPr>
            <w:r w:rsidRPr="00AE6692">
              <w:rPr>
                <w:rFonts w:ascii="Times New Roman" w:hAnsi="Times New Roman"/>
                <w:i/>
                <w:lang w:val="en-US"/>
              </w:rPr>
              <w:t>n</w:t>
            </w:r>
          </w:p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Age</w:t>
            </w:r>
          </w:p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(y)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Total length</w:t>
            </w:r>
          </w:p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(cm)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Mass</w:t>
            </w:r>
          </w:p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(g)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Scaled Mass Index</w:t>
            </w:r>
          </w:p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(SMI)</w:t>
            </w:r>
          </w:p>
        </w:tc>
      </w:tr>
      <w:tr w:rsidR="005255EF" w:rsidRPr="00AE6692" w:rsidTr="00FE7797">
        <w:trPr>
          <w:trHeight w:val="20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i/>
                <w:lang w:val="en-US"/>
              </w:rPr>
            </w:pPr>
            <w:r w:rsidRPr="00AE6692">
              <w:rPr>
                <w:rFonts w:ascii="Times New Roman" w:hAnsi="Times New Roman"/>
                <w:i/>
                <w:lang w:val="en-US"/>
              </w:rPr>
              <w:t xml:space="preserve">M. </w:t>
            </w:r>
            <w:proofErr w:type="spellStart"/>
            <w:r w:rsidRPr="00AE6692">
              <w:rPr>
                <w:rFonts w:ascii="Times New Roman" w:hAnsi="Times New Roman"/>
                <w:i/>
                <w:lang w:val="en-US"/>
              </w:rPr>
              <w:t>scorpius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10.5 ± 2.3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36.7 ± 5.3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703 ± 210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311 ± 55.7</w:t>
            </w:r>
          </w:p>
        </w:tc>
      </w:tr>
      <w:tr w:rsidR="005255EF" w:rsidRPr="00AE6692" w:rsidTr="00FE7797">
        <w:trPr>
          <w:trHeight w:val="20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n/a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n/a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n/a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n/a</w:t>
            </w:r>
          </w:p>
        </w:tc>
      </w:tr>
      <w:tr w:rsidR="005255EF" w:rsidRPr="00AE6692" w:rsidTr="00FE7797">
        <w:trPr>
          <w:trHeight w:val="20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i/>
                <w:lang w:val="en-US"/>
              </w:rPr>
              <w:t xml:space="preserve">M. </w:t>
            </w:r>
            <w:proofErr w:type="spellStart"/>
            <w:r w:rsidRPr="00AE6692">
              <w:rPr>
                <w:rFonts w:ascii="Times New Roman" w:hAnsi="Times New Roman"/>
                <w:i/>
                <w:lang w:val="en-US"/>
              </w:rPr>
              <w:t>scorpius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7.8 ± 2.2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28.3 ± 6.7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365 ± 274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309 ± 50.1</w:t>
            </w:r>
          </w:p>
        </w:tc>
      </w:tr>
      <w:tr w:rsidR="005255EF" w:rsidRPr="00AE6692" w:rsidTr="00FE7797">
        <w:trPr>
          <w:trHeight w:val="20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5.9 ± 2.4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25.0 ± 1.9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183 ± 26.0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267 ± 24.0</w:t>
            </w:r>
          </w:p>
        </w:tc>
      </w:tr>
      <w:tr w:rsidR="005255EF" w:rsidRPr="00AE6692" w:rsidTr="00FE7797">
        <w:trPr>
          <w:trHeight w:val="20"/>
          <w:jc w:val="center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i/>
                <w:lang w:val="en-US"/>
              </w:rPr>
            </w:pPr>
            <w:r w:rsidRPr="00AE6692">
              <w:rPr>
                <w:rFonts w:ascii="Times New Roman" w:hAnsi="Times New Roman"/>
                <w:i/>
                <w:lang w:val="en-US"/>
              </w:rPr>
              <w:t xml:space="preserve">M. </w:t>
            </w:r>
            <w:proofErr w:type="spellStart"/>
            <w:r w:rsidRPr="00AE6692">
              <w:rPr>
                <w:rFonts w:ascii="Times New Roman" w:hAnsi="Times New Roman"/>
                <w:bCs/>
                <w:i/>
                <w:iCs/>
                <w:lang w:val="en-US"/>
              </w:rPr>
              <w:t>quadricornis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7.3 ± 1.0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22.1 ± 3.6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114 ± 13.7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271 ± 114</w:t>
            </w:r>
          </w:p>
        </w:tc>
      </w:tr>
      <w:tr w:rsidR="005255EF" w:rsidRPr="00AE6692" w:rsidTr="00FE7797">
        <w:trPr>
          <w:trHeight w:val="20"/>
          <w:jc w:val="center"/>
        </w:trPr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5.6 ± 0.8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20.8 ± 0.5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122 ± 15.0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EF" w:rsidRPr="00AE6692" w:rsidRDefault="005255EF" w:rsidP="00FE779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AE6692">
              <w:rPr>
                <w:rFonts w:ascii="Times New Roman" w:hAnsi="Times New Roman"/>
                <w:lang w:val="en-US"/>
              </w:rPr>
              <w:t>316 ± 31.5</w:t>
            </w:r>
          </w:p>
        </w:tc>
      </w:tr>
    </w:tbl>
    <w:p w:rsidR="005255EF" w:rsidRDefault="005255EF" w:rsidP="005255E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5255EF" w:rsidRDefault="005255EF" w:rsidP="005255EF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5255EF" w:rsidRDefault="005255EF" w:rsidP="005255EF">
      <w:pPr>
        <w:widowControl w:val="0"/>
        <w:autoSpaceDE w:val="0"/>
        <w:autoSpaceDN w:val="0"/>
        <w:adjustRightInd w:val="0"/>
        <w:spacing w:line="240" w:lineRule="auto"/>
        <w:rPr>
          <w:lang w:val="en-GB"/>
        </w:rPr>
      </w:pPr>
      <w:r w:rsidRPr="00311A69">
        <w:rPr>
          <w:b/>
          <w:lang w:val="en-GB"/>
        </w:rPr>
        <w:t>Table S</w:t>
      </w:r>
      <w:r>
        <w:rPr>
          <w:b/>
          <w:lang w:val="en-GB"/>
        </w:rPr>
        <w:t>2</w:t>
      </w:r>
      <w:r w:rsidRPr="00311A69">
        <w:rPr>
          <w:b/>
          <w:lang w:val="en-GB"/>
        </w:rPr>
        <w:t>.</w:t>
      </w:r>
      <w:r w:rsidRPr="00311A69">
        <w:rPr>
          <w:lang w:val="en-GB"/>
        </w:rPr>
        <w:t xml:space="preserve"> </w:t>
      </w:r>
      <w:r w:rsidRPr="004B0323">
        <w:rPr>
          <w:noProof/>
          <w:lang w:val="en-GB"/>
        </w:rPr>
        <w:t>Work sheet</w:t>
      </w:r>
      <w:r w:rsidRPr="00311A69">
        <w:rPr>
          <w:lang w:val="en-GB"/>
        </w:rPr>
        <w:t xml:space="preserve"> for histological interpretation of a gill sample. Column, </w:t>
      </w:r>
      <w:r w:rsidRPr="004B0323">
        <w:rPr>
          <w:noProof/>
          <w:lang w:val="en-GB"/>
        </w:rPr>
        <w:t>rp</w:t>
      </w:r>
      <w:r w:rsidRPr="00311A69">
        <w:rPr>
          <w:lang w:val="en-GB"/>
        </w:rPr>
        <w:t xml:space="preserve">: Reaction pattern includes C: Circulatory disturbances (red), RC: Regressive changes (yellow), PC: Progressive changes (green), I: Inflammation (blue) and T: Tumour (purple). The histopathological alterations within each reaction pattern </w:t>
      </w:r>
      <w:r w:rsidRPr="004B0323">
        <w:rPr>
          <w:noProof/>
          <w:lang w:val="en-GB"/>
        </w:rPr>
        <w:t>is</w:t>
      </w:r>
      <w:r w:rsidRPr="00311A69">
        <w:rPr>
          <w:lang w:val="en-GB"/>
        </w:rPr>
        <w:t xml:space="preserve"> found in the “Alteration” column.</w:t>
      </w:r>
    </w:p>
    <w:p w:rsidR="005255EF" w:rsidRPr="00311A69" w:rsidRDefault="005255EF" w:rsidP="005255EF">
      <w:pPr>
        <w:widowControl w:val="0"/>
        <w:autoSpaceDE w:val="0"/>
        <w:autoSpaceDN w:val="0"/>
        <w:adjustRightInd w:val="0"/>
        <w:spacing w:line="240" w:lineRule="auto"/>
        <w:rPr>
          <w:lang w:val="en-GB"/>
        </w:rPr>
      </w:pPr>
      <w:r>
        <w:rPr>
          <w:noProof/>
          <w:lang w:val="en-IN" w:eastAsia="en-IN"/>
        </w:rPr>
        <w:drawing>
          <wp:inline distT="0" distB="0" distL="0" distR="0" wp14:anchorId="52C9BFCE" wp14:editId="20D030A8">
            <wp:extent cx="6106601" cy="37741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" t="8744" r="4747" b="19128"/>
                    <a:stretch/>
                  </pic:blipFill>
                  <pic:spPr bwMode="auto">
                    <a:xfrm>
                      <a:off x="0" y="0"/>
                      <a:ext cx="6117214" cy="378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1A69">
        <w:rPr>
          <w:lang w:val="en-GB"/>
        </w:rPr>
        <w:br w:type="page"/>
      </w:r>
    </w:p>
    <w:p w:rsidR="005255EF" w:rsidRDefault="005255EF" w:rsidP="005255EF">
      <w:pPr>
        <w:widowControl w:val="0"/>
        <w:autoSpaceDE w:val="0"/>
        <w:autoSpaceDN w:val="0"/>
        <w:adjustRightInd w:val="0"/>
        <w:spacing w:line="240" w:lineRule="auto"/>
        <w:rPr>
          <w:lang w:val="en-GB"/>
        </w:rPr>
      </w:pPr>
      <w:r w:rsidRPr="00311A69">
        <w:rPr>
          <w:b/>
          <w:lang w:val="en-GB"/>
        </w:rPr>
        <w:lastRenderedPageBreak/>
        <w:t>Table S</w:t>
      </w:r>
      <w:r>
        <w:rPr>
          <w:b/>
          <w:lang w:val="en-GB"/>
        </w:rPr>
        <w:t>3</w:t>
      </w:r>
      <w:r w:rsidRPr="00311A69">
        <w:rPr>
          <w:b/>
          <w:lang w:val="en-GB"/>
        </w:rPr>
        <w:t>.</w:t>
      </w:r>
      <w:r w:rsidRPr="00311A69">
        <w:rPr>
          <w:lang w:val="en-GB"/>
        </w:rPr>
        <w:t xml:space="preserve"> </w:t>
      </w:r>
      <w:r w:rsidRPr="004B0323">
        <w:rPr>
          <w:noProof/>
          <w:lang w:val="en-GB"/>
        </w:rPr>
        <w:t>Work sheet</w:t>
      </w:r>
      <w:r w:rsidRPr="00311A69">
        <w:rPr>
          <w:lang w:val="en-GB"/>
        </w:rPr>
        <w:t xml:space="preserve"> for histological interpretation of a liver sample. Column, </w:t>
      </w:r>
      <w:r w:rsidRPr="004B0323">
        <w:rPr>
          <w:noProof/>
          <w:lang w:val="en-GB"/>
        </w:rPr>
        <w:t>rp</w:t>
      </w:r>
      <w:r w:rsidRPr="00311A69">
        <w:rPr>
          <w:lang w:val="en-GB"/>
        </w:rPr>
        <w:t xml:space="preserve">: Reaction pattern includes C: Circulatory disturbances (red), RC: Regressive changes (yellow), PC: Progressive changes (green), I: Inflammation (blue) and T: Tumour (purple). The histopathological alterations within each reaction pattern </w:t>
      </w:r>
      <w:r w:rsidRPr="004B0323">
        <w:rPr>
          <w:noProof/>
          <w:lang w:val="en-GB"/>
        </w:rPr>
        <w:t>is</w:t>
      </w:r>
      <w:r w:rsidRPr="00311A69">
        <w:rPr>
          <w:lang w:val="en-GB"/>
        </w:rPr>
        <w:t xml:space="preserve"> found in the “Alteration” column.</w:t>
      </w:r>
    </w:p>
    <w:p w:rsidR="005255EF" w:rsidRDefault="005255EF" w:rsidP="005255EF">
      <w:pPr>
        <w:widowControl w:val="0"/>
        <w:autoSpaceDE w:val="0"/>
        <w:autoSpaceDN w:val="0"/>
        <w:adjustRightInd w:val="0"/>
        <w:spacing w:line="240" w:lineRule="auto"/>
        <w:rPr>
          <w:lang w:val="en-GB"/>
        </w:rPr>
      </w:pPr>
      <w:r>
        <w:rPr>
          <w:noProof/>
          <w:sz w:val="22"/>
          <w:lang w:val="en-IN" w:eastAsia="en-IN"/>
        </w:rPr>
        <w:drawing>
          <wp:inline distT="0" distB="0" distL="0" distR="0" wp14:anchorId="6DE7694E" wp14:editId="61BFD217">
            <wp:extent cx="6082748" cy="43571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t="9919" r="9814" b="11060"/>
                    <a:stretch/>
                  </pic:blipFill>
                  <pic:spPr bwMode="auto">
                    <a:xfrm>
                      <a:off x="0" y="0"/>
                      <a:ext cx="6095991" cy="4366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5EF" w:rsidRPr="00311A69" w:rsidRDefault="005255EF" w:rsidP="005255EF">
      <w:pPr>
        <w:widowControl w:val="0"/>
        <w:autoSpaceDE w:val="0"/>
        <w:autoSpaceDN w:val="0"/>
        <w:adjustRightInd w:val="0"/>
        <w:spacing w:line="240" w:lineRule="auto"/>
        <w:rPr>
          <w:lang w:val="en-GB"/>
        </w:rPr>
      </w:pPr>
    </w:p>
    <w:p w:rsidR="005255EF" w:rsidRPr="00311A69" w:rsidRDefault="005255EF" w:rsidP="005255EF">
      <w:pPr>
        <w:widowControl w:val="0"/>
        <w:autoSpaceDE w:val="0"/>
        <w:autoSpaceDN w:val="0"/>
        <w:adjustRightInd w:val="0"/>
        <w:spacing w:line="240" w:lineRule="auto"/>
        <w:rPr>
          <w:lang w:val="en-GB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A6D5" wp14:editId="696BF120">
                <wp:simplePos x="0" y="0"/>
                <wp:positionH relativeFrom="column">
                  <wp:posOffset>2756509</wp:posOffset>
                </wp:positionH>
                <wp:positionV relativeFrom="paragraph">
                  <wp:posOffset>1680210</wp:posOffset>
                </wp:positionV>
                <wp:extent cx="642562" cy="1025895"/>
                <wp:effectExtent l="0" t="0" r="0" b="0"/>
                <wp:wrapNone/>
                <wp:docPr id="5" name="Tekstfel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642562" cy="102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255EF" w:rsidRPr="00734DA5" w:rsidRDefault="005255EF" w:rsidP="005255E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734DA5">
                              <w:rPr>
                                <w:b/>
                                <w:sz w:val="16"/>
                                <w:szCs w:val="12"/>
                              </w:rPr>
                              <w:t>∑RP_L = L_ORG_I</w:t>
                            </w:r>
                          </w:p>
                          <w:p w:rsidR="005255EF" w:rsidRPr="00734DA5" w:rsidRDefault="005255EF" w:rsidP="005255E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∑RP_G = G_ORG_I</w:t>
                            </w:r>
                          </w:p>
                          <w:p w:rsidR="005255EF" w:rsidRPr="00734DA5" w:rsidRDefault="005255EF" w:rsidP="005255E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734DA5">
                              <w:rPr>
                                <w:b/>
                                <w:sz w:val="16"/>
                                <w:szCs w:val="12"/>
                              </w:rPr>
                              <w:t>L_ORG_I + G_ORG_I = TOT_I</w:t>
                            </w:r>
                          </w:p>
                          <w:p w:rsidR="005255EF" w:rsidRPr="00734DA5" w:rsidRDefault="005255EF" w:rsidP="005255EF">
                            <w:pPr>
                              <w:spacing w:line="240" w:lineRule="auto"/>
                              <w:rPr>
                                <w:sz w:val="21"/>
                                <w:szCs w:val="16"/>
                              </w:rPr>
                            </w:pPr>
                          </w:p>
                          <w:p w:rsidR="005255EF" w:rsidRPr="00734DA5" w:rsidRDefault="005255EF" w:rsidP="005255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:rsidR="005255EF" w:rsidRPr="00734DA5" w:rsidRDefault="005255EF" w:rsidP="005255EF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eaVert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BA6D5" id="_x0000_t202" coordsize="21600,21600" o:spt="202" path="m,l,21600r21600,l21600,xe">
                <v:stroke joinstyle="miter"/>
                <v:path gradientshapeok="t" o:connecttype="rect"/>
              </v:shapetype>
              <v:shape id="Tekstfelt 18" o:spid="_x0000_s1026" type="#_x0000_t202" style="position:absolute;left:0;text-align:left;margin-left:217.05pt;margin-top:132.3pt;width:50.6pt;height:80.8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" filled="f" stroked="f" strokeweight=".5pt">
                <v:path arrowok="t"/>
                <v:textbox style="layout-flow:vertical-ideographic" inset="4pt,4pt,4pt,4pt">
                  <w:txbxContent>
                    <w:p w:rsidR="005255EF" w:rsidRPr="00734DA5" w:rsidRDefault="005255EF" w:rsidP="005255E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sz w:val="16"/>
                          <w:szCs w:val="12"/>
                        </w:rPr>
                      </w:pPr>
                      <w:r w:rsidRPr="00734DA5">
                        <w:rPr>
                          <w:b/>
                          <w:sz w:val="16"/>
                          <w:szCs w:val="12"/>
                        </w:rPr>
                        <w:t>∑RP_L = L_ORG_I</w:t>
                      </w:r>
                    </w:p>
                    <w:p w:rsidR="005255EF" w:rsidRPr="00734DA5" w:rsidRDefault="005255EF" w:rsidP="005255E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∑RP_G = G_ORG_I</w:t>
                      </w:r>
                    </w:p>
                    <w:p w:rsidR="005255EF" w:rsidRPr="00734DA5" w:rsidRDefault="005255EF" w:rsidP="005255E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b/>
                          <w:sz w:val="16"/>
                          <w:szCs w:val="12"/>
                        </w:rPr>
                      </w:pPr>
                      <w:r w:rsidRPr="00734DA5">
                        <w:rPr>
                          <w:b/>
                          <w:sz w:val="16"/>
                          <w:szCs w:val="12"/>
                        </w:rPr>
                        <w:t>L_ORG_I + G_ORG_I = TOT_I</w:t>
                      </w:r>
                    </w:p>
                    <w:p w:rsidR="005255EF" w:rsidRPr="00734DA5" w:rsidRDefault="005255EF" w:rsidP="005255EF">
                      <w:pPr>
                        <w:spacing w:line="240" w:lineRule="auto"/>
                        <w:rPr>
                          <w:sz w:val="21"/>
                          <w:szCs w:val="16"/>
                        </w:rPr>
                      </w:pPr>
                    </w:p>
                    <w:p w:rsidR="005255EF" w:rsidRPr="00734DA5" w:rsidRDefault="005255EF" w:rsidP="005255EF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  <w:p w:rsidR="005255EF" w:rsidRPr="00734DA5" w:rsidRDefault="005255EF" w:rsidP="005255EF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inline distT="0" distB="0" distL="0" distR="0" wp14:anchorId="6D0E37DB" wp14:editId="5581C797">
            <wp:extent cx="6120130" cy="326580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EF" w:rsidRPr="00F702D6" w:rsidRDefault="005255EF" w:rsidP="005255EF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311A69">
        <w:rPr>
          <w:b/>
          <w:szCs w:val="24"/>
          <w:lang w:val="en-GB"/>
        </w:rPr>
        <w:t xml:space="preserve">Figure S1. </w:t>
      </w:r>
      <w:r w:rsidRPr="00311A69">
        <w:rPr>
          <w:noProof/>
          <w:color w:val="000000"/>
          <w:szCs w:val="24"/>
          <w:lang w:val="en-GB" w:eastAsia="da-DK"/>
        </w:rPr>
        <w:t xml:space="preserve">Flow-chart of collecting the specific alterations values for liver (Left side) and gills (Right side) and summarizing them into the different reaction pattern values: CD_RP </w:t>
      </w:r>
      <w:r w:rsidRPr="00311A69">
        <w:rPr>
          <w:noProof/>
          <w:color w:val="000000"/>
          <w:szCs w:val="24"/>
          <w:lang w:val="en-GB" w:eastAsia="da-DK"/>
        </w:rPr>
        <w:lastRenderedPageBreak/>
        <w:t>(Circulatory disturbances), RC_RP (Regressive changes), PC_RP (</w:t>
      </w:r>
      <w:r w:rsidRPr="004B0323">
        <w:rPr>
          <w:noProof/>
          <w:color w:val="000000"/>
          <w:szCs w:val="24"/>
          <w:lang w:val="en-GB" w:eastAsia="da-DK"/>
        </w:rPr>
        <w:t>Progressivce</w:t>
      </w:r>
      <w:r w:rsidRPr="00311A69">
        <w:rPr>
          <w:noProof/>
          <w:color w:val="000000"/>
          <w:szCs w:val="24"/>
          <w:lang w:val="en-GB" w:eastAsia="da-DK"/>
        </w:rPr>
        <w:t xml:space="preserve"> changes), I_RP (Inflammation) and T_RP (Tumor) for both liver and gills . The reaction pattern values summarized provide an organ index for both liver </w:t>
      </w:r>
      <w:r w:rsidRPr="00311A69">
        <w:rPr>
          <w:color w:val="000000"/>
          <w:szCs w:val="24"/>
          <w:lang w:val="en-GB"/>
        </w:rPr>
        <w:t xml:space="preserve">(L_ORG_I) </w:t>
      </w:r>
      <w:r w:rsidRPr="00311A69">
        <w:rPr>
          <w:noProof/>
          <w:color w:val="000000"/>
          <w:szCs w:val="24"/>
          <w:lang w:val="en-GB" w:eastAsia="da-DK"/>
        </w:rPr>
        <w:t xml:space="preserve">and gills </w:t>
      </w:r>
      <w:r w:rsidRPr="00311A69">
        <w:rPr>
          <w:color w:val="000000"/>
          <w:szCs w:val="24"/>
          <w:lang w:val="en-GB"/>
        </w:rPr>
        <w:t xml:space="preserve">(G_ORG_I) </w:t>
      </w:r>
      <w:r w:rsidRPr="00311A69">
        <w:rPr>
          <w:noProof/>
          <w:color w:val="000000"/>
          <w:szCs w:val="24"/>
          <w:lang w:val="en-GB" w:eastAsia="da-DK"/>
        </w:rPr>
        <w:t xml:space="preserve">that is summarized to a total histological alteration index </w:t>
      </w:r>
      <w:r w:rsidRPr="00311A69">
        <w:rPr>
          <w:color w:val="000000"/>
          <w:szCs w:val="24"/>
          <w:lang w:val="en-GB"/>
        </w:rPr>
        <w:t>(</w:t>
      </w:r>
      <w:proofErr w:type="spellStart"/>
      <w:r w:rsidRPr="00311A69">
        <w:rPr>
          <w:color w:val="000000"/>
          <w:szCs w:val="24"/>
          <w:lang w:val="en-GB"/>
        </w:rPr>
        <w:t>Tot_I</w:t>
      </w:r>
      <w:proofErr w:type="spellEnd"/>
      <w:r w:rsidRPr="00311A69">
        <w:rPr>
          <w:color w:val="000000"/>
          <w:szCs w:val="24"/>
          <w:lang w:val="en-GB"/>
        </w:rPr>
        <w:t>)</w:t>
      </w:r>
      <w:r w:rsidRPr="00311A69">
        <w:rPr>
          <w:noProof/>
          <w:color w:val="000000"/>
          <w:szCs w:val="24"/>
          <w:lang w:val="en-GB" w:eastAsia="da-DK"/>
        </w:rPr>
        <w:t>, illustrated by the middle of the figure.</w:t>
      </w:r>
      <w:r>
        <w:rPr>
          <w:noProof/>
          <w:color w:val="000000"/>
          <w:szCs w:val="24"/>
          <w:lang w:val="en-GB" w:eastAsia="da-DK"/>
        </w:rPr>
        <w:t xml:space="preserve"> MPS  = </w:t>
      </w:r>
      <w:r>
        <w:rPr>
          <w:iCs/>
          <w:lang w:val="en-GB"/>
        </w:rPr>
        <w:t>a</w:t>
      </w:r>
      <w:r w:rsidRPr="00F702D6">
        <w:rPr>
          <w:iCs/>
          <w:lang w:val="en-GB"/>
        </w:rPr>
        <w:t xml:space="preserve">ctivation of the </w:t>
      </w:r>
      <w:r>
        <w:rPr>
          <w:iCs/>
          <w:lang w:val="en-GB"/>
        </w:rPr>
        <w:t>M</w:t>
      </w:r>
      <w:r w:rsidRPr="00F702D6">
        <w:rPr>
          <w:iCs/>
          <w:lang w:val="en-GB"/>
        </w:rPr>
        <w:t xml:space="preserve">ononuclear </w:t>
      </w:r>
      <w:r>
        <w:rPr>
          <w:iCs/>
          <w:lang w:val="en-GB"/>
        </w:rPr>
        <w:t>P</w:t>
      </w:r>
      <w:r w:rsidRPr="00F702D6">
        <w:rPr>
          <w:iCs/>
          <w:lang w:val="en-GB"/>
        </w:rPr>
        <w:t xml:space="preserve">hagocyte </w:t>
      </w:r>
      <w:r>
        <w:rPr>
          <w:iCs/>
          <w:lang w:val="en-GB"/>
        </w:rPr>
        <w:t>S</w:t>
      </w:r>
      <w:r w:rsidRPr="00F702D6">
        <w:rPr>
          <w:iCs/>
          <w:lang w:val="en-GB"/>
        </w:rPr>
        <w:t>ystems</w:t>
      </w:r>
      <w:r>
        <w:rPr>
          <w:iCs/>
          <w:lang w:val="en-GB"/>
        </w:rPr>
        <w:t>.</w:t>
      </w:r>
    </w:p>
    <w:p w:rsidR="005255EF" w:rsidRPr="005255EF" w:rsidRDefault="005255EF" w:rsidP="005255EF">
      <w:bookmarkStart w:id="0" w:name="_GoBack"/>
      <w:bookmarkEnd w:id="0"/>
    </w:p>
    <w:p w:rsidR="005255EF" w:rsidRDefault="005255EF" w:rsidP="005255EF">
      <w:pPr>
        <w:rPr>
          <w:rFonts w:ascii="Calibri" w:hAnsi="Calibri" w:cs="Calibri"/>
          <w:shd w:val="clear" w:color="auto" w:fill="FFFFFF"/>
        </w:rPr>
      </w:pPr>
    </w:p>
    <w:sectPr w:rsidR="0052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Nzc3szSzNDS2MDBR0lEKTi0uzszPAykwrAUAxL/VXywAAAA="/>
  </w:docVars>
  <w:rsids>
    <w:rsidRoot w:val="005255EF"/>
    <w:rsid w:val="005255EF"/>
    <w:rsid w:val="00B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75FA-A549-4E74-A074-84557189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EF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5EF"/>
    <w:pPr>
      <w:spacing w:after="0" w:line="240" w:lineRule="auto"/>
    </w:pPr>
    <w:rPr>
      <w:rFonts w:ascii="Calibri" w:eastAsia="Calibri" w:hAnsi="Calibri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Ray</dc:creator>
  <cp:keywords/>
  <dc:description/>
  <cp:lastModifiedBy>Anupam Ray</cp:lastModifiedBy>
  <cp:revision>1</cp:revision>
  <dcterms:created xsi:type="dcterms:W3CDTF">2019-01-17T05:49:00Z</dcterms:created>
  <dcterms:modified xsi:type="dcterms:W3CDTF">2019-01-17T07:35:00Z</dcterms:modified>
</cp:coreProperties>
</file>