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7F" w:rsidRDefault="007A5B7F" w:rsidP="007A5B7F">
      <w:pPr>
        <w:spacing w:line="0" w:lineRule="atLeast"/>
        <w:ind w:leftChars="1" w:left="325" w:hangingChars="134" w:hanging="323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Appendix 1</w:t>
      </w:r>
    </w:p>
    <w:p w:rsidR="007A5B7F" w:rsidRDefault="007A5B7F" w:rsidP="007A5B7F">
      <w:pPr>
        <w:spacing w:line="0" w:lineRule="atLeast"/>
        <w:ind w:leftChars="1" w:left="325" w:hangingChars="134" w:hanging="323"/>
        <w:rPr>
          <w:rFonts w:ascii="Times New Roman" w:hAnsi="Times New Roman" w:cs="Times New Roman"/>
          <w:b/>
          <w:sz w:val="24"/>
          <w:szCs w:val="24"/>
        </w:rPr>
      </w:pPr>
    </w:p>
    <w:p w:rsidR="007A5B7F" w:rsidRDefault="007A5B7F" w:rsidP="007A5B7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Table A1.1 Complete list of groups, codes, and key words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987"/>
        <w:gridCol w:w="5953"/>
      </w:tblGrid>
      <w:tr w:rsidR="007A5B7F" w:rsidTr="00983A04">
        <w:trPr>
          <w:trHeight w:val="35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Group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Code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7F" w:rsidRDefault="007A5B7F" w:rsidP="00983A04">
            <w:pPr>
              <w:spacing w:line="0" w:lineRule="atLeast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Keywords</w:t>
            </w:r>
          </w:p>
        </w:tc>
      </w:tr>
      <w:tr w:rsidR="007A5B7F" w:rsidTr="00983A04">
        <w:trPr>
          <w:trHeight w:val="301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*GIAHS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Globally+Important+Agricultural+Heritage+Systems, GIAHS</w:t>
            </w:r>
          </w:p>
        </w:tc>
      </w:tr>
      <w:tr w:rsidR="007A5B7F" w:rsidTr="00983A04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7F" w:rsidRDefault="007A5B7F" w:rsidP="00983A04">
            <w:pPr>
              <w:widowControl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*SEPLS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SEPL, SEPLS, socio-ecological+production+landscape social+ecological+production+landscape</w:t>
            </w:r>
          </w:p>
        </w:tc>
      </w:tr>
      <w:tr w:rsidR="007A5B7F" w:rsidTr="00983A04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7F" w:rsidRDefault="007A5B7F" w:rsidP="00983A04">
            <w:pPr>
              <w:widowControl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*Cultural landscape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cultural+landscape, biocultural+landscape, high-nature-value+farmland</w:t>
            </w:r>
          </w:p>
        </w:tc>
      </w:tr>
      <w:tr w:rsidR="007A5B7F" w:rsidTr="00983A04">
        <w:trPr>
          <w:trHeight w:val="3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A2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*traditional natural resource management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Dehesa, ahupua'a, Satoyama,Satoumi, Muyong, Chakra, Kebun, Pekarangan, kebun-talun ,maeulsoop, mauel, maeulsup, milpa, ngunda, chitemine, fadana, hima | hima+system, kaya, agras, montado, qunat, owita+system, sacred+forest, tank+irrigation+system, small+tank+system, alpeggio, coltura+promiscua, maremme, camarque, tuli, coltura+mista community+forestry, transhumance, agroforestry, homegarden, fruit+garden</w:t>
            </w:r>
          </w:p>
        </w:tc>
      </w:tr>
      <w:tr w:rsidR="007A5B7F" w:rsidTr="00983A04">
        <w:trPr>
          <w:trHeight w:val="3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A3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*Landscape approach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Landscape+approach, integrated+landscape+management</w:t>
            </w:r>
          </w:p>
        </w:tc>
      </w:tr>
      <w:tr w:rsidR="007A5B7F" w:rsidTr="00983A04">
        <w:trPr>
          <w:trHeight w:val="428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*Dynamic mosaics of habitats and land and sea uses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 dynamic &amp; ( mosaic | habitat | land+use | sea+use ) ), ( mosaic &amp; ( land+use | sea+use | habitat )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heterogeneous &amp; land | landscape</w:t>
            </w:r>
          </w:p>
        </w:tc>
      </w:tr>
      <w:tr w:rsidR="007A5B7F" w:rsidTr="00983A04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7F" w:rsidRDefault="007A5B7F" w:rsidP="00983A04">
            <w:pPr>
              <w:widowControl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*Harmonious interaction between people and nature maintains biodiversity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 ( harmonious | nature | ( people &amp; landscape ) ) &amp; interaction ), ( human &amp; influenced &amp; ( landscape | area ) ), ( society &amp; harmony+with+nature ), ( human &amp; nature &amp; relationship ), ( safeguard &amp; ecosystem )</w:t>
            </w:r>
          </w:p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A5B7F" w:rsidTr="00983A04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7F" w:rsidRDefault="007A5B7F" w:rsidP="00983A04">
            <w:pPr>
              <w:widowControl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*Providing humans with the goods and services in a sustainable matter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 self &amp; contained &amp; circulation &amp; resource ), ( wise &amp; use &amp; natural &amp; resource ), ( sustainable &amp; ( manner | provision | ( natural &amp; resource &amp; use ) ) ), </w:t>
            </w:r>
          </w:p>
        </w:tc>
      </w:tr>
      <w:tr w:rsidR="007A5B7F" w:rsidTr="00983A04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7F" w:rsidRDefault="007A5B7F" w:rsidP="00983A04">
            <w:pPr>
              <w:widowControl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*Be deeply linked to local culture and knowledge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 local &amp; ( knowledge | culture | technique | rule | inhabitant ) ), ( traditional &amp; ( management | practice | knowledge | custom | living ) ), </w:t>
            </w:r>
          </w:p>
        </w:tc>
      </w:tr>
      <w:tr w:rsidR="007A5B7F" w:rsidTr="00983A04">
        <w:trPr>
          <w:trHeight w:val="3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*Ecosystem Approach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ecosystem+approach</w:t>
            </w:r>
          </w:p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A5B7F" w:rsidTr="00983A04">
        <w:trPr>
          <w:trHeight w:val="249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*Landscape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Landscape</w:t>
            </w:r>
          </w:p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A5B7F" w:rsidTr="00983A0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7F" w:rsidRDefault="007A5B7F" w:rsidP="00983A04">
            <w:pPr>
              <w:widowControl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*Seascape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7F" w:rsidRDefault="007A5B7F" w:rsidP="00983A04">
            <w:pPr>
              <w:spacing w:line="0" w:lineRule="atLeast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seascape</w:t>
            </w:r>
          </w:p>
        </w:tc>
      </w:tr>
    </w:tbl>
    <w:p w:rsidR="007A5B7F" w:rsidRDefault="007A5B7F" w:rsidP="007A5B7F">
      <w:pPr>
        <w:spacing w:line="0" w:lineRule="atLeast"/>
        <w:ind w:left="1" w:firstLine="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symbols used in this list (</w:t>
      </w:r>
      <w:r>
        <w:rPr>
          <w:rFonts w:ascii="Times New Roman" w:eastAsia="MS Mincho" w:hAnsi="Times New Roman" w:cs="Times New Roman"/>
          <w:sz w:val="24"/>
          <w:szCs w:val="24"/>
        </w:rPr>
        <w:t xml:space="preserve">*, </w:t>
      </w:r>
      <w:r>
        <w:rPr>
          <w:rFonts w:ascii="Times New Roman" w:hAnsi="Times New Roman" w:cs="Times New Roman"/>
          <w:sz w:val="24"/>
          <w:szCs w:val="24"/>
        </w:rPr>
        <w:t xml:space="preserve">+, &amp;, </w:t>
      </w:r>
      <w:r>
        <w:rPr>
          <w:rFonts w:ascii="Times New Roman" w:eastAsia="MS Mincho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and ( )) are a delimiter and logical operators of the coding rules in KH Coder (http://khc.sourceforge.net/en/manual_en_v2.pdf). The operations of each symbol are as follows:</w:t>
      </w:r>
    </w:p>
    <w:p w:rsidR="007A5B7F" w:rsidRDefault="007A5B7F" w:rsidP="007A5B7F">
      <w:pPr>
        <w:spacing w:line="0" w:lineRule="atLeast"/>
        <w:ind w:left="284" w:hanging="28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*: Name of code.</w:t>
      </w:r>
    </w:p>
    <w:p w:rsidR="007A5B7F" w:rsidRDefault="007A5B7F" w:rsidP="007A5B7F">
      <w:pPr>
        <w:spacing w:line="0" w:lineRule="atLeast"/>
        <w:ind w:leftChars="1" w:left="324" w:hangingChars="134" w:hanging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+: The delimiter for specifying a phrase, rather than a single word. For example, if one wishes to provide a code “*Graduation thesis” for a phrase including “graduation” and “thesis” successively, the protocol can be written as follows: graduation+thesis</w:t>
      </w:r>
    </w:p>
    <w:p w:rsidR="007A5B7F" w:rsidRDefault="007A5B7F" w:rsidP="007A5B7F">
      <w:pPr>
        <w:spacing w:line="0" w:lineRule="atLeast"/>
        <w:ind w:leftChars="1" w:left="324" w:hangingChars="134" w:hanging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&amp;: The logical operator of “and”. For example, if one wishes to provide a code “When “communication”, “interception”, and “bill” appear in a document together, a code “*Wiretapping Law” is applied”. This coding rule can be written as:</w:t>
      </w:r>
    </w:p>
    <w:p w:rsidR="007A5B7F" w:rsidRDefault="007A5B7F" w:rsidP="007A5B7F">
      <w:pPr>
        <w:spacing w:line="0" w:lineRule="atLeast"/>
        <w:ind w:leftChars="101" w:left="212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*Wiretapping_Law</w:t>
      </w:r>
    </w:p>
    <w:p w:rsidR="007A5B7F" w:rsidRDefault="007A5B7F" w:rsidP="007A5B7F">
      <w:pPr>
        <w:spacing w:line="0" w:lineRule="atLeast"/>
        <w:ind w:leftChars="101" w:left="212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communication &amp; interception &amp; bill</w:t>
      </w:r>
    </w:p>
    <w:p w:rsidR="007A5B7F" w:rsidRDefault="007A5B7F" w:rsidP="007A5B7F">
      <w:pPr>
        <w:spacing w:line="0" w:lineRule="atLeast"/>
        <w:ind w:leftChars="1" w:left="324" w:hangingChars="134" w:hanging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| :</w:t>
      </w:r>
      <w:r>
        <w:rPr>
          <w:rFonts w:ascii="Times New Roman" w:hAnsi="Times New Roman" w:cs="Times New Roman"/>
          <w:sz w:val="24"/>
          <w:szCs w:val="24"/>
        </w:rPr>
        <w:t xml:space="preserve"> The logical operator of “or”. For example, if one wishes to provide a code “When either “arrest” or “suspicion” or “investigation” exist in a document, then a code “*Crime1” is applied to it”. One can write this rule using logical operators, as follows:</w:t>
      </w:r>
    </w:p>
    <w:p w:rsidR="007A5B7F" w:rsidRDefault="007A5B7F" w:rsidP="007A5B7F">
      <w:pPr>
        <w:spacing w:line="0" w:lineRule="atLeast"/>
        <w:ind w:leftChars="101" w:left="212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*Crime1</w:t>
      </w:r>
    </w:p>
    <w:p w:rsidR="007A5B7F" w:rsidRDefault="007A5B7F" w:rsidP="007A5B7F">
      <w:pPr>
        <w:spacing w:line="0" w:lineRule="atLeast"/>
        <w:ind w:leftChars="101" w:left="212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arrest | suspicion | investigation</w:t>
      </w:r>
    </w:p>
    <w:p w:rsidR="007A5B7F" w:rsidRDefault="007A5B7F" w:rsidP="007A5B7F">
      <w:pPr>
        <w:spacing w:line="0" w:lineRule="atLeast"/>
        <w:ind w:leftChars="1" w:left="324" w:hangingChars="134" w:hanging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): Parentheses. For example, if one wishes to provide a code “When either of three words “communication”, “interception”, or “bill” appear together with “arrest” or “suspicion” or “investigation” appears in the same document, then a code *Crime2 is applied to it”. One can write this rule using parentheses, as follows:</w:t>
      </w:r>
    </w:p>
    <w:p w:rsidR="007A5B7F" w:rsidRDefault="007A5B7F" w:rsidP="007A5B7F">
      <w:pPr>
        <w:spacing w:line="0" w:lineRule="atLeast"/>
        <w:ind w:leftChars="135" w:left="420" w:hanging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Crime2</w:t>
      </w:r>
    </w:p>
    <w:p w:rsidR="007A5B7F" w:rsidRDefault="007A5B7F" w:rsidP="007A5B7F">
      <w:pPr>
        <w:spacing w:line="0" w:lineRule="atLeast"/>
        <w:ind w:leftChars="135" w:left="293" w:hangingChars="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 arrest | suspicion | investigation ) &amp; ( communication &amp; interception &amp; bill )</w:t>
      </w:r>
    </w:p>
    <w:p w:rsidR="007A5B7F" w:rsidRDefault="007A5B7F" w:rsidP="007A5B7F">
      <w:pPr>
        <w:spacing w:line="0" w:lineRule="atLeast"/>
        <w:ind w:leftChars="1" w:left="325" w:hangingChars="134" w:hanging="323"/>
        <w:rPr>
          <w:rFonts w:ascii="Times New Roman" w:hAnsi="Times New Roman" w:cs="Times New Roman"/>
          <w:b/>
          <w:sz w:val="24"/>
          <w:szCs w:val="24"/>
        </w:rPr>
      </w:pPr>
    </w:p>
    <w:p w:rsidR="007A5B7F" w:rsidRDefault="007A5B7F" w:rsidP="007A5B7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7A5B7F" w:rsidRDefault="007A5B7F" w:rsidP="007A5B7F">
      <w:pPr>
        <w:spacing w:line="0" w:lineRule="atLeast"/>
        <w:ind w:leftChars="1" w:left="325" w:hangingChars="134" w:hanging="3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2</w:t>
      </w:r>
    </w:p>
    <w:p w:rsidR="007A5B7F" w:rsidRDefault="007A5B7F" w:rsidP="007A5B7F">
      <w:pPr>
        <w:spacing w:line="0" w:lineRule="atLeast"/>
        <w:ind w:leftChars="1" w:left="324" w:hangingChars="134" w:hanging="322"/>
        <w:rPr>
          <w:rFonts w:ascii="Times New Roman" w:hAnsi="Times New Roman" w:cs="Times New Roman"/>
          <w:sz w:val="24"/>
          <w:szCs w:val="24"/>
        </w:rPr>
      </w:pPr>
    </w:p>
    <w:p w:rsidR="007A5B7F" w:rsidRDefault="007A5B7F" w:rsidP="007A5B7F">
      <w:pPr>
        <w:spacing w:line="0" w:lineRule="atLeast"/>
        <w:ind w:leftChars="1" w:left="324" w:hangingChars="134" w:hanging="32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A2.1 Global map for the Satoyama Index (SI)</w:t>
      </w:r>
    </w:p>
    <w:p w:rsidR="007A5B7F" w:rsidRDefault="007A5B7F" w:rsidP="007A5B7F">
      <w:pPr>
        <w:spacing w:line="0" w:lineRule="atLeast"/>
        <w:ind w:leftChars="1" w:left="324" w:hangingChars="134" w:hanging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EDFF46F" wp14:editId="40B100FE">
            <wp:extent cx="5791200" cy="2921000"/>
            <wp:effectExtent l="0" t="0" r="0" b="0"/>
            <wp:docPr id="1" name="図 1" descr="si201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i2013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7F" w:rsidRDefault="007A5B7F" w:rsidP="007A5B7F">
      <w:pPr>
        <w:spacing w:line="0" w:lineRule="atLeast"/>
        <w:ind w:leftChars="1"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 original land-use data in 2013 in grids of 500-m intervals were obtained from the Global Map data archives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https://globalmaps.github.io/</w:t>
        </w:r>
      </w:hyperlink>
      <w:r>
        <w:rPr>
          <w:rFonts w:ascii="Times New Roman" w:hAnsi="Times New Roman" w:cs="Times New Roman"/>
          <w:sz w:val="24"/>
          <w:szCs w:val="24"/>
        </w:rPr>
        <w:t>) and then resized to 1-km intervals to compute the SI.</w:t>
      </w:r>
    </w:p>
    <w:p w:rsidR="007A5B7F" w:rsidRPr="001C4282" w:rsidRDefault="007A5B7F" w:rsidP="007A5B7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DB6CE7" w:rsidRDefault="007A5B7F">
      <w:bookmarkStart w:id="0" w:name="_GoBack"/>
      <w:bookmarkEnd w:id="0"/>
    </w:p>
    <w:sectPr w:rsidR="00DB6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26"/>
    <w:rsid w:val="001C0026"/>
    <w:rsid w:val="004B3994"/>
    <w:rsid w:val="004B5491"/>
    <w:rsid w:val="007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1AEE5-8C50-47DF-BC16-835795A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7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B7F"/>
    <w:rPr>
      <w:rFonts w:ascii="Verdana" w:hAnsi="Verdana" w:hint="default"/>
      <w:b w:val="0"/>
      <w:bCs w:val="0"/>
      <w:strike w:val="0"/>
      <w:dstrike w:val="0"/>
      <w:color w:val="0066CC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maps.github.i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Cherrill</dc:creator>
  <cp:keywords/>
  <dc:description/>
  <cp:lastModifiedBy>Sarah Cherrill</cp:lastModifiedBy>
  <cp:revision>2</cp:revision>
  <dcterms:created xsi:type="dcterms:W3CDTF">2018-09-25T13:56:00Z</dcterms:created>
  <dcterms:modified xsi:type="dcterms:W3CDTF">2018-09-25T13:57:00Z</dcterms:modified>
</cp:coreProperties>
</file>