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5F" w:rsidRDefault="004C0F59">
      <w:r>
        <w:rPr>
          <w:noProof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23.85pt;width:476.5pt;height:93.6pt;z-index:251660288;mso-position-horizontal:center;mso-position-horizontal-relative:margin;mso-position-vertical-relative:margin;mso-width-relative:margin;mso-height-relative:margin" filled="f" stroked="f">
            <v:textbox style="mso-next-textbox:#_x0000_s1027">
              <w:txbxContent>
                <w:p w:rsidR="004C0F59" w:rsidRPr="00DB4516" w:rsidRDefault="004C0F59" w:rsidP="004C0F5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Supplementary Fig. </w:t>
                  </w:r>
                  <w:r w:rsidRPr="00DB4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proofErr w:type="gramEnd"/>
                  <w:r w:rsidRPr="00DB4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Light response curve or </w:t>
                  </w:r>
                  <w:r w:rsidRPr="00DB45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M.</w:t>
                  </w:r>
                  <w:r w:rsidRPr="00DB4516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DB45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truncatula</w:t>
                  </w:r>
                  <w:proofErr w:type="spellEnd"/>
                  <w:r w:rsidRPr="00DB4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grown under LP (0.010 </w:t>
                  </w:r>
                  <w:proofErr w:type="spellStart"/>
                  <w:r w:rsidRPr="00DB4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dark grey solid line</w:t>
                  </w:r>
                  <w:r w:rsidRPr="00DB4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 and the control (0.500</w:t>
                  </w:r>
                  <w:r w:rsidRPr="00DB4516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DB4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light grey solid line</w:t>
                  </w:r>
                  <w:r w:rsidRPr="00DB4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). Values represent means (</w:t>
                  </w:r>
                  <w:r w:rsidRPr="00DB45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n</w:t>
                  </w:r>
                  <w:r w:rsidRPr="00DB4516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DB4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</w:t>
                  </w:r>
                  <w:r w:rsidRPr="00DB4516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DB4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3), while the bars represent standard error.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Dashed lines represent third order polynomial curves.</w:t>
                  </w:r>
                </w:p>
              </w:txbxContent>
            </v:textbox>
            <w10:wrap anchorx="margin" anchory="margin"/>
          </v:shape>
        </w:pict>
      </w:r>
      <w:r w:rsidRPr="004C0F59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505460</wp:posOffset>
            </wp:positionV>
            <wp:extent cx="6127750" cy="2520950"/>
            <wp:effectExtent l="0" t="0" r="0" b="0"/>
            <wp:wrapNone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BB0B5F" w:rsidSect="00650F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0F3C"/>
    <w:rsid w:val="00122FF1"/>
    <w:rsid w:val="004C0F59"/>
    <w:rsid w:val="00650F3C"/>
    <w:rsid w:val="00BB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da%20Mari\Desktop\MSc\All%20Data_Graphs%20changed%2013%20O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[3]LP_HP!$A$2</c:f>
              <c:strCache>
                <c:ptCount val="1"/>
                <c:pt idx="0">
                  <c:v>LP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square"/>
            <c:size val="7"/>
            <c:spPr>
              <a:noFill/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</c:spPr>
          </c:marker>
          <c:trendline>
            <c:spPr>
              <a:ln>
                <a:prstDash val="dash"/>
              </a:ln>
            </c:spPr>
            <c:trendlineType val="poly"/>
            <c:order val="3"/>
            <c:dispRSqr val="1"/>
            <c:dispEq val="1"/>
            <c:trendlineLbl>
              <c:layout>
                <c:manualLayout>
                  <c:x val="4.9720323182100813E-4"/>
                  <c:y val="-1.6530076597568197E-2"/>
                </c:manualLayout>
              </c:layout>
              <c:numFmt formatCode="General" sourceLinked="0"/>
            </c:trendlineLbl>
          </c:trendline>
          <c:errBars>
            <c:errDir val="y"/>
            <c:errBarType val="both"/>
            <c:errValType val="cust"/>
            <c:plus>
              <c:numRef>
                <c:f>[3]LP_HP!$H$15</c:f>
                <c:numCache>
                  <c:formatCode>General</c:formatCode>
                  <c:ptCount val="1"/>
                  <c:pt idx="0">
                    <c:v>0.12134977136651011</c:v>
                  </c:pt>
                </c:numCache>
              </c:numRef>
            </c:plus>
            <c:minus>
              <c:numRef>
                <c:f>[3]LP_HP!$H$15</c:f>
                <c:numCache>
                  <c:formatCode>General</c:formatCode>
                  <c:ptCount val="1"/>
                  <c:pt idx="0">
                    <c:v>0.12134977136651011</c:v>
                  </c:pt>
                </c:numCache>
              </c:numRef>
            </c:minus>
          </c:errBars>
          <c:xVal>
            <c:numRef>
              <c:f>[3]LP_HP!$A$4:$A$14</c:f>
              <c:numCache>
                <c:formatCode>General</c:formatCode>
                <c:ptCount val="11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250</c:v>
                </c:pt>
                <c:pt idx="4">
                  <c:v>350</c:v>
                </c:pt>
                <c:pt idx="5">
                  <c:v>450</c:v>
                </c:pt>
                <c:pt idx="6">
                  <c:v>650</c:v>
                </c:pt>
                <c:pt idx="7">
                  <c:v>850</c:v>
                </c:pt>
                <c:pt idx="8">
                  <c:v>1050</c:v>
                </c:pt>
                <c:pt idx="9">
                  <c:v>1300</c:v>
                </c:pt>
                <c:pt idx="10">
                  <c:v>1500</c:v>
                </c:pt>
              </c:numCache>
            </c:numRef>
          </c:xVal>
          <c:yVal>
            <c:numRef>
              <c:f>[3]LP_HP!$G$4:$G$14</c:f>
              <c:numCache>
                <c:formatCode>General</c:formatCode>
                <c:ptCount val="11"/>
                <c:pt idx="0">
                  <c:v>-2.4826666666666668</c:v>
                </c:pt>
                <c:pt idx="1">
                  <c:v>-1.7993333333333335</c:v>
                </c:pt>
                <c:pt idx="2">
                  <c:v>-1.307999999999983</c:v>
                </c:pt>
                <c:pt idx="3">
                  <c:v>-0.44333333333333325</c:v>
                </c:pt>
                <c:pt idx="4">
                  <c:v>-6.9266666666666837E-2</c:v>
                </c:pt>
                <c:pt idx="5">
                  <c:v>0.13473333333333531</c:v>
                </c:pt>
                <c:pt idx="6">
                  <c:v>0.37886666666667346</c:v>
                </c:pt>
                <c:pt idx="7">
                  <c:v>0.48526666666667007</c:v>
                </c:pt>
                <c:pt idx="8">
                  <c:v>0.62659999999999993</c:v>
                </c:pt>
                <c:pt idx="9">
                  <c:v>0.67593333333334105</c:v>
                </c:pt>
                <c:pt idx="10">
                  <c:v>0.95760000000000689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[3]LP_HP!$A$16</c:f>
              <c:strCache>
                <c:ptCount val="1"/>
                <c:pt idx="0">
                  <c:v>HP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pPr>
              <a:noFill/>
              <a:ln>
                <a:solidFill>
                  <a:schemeClr val="bg1">
                    <a:lumMod val="65000"/>
                  </a:schemeClr>
                </a:solidFill>
              </a:ln>
            </c:spPr>
          </c:marker>
          <c:trendline>
            <c:spPr>
              <a:ln>
                <a:prstDash val="dash"/>
              </a:ln>
            </c:spPr>
            <c:trendlineType val="poly"/>
            <c:order val="3"/>
            <c:dispRSqr val="1"/>
            <c:dispEq val="1"/>
            <c:trendlineLbl>
              <c:layout>
                <c:manualLayout>
                  <c:x val="4.9720323182100813E-4"/>
                  <c:y val="-5.5429579239103084E-2"/>
                </c:manualLayout>
              </c:layout>
              <c:numFmt formatCode="General" sourceLinked="0"/>
            </c:trendlineLbl>
          </c:trendline>
          <c:errBars>
            <c:errDir val="y"/>
            <c:errBarType val="both"/>
            <c:errValType val="cust"/>
            <c:plus>
              <c:numRef>
                <c:f>[3]LP_HP!$H$29</c:f>
                <c:numCache>
                  <c:formatCode>General</c:formatCode>
                  <c:ptCount val="1"/>
                  <c:pt idx="0">
                    <c:v>0.15924882887533257</c:v>
                  </c:pt>
                </c:numCache>
              </c:numRef>
            </c:plus>
            <c:minus>
              <c:numRef>
                <c:f>[3]LP_HP!$H$29</c:f>
                <c:numCache>
                  <c:formatCode>General</c:formatCode>
                  <c:ptCount val="1"/>
                  <c:pt idx="0">
                    <c:v>0.15924882887533257</c:v>
                  </c:pt>
                </c:numCache>
              </c:numRef>
            </c:minus>
          </c:errBars>
          <c:xVal>
            <c:numRef>
              <c:f>[3]LP_HP!$A$4:$A$14</c:f>
              <c:numCache>
                <c:formatCode>General</c:formatCode>
                <c:ptCount val="11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250</c:v>
                </c:pt>
                <c:pt idx="4">
                  <c:v>350</c:v>
                </c:pt>
                <c:pt idx="5">
                  <c:v>450</c:v>
                </c:pt>
                <c:pt idx="6">
                  <c:v>650</c:v>
                </c:pt>
                <c:pt idx="7">
                  <c:v>850</c:v>
                </c:pt>
                <c:pt idx="8">
                  <c:v>1050</c:v>
                </c:pt>
                <c:pt idx="9">
                  <c:v>1300</c:v>
                </c:pt>
                <c:pt idx="10">
                  <c:v>1500</c:v>
                </c:pt>
              </c:numCache>
            </c:numRef>
          </c:xVal>
          <c:yVal>
            <c:numRef>
              <c:f>[3]LP_HP!$G$18:$G$28</c:f>
              <c:numCache>
                <c:formatCode>General</c:formatCode>
                <c:ptCount val="11"/>
                <c:pt idx="0">
                  <c:v>-1.407999999999975</c:v>
                </c:pt>
                <c:pt idx="1">
                  <c:v>-0.80019999999999991</c:v>
                </c:pt>
                <c:pt idx="2">
                  <c:v>-7.5866666666666832E-2</c:v>
                </c:pt>
                <c:pt idx="3">
                  <c:v>1.4560000000000002</c:v>
                </c:pt>
                <c:pt idx="4">
                  <c:v>1.7739999999999818</c:v>
                </c:pt>
                <c:pt idx="5">
                  <c:v>2.1093333333333342</c:v>
                </c:pt>
                <c:pt idx="6">
                  <c:v>2.2599999999999998</c:v>
                </c:pt>
                <c:pt idx="7">
                  <c:v>2.3893333333333335</c:v>
                </c:pt>
                <c:pt idx="8">
                  <c:v>2.3519999999999968</c:v>
                </c:pt>
                <c:pt idx="9">
                  <c:v>2.2926666666666669</c:v>
                </c:pt>
                <c:pt idx="10">
                  <c:v>2.3846666666666665</c:v>
                </c:pt>
              </c:numCache>
            </c:numRef>
          </c:yVal>
          <c:smooth val="1"/>
        </c:ser>
        <c:axId val="105752448"/>
        <c:axId val="105796736"/>
      </c:scatterChart>
      <c:valAx>
        <c:axId val="105752448"/>
        <c:scaling>
          <c:orientation val="minMax"/>
          <c:max val="1500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Photosynthetic active radiation (µmol photons.m</a:t>
                </a:r>
                <a:r>
                  <a:rPr lang="en-US" b="0" baseline="30000"/>
                  <a:t>-2</a:t>
                </a:r>
                <a:r>
                  <a:rPr lang="en-US" b="0"/>
                  <a:t>.s</a:t>
                </a:r>
                <a:r>
                  <a:rPr lang="en-US" b="0" baseline="30000"/>
                  <a:t>-1</a:t>
                </a:r>
                <a:r>
                  <a:rPr lang="en-US" b="0"/>
                  <a:t>)</a:t>
                </a:r>
              </a:p>
            </c:rich>
          </c:tx>
          <c:layout>
            <c:manualLayout>
              <c:xMode val="edge"/>
              <c:yMode val="edge"/>
              <c:x val="0.36782425973073246"/>
              <c:y val="0.57685833967276923"/>
            </c:manualLayout>
          </c:layout>
        </c:title>
        <c:numFmt formatCode="General" sourceLinked="1"/>
        <c:tickLblPos val="nextTo"/>
        <c:spPr>
          <a:ln>
            <a:solidFill>
              <a:schemeClr val="tx1"/>
            </a:solidFill>
          </a:ln>
        </c:spPr>
        <c:crossAx val="105796736"/>
        <c:crosses val="autoZero"/>
        <c:crossBetween val="midCat"/>
        <c:majorUnit val="100"/>
        <c:minorUnit val="50"/>
      </c:valAx>
      <c:valAx>
        <c:axId val="10579673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700" b="0"/>
                </a:pPr>
                <a:r>
                  <a:rPr lang="en-US" sz="700" b="0"/>
                  <a:t>Photosynthetic rate</a:t>
                </a:r>
              </a:p>
              <a:p>
                <a:pPr>
                  <a:defRPr sz="700" b="0"/>
                </a:pPr>
                <a:r>
                  <a:rPr lang="en-US" sz="700" b="0"/>
                  <a:t> (µmol CO</a:t>
                </a:r>
                <a:r>
                  <a:rPr lang="en-US" sz="700" b="0" baseline="-25000"/>
                  <a:t>2</a:t>
                </a:r>
                <a:r>
                  <a:rPr lang="en-US" sz="700" b="0"/>
                  <a:t>.m</a:t>
                </a:r>
                <a:r>
                  <a:rPr lang="en-US" sz="700" b="0" baseline="30000"/>
                  <a:t>-1</a:t>
                </a:r>
                <a:r>
                  <a:rPr lang="en-US" sz="700" b="0"/>
                  <a:t>.s</a:t>
                </a:r>
                <a:r>
                  <a:rPr lang="en-US" sz="700" b="0" baseline="30000"/>
                  <a:t>-1</a:t>
                </a:r>
                <a:r>
                  <a:rPr lang="en-US" sz="700" b="0"/>
                  <a:t>)</a:t>
                </a:r>
              </a:p>
            </c:rich>
          </c:tx>
        </c:title>
        <c:numFmt formatCode="#,##0.000" sourceLinked="0"/>
        <c:tickLblPos val="nextTo"/>
        <c:spPr>
          <a:ln>
            <a:solidFill>
              <a:schemeClr val="tx1"/>
            </a:solidFill>
          </a:ln>
        </c:spPr>
        <c:crossAx val="105752448"/>
        <c:crossesAt val="1"/>
        <c:crossBetween val="midCat"/>
        <c:majorUnit val="0.5"/>
        <c:minorUnit val="0.1"/>
      </c:valAx>
      <c:spPr>
        <a:noFill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5383872541103278"/>
          <c:y val="0.69722316456474709"/>
          <c:w val="0.10617996864748648"/>
          <c:h val="0.19004687906075235"/>
        </c:manualLayout>
      </c:layout>
      <c:overlay val="1"/>
    </c:legend>
    <c:plotVisOnly val="1"/>
  </c:chart>
  <c:spPr>
    <a:noFill/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Hennie</dc:creator>
  <cp:lastModifiedBy>Hennie</cp:lastModifiedBy>
  <cp:revision>2</cp:revision>
  <cp:lastPrinted>2017-04-26T09:44:00Z</cp:lastPrinted>
  <dcterms:created xsi:type="dcterms:W3CDTF">2017-04-26T09:46:00Z</dcterms:created>
  <dcterms:modified xsi:type="dcterms:W3CDTF">2017-04-26T09:46:00Z</dcterms:modified>
</cp:coreProperties>
</file>