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21" w:rsidRPr="000F0D5C" w:rsidRDefault="00956821" w:rsidP="00956821">
      <w:pPr>
        <w:pStyle w:val="Ttulo2"/>
        <w:rPr>
          <w:i w:val="0"/>
          <w:lang w:val="en-US"/>
        </w:rPr>
      </w:pPr>
      <w:r w:rsidRPr="000F0D5C">
        <w:rPr>
          <w:i w:val="0"/>
          <w:lang w:val="en-US"/>
        </w:rPr>
        <w:t>Supplemental material: methods</w:t>
      </w:r>
    </w:p>
    <w:p w:rsidR="00956821" w:rsidRPr="000F0D5C" w:rsidRDefault="00956821" w:rsidP="00FE0317">
      <w:pPr>
        <w:pStyle w:val="Ttulo2"/>
        <w:rPr>
          <w:lang w:val="en-US"/>
        </w:rPr>
      </w:pPr>
    </w:p>
    <w:p w:rsidR="00FE0317" w:rsidRPr="000F0D5C" w:rsidRDefault="00FE0317" w:rsidP="00FE0317">
      <w:pPr>
        <w:pStyle w:val="Ttulo2"/>
        <w:rPr>
          <w:lang w:val="en-US"/>
        </w:rPr>
      </w:pPr>
      <w:r w:rsidRPr="000F0D5C">
        <w:rPr>
          <w:lang w:val="en-US"/>
        </w:rPr>
        <w:t>Surgical techniques</w:t>
      </w:r>
    </w:p>
    <w:p w:rsidR="00FE0317" w:rsidRPr="000F0D5C" w:rsidRDefault="00FE0317" w:rsidP="00FE0317">
      <w:pPr>
        <w:pStyle w:val="Paragraph"/>
        <w:rPr>
          <w:lang w:val="en-US"/>
        </w:rPr>
      </w:pPr>
      <w:r w:rsidRPr="000F0D5C">
        <w:rPr>
          <w:lang w:val="en-US"/>
        </w:rPr>
        <w:t>Surgery was performed in an operating room designed and prepared to accommodate ovine subjects and standard aseptic surgical procedures.</w:t>
      </w:r>
    </w:p>
    <w:p w:rsidR="00FE0317" w:rsidRPr="000F0D5C" w:rsidRDefault="00FE0317" w:rsidP="00FE0317">
      <w:pPr>
        <w:pStyle w:val="Newparagraph"/>
        <w:rPr>
          <w:color w:val="000000" w:themeColor="text1"/>
          <w:lang w:val="en-US"/>
        </w:rPr>
      </w:pPr>
      <w:r w:rsidRPr="000F0D5C">
        <w:rPr>
          <w:color w:val="000000" w:themeColor="text1"/>
          <w:lang w:val="en-US"/>
        </w:rPr>
        <w:t xml:space="preserve">For Groups 2 and 3, male and female adult sheep from 45 to 72 kg received no food for 12 hours prior to induction of anesthesia. Prior to surgery, the sheep were sedated using xylazine (1 mg/kg I.M.), </w:t>
      </w:r>
      <w:r w:rsidRPr="000F0D5C">
        <w:rPr>
          <w:color w:val="000000" w:themeColor="text1"/>
          <w:lang w:val="en-US" w:eastAsia="es-MX"/>
        </w:rPr>
        <w:t>anesthetized with</w:t>
      </w:r>
      <w:r w:rsidRPr="000F0D5C">
        <w:rPr>
          <w:color w:val="000000" w:themeColor="text1"/>
          <w:lang w:val="en-US"/>
        </w:rPr>
        <w:t xml:space="preserve"> tiletamine/zolazepam (10 mg/kg I.V.) and maintained with </w:t>
      </w:r>
      <w:proofErr w:type="spellStart"/>
      <w:r w:rsidRPr="000F0D5C">
        <w:rPr>
          <w:color w:val="000000" w:themeColor="text1"/>
          <w:lang w:val="en-US"/>
        </w:rPr>
        <w:t>isofluorane</w:t>
      </w:r>
      <w:proofErr w:type="spellEnd"/>
      <w:r w:rsidRPr="000F0D5C">
        <w:rPr>
          <w:color w:val="000000" w:themeColor="text1"/>
          <w:lang w:val="en-US"/>
        </w:rPr>
        <w:t xml:space="preserve"> (1.5 to 2%) in 100% O</w:t>
      </w:r>
      <w:r w:rsidRPr="000F0D5C">
        <w:rPr>
          <w:color w:val="000000" w:themeColor="text1"/>
          <w:vertAlign w:val="subscript"/>
          <w:lang w:val="en-US"/>
        </w:rPr>
        <w:t>2</w:t>
      </w:r>
      <w:r w:rsidRPr="000F0D5C">
        <w:rPr>
          <w:color w:val="000000" w:themeColor="text1"/>
          <w:lang w:val="en-US"/>
        </w:rPr>
        <w:t xml:space="preserve"> and </w:t>
      </w:r>
      <w:proofErr w:type="spellStart"/>
      <w:r w:rsidRPr="000F0D5C">
        <w:rPr>
          <w:color w:val="000000" w:themeColor="text1"/>
          <w:lang w:val="en-US"/>
        </w:rPr>
        <w:t>butorfanol</w:t>
      </w:r>
      <w:proofErr w:type="spellEnd"/>
      <w:r w:rsidRPr="000F0D5C">
        <w:rPr>
          <w:color w:val="000000" w:themeColor="text1"/>
          <w:lang w:val="en-US"/>
        </w:rPr>
        <w:t xml:space="preserve"> (0.1 mg/kg I.V.) as</w:t>
      </w:r>
      <w:r w:rsidRPr="000F0D5C">
        <w:rPr>
          <w:b/>
          <w:color w:val="000000" w:themeColor="text1"/>
          <w:lang w:val="en-US"/>
        </w:rPr>
        <w:t xml:space="preserve"> </w:t>
      </w:r>
      <w:r w:rsidRPr="000F0D5C">
        <w:rPr>
          <w:color w:val="000000" w:themeColor="text1"/>
          <w:lang w:val="en-US"/>
        </w:rPr>
        <w:t xml:space="preserve">analgesic, and intubated to prevent aspiration in the event of regurgitation </w:t>
      </w:r>
      <w:r w:rsidRPr="000F0D5C">
        <w:rPr>
          <w:color w:val="000000" w:themeColor="text1"/>
          <w:lang w:val="en-US"/>
        </w:rPr>
        <w:fldChar w:fldCharType="begin" w:fldLock="1"/>
      </w:r>
      <w:r w:rsidRPr="000F0D5C">
        <w:rPr>
          <w:color w:val="000000" w:themeColor="text1"/>
          <w:lang w:val="en-US"/>
        </w:rPr>
        <w:instrText>ADDIN CSL_CITATION {"citationItems":[{"id":"ITEM-1","itemData":{"DOI":"10.17226/12910","ISBN":"978-0-309-15400-0","ISSN":"0023-6772","PMID":"21595115","abstract":"The purpose of the Guide for the Care and Use of Laboratory Animals (the Guide), as expressed in the charge to the Committee for the Update of the Guide, is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Recommendations in the Guide are based on published data, scientific principles, expert opinion, and experience with methods and practices that have proved to be consistent with both high-quality research and humane animal care and use. These recommendations should be used as a foundation for the development of a comprehensive animal care and use program, recognizing that the concept and application of performance standards, in accordance with goals, outcomes, and considerations defined in the Guide, is essential to this process.","author":[{"dropping-particle":"","family":"National Research Council","given":"","non-dropping-particle":"","parse-names":false,"suffix":""}],"container-title":"Guide for the Care and Use of Laboratory Animals","edition":"8th ed.","id":"ITEM-1","issue":"3","issued":{"date-parts":[["2011","12","27"]]},"number-of-pages":"267-268","publisher":"National Academies Press","publisher-place":"Washington (DC)","title":"Guide for the Care and Use of Laboratory Animals","type":"book","volume":"46"},"uris":["http://www.mendeley.com/documents/?uuid=4fb5c57d-fe27-4a24-8c7d-b2ae50b71cd0"]}],"mendeley":{"formattedCitation":"[23]","plainTextFormattedCitation":"[23]","previouslyFormattedCitation":"[23]"},"properties":{"noteIndex":0},"schema":"https://github.com/citation-style-language/schema/raw/master/csl-citation.json"}</w:instrText>
      </w:r>
      <w:r w:rsidRPr="000F0D5C">
        <w:rPr>
          <w:color w:val="000000" w:themeColor="text1"/>
          <w:lang w:val="en-US"/>
        </w:rPr>
        <w:fldChar w:fldCharType="separate"/>
      </w:r>
      <w:r w:rsidRPr="000F0D5C">
        <w:rPr>
          <w:noProof/>
          <w:color w:val="000000" w:themeColor="text1"/>
          <w:lang w:val="en-US"/>
        </w:rPr>
        <w:t>[23]</w:t>
      </w:r>
      <w:r w:rsidRPr="000F0D5C">
        <w:rPr>
          <w:color w:val="000000" w:themeColor="text1"/>
          <w:lang w:val="en-US"/>
        </w:rPr>
        <w:fldChar w:fldCharType="end"/>
      </w:r>
      <w:r w:rsidRPr="000F0D5C">
        <w:rPr>
          <w:color w:val="000000" w:themeColor="text1"/>
          <w:lang w:val="en-US"/>
        </w:rPr>
        <w:t xml:space="preserve">. Heart rate, blood pressure and respiration were monitored and hydration in all 3 groups was maintained with a continuous IV infusion of isotonic saline </w:t>
      </w:r>
      <w:r w:rsidRPr="000F0D5C">
        <w:rPr>
          <w:color w:val="000000" w:themeColor="text1"/>
          <w:lang w:val="en-US"/>
        </w:rPr>
        <w:fldChar w:fldCharType="begin" w:fldLock="1"/>
      </w:r>
      <w:r w:rsidRPr="000F0D5C">
        <w:rPr>
          <w:color w:val="000000" w:themeColor="text1"/>
          <w:lang w:val="en-US"/>
        </w:rPr>
        <w:instrText>ADDIN CSL_CITATION {"citationItems":[{"id":"ITEM-1","itemData":{"DOI":"10.17226/12910","ISBN":"978-0-309-15400-0","ISSN":"0023-6772","PMID":"21595115","abstract":"The purpose of the Guide for the Care and Use of Laboratory Animals (the Guide), as expressed in the charge to the Committee for the Update of the Guide, is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Recommendations in the Guide are based on published data, scientific principles, expert opinion, and experience with methods and practices that have proved to be consistent with both high-quality research and humane animal care and use. These recommendations should be used as a foundation for the development of a comprehensive animal care and use program, recognizing that the concept and application of performance standards, in accordance with goals, outcomes, and considerations defined in the Guide, is essential to this process.","author":[{"dropping-particle":"","family":"National Research Council","given":"","non-dropping-particle":"","parse-names":false,"suffix":""}],"container-title":"Guide for the Care and Use of Laboratory Animals","edition":"8th ed.","id":"ITEM-1","issue":"3","issued":{"date-parts":[["2011","12","27"]]},"number-of-pages":"267-268","publisher":"National Academies Press","publisher-place":"Washington (DC)","title":"Guide for the Care and Use of Laboratory Animals","type":"book","volume":"46"},"uris":["http://www.mendeley.com/documents/?uuid=4fb5c57d-fe27-4a24-8c7d-b2ae50b71cd0"]}],"mendeley":{"formattedCitation":"[23]","plainTextFormattedCitation":"[23]","previouslyFormattedCitation":"[23]"},"properties":{"noteIndex":0},"schema":"https://github.com/citation-style-language/schema/raw/master/csl-citation.json"}</w:instrText>
      </w:r>
      <w:r w:rsidRPr="000F0D5C">
        <w:rPr>
          <w:color w:val="000000" w:themeColor="text1"/>
          <w:lang w:val="en-US"/>
        </w:rPr>
        <w:fldChar w:fldCharType="separate"/>
      </w:r>
      <w:r w:rsidRPr="000F0D5C">
        <w:rPr>
          <w:noProof/>
          <w:color w:val="000000" w:themeColor="text1"/>
          <w:lang w:val="en-US"/>
        </w:rPr>
        <w:t>[23]</w:t>
      </w:r>
      <w:r w:rsidRPr="000F0D5C">
        <w:rPr>
          <w:color w:val="000000" w:themeColor="text1"/>
          <w:lang w:val="en-US"/>
        </w:rPr>
        <w:fldChar w:fldCharType="end"/>
      </w:r>
      <w:r w:rsidRPr="000F0D5C">
        <w:rPr>
          <w:color w:val="000000" w:themeColor="text1"/>
          <w:lang w:val="en-US"/>
        </w:rPr>
        <w:t xml:space="preserve">. In addition, Group 3 animals received replacement volume of saline equal to that of thoracic duct lymph removed. The jugular vein was cannulated for blood samples </w:t>
      </w:r>
      <w:r w:rsidRPr="000F0D5C">
        <w:rPr>
          <w:color w:val="000000" w:themeColor="text1"/>
          <w:lang w:val="en-US"/>
        </w:rPr>
        <w:fldChar w:fldCharType="begin" w:fldLock="1"/>
      </w:r>
      <w:r w:rsidRPr="000F0D5C">
        <w:rPr>
          <w:color w:val="000000" w:themeColor="text1"/>
          <w:lang w:val="en-US"/>
        </w:rPr>
        <w:instrText>ADDIN CSL_CITATION {"citationItems":[{"id":"ITEM-1","itemData":{"ISBN":"978-0-919087-50-7","author":[{"dropping-particle":"","family":"Canadian Council on Animal Care","given":"","non-dropping-particle":"","parse-names":false,"suffix":""}],"container-title":"CCAC., Ottawa, ON","id":"ITEM-1","issued":{"date-parts":[["2009"]]},"number-of-pages":"12-15","publisher":"Canadian Council on Animal Care","publisher-place":"Ottawa (ON)","title":"CCAC guidelines on: the care and use of farm animals in research, teaching and testing","type":"book"},"uris":["http://www.mendeley.com/documents/?uuid=d67ab9a5-2c96-4567-a15a-42d1f48dbf2a"]}],"mendeley":{"formattedCitation":"[21]","plainTextFormattedCitation":"[21]","previouslyFormattedCitation":"[21]"},"properties":{"noteIndex":0},"schema":"https://github.com/citation-style-language/schema/raw/master/csl-citation.json"}</w:instrText>
      </w:r>
      <w:r w:rsidRPr="000F0D5C">
        <w:rPr>
          <w:color w:val="000000" w:themeColor="text1"/>
          <w:lang w:val="en-US"/>
        </w:rPr>
        <w:fldChar w:fldCharType="separate"/>
      </w:r>
      <w:r w:rsidRPr="000F0D5C">
        <w:rPr>
          <w:noProof/>
          <w:color w:val="000000" w:themeColor="text1"/>
          <w:lang w:val="en-US"/>
        </w:rPr>
        <w:t>[21]</w:t>
      </w:r>
      <w:r w:rsidRPr="000F0D5C">
        <w:rPr>
          <w:color w:val="000000" w:themeColor="text1"/>
          <w:lang w:val="en-US"/>
        </w:rPr>
        <w:fldChar w:fldCharType="end"/>
      </w:r>
      <w:r w:rsidRPr="000F0D5C">
        <w:rPr>
          <w:color w:val="000000" w:themeColor="text1"/>
          <w:lang w:val="en-US"/>
        </w:rPr>
        <w:t xml:space="preserve"> and the cannula was flushed with heparin solution to avoid clotting. Rumenotomy was performed to avoid pasture bloat. In Group 3, Evans blue dye was injected SC in the left hindlimb to facilitate visualization and cannulation of the thoracic duct. Cannulation was achieved by an incision into the left neck with the head recumbent to identify the thoracic duct at its termination into the venous system. The duct was ligated just before entry into the vein to distend the vessel and a </w:t>
      </w:r>
      <w:proofErr w:type="gramStart"/>
      <w:r w:rsidRPr="000F0D5C">
        <w:rPr>
          <w:color w:val="000000" w:themeColor="text1"/>
          <w:lang w:val="en-US"/>
        </w:rPr>
        <w:t>22 gauge</w:t>
      </w:r>
      <w:proofErr w:type="gramEnd"/>
      <w:r w:rsidRPr="000F0D5C">
        <w:rPr>
          <w:color w:val="000000" w:themeColor="text1"/>
          <w:lang w:val="en-US"/>
        </w:rPr>
        <w:t xml:space="preserve"> angiocath (Becton Dickinson and Company, Mexico) was inserted and secured with suture for collection. After 6 hours, all animals were euthanized with intravenous pentobarbital </w:t>
      </w:r>
      <w:r w:rsidRPr="000F0D5C">
        <w:rPr>
          <w:color w:val="000000" w:themeColor="text1"/>
          <w:lang w:val="en-US"/>
        </w:rPr>
        <w:fldChar w:fldCharType="begin" w:fldLock="1"/>
      </w:r>
      <w:r w:rsidRPr="000F0D5C">
        <w:rPr>
          <w:color w:val="000000" w:themeColor="text1"/>
          <w:lang w:val="en-US"/>
        </w:rPr>
        <w:instrText>ADDIN CSL_CITATION {"citationItems":[{"id":"ITEM-1","itemData":{"DOI":"10.17226/12910","ISBN":"978-0-309-15400-0","ISSN":"0023-6772","PMID":"21595115","abstract":"The purpose of the Guide for the Care and Use of Laboratory Animals (the Guide), as expressed in the charge to the Committee for the Update of the Guide, is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Recommendations in the Guide are based on published data, scientific principles, expert opinion, and experience with methods and practices that have proved to be consistent with both high-quality research and humane animal care and use. These recommendations should be used as a foundation for the development of a comprehensive animal care and use program, recognizing that the concept and application of performance standards, in accordance with goals, outcomes, and considerations defined in the Guide, is essential to this process.","author":[{"dropping-particle":"","family":"National Research Council","given":"","non-dropping-particle":"","parse-names":false,"suffix":""}],"container-title":"Guide for the Care and Use of Laboratory Animals","edition":"8th ed.","id":"ITEM-1","issue":"3","issued":{"date-parts":[["2011","12","27"]]},"number-of-pages":"267-268","publisher":"National Academies Press","publisher-place":"Washington (DC)","title":"Guide for the Care and Use of Laboratory Animals","type":"book","volume":"46"},"uris":["http://www.mendeley.com/documents/?uuid=4fb5c57d-fe27-4a24-8c7d-b2ae50b71cd0"]},{"id":"ITEM-2","itemData":{"ISBN":"978-1-882691-21-0","ISSN":"1537-744X","abstract":"Vast areas of the Iberian Peninsula are covered by monocultures of the exotic tree Eucalyptus globulus. Given that (1) leaf litter produced in the riparian areas is the main energy source for small streams, and (2) trees differ in their nutrient content, chemical defenses, and physical attributes, eucalypt plantations have the potential to affect the biology of streams. Research teams from the University of Coimbra and the University of the Basque Country have been addressing the potential effects of eucalypt plantations at several levels of study. Here we review the main conclusions of these investigations. Eucalypt plantations produced less litter than some deciduous forests. However, there were marked differences in timing of litterfall: litter production peaked during autumn in deciduous forests, whereas in the eucalypt forests it tended to peak in summer and to be more evenly distributed throughout the year. Despite these differences, the average standing stock of organic matter was higher in the eucalypt than in the deciduous forest. This may be attributed to (1) the occurrence of spates or heavy rain in autumn, the period of maximum litter fall in deciduous forests, and (2) bark accumulation in eucalypt forests. Because of differences in leaf composition, the nutrient input in eucalypt forests seems to be lower than in deciduous forests. The rate of decomposition of eucalypt leaves was strongly dependent on nutrients in the water: in nutrient-poor waters it was slower than that of most other leaf species, whereas in nutrient-rich waters it can be as fast as alder--a fast-decaying species. The biomass and cumulative diversity of aquatic hyphomycetes colonizing leaves did not differ between eucalypt and other native leaf species, but fungal sporulation generally peaked 2 weeks later on eucalypt leaves. This lag disappeared when lipids (but not polyphenolics) were chemically removed from eucalypt leaves. Similarly, addition of eucalypt oils to culture media retarded or suppressed fungal growth. Streams bordered by Eucalyptus had lower diversity of fungal spores (but similar spore densities) in Portugal; less consistent patterns were found in similar experiments in Spain. Eucalyptus leaves proved to be poor food for shredders. Under laboratory conditions leaves of Eucalyptus ranked low in food selection experiments using native shredders. The same shredders failed to grow and died when fed exclusively eucalypt leaves. The removal of oils from eucalyp…","author":[{"dropping-particle":"","family":"Leary S, Underwood W, Anthony R","given":"Cartner S","non-dropping-particle":"","parse-names":false,"suffix":""}],"container-title":"American Veterinary Medical Association","editor":[{"dropping-particle":"","family":"Association","given":"American Veterinary Medical","non-dropping-particle":"","parse-names":false,"suffix":""}],"id":"ITEM-2","issue":"January","issued":{"date-parts":[["2013","4","30"]]},"number-of-pages":"98","publisher":"Elsevier","publisher-place":"Schaumburg (IL)","title":"AVMA Guidelines for the Euthanasia of Animals: 2013 Edition","type":"book"},"uris":["http://www.mendeley.com/documents/?uuid=55a387c0-0274-4702-acb8-aed2e05671d1"]}],"mendeley":{"formattedCitation":"[23, 24]","plainTextFormattedCitation":"[23, 24]","previouslyFormattedCitation":"[23, 24]"},"properties":{"noteIndex":0},"schema":"https://github.com/citation-style-language/schema/raw/master/csl-citation.json"}</w:instrText>
      </w:r>
      <w:r w:rsidRPr="000F0D5C">
        <w:rPr>
          <w:color w:val="000000" w:themeColor="text1"/>
          <w:lang w:val="en-US"/>
        </w:rPr>
        <w:fldChar w:fldCharType="separate"/>
      </w:r>
      <w:r w:rsidRPr="000F0D5C">
        <w:rPr>
          <w:noProof/>
          <w:color w:val="000000" w:themeColor="text1"/>
          <w:lang w:val="en-US"/>
        </w:rPr>
        <w:t>[23, 24]</w:t>
      </w:r>
      <w:r w:rsidRPr="000F0D5C">
        <w:rPr>
          <w:color w:val="000000" w:themeColor="text1"/>
          <w:lang w:val="en-US"/>
        </w:rPr>
        <w:fldChar w:fldCharType="end"/>
      </w:r>
      <w:r w:rsidRPr="000F0D5C">
        <w:rPr>
          <w:color w:val="000000" w:themeColor="text1"/>
          <w:lang w:val="en-US"/>
        </w:rPr>
        <w:t xml:space="preserve">. Subjects in Group 1, which did not involve the use of </w:t>
      </w:r>
      <w:r w:rsidRPr="000F0D5C">
        <w:rPr>
          <w:color w:val="000000" w:themeColor="text1"/>
          <w:lang w:val="en-US"/>
        </w:rPr>
        <w:lastRenderedPageBreak/>
        <w:t xml:space="preserve">venom, were assessed without anesthesia or surgery </w:t>
      </w:r>
      <w:r w:rsidRPr="000F0D5C">
        <w:rPr>
          <w:color w:val="000000" w:themeColor="text1"/>
          <w:lang w:val="en-US"/>
        </w:rPr>
        <w:fldChar w:fldCharType="begin" w:fldLock="1"/>
      </w:r>
      <w:r w:rsidRPr="000F0D5C">
        <w:rPr>
          <w:color w:val="000000" w:themeColor="text1"/>
          <w:lang w:val="en-US"/>
        </w:rPr>
        <w:instrText>ADDIN CSL_CITATION {"citationItems":[{"id":"ITEM-1","itemData":{"DOI":"10.17226/12910","ISBN":"978-0-309-15400-0","ISSN":"0023-6772","PMID":"21595115","abstract":"The purpose of the Guide for the Care and Use of Laboratory Animals (the Guide), as expressed in the charge to the Committee for the Update of the Guide, is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Recommendations in the Guide are based on published data, scientific principles, expert opinion, and experience with methods and practices that have proved to be consistent with both high-quality research and humane animal care and use. These recommendations should be used as a foundation for the development of a comprehensive animal care and use program, recognizing that the concept and application of performance standards, in accordance with goals, outcomes, and considerations defined in the Guide, is essential to this process.","author":[{"dropping-particle":"","family":"National Research Council","given":"","non-dropping-particle":"","parse-names":false,"suffix":""}],"container-title":"Guide for the Care and Use of Laboratory Animals","edition":"8th ed.","id":"ITEM-1","issue":"3","issued":{"date-parts":[["2011","12","27"]]},"number-of-pages":"267-268","publisher":"National Academies Press","publisher-place":"Washington (DC)","title":"Guide for the Care and Use of Laboratory Animals","type":"book","volume":"46"},"uris":["http://www.mendeley.com/documents/?uuid=4fb5c57d-fe27-4a24-8c7d-b2ae50b71cd0"]}],"mendeley":{"formattedCitation":"[23]","plainTextFormattedCitation":"[23]","previouslyFormattedCitation":"[23]"},"properties":{"noteIndex":0},"schema":"https://github.com/citation-style-language/schema/raw/master/csl-citation.json"}</w:instrText>
      </w:r>
      <w:r w:rsidRPr="000F0D5C">
        <w:rPr>
          <w:color w:val="000000" w:themeColor="text1"/>
          <w:lang w:val="en-US"/>
        </w:rPr>
        <w:fldChar w:fldCharType="separate"/>
      </w:r>
      <w:r w:rsidRPr="000F0D5C">
        <w:rPr>
          <w:noProof/>
          <w:color w:val="000000" w:themeColor="text1"/>
          <w:lang w:val="en-US"/>
        </w:rPr>
        <w:t>[23]</w:t>
      </w:r>
      <w:r w:rsidRPr="000F0D5C">
        <w:rPr>
          <w:color w:val="000000" w:themeColor="text1"/>
          <w:lang w:val="en-US"/>
        </w:rPr>
        <w:fldChar w:fldCharType="end"/>
      </w:r>
      <w:r w:rsidRPr="000F0D5C">
        <w:rPr>
          <w:color w:val="000000" w:themeColor="text1"/>
          <w:lang w:val="en-US"/>
        </w:rPr>
        <w:t xml:space="preserve"> and were donated to a farm after the procedure.</w:t>
      </w:r>
    </w:p>
    <w:p w:rsidR="00FE0317" w:rsidRPr="000F0D5C" w:rsidRDefault="00FE0317" w:rsidP="00FE0317">
      <w:pPr>
        <w:pStyle w:val="Ttulo2"/>
        <w:rPr>
          <w:lang w:val="en-US"/>
        </w:rPr>
      </w:pPr>
      <w:r w:rsidRPr="000F0D5C">
        <w:rPr>
          <w:lang w:val="en-US"/>
        </w:rPr>
        <w:t xml:space="preserve">Determination of </w:t>
      </w:r>
      <w:bookmarkStart w:id="0" w:name="_GoBack"/>
      <w:bookmarkEnd w:id="0"/>
      <w:r w:rsidRPr="000F0D5C">
        <w:rPr>
          <w:highlight w:val="yellow"/>
          <w:lang w:val="en-US"/>
        </w:rPr>
        <w:t xml:space="preserve">Micrurus </w:t>
      </w:r>
      <w:proofErr w:type="spellStart"/>
      <w:r w:rsidRPr="000F0D5C">
        <w:rPr>
          <w:highlight w:val="yellow"/>
          <w:lang w:val="en-US"/>
        </w:rPr>
        <w:t>fulvius</w:t>
      </w:r>
      <w:proofErr w:type="spellEnd"/>
      <w:r w:rsidRPr="000F0D5C">
        <w:rPr>
          <w:lang w:val="en-US"/>
        </w:rPr>
        <w:t xml:space="preserve"> venom concentration by sandwich immunoassay</w:t>
      </w:r>
    </w:p>
    <w:p w:rsidR="00FE0317" w:rsidRPr="000F0D5C" w:rsidRDefault="00FE0317" w:rsidP="00956821">
      <w:pPr>
        <w:autoSpaceDE w:val="0"/>
        <w:autoSpaceDN w:val="0"/>
        <w:adjustRightInd w:val="0"/>
        <w:spacing w:line="480" w:lineRule="auto"/>
        <w:rPr>
          <w:rFonts w:ascii="Times New Roman" w:hAnsi="Times New Roman" w:cs="Times New Roman"/>
          <w:sz w:val="24"/>
          <w:szCs w:val="24"/>
          <w:lang w:val="en-US"/>
        </w:rPr>
      </w:pPr>
      <w:r w:rsidRPr="000F0D5C">
        <w:rPr>
          <w:rFonts w:ascii="Times New Roman" w:hAnsi="Times New Roman" w:cs="Times New Roman"/>
          <w:sz w:val="24"/>
          <w:szCs w:val="24"/>
          <w:lang w:val="en-US"/>
        </w:rPr>
        <w:t>Venom concentrations in lymph, serum, urine, and tissues were determined by sandwich immunoassay as described previously. Briefly,</w:t>
      </w:r>
      <w:r w:rsidRPr="000F0D5C">
        <w:rPr>
          <w:rFonts w:ascii="Times New Roman" w:hAnsi="Times New Roman" w:cs="Times New Roman"/>
          <w:bCs/>
          <w:iCs/>
          <w:sz w:val="24"/>
          <w:szCs w:val="24"/>
          <w:lang w:val="en-US"/>
        </w:rPr>
        <w:t xml:space="preserve"> immunopurified antibodies were obtained by passing rabbit immune serum against whole </w:t>
      </w:r>
      <w:r w:rsidRPr="000F0D5C">
        <w:rPr>
          <w:rFonts w:ascii="Times New Roman" w:hAnsi="Times New Roman" w:cs="Times New Roman"/>
          <w:bCs/>
          <w:i/>
          <w:iCs/>
          <w:sz w:val="24"/>
          <w:szCs w:val="24"/>
          <w:lang w:val="en-US"/>
        </w:rPr>
        <w:t xml:space="preserve">M. </w:t>
      </w:r>
      <w:proofErr w:type="spellStart"/>
      <w:r w:rsidRPr="000F0D5C">
        <w:rPr>
          <w:rFonts w:ascii="Times New Roman" w:hAnsi="Times New Roman" w:cs="Times New Roman"/>
          <w:bCs/>
          <w:i/>
          <w:iCs/>
          <w:sz w:val="24"/>
          <w:szCs w:val="24"/>
          <w:lang w:val="en-US"/>
        </w:rPr>
        <w:t>fulvius</w:t>
      </w:r>
      <w:proofErr w:type="spellEnd"/>
      <w:r w:rsidRPr="000F0D5C">
        <w:rPr>
          <w:rFonts w:ascii="Times New Roman" w:hAnsi="Times New Roman" w:cs="Times New Roman"/>
          <w:bCs/>
          <w:iCs/>
          <w:sz w:val="24"/>
          <w:szCs w:val="24"/>
          <w:lang w:val="en-US"/>
        </w:rPr>
        <w:t xml:space="preserve"> venom through a Sepharose-4B column with covalently attached (</w:t>
      </w:r>
      <w:proofErr w:type="spellStart"/>
      <w:r w:rsidRPr="000F0D5C">
        <w:rPr>
          <w:rFonts w:ascii="Times New Roman" w:hAnsi="Times New Roman" w:cs="Times New Roman"/>
          <w:bCs/>
          <w:iCs/>
          <w:sz w:val="24"/>
          <w:szCs w:val="24"/>
          <w:lang w:val="en-US"/>
        </w:rPr>
        <w:t>CNBr</w:t>
      </w:r>
      <w:proofErr w:type="spellEnd"/>
      <w:r w:rsidRPr="000F0D5C">
        <w:rPr>
          <w:rFonts w:ascii="Times New Roman" w:hAnsi="Times New Roman" w:cs="Times New Roman"/>
          <w:bCs/>
          <w:iCs/>
          <w:sz w:val="24"/>
          <w:szCs w:val="24"/>
          <w:lang w:val="en-US"/>
        </w:rPr>
        <w:t xml:space="preserve"> chemistry) whole </w:t>
      </w:r>
      <w:r w:rsidRPr="000F0D5C">
        <w:rPr>
          <w:rFonts w:ascii="Times New Roman" w:hAnsi="Times New Roman" w:cs="Times New Roman"/>
          <w:bCs/>
          <w:i/>
          <w:iCs/>
          <w:sz w:val="24"/>
          <w:szCs w:val="24"/>
          <w:lang w:val="en-US"/>
        </w:rPr>
        <w:t>M.</w:t>
      </w:r>
      <w:r w:rsidRPr="000F0D5C">
        <w:rPr>
          <w:rFonts w:ascii="Times New Roman" w:hAnsi="Times New Roman" w:cs="Times New Roman"/>
          <w:i/>
          <w:sz w:val="24"/>
          <w:szCs w:val="24"/>
          <w:lang w:val="en-US"/>
        </w:rPr>
        <w:t xml:space="preserve"> </w:t>
      </w:r>
      <w:proofErr w:type="spellStart"/>
      <w:r w:rsidRPr="000F0D5C">
        <w:rPr>
          <w:rFonts w:ascii="Times New Roman" w:hAnsi="Times New Roman" w:cs="Times New Roman"/>
          <w:i/>
          <w:sz w:val="24"/>
          <w:szCs w:val="24"/>
          <w:lang w:val="en-US"/>
        </w:rPr>
        <w:t>fulvius</w:t>
      </w:r>
      <w:proofErr w:type="spellEnd"/>
      <w:r w:rsidRPr="000F0D5C">
        <w:rPr>
          <w:rFonts w:ascii="Times New Roman" w:hAnsi="Times New Roman" w:cs="Times New Roman"/>
          <w:i/>
          <w:sz w:val="24"/>
          <w:szCs w:val="24"/>
          <w:lang w:val="en-US"/>
        </w:rPr>
        <w:t xml:space="preserve"> </w:t>
      </w:r>
      <w:r w:rsidRPr="000F0D5C">
        <w:rPr>
          <w:rFonts w:ascii="Times New Roman" w:hAnsi="Times New Roman" w:cs="Times New Roman"/>
          <w:sz w:val="24"/>
          <w:szCs w:val="24"/>
          <w:lang w:val="en-US"/>
        </w:rPr>
        <w:t>venom</w:t>
      </w:r>
      <w:r w:rsidRPr="000F0D5C">
        <w:rPr>
          <w:rFonts w:ascii="Times New Roman" w:hAnsi="Times New Roman" w:cs="Times New Roman"/>
          <w:bCs/>
          <w:iCs/>
          <w:sz w:val="24"/>
          <w:szCs w:val="24"/>
          <w:lang w:val="en-US"/>
        </w:rPr>
        <w:t>. The resulting antibodies were used both as capture (non-</w:t>
      </w:r>
      <w:proofErr w:type="spellStart"/>
      <w:r w:rsidRPr="000F0D5C">
        <w:rPr>
          <w:rFonts w:ascii="Times New Roman" w:hAnsi="Times New Roman" w:cs="Times New Roman"/>
          <w:bCs/>
          <w:iCs/>
          <w:sz w:val="24"/>
          <w:szCs w:val="24"/>
          <w:lang w:val="en-US"/>
        </w:rPr>
        <w:t>biotinilated</w:t>
      </w:r>
      <w:proofErr w:type="spellEnd"/>
      <w:r w:rsidRPr="000F0D5C">
        <w:rPr>
          <w:rFonts w:ascii="Times New Roman" w:hAnsi="Times New Roman" w:cs="Times New Roman"/>
          <w:bCs/>
          <w:iCs/>
          <w:sz w:val="24"/>
          <w:szCs w:val="24"/>
          <w:lang w:val="en-US"/>
        </w:rPr>
        <w:t>) and as detection (</w:t>
      </w:r>
      <w:proofErr w:type="spellStart"/>
      <w:r w:rsidRPr="000F0D5C">
        <w:rPr>
          <w:rFonts w:ascii="Times New Roman" w:hAnsi="Times New Roman" w:cs="Times New Roman"/>
          <w:bCs/>
          <w:iCs/>
          <w:sz w:val="24"/>
          <w:szCs w:val="24"/>
          <w:lang w:val="en-US"/>
        </w:rPr>
        <w:t>biotinilated</w:t>
      </w:r>
      <w:proofErr w:type="spellEnd"/>
      <w:r w:rsidRPr="000F0D5C">
        <w:rPr>
          <w:rFonts w:ascii="Times New Roman" w:hAnsi="Times New Roman" w:cs="Times New Roman"/>
          <w:bCs/>
          <w:iCs/>
          <w:sz w:val="24"/>
          <w:szCs w:val="24"/>
          <w:lang w:val="en-US"/>
        </w:rPr>
        <w:t xml:space="preserve">) antibodies. The signal was developed with Streptavidin-Peroxidase conjugate and ABTS. </w:t>
      </w:r>
      <w:r w:rsidRPr="000F0D5C">
        <w:rPr>
          <w:rFonts w:ascii="Times New Roman" w:hAnsi="Times New Roman" w:cs="Times New Roman"/>
          <w:sz w:val="24"/>
          <w:szCs w:val="24"/>
          <w:lang w:val="en-US"/>
        </w:rPr>
        <w:t xml:space="preserve"> The standard curve had a lower limit of quantification of 1.3 ± 0.4 ng/ml.  This assay was able to detect all components of venom that can be detectable by SDS-PAGE and RP-HPLC, without discrimination between PLA</w:t>
      </w:r>
      <w:r w:rsidRPr="000F0D5C">
        <w:rPr>
          <w:rFonts w:ascii="Times New Roman" w:hAnsi="Times New Roman" w:cs="Times New Roman"/>
          <w:sz w:val="24"/>
          <w:szCs w:val="24"/>
          <w:vertAlign w:val="subscript"/>
          <w:lang w:val="en-US"/>
        </w:rPr>
        <w:t xml:space="preserve">2 </w:t>
      </w:r>
      <w:r w:rsidRPr="000F0D5C">
        <w:rPr>
          <w:rFonts w:ascii="Times New Roman" w:hAnsi="Times New Roman" w:cs="Times New Roman"/>
          <w:sz w:val="24"/>
          <w:szCs w:val="24"/>
          <w:lang w:val="en-US"/>
        </w:rPr>
        <w:t>and other proteins contained in the venom</w:t>
      </w:r>
      <w:r w:rsidRPr="000F0D5C">
        <w:rPr>
          <w:rFonts w:ascii="Times New Roman" w:hAnsi="Times New Roman" w:cs="Times New Roman"/>
          <w:sz w:val="24"/>
          <w:szCs w:val="24"/>
          <w:lang w:val="en-US"/>
        </w:rPr>
        <w:fldChar w:fldCharType="begin" w:fldLock="1"/>
      </w:r>
      <w:r w:rsidRPr="000F0D5C">
        <w:rPr>
          <w:rFonts w:ascii="Times New Roman" w:hAnsi="Times New Roman" w:cs="Times New Roman"/>
          <w:sz w:val="24"/>
          <w:szCs w:val="24"/>
          <w:lang w:val="en-US"/>
        </w:rPr>
        <w:instrText>ADDIN CSL_CITATION {"citationItems":[{"id":"ITEM-1","itemData":{"ISBN":"0024-7766 (Print)\\r0024-7766","ISSN":"0024-7766","PMID":"23700761","abstract":"The contribution of the lymphatic system to the absorption and systemic bioavailability of Micrurus fulvius venom after subcutaneous (SC) administration was assessed using a central lymph-cannulated sheep model. Micrurus fulvius venom was administered either by intravenous bolus (IV) or subcutaneous injection (SC) in 12 sheep with and without thoracic duct cannulation and drainage. Venom concentration in serum and lymph was determined by a sandwich enzyme-linked immunosorbent assay (ELISA) in samples collected over a 6-hour period and in tissues harvested at the end of the experiment. Pharmacokinetic parameters were determined by a non-compartmental analysis. In the lymphatic cannulated group, over the 6 hours after the venom was administered, 69% of administered dose was accounted for in blood (45%) and lymph (25%). Negligible levels of venom were detected in organs and urine implying that the steady state observed after SC administration is maintained by a slow absorption process. Comparison of kinetics of the thoracic duct cannulated and non-cannulated groups showed that lymphatic absorption contributed in an important way to maintenance of this steady state. These results show that the limiting process in the pharmacokinetics of Micrurus fulvius venom following SC administration is absorption, and that the lymphatic system plays a key role in this process.","author":[{"dropping-particle":"","family":"Paniagua","given":"D","non-dropping-particle":"","parse-names":false,"suffix":""},{"dropping-particle":"","family":"Jiménez","given":"L","non-dropping-particle":"","parse-names":false,"suffix":""},{"dropping-particle":"","family":"Romero","given":"C","non-dropping-particle":"","parse-names":false,"suffix":""},{"dropping-particle":"","family":"Vergara","given":"I","non-dropping-particle":"","parse-names":false,"suffix":""},{"dropping-particle":"","family":"Calderón","given":"A","non-dropping-particle":"","parse-names":false,"suffix":""},{"dropping-particle":"","family":"Benard","given":"M","non-dropping-particle":"","parse-names":false,"suffix":""},{"dropping-particle":"","family":"Bernas","given":"M J","non-dropping-particle":"","parse-names":false,"suffix":""},{"dropping-particle":"","family":"Rilo","given":"H","non-dropping-particle":"","parse-names":false,"suffix":""},{"dropping-particle":"","family":"Roodt","given":"A","non-dropping-particle":"de","parse-names":false,"suffix":""},{"dropping-particle":"","family":"Suze","given":"G","non-dropping-particle":"D'","parse-names":false,"suffix":""},{"dropping-particle":"","family":"Witte","given":"M H","non-dropping-particle":"","parse-names":false,"suffix":""},{"dropping-particle":"","family":"Boyer","given":"L","non-dropping-particle":"","parse-names":false,"suffix":""},{"dropping-particle":"","family":"Alagón","given":"A","non-dropping-particle":"","parse-names":false,"suffix":""}],"container-title":"Lymphology","id":"ITEM-1","issue":"4","issued":{"date-parts":[["2012","12"]]},"page":"144-53","title":"Lymphatic route of transport and pharmacokinetics of Micrurus fulvius (coral snake) venom in sheep.","type":"article-journal","volume":"45"},"uris":["http://www.mendeley.com/documents/?uuid=99010b5d-6c5d-3b7d-b032-ee7cdfdd6427"]}],"mendeley":{"formattedCitation":"[8]","plainTextFormattedCitation":"[8]","previouslyFormattedCitation":"[8]"},"properties":{"noteIndex":0},"schema":"https://github.com/citation-style-language/schema/raw/master/csl-citation.json"}</w:instrText>
      </w:r>
      <w:r w:rsidRPr="000F0D5C">
        <w:rPr>
          <w:rFonts w:ascii="Times New Roman" w:hAnsi="Times New Roman" w:cs="Times New Roman"/>
          <w:sz w:val="24"/>
          <w:szCs w:val="24"/>
          <w:lang w:val="en-US"/>
        </w:rPr>
        <w:fldChar w:fldCharType="separate"/>
      </w:r>
      <w:r w:rsidRPr="000F0D5C">
        <w:rPr>
          <w:rFonts w:ascii="Times New Roman" w:hAnsi="Times New Roman" w:cs="Times New Roman"/>
          <w:noProof/>
          <w:sz w:val="24"/>
          <w:szCs w:val="24"/>
          <w:lang w:val="en-US"/>
        </w:rPr>
        <w:t>[8]</w:t>
      </w:r>
      <w:r w:rsidRPr="000F0D5C">
        <w:rPr>
          <w:rFonts w:ascii="Times New Roman" w:hAnsi="Times New Roman" w:cs="Times New Roman"/>
          <w:sz w:val="24"/>
          <w:szCs w:val="24"/>
          <w:lang w:val="en-US"/>
        </w:rPr>
        <w:fldChar w:fldCharType="end"/>
      </w:r>
      <w:r w:rsidRPr="000F0D5C">
        <w:rPr>
          <w:rFonts w:ascii="Times New Roman" w:hAnsi="Times New Roman" w:cs="Times New Roman"/>
          <w:sz w:val="24"/>
          <w:szCs w:val="24"/>
          <w:lang w:val="en-US"/>
        </w:rPr>
        <w:t>.</w:t>
      </w:r>
    </w:p>
    <w:p w:rsidR="00FE0317" w:rsidRPr="000F0D5C" w:rsidRDefault="00FE0317" w:rsidP="00FE0317">
      <w:pPr>
        <w:pStyle w:val="Ttulo2"/>
        <w:rPr>
          <w:lang w:val="en-US"/>
        </w:rPr>
      </w:pPr>
      <w:r w:rsidRPr="000F0D5C">
        <w:rPr>
          <w:lang w:val="en-US"/>
        </w:rPr>
        <w:t>Determination of AV concentration by sandwich immunoassay</w:t>
      </w:r>
    </w:p>
    <w:p w:rsidR="00FE0317" w:rsidRPr="000F0D5C" w:rsidRDefault="00FE0317" w:rsidP="00FE0317">
      <w:pPr>
        <w:pStyle w:val="Paragraph"/>
        <w:rPr>
          <w:lang w:val="en-US"/>
        </w:rPr>
      </w:pPr>
      <w:r w:rsidRPr="000F0D5C">
        <w:rPr>
          <w:lang w:val="en-US"/>
        </w:rPr>
        <w:t xml:space="preserve">AV concentrations in lymph, serum, urine, and tissues were determined using a sandwich immunoassay. Briefly, </w:t>
      </w:r>
      <w:proofErr w:type="spellStart"/>
      <w:r w:rsidRPr="000F0D5C">
        <w:rPr>
          <w:lang w:val="en-US"/>
        </w:rPr>
        <w:t>Maxisorp</w:t>
      </w:r>
      <w:proofErr w:type="spellEnd"/>
      <w:r w:rsidRPr="000F0D5C">
        <w:rPr>
          <w:lang w:val="en-US"/>
        </w:rPr>
        <w:t xml:space="preserve"> (NUNC Inc., USA) 96-well plates were coated with immunopurified polyclonal antibodies from serum of sheep hyperimmunized against </w:t>
      </w:r>
      <w:r w:rsidRPr="000F0D5C">
        <w:rPr>
          <w:iCs/>
          <w:lang w:val="en-US"/>
        </w:rPr>
        <w:t>horse F(ab´)</w:t>
      </w:r>
      <w:r w:rsidRPr="000F0D5C">
        <w:rPr>
          <w:iCs/>
          <w:vertAlign w:val="subscript"/>
          <w:lang w:val="en-US"/>
        </w:rPr>
        <w:t>2</w:t>
      </w:r>
      <w:r w:rsidRPr="000F0D5C">
        <w:rPr>
          <w:lang w:val="en-US"/>
        </w:rPr>
        <w:t>. A 0.5% gelatin solution was applied as the blocking solution. For detection, commercial rabbit antibodies against horse F(ab´)</w:t>
      </w:r>
      <w:r w:rsidRPr="000F0D5C">
        <w:rPr>
          <w:vertAlign w:val="subscript"/>
          <w:lang w:val="en-US"/>
        </w:rPr>
        <w:t>2</w:t>
      </w:r>
      <w:r w:rsidRPr="000F0D5C">
        <w:rPr>
          <w:lang w:val="en-US"/>
        </w:rPr>
        <w:t xml:space="preserve"> peroxidase conjugate were </w:t>
      </w:r>
      <w:proofErr w:type="gramStart"/>
      <w:r w:rsidRPr="000F0D5C">
        <w:rPr>
          <w:lang w:val="en-US"/>
        </w:rPr>
        <w:t>used</w:t>
      </w:r>
      <w:proofErr w:type="gramEnd"/>
      <w:r w:rsidRPr="000F0D5C">
        <w:rPr>
          <w:lang w:val="en-US"/>
        </w:rPr>
        <w:t xml:space="preserve"> and the assay was revealed with ABTS. For quantification, a standard curve was established using 1:2 serial dilutions, starting with an AV concentration of 3 µg/ml. The standard curve had a lower limit of quantification of 0.36 (0.08) µg/ml.</w:t>
      </w:r>
    </w:p>
    <w:p w:rsidR="00FE0317" w:rsidRPr="000F0D5C" w:rsidRDefault="00FE0317" w:rsidP="00FE0317">
      <w:pPr>
        <w:pStyle w:val="Ttulo2"/>
        <w:rPr>
          <w:lang w:val="en-US"/>
        </w:rPr>
      </w:pPr>
      <w:r w:rsidRPr="000F0D5C">
        <w:rPr>
          <w:lang w:val="en-US"/>
        </w:rPr>
        <w:lastRenderedPageBreak/>
        <w:t xml:space="preserve">Determination of concentration by sandwich immunoassay of 3FTxs from </w:t>
      </w:r>
      <w:r w:rsidRPr="000F0D5C">
        <w:rPr>
          <w:highlight w:val="yellow"/>
          <w:lang w:val="en-US"/>
        </w:rPr>
        <w:t xml:space="preserve">Micrurus </w:t>
      </w:r>
      <w:proofErr w:type="spellStart"/>
      <w:r w:rsidRPr="000F0D5C">
        <w:rPr>
          <w:highlight w:val="yellow"/>
          <w:lang w:val="en-US"/>
        </w:rPr>
        <w:t>fulvius</w:t>
      </w:r>
      <w:proofErr w:type="spellEnd"/>
      <w:r w:rsidRPr="000F0D5C">
        <w:rPr>
          <w:lang w:val="en-US"/>
        </w:rPr>
        <w:t xml:space="preserve"> venom </w:t>
      </w:r>
    </w:p>
    <w:p w:rsidR="00FE0317" w:rsidRPr="000F0D5C" w:rsidRDefault="00FE0317" w:rsidP="00FE0317">
      <w:pPr>
        <w:pStyle w:val="Paragraph"/>
        <w:rPr>
          <w:bCs/>
          <w:iCs/>
          <w:lang w:val="en-US"/>
        </w:rPr>
      </w:pPr>
      <w:r w:rsidRPr="000F0D5C">
        <w:rPr>
          <w:bCs/>
          <w:iCs/>
          <w:lang w:val="en-US"/>
        </w:rPr>
        <w:t xml:space="preserve">A sandwich immunoassay for non-toxic 3FTx of </w:t>
      </w:r>
      <w:r w:rsidRPr="000F0D5C">
        <w:rPr>
          <w:bCs/>
          <w:i/>
          <w:iCs/>
          <w:lang w:val="en-US"/>
        </w:rPr>
        <w:t xml:space="preserve">Micrurus </w:t>
      </w:r>
      <w:proofErr w:type="spellStart"/>
      <w:r w:rsidRPr="000F0D5C">
        <w:rPr>
          <w:bCs/>
          <w:i/>
          <w:iCs/>
          <w:lang w:val="en-US"/>
        </w:rPr>
        <w:t>fulvius</w:t>
      </w:r>
      <w:proofErr w:type="spellEnd"/>
      <w:r w:rsidRPr="000F0D5C">
        <w:rPr>
          <w:bCs/>
          <w:iCs/>
          <w:lang w:val="en-US"/>
        </w:rPr>
        <w:t xml:space="preserve"> venom</w:t>
      </w:r>
      <w:r w:rsidRPr="000F0D5C">
        <w:rPr>
          <w:i/>
          <w:lang w:val="en-US"/>
        </w:rPr>
        <w:t xml:space="preserve"> </w:t>
      </w:r>
      <w:r w:rsidRPr="000F0D5C">
        <w:rPr>
          <w:lang w:val="en-US"/>
        </w:rPr>
        <w:fldChar w:fldCharType="begin" w:fldLock="1"/>
      </w:r>
      <w:r w:rsidRPr="000F0D5C">
        <w:rPr>
          <w:lang w:val="en-US"/>
        </w:rPr>
        <w:instrText>ADDIN CSL_CITATION {"citationItems":[{"id":"ITEM-1","itemData":{"DOI":"10.1016/j.jprot.2014.02.027","ISBN":"1876-7737 (Electronic)","ISSN":"1876-7737","PMID":"24613619","abstract":"UNLABELLED Here we show for the first time that the venom from an elapid (Micrurus fulvius) contains three finger toxin (3FTxs) peptides with low toxicity but high content of lethal phospholipases A2 (PLA2). The intravenous venom LD50 in mice was 0.3μg/g. Fractionation on a C18 column yielded 22 fractions; in terms of abundance, 58.3% of them were components of 13-14kDa and 24.9% were molecules of 6-7kDa. Two fractions with PLA2 activity represented 33.4% of the whole venom and were the most lethal fractions. Fractions with low molecular mass (&lt;7000Da) partially and reversibly blocked the nicotinic acetylcholine receptor (nAChR), with the exception of one that blocked it completely. The fraction that blocked 100% contained two protein species whose dose-response was determined; the IC50s were 13±1 and 9.5±0.3nM. Despite the apparent effect on nAChR none of the low molecular mass fractions were lethal in mice, at concentrations of 1μg/g. From 2D-PAGE and LC-MS/MS, we identified fourteen species of PLA2, four protein species of C-type lectin, three zinc metalloproteinases, one phosphodiesterase and one 3FTx. The N-terminal amino acid sequence of fractions with biological interest was obtained. BIOLOGICAL SIGNIFICANCE In contrast with coral snake venoms from South America, M. fulvius has minor amounts of low molecular mass components, but high content of PLA2, which is responsible for the venom lethality of this species. The results reported here contribute to better understanding of envenomation development and to improve antivenom design and production. These findings break from the paradigm that neurotoxicity caused by Micrurus venoms is mainly attributable to 3FTx neurotoxins and encourage future studies on Micrurus evolution and venom specialization. This article is part of a Special Issue entitled Non-model organisms.","author":[{"dropping-particle":"","family":"Vergara","given":"Irene","non-dropping-particle":"","parse-names":false,"suffix":""},{"dropping-particle":"","family":"Pedraza-Escalona","given":"Martha","non-dropping-particle":"","parse-names":false,"suffix":""},{"dropping-particle":"","family":"Paniagua","given":"Dayanira","non-dropping-particle":"","parse-names":false,"suffix":""},{"dropping-particle":"","family":"Restano-Cassulini","given":"Rita","non-dropping-particle":"","parse-names":false,"suffix":""},{"dropping-particle":"","family":"Zamudio","given":"Fernando","non-dropping-particle":"","parse-names":false,"suffix":""},{"dropping-particle":"","family":"Batista","given":"Cesar V F","non-dropping-particle":"","parse-names":false,"suffix":""},{"dropping-particle":"","family":"Possani","given":"Lourival D.","non-dropping-particle":"","parse-names":false,"suffix":""},{"dropping-particle":"","family":"Alagón","given":"Alejandro","non-dropping-particle":"","parse-names":false,"suffix":""}],"container-title":"Journal of proteomics","id":"ITEM-1","issued":{"date-parts":[["2014","6","13"]]},"page":"295-306","publisher":"Elsevier B.V.","title":"Eastern coral snake Micrurus fulvius venom toxicity in mice is mainly determined by neurotoxic phospholipases A2.","type":"article-journal","volume":"105"},"uris":["http://www.mendeley.com/documents/?uuid=bef70982-7190-45af-ad60-f3d78becd3c6"]}],"mendeley":{"formattedCitation":"[1]","plainTextFormattedCitation":"[1]","previouslyFormattedCitation":"[1]"},"properties":{"noteIndex":0},"schema":"https://github.com/citation-style-language/schema/raw/master/csl-citation.json"}</w:instrText>
      </w:r>
      <w:r w:rsidRPr="000F0D5C">
        <w:rPr>
          <w:lang w:val="en-US"/>
        </w:rPr>
        <w:fldChar w:fldCharType="separate"/>
      </w:r>
      <w:r w:rsidRPr="000F0D5C">
        <w:rPr>
          <w:noProof/>
          <w:lang w:val="en-US"/>
        </w:rPr>
        <w:t>[1]</w:t>
      </w:r>
      <w:r w:rsidRPr="000F0D5C">
        <w:rPr>
          <w:lang w:val="en-US"/>
        </w:rPr>
        <w:fldChar w:fldCharType="end"/>
      </w:r>
      <w:r w:rsidRPr="000F0D5C">
        <w:rPr>
          <w:bCs/>
          <w:iCs/>
          <w:lang w:val="en-US"/>
        </w:rPr>
        <w:t xml:space="preserve"> in ovine serum samples was developed </w:t>
      </w:r>
      <w:r w:rsidRPr="000F0D5C">
        <w:rPr>
          <w:lang w:val="en-US"/>
        </w:rPr>
        <w:fldChar w:fldCharType="begin" w:fldLock="1"/>
      </w:r>
      <w:r w:rsidRPr="000F0D5C">
        <w:rPr>
          <w:lang w:val="en-US"/>
        </w:rPr>
        <w:instrText>ADDIN CSL_CITATION {"citationItems":[{"id":"ITEM-1","itemData":{"author":[{"dropping-particle":"","family":"Linares","given":"Raúl Román","non-dropping-particle":"","parse-names":false,"suffix":""}],"id":"ITEM-1","issued":{"date-parts":[["2013"]]},"publisher":"Benemérita Universidad Autónoma de Puebla","publisher-place":"[Puebla (MX)]","title":"Desarrollo y optimización de un método analítico tipo ELISA para la cuantificación de proteínas de bajo peso molecular del veneno de Micrurus fulvius en suero y linfa ovinas [bachelor's thesis]","type":"book"},"uris":["http://www.mendeley.com/documents/?uuid=33f0f8fd-ae34-444e-9295-435e2bc6c758"]}],"mendeley":{"formattedCitation":"[26]","plainTextFormattedCitation":"[26]","previouslyFormattedCitation":"[26]"},"properties":{"noteIndex":0},"schema":"https://github.com/citation-style-language/schema/raw/master/csl-citation.json"}</w:instrText>
      </w:r>
      <w:r w:rsidRPr="000F0D5C">
        <w:rPr>
          <w:lang w:val="en-US"/>
        </w:rPr>
        <w:fldChar w:fldCharType="separate"/>
      </w:r>
      <w:r w:rsidRPr="000F0D5C">
        <w:rPr>
          <w:noProof/>
          <w:lang w:val="en-US"/>
        </w:rPr>
        <w:t>[26]</w:t>
      </w:r>
      <w:r w:rsidRPr="000F0D5C">
        <w:rPr>
          <w:lang w:val="en-US"/>
        </w:rPr>
        <w:fldChar w:fldCharType="end"/>
      </w:r>
      <w:r w:rsidRPr="000F0D5C">
        <w:rPr>
          <w:lang w:val="en-US"/>
        </w:rPr>
        <w:t xml:space="preserve">. </w:t>
      </w:r>
      <w:r w:rsidRPr="000F0D5C">
        <w:rPr>
          <w:bCs/>
          <w:iCs/>
          <w:lang w:val="en-US"/>
        </w:rPr>
        <w:t xml:space="preserve"> Immunopurified antibodies were obtained by passing rabbit immune serum against whole </w:t>
      </w:r>
      <w:r w:rsidRPr="000F0D5C">
        <w:rPr>
          <w:bCs/>
          <w:i/>
          <w:iCs/>
          <w:lang w:val="en-US"/>
        </w:rPr>
        <w:t xml:space="preserve">M. </w:t>
      </w:r>
      <w:proofErr w:type="spellStart"/>
      <w:r w:rsidRPr="000F0D5C">
        <w:rPr>
          <w:bCs/>
          <w:i/>
          <w:iCs/>
          <w:lang w:val="en-US"/>
        </w:rPr>
        <w:t>fulvius</w:t>
      </w:r>
      <w:proofErr w:type="spellEnd"/>
      <w:r w:rsidRPr="000F0D5C">
        <w:rPr>
          <w:bCs/>
          <w:iCs/>
          <w:lang w:val="en-US"/>
        </w:rPr>
        <w:t xml:space="preserve"> venom through a Sepharose-4B column with covalently attached (</w:t>
      </w:r>
      <w:proofErr w:type="spellStart"/>
      <w:r w:rsidRPr="000F0D5C">
        <w:rPr>
          <w:bCs/>
          <w:iCs/>
          <w:lang w:val="en-US"/>
        </w:rPr>
        <w:t>CNBr</w:t>
      </w:r>
      <w:proofErr w:type="spellEnd"/>
      <w:r w:rsidRPr="000F0D5C">
        <w:rPr>
          <w:bCs/>
          <w:iCs/>
          <w:lang w:val="en-US"/>
        </w:rPr>
        <w:t xml:space="preserve"> chemistry) RP-HPLC purified 3FTx </w:t>
      </w:r>
      <w:r w:rsidRPr="000F0D5C">
        <w:rPr>
          <w:i/>
          <w:lang w:val="en-US"/>
        </w:rPr>
        <w:t xml:space="preserve"> </w:t>
      </w:r>
      <w:r w:rsidRPr="000F0D5C">
        <w:rPr>
          <w:lang w:val="en-US"/>
        </w:rPr>
        <w:fldChar w:fldCharType="begin" w:fldLock="1"/>
      </w:r>
      <w:r w:rsidRPr="000F0D5C">
        <w:rPr>
          <w:lang w:val="en-US"/>
        </w:rPr>
        <w:instrText>ADDIN CSL_CITATION {"citationItems":[{"id":"ITEM-1","itemData":{"DOI":"10.1016/j.jprot.2014.02.027","ISBN":"1876-7737 (Electronic)","ISSN":"1876-7737","PMID":"24613619","abstract":"UNLABELLED Here we show for the first time that the venom from an elapid (Micrurus fulvius) contains three finger toxin (3FTxs) peptides with low toxicity but high content of lethal phospholipases A2 (PLA2). The intravenous venom LD50 in mice was 0.3μg/g. Fractionation on a C18 column yielded 22 fractions; in terms of abundance, 58.3% of them were components of 13-14kDa and 24.9% were molecules of 6-7kDa. Two fractions with PLA2 activity represented 33.4% of the whole venom and were the most lethal fractions. Fractions with low molecular mass (&lt;7000Da) partially and reversibly blocked the nicotinic acetylcholine receptor (nAChR), with the exception of one that blocked it completely. The fraction that blocked 100% contained two protein species whose dose-response was determined; the IC50s were 13±1 and 9.5±0.3nM. Despite the apparent effect on nAChR none of the low molecular mass fractions were lethal in mice, at concentrations of 1μg/g. From 2D-PAGE and LC-MS/MS, we identified fourteen species of PLA2, four protein species of C-type lectin, three zinc metalloproteinases, one phosphodiesterase and one 3FTx. The N-terminal amino acid sequence of fractions with biological interest was obtained. BIOLOGICAL SIGNIFICANCE In contrast with coral snake venoms from South America, M. fulvius has minor amounts of low molecular mass components, but high content of PLA2, which is responsible for the venom lethality of this species. The results reported here contribute to better understanding of envenomation development and to improve antivenom design and production. These findings break from the paradigm that neurotoxicity caused by Micrurus venoms is mainly attributable to 3FTx neurotoxins and encourage future studies on Micrurus evolution and venom specialization. This article is part of a Special Issue entitled Non-model organisms.","author":[{"dropping-particle":"","family":"Vergara","given":"Irene","non-dropping-particle":"","parse-names":false,"suffix":""},{"dropping-particle":"","family":"Pedraza-Escalona","given":"Martha","non-dropping-particle":"","parse-names":false,"suffix":""},{"dropping-particle":"","family":"Paniagua","given":"Dayanira","non-dropping-particle":"","parse-names":false,"suffix":""},{"dropping-particle":"","family":"Restano-Cassulini","given":"Rita","non-dropping-particle":"","parse-names":false,"suffix":""},{"dropping-particle":"","family":"Zamudio","given":"Fernando","non-dropping-particle":"","parse-names":false,"suffix":""},{"dropping-particle":"","family":"Batista","given":"Cesar V F","non-dropping-particle":"","parse-names":false,"suffix":""},{"dropping-particle":"","family":"Possani","given":"Lourival D.","non-dropping-particle":"","parse-names":false,"suffix":""},{"dropping-particle":"","family":"Alagón","given":"Alejandro","non-dropping-particle":"","parse-names":false,"suffix":""}],"container-title":"Journal of proteomics","id":"ITEM-1","issued":{"date-parts":[["2014","6","13"]]},"page":"295-306","publisher":"Elsevier B.V.","title":"Eastern coral snake Micrurus fulvius venom toxicity in mice is mainly determined by neurotoxic phospholipases A2.","type":"article-journal","volume":"105"},"uris":["http://www.mendeley.com/documents/?uuid=bef70982-7190-45af-ad60-f3d78becd3c6"]}],"mendeley":{"formattedCitation":"[1]","plainTextFormattedCitation":"[1]","previouslyFormattedCitation":"[1]"},"properties":{"noteIndex":0},"schema":"https://github.com/citation-style-language/schema/raw/master/csl-citation.json"}</w:instrText>
      </w:r>
      <w:r w:rsidRPr="000F0D5C">
        <w:rPr>
          <w:lang w:val="en-US"/>
        </w:rPr>
        <w:fldChar w:fldCharType="separate"/>
      </w:r>
      <w:r w:rsidRPr="000F0D5C">
        <w:rPr>
          <w:noProof/>
          <w:lang w:val="en-US"/>
        </w:rPr>
        <w:t>[1]</w:t>
      </w:r>
      <w:r w:rsidRPr="000F0D5C">
        <w:rPr>
          <w:lang w:val="en-US"/>
        </w:rPr>
        <w:fldChar w:fldCharType="end"/>
      </w:r>
      <w:r w:rsidRPr="000F0D5C">
        <w:rPr>
          <w:bCs/>
          <w:iCs/>
          <w:lang w:val="en-US"/>
        </w:rPr>
        <w:t>. The resulting antibodies were used both as capture (non-</w:t>
      </w:r>
      <w:proofErr w:type="spellStart"/>
      <w:r w:rsidRPr="000F0D5C">
        <w:rPr>
          <w:bCs/>
          <w:iCs/>
          <w:lang w:val="en-US"/>
        </w:rPr>
        <w:t>biotinilated</w:t>
      </w:r>
      <w:proofErr w:type="spellEnd"/>
      <w:r w:rsidRPr="000F0D5C">
        <w:rPr>
          <w:bCs/>
          <w:iCs/>
          <w:lang w:val="en-US"/>
        </w:rPr>
        <w:t>) and as detection (</w:t>
      </w:r>
      <w:proofErr w:type="spellStart"/>
      <w:r w:rsidRPr="000F0D5C">
        <w:rPr>
          <w:bCs/>
          <w:iCs/>
          <w:lang w:val="en-US"/>
        </w:rPr>
        <w:t>biotinilated</w:t>
      </w:r>
      <w:proofErr w:type="spellEnd"/>
      <w:r w:rsidRPr="000F0D5C">
        <w:rPr>
          <w:bCs/>
          <w:iCs/>
          <w:lang w:val="en-US"/>
        </w:rPr>
        <w:t xml:space="preserve">) antibodies. Signal was developed with Streptavidin-Peroxidase conjugate and ABTS. </w:t>
      </w:r>
      <w:r w:rsidRPr="000F0D5C">
        <w:rPr>
          <w:bCs/>
          <w:iCs/>
          <w:color w:val="000000" w:themeColor="text1"/>
          <w:lang w:val="en-US"/>
        </w:rPr>
        <w:t xml:space="preserve">The assay had a lower limit of quantification of 1.2 (0.3) ng/ml. This assay detected only proteins of approximately 7 </w:t>
      </w:r>
      <w:proofErr w:type="spellStart"/>
      <w:r w:rsidRPr="000F0D5C">
        <w:rPr>
          <w:bCs/>
          <w:iCs/>
          <w:color w:val="000000" w:themeColor="text1"/>
          <w:lang w:val="en-US"/>
        </w:rPr>
        <w:t>kDa</w:t>
      </w:r>
      <w:proofErr w:type="spellEnd"/>
      <w:r w:rsidRPr="000F0D5C">
        <w:rPr>
          <w:bCs/>
          <w:iCs/>
          <w:color w:val="000000" w:themeColor="text1"/>
          <w:lang w:val="en-US"/>
        </w:rPr>
        <w:t>, excluding detection of PLA</w:t>
      </w:r>
      <w:r w:rsidRPr="000F0D5C">
        <w:rPr>
          <w:bCs/>
          <w:iCs/>
          <w:color w:val="000000" w:themeColor="text1"/>
          <w:vertAlign w:val="subscript"/>
          <w:lang w:val="en-US"/>
        </w:rPr>
        <w:t xml:space="preserve">2 </w:t>
      </w:r>
      <w:r w:rsidRPr="000F0D5C">
        <w:rPr>
          <w:bCs/>
          <w:iCs/>
          <w:color w:val="000000" w:themeColor="text1"/>
          <w:lang w:val="en-US"/>
        </w:rPr>
        <w:t>or other proteins of different molecular weight detectable by SDS-PAGE.</w:t>
      </w:r>
    </w:p>
    <w:p w:rsidR="00FE0317" w:rsidRPr="000F0D5C" w:rsidRDefault="00FE0317" w:rsidP="00FE0317">
      <w:pPr>
        <w:pStyle w:val="Ttulo2"/>
        <w:rPr>
          <w:lang w:val="en-US"/>
        </w:rPr>
      </w:pPr>
      <w:r w:rsidRPr="000F0D5C">
        <w:rPr>
          <w:lang w:val="en-US"/>
        </w:rPr>
        <w:t>Pharmacokinetic parameters</w:t>
      </w:r>
    </w:p>
    <w:p w:rsidR="00FE0317" w:rsidRPr="000F0D5C" w:rsidRDefault="00FE0317" w:rsidP="00FE0317">
      <w:pPr>
        <w:pStyle w:val="Newparagraph"/>
        <w:rPr>
          <w:lang w:val="en-US"/>
        </w:rPr>
      </w:pPr>
      <w:r w:rsidRPr="000F0D5C">
        <w:rPr>
          <w:lang w:val="en-US"/>
        </w:rPr>
        <w:t>For group 1, AV pharmacokinetic was fitted to a tri-compartment analysis described by equation 1.</w:t>
      </w:r>
    </w:p>
    <w:p w:rsidR="00FE0317" w:rsidRPr="000F0D5C" w:rsidRDefault="00FE0317" w:rsidP="00FE0317">
      <w:pPr>
        <w:pStyle w:val="Newparagraph"/>
        <w:jc w:val="center"/>
        <w:rPr>
          <w:lang w:val="en-US"/>
        </w:rPr>
      </w:pPr>
      <m:oMath>
        <m:r>
          <w:rPr>
            <w:rFonts w:ascii="Cambria Math" w:hAnsi="Cambria Math"/>
            <w:lang w:val="en-US"/>
          </w:rPr>
          <m:t>Cp</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Ae</m:t>
            </m:r>
          </m:e>
          <m:sup>
            <m:r>
              <w:rPr>
                <w:rFonts w:ascii="Cambria Math" w:hAnsi="Cambria Math"/>
                <w:lang w:val="en-US"/>
              </w:rPr>
              <m:t>-αt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Be</m:t>
            </m:r>
          </m:e>
          <m:sup>
            <m:r>
              <w:rPr>
                <w:rFonts w:ascii="Cambria Math" w:hAnsi="Cambria Math"/>
                <w:lang w:val="en-US"/>
              </w:rPr>
              <m:t>-βt</m:t>
            </m:r>
          </m:sup>
        </m:sSup>
      </m:oMath>
      <w:r w:rsidRPr="000F0D5C">
        <w:rPr>
          <w:lang w:val="en-US"/>
        </w:rPr>
        <w:t xml:space="preserve">       (1)</w:t>
      </w:r>
    </w:p>
    <w:p w:rsidR="00FE0317" w:rsidRPr="000F0D5C" w:rsidRDefault="00FE0317" w:rsidP="00FE0317">
      <w:pPr>
        <w:pStyle w:val="Newparagraph"/>
        <w:rPr>
          <w:lang w:val="en-US"/>
        </w:rPr>
      </w:pPr>
      <w:r w:rsidRPr="000F0D5C">
        <w:rPr>
          <w:lang w:val="en-US"/>
        </w:rPr>
        <w:t xml:space="preserve"> Half-lives were calculated using equations 2, 3, and 4.</w:t>
      </w:r>
    </w:p>
    <w:p w:rsidR="00FE0317" w:rsidRPr="000F0D5C" w:rsidRDefault="000F0D5C" w:rsidP="00FE0317">
      <w:pPr>
        <w:pStyle w:val="Newparagraph"/>
        <w:jc w:val="center"/>
        <w:rPr>
          <w:lang w:val="en-US"/>
        </w:rPr>
      </w:pPr>
      <m:oMath>
        <m:sSub>
          <m:sSubPr>
            <m:ctrlPr>
              <w:rPr>
                <w:rFonts w:ascii="Cambria Math" w:hAnsi="Cambria Math"/>
                <w:i/>
                <w:lang w:val="en-US"/>
              </w:rPr>
            </m:ctrlPr>
          </m:sSubPr>
          <m:e>
            <m:r>
              <w:rPr>
                <w:rFonts w:ascii="Cambria Math" w:hAnsi="Cambria Math"/>
                <w:lang w:val="en-US"/>
              </w:rPr>
              <m:t>t</m:t>
            </m:r>
          </m:e>
          <m:sub>
            <m:f>
              <m:fPr>
                <m:type m:val="skw"/>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 xml:space="preserve"> ,2</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2</m:t>
                </m:r>
              </m:e>
            </m:d>
          </m:e>
        </m:func>
        <m:r>
          <w:rPr>
            <w:rFonts w:ascii="Cambria Math" w:hAnsi="Cambria Math"/>
            <w:lang w:val="en-US"/>
          </w:rPr>
          <m:t>/α</m:t>
        </m:r>
      </m:oMath>
      <w:r w:rsidR="00FE0317" w:rsidRPr="000F0D5C">
        <w:rPr>
          <w:lang w:val="en-US"/>
        </w:rPr>
        <w:t xml:space="preserve">              (2)</w:t>
      </w:r>
    </w:p>
    <w:p w:rsidR="00FE0317" w:rsidRPr="000F0D5C" w:rsidRDefault="000F0D5C" w:rsidP="000F0D5C">
      <w:pPr>
        <w:pStyle w:val="Newparagraph"/>
        <w:jc w:val="center"/>
        <w:rPr>
          <w:lang w:val="en-US"/>
        </w:rPr>
      </w:pPr>
      <m:oMath>
        <m:sSub>
          <m:sSubPr>
            <m:ctrlPr>
              <w:rPr>
                <w:rFonts w:ascii="Cambria Math" w:hAnsi="Cambria Math"/>
                <w:i/>
                <w:lang w:val="en-US"/>
              </w:rPr>
            </m:ctrlPr>
          </m:sSubPr>
          <m:e>
            <m:r>
              <w:rPr>
                <w:rFonts w:ascii="Cambria Math" w:hAnsi="Cambria Math"/>
                <w:lang w:val="en-US"/>
              </w:rPr>
              <m:t>t</m:t>
            </m:r>
          </m:e>
          <m:sub>
            <m:f>
              <m:fPr>
                <m:type m:val="skw"/>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 xml:space="preserve"> ,3</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2</m:t>
                </m:r>
              </m:e>
            </m:d>
          </m:e>
        </m:func>
        <m:r>
          <w:rPr>
            <w:rFonts w:ascii="Cambria Math" w:hAnsi="Cambria Math"/>
            <w:lang w:val="en-US"/>
          </w:rPr>
          <m:t>/β</m:t>
        </m:r>
      </m:oMath>
      <w:r w:rsidR="00FE0317" w:rsidRPr="000F0D5C">
        <w:rPr>
          <w:lang w:val="en-US"/>
        </w:rPr>
        <w:t xml:space="preserve">             (3)</w:t>
      </w:r>
    </w:p>
    <w:p w:rsidR="00FE0317" w:rsidRPr="000F0D5C" w:rsidRDefault="00FE0317" w:rsidP="00FE0317">
      <w:pPr>
        <w:pStyle w:val="Newparagraph"/>
        <w:rPr>
          <w:lang w:val="en-US"/>
        </w:rPr>
      </w:pPr>
      <w:r w:rsidRPr="000F0D5C">
        <w:rPr>
          <w:lang w:val="en-US"/>
        </w:rPr>
        <w:t>Apparent volume of serum (central) compartment (</w:t>
      </w:r>
      <w:proofErr w:type="spellStart"/>
      <w:r w:rsidRPr="000F0D5C">
        <w:rPr>
          <w:lang w:val="en-US"/>
        </w:rPr>
        <w:t>V</w:t>
      </w:r>
      <w:r w:rsidRPr="000F0D5C">
        <w:rPr>
          <w:vertAlign w:val="subscript"/>
          <w:lang w:val="en-US"/>
        </w:rPr>
        <w:t>c</w:t>
      </w:r>
      <w:proofErr w:type="spellEnd"/>
      <w:r w:rsidR="000F0D5C">
        <w:rPr>
          <w:lang w:val="en-US"/>
        </w:rPr>
        <w:t>) was estimated using equation 4</w:t>
      </w:r>
      <w:r w:rsidRPr="000F0D5C">
        <w:rPr>
          <w:lang w:val="en-US"/>
        </w:rPr>
        <w:t>.</w:t>
      </w:r>
    </w:p>
    <w:p w:rsidR="00FE0317" w:rsidRPr="000F0D5C" w:rsidRDefault="000F0D5C" w:rsidP="00FE0317">
      <w:pPr>
        <w:pStyle w:val="Newparagraph"/>
        <w:jc w:val="center"/>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c</m:t>
            </m:r>
          </m:sub>
        </m:sSub>
        <m:r>
          <w:rPr>
            <w:rFonts w:ascii="Cambria Math" w:hAnsi="Cambria Math"/>
            <w:lang w:val="en-US"/>
          </w:rPr>
          <m:t>=Dose/(A+B)</m:t>
        </m:r>
      </m:oMath>
      <w:r w:rsidR="00FE0317" w:rsidRPr="000F0D5C">
        <w:rPr>
          <w:lang w:val="en-US"/>
        </w:rPr>
        <w:t xml:space="preserve">    </w:t>
      </w:r>
      <w:r>
        <w:rPr>
          <w:lang w:val="en-US"/>
        </w:rPr>
        <w:t>(4</w:t>
      </w:r>
      <w:r w:rsidR="00FE0317" w:rsidRPr="000F0D5C">
        <w:rPr>
          <w:lang w:val="en-US"/>
        </w:rPr>
        <w:t>)</w:t>
      </w:r>
    </w:p>
    <w:p w:rsidR="00FE0317" w:rsidRPr="000F0D5C" w:rsidRDefault="00FE0317" w:rsidP="00FE0317">
      <w:pPr>
        <w:pStyle w:val="Paragraph"/>
        <w:rPr>
          <w:lang w:val="en-US"/>
        </w:rPr>
      </w:pPr>
      <w:r w:rsidRPr="000F0D5C">
        <w:rPr>
          <w:lang w:val="en-US"/>
        </w:rPr>
        <w:t>Total exposure to venom and AV that reaches systemic circulation</w:t>
      </w:r>
      <w:r w:rsidRPr="000F0D5C" w:rsidDel="00BB4EAE">
        <w:rPr>
          <w:lang w:val="en-US"/>
        </w:rPr>
        <w:t xml:space="preserve"> </w:t>
      </w:r>
      <w:r w:rsidRPr="000F0D5C">
        <w:rPr>
          <w:lang w:val="en-US"/>
        </w:rPr>
        <w:t xml:space="preserve">was measured using the </w:t>
      </w:r>
      <w:r w:rsidRPr="000F0D5C">
        <w:rPr>
          <w:lang w:val="en-US"/>
        </w:rPr>
        <w:lastRenderedPageBreak/>
        <w:t xml:space="preserve">area under the curve (AUC), calculated by trapezoidal numerical integration </w:t>
      </w:r>
      <w:r w:rsidR="000F0D5C">
        <w:rPr>
          <w:lang w:val="en-US"/>
        </w:rPr>
        <w:t>(equation 5</w:t>
      </w:r>
      <w:r w:rsidRPr="000F0D5C">
        <w:rPr>
          <w:lang w:val="en-US"/>
        </w:rPr>
        <w:t xml:space="preserve">). </w:t>
      </w:r>
    </w:p>
    <w:p w:rsidR="00FE0317" w:rsidRPr="000F0D5C" w:rsidRDefault="000F0D5C" w:rsidP="00FE0317">
      <w:pPr>
        <w:pStyle w:val="Displayedequation"/>
        <w:rPr>
          <w:lang w:val="en-US"/>
        </w:rPr>
      </w:pPr>
      <m:oMath>
        <m:sSub>
          <m:sSubPr>
            <m:ctrlPr>
              <w:rPr>
                <w:rFonts w:ascii="Cambria Math" w:hAnsi="Cambria Math"/>
                <w:lang w:val="en-US"/>
              </w:rPr>
            </m:ctrlPr>
          </m:sSubPr>
          <m:e>
            <m:r>
              <w:rPr>
                <w:rFonts w:ascii="Cambria Math" w:hAnsi="Cambria Math"/>
                <w:lang w:val="en-US"/>
              </w:rPr>
              <m:t>AUC</m:t>
            </m:r>
            <m:ctrlPr>
              <w:rPr>
                <w:rFonts w:ascii="Cambria Math" w:hAnsi="Cambria Math"/>
                <w:i/>
                <w:iCs/>
                <w:lang w:val="en-US"/>
              </w:rPr>
            </m:ctrlPr>
          </m:e>
          <m:sub>
            <m:r>
              <m:rPr>
                <m:sty m:val="p"/>
              </m:rPr>
              <w:rPr>
                <w:rFonts w:ascii="Cambria Math" w:hAnsi="Cambria Math"/>
                <w:lang w:val="en-US"/>
              </w:rPr>
              <m:t>0-</m:t>
            </m:r>
            <m:r>
              <w:rPr>
                <w:rFonts w:ascii="Cambria Math" w:hAnsi="Cambria Math"/>
                <w:lang w:val="en-US"/>
              </w:rPr>
              <m:t>t</m:t>
            </m:r>
          </m:sub>
        </m:sSub>
        <m:r>
          <m:rPr>
            <m:sty m:val="p"/>
          </m:rPr>
          <w:rPr>
            <w:rFonts w:ascii="Cambria Math" w:hAnsi="Cambria Math"/>
            <w:lang w:val="en-US"/>
          </w:rPr>
          <m:t>=</m:t>
        </m:r>
        <m:nary>
          <m:naryPr>
            <m:limLoc m:val="subSup"/>
            <m:ctrlPr>
              <w:rPr>
                <w:rFonts w:ascii="Cambria Math" w:hAnsi="Cambria Math"/>
                <w:lang w:val="en-US"/>
              </w:rPr>
            </m:ctrlPr>
          </m:naryPr>
          <m:sub>
            <m:r>
              <m:rPr>
                <m:sty m:val="p"/>
              </m:rPr>
              <w:rPr>
                <w:rFonts w:ascii="Cambria Math" w:hAnsi="Cambria Math"/>
                <w:lang w:val="en-US"/>
              </w:rPr>
              <m:t>0</m:t>
            </m:r>
          </m:sub>
          <m:sup>
            <m:r>
              <w:rPr>
                <w:rFonts w:ascii="Cambria Math" w:hAnsi="Cambria Math"/>
                <w:lang w:val="en-US"/>
              </w:rPr>
              <m:t>t</m:t>
            </m:r>
          </m:sup>
          <m:e>
            <m:r>
              <w:rPr>
                <w:rFonts w:ascii="Cambria Math" w:hAnsi="Cambria Math"/>
                <w:lang w:val="en-US"/>
              </w:rPr>
              <m:t>Csdt</m:t>
            </m:r>
          </m:e>
        </m:nary>
        <m:r>
          <m:rPr>
            <m:sty m:val="p"/>
          </m:rPr>
          <w:rPr>
            <w:rFonts w:ascii="Cambria Math" w:hAnsi="Cambria Math"/>
            <w:lang w:val="en-US"/>
          </w:rPr>
          <m:t>=</m:t>
        </m:r>
        <m:nary>
          <m:naryPr>
            <m:chr m:val="∑"/>
            <m:limLoc m:val="undOvr"/>
            <m:ctrlPr>
              <w:rPr>
                <w:rFonts w:ascii="Cambria Math" w:hAnsi="Cambria Math"/>
                <w:lang w:val="en-US"/>
              </w:rPr>
            </m:ctrlPr>
          </m:naryPr>
          <m:sub>
            <m:r>
              <w:rPr>
                <w:rFonts w:ascii="Cambria Math" w:hAnsi="Cambria Math"/>
                <w:lang w:val="en-US"/>
              </w:rPr>
              <m:t>i</m:t>
            </m:r>
            <m:r>
              <m:rPr>
                <m:sty m:val="p"/>
              </m:rPr>
              <w:rPr>
                <w:rFonts w:ascii="Cambria Math" w:hAnsi="Cambria Math"/>
                <w:lang w:val="en-US"/>
              </w:rPr>
              <m:t>=0</m:t>
            </m:r>
          </m:sub>
          <m:sup>
            <m:r>
              <w:rPr>
                <w:rFonts w:ascii="Cambria Math" w:hAnsi="Cambria Math"/>
                <w:lang w:val="en-US"/>
              </w:rPr>
              <m:t>i</m:t>
            </m:r>
            <m:r>
              <m:rPr>
                <m:sty m:val="p"/>
              </m:rPr>
              <w:rPr>
                <w:rFonts w:ascii="Cambria Math" w:hAnsi="Cambria Math"/>
                <w:lang w:val="en-US"/>
              </w:rPr>
              <m:t>=</m:t>
            </m:r>
            <m:r>
              <w:rPr>
                <w:rFonts w:ascii="Cambria Math" w:hAnsi="Cambria Math"/>
                <w:lang w:val="en-US"/>
              </w:rPr>
              <m:t>t</m:t>
            </m:r>
          </m:sup>
          <m:e>
            <m:d>
              <m:dPr>
                <m:ctrlPr>
                  <w:rPr>
                    <w:rFonts w:ascii="Cambria Math" w:hAnsi="Cambria Math"/>
                    <w:lang w:val="en-US"/>
                  </w:rPr>
                </m:ctrlPr>
              </m:dPr>
              <m:e>
                <m:f>
                  <m:fPr>
                    <m:type m:val="skw"/>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2</m:t>
                    </m:r>
                  </m:den>
                </m:f>
              </m:e>
            </m:d>
            <m:r>
              <m:rPr>
                <m:sty m:val="p"/>
              </m:rP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Cs</m:t>
                    </m:r>
                  </m:e>
                  <m:sub>
                    <m:r>
                      <w:rPr>
                        <w:rFonts w:ascii="Cambria Math" w:hAnsi="Cambria Math"/>
                        <w:lang w:val="en-US"/>
                      </w:rPr>
                      <m:t>i</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Cs</m:t>
                    </m:r>
                  </m:e>
                  <m:sub>
                    <m:r>
                      <w:rPr>
                        <w:rFonts w:ascii="Cambria Math" w:hAnsi="Cambria Math"/>
                        <w:lang w:val="en-US"/>
                      </w:rPr>
                      <m:t>i</m:t>
                    </m:r>
                    <m:r>
                      <m:rPr>
                        <m:sty m:val="p"/>
                      </m:rPr>
                      <w:rPr>
                        <w:rFonts w:ascii="Cambria Math" w:hAnsi="Cambria Math"/>
                        <w:lang w:val="en-US"/>
                      </w:rPr>
                      <m:t>+1</m:t>
                    </m:r>
                  </m:sub>
                </m:sSub>
              </m:e>
            </m:d>
            <m:r>
              <m:rPr>
                <m:sty m:val="p"/>
              </m:rP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e>
        </m:nary>
      </m:oMath>
      <w:r w:rsidR="00FE0317" w:rsidRPr="000F0D5C">
        <w:rPr>
          <w:lang w:val="en-US"/>
        </w:rPr>
        <w:t xml:space="preserve">           </w:t>
      </w:r>
      <w:r>
        <w:rPr>
          <w:lang w:val="en-US"/>
        </w:rPr>
        <w:t>(5</w:t>
      </w:r>
      <w:r w:rsidR="00FE0317" w:rsidRPr="000F0D5C">
        <w:rPr>
          <w:lang w:val="en-US"/>
        </w:rPr>
        <w:t>)</w:t>
      </w:r>
    </w:p>
    <w:p w:rsidR="00FE0317" w:rsidRPr="000F0D5C" w:rsidRDefault="00FE0317" w:rsidP="00FE0317">
      <w:pPr>
        <w:pStyle w:val="Newparagraph"/>
        <w:rPr>
          <w:vertAlign w:val="subscript"/>
          <w:lang w:val="en-US"/>
        </w:rPr>
      </w:pPr>
      <w:r w:rsidRPr="000F0D5C">
        <w:rPr>
          <w:lang w:val="en-US"/>
        </w:rPr>
        <w:t>The fraction of the</w:t>
      </w:r>
      <w:r w:rsidRPr="000F0D5C">
        <w:rPr>
          <w:color w:val="267571"/>
          <w:lang w:val="en-US"/>
        </w:rPr>
        <w:t xml:space="preserve"> </w:t>
      </w:r>
      <w:r w:rsidRPr="000F0D5C">
        <w:rPr>
          <w:lang w:val="en-US"/>
        </w:rPr>
        <w:t>dose administered</w:t>
      </w:r>
      <w:r w:rsidRPr="000F0D5C">
        <w:rPr>
          <w:color w:val="267571"/>
          <w:lang w:val="en-US"/>
        </w:rPr>
        <w:t xml:space="preserve"> </w:t>
      </w:r>
      <w:r w:rsidRPr="000F0D5C">
        <w:rPr>
          <w:lang w:val="en-US"/>
        </w:rPr>
        <w:t xml:space="preserve">SC that reaches systemic circulation was expressed as bioavailability (F), calculated with </w:t>
      </w:r>
      <w:r w:rsidR="000F0D5C">
        <w:rPr>
          <w:lang w:val="en-US"/>
        </w:rPr>
        <w:t>equation 6</w:t>
      </w:r>
      <w:r w:rsidRPr="000F0D5C">
        <w:rPr>
          <w:lang w:val="en-US"/>
        </w:rPr>
        <w:t xml:space="preserve">, using the mean of </w:t>
      </w:r>
      <w:proofErr w:type="spellStart"/>
      <w:r w:rsidRPr="000F0D5C">
        <w:rPr>
          <w:lang w:val="en-US"/>
        </w:rPr>
        <w:t>AUC</w:t>
      </w:r>
      <w:r w:rsidRPr="000F0D5C">
        <w:rPr>
          <w:vertAlign w:val="subscript"/>
          <w:lang w:val="en-US"/>
        </w:rPr>
        <w:t>iv</w:t>
      </w:r>
      <w:proofErr w:type="spellEnd"/>
      <w:r w:rsidRPr="000F0D5C">
        <w:rPr>
          <w:vertAlign w:val="subscript"/>
          <w:lang w:val="en-US"/>
        </w:rPr>
        <w:t xml:space="preserve"> </w:t>
      </w:r>
      <w:r w:rsidRPr="000F0D5C">
        <w:rPr>
          <w:lang w:val="en-US"/>
        </w:rPr>
        <w:t xml:space="preserve">for venom reported previously </w:t>
      </w:r>
      <w:r w:rsidRPr="000F0D5C">
        <w:rPr>
          <w:lang w:val="en-US"/>
        </w:rPr>
        <w:fldChar w:fldCharType="begin" w:fldLock="1"/>
      </w:r>
      <w:r w:rsidRPr="000F0D5C">
        <w:rPr>
          <w:lang w:val="en-US"/>
        </w:rPr>
        <w:instrText>ADDIN CSL_CITATION {"citationItems":[{"id":"ITEM-1","itemData":{"ISBN":"0024-7766 (Print)\\r0024-7766","ISSN":"0024-7766","PMID":"23700761","abstract":"The contribution of the lymphatic system to the absorption and systemic bioavailability of Micrurus fulvius venom after subcutaneous (SC) administration was assessed using a central lymph-cannulated sheep model. Micrurus fulvius venom was administered either by intravenous bolus (IV) or subcutaneous injection (SC) in 12 sheep with and without thoracic duct cannulation and drainage. Venom concentration in serum and lymph was determined by a sandwich enzyme-linked immunosorbent assay (ELISA) in samples collected over a 6-hour period and in tissues harvested at the end of the experiment. Pharmacokinetic parameters were determined by a non-compartmental analysis. In the lymphatic cannulated group, over the 6 hours after the venom was administered, 69% of administered dose was accounted for in blood (45%) and lymph (25%). Negligible levels of venom were detected in organs and urine implying that the steady state observed after SC administration is maintained by a slow absorption process. Comparison of kinetics of the thoracic duct cannulated and non-cannulated groups showed that lymphatic absorption contributed in an important way to maintenance of this steady state. These results show that the limiting process in the pharmacokinetics of Micrurus fulvius venom following SC administration is absorption, and that the lymphatic system plays a key role in this process.","author":[{"dropping-particle":"","family":"Paniagua","given":"D","non-dropping-particle":"","parse-names":false,"suffix":""},{"dropping-particle":"","family":"Jiménez","given":"L","non-dropping-particle":"","parse-names":false,"suffix":""},{"dropping-particle":"","family":"Romero","given":"C","non-dropping-particle":"","parse-names":false,"suffix":""},{"dropping-particle":"","family":"Vergara","given":"I","non-dropping-particle":"","parse-names":false,"suffix":""},{"dropping-particle":"","family":"Calderón","given":"A","non-dropping-particle":"","parse-names":false,"suffix":""},{"dropping-particle":"","family":"Benard","given":"M","non-dropping-particle":"","parse-names":false,"suffix":""},{"dropping-particle":"","family":"Bernas","given":"M J","non-dropping-particle":"","parse-names":false,"suffix":""},{"dropping-particle":"","family":"Rilo","given":"H","non-dropping-particle":"","parse-names":false,"suffix":""},{"dropping-particle":"","family":"Roodt","given":"A","non-dropping-particle":"de","parse-names":false,"suffix":""},{"dropping-particle":"","family":"Suze","given":"G","non-dropping-particle":"D'","parse-names":false,"suffix":""},{"dropping-particle":"","family":"Witte","given":"M H","non-dropping-particle":"","parse-names":false,"suffix":""},{"dropping-particle":"","family":"Boyer","given":"L","non-dropping-particle":"","parse-names":false,"suffix":""},{"dropping-particle":"","family":"Alagón","given":"A","non-dropping-particle":"","parse-names":false,"suffix":""}],"container-title":"Lymphology","id":"ITEM-1","issue":"4","issued":{"date-parts":[["2012","12"]]},"page":"144-53","title":"Lymphatic route of transport and pharmacokinetics of Micrurus fulvius (coral snake) venom in sheep.","type":"article-journal","volume":"45"},"uris":["http://www.mendeley.com/documents/?uuid=99010b5d-6c5d-3b7d-b032-ee7cdfdd6427"]}],"mendeley":{"formattedCitation":"[8]","plainTextFormattedCitation":"[8]","previouslyFormattedCitation":"[8]"},"properties":{"noteIndex":0},"schema":"https://github.com/citation-style-language/schema/raw/master/csl-citation.json"}</w:instrText>
      </w:r>
      <w:r w:rsidRPr="000F0D5C">
        <w:rPr>
          <w:lang w:val="en-US"/>
        </w:rPr>
        <w:fldChar w:fldCharType="separate"/>
      </w:r>
      <w:r w:rsidRPr="000F0D5C">
        <w:rPr>
          <w:noProof/>
          <w:lang w:val="en-US"/>
        </w:rPr>
        <w:t>[8]</w:t>
      </w:r>
      <w:r w:rsidRPr="000F0D5C">
        <w:rPr>
          <w:lang w:val="en-US"/>
        </w:rPr>
        <w:fldChar w:fldCharType="end"/>
      </w:r>
      <w:r w:rsidRPr="000F0D5C">
        <w:rPr>
          <w:lang w:val="en-US"/>
        </w:rPr>
        <w:t>.</w:t>
      </w:r>
    </w:p>
    <w:p w:rsidR="00FE0317" w:rsidRPr="000F0D5C" w:rsidRDefault="00FE0317" w:rsidP="00FE0317">
      <w:pPr>
        <w:pStyle w:val="Displayedequation"/>
        <w:rPr>
          <w:lang w:val="en-US"/>
        </w:rPr>
      </w:pPr>
      <m:oMath>
        <m:r>
          <w:rPr>
            <w:rFonts w:ascii="Cambria Math" w:hAnsi="Cambria Math"/>
            <w:lang w:val="en-US"/>
          </w:rPr>
          <m:t>F</m:t>
        </m:r>
        <m:r>
          <m:rPr>
            <m:sty m:val="p"/>
          </m:rPr>
          <w:rPr>
            <w:rFonts w:ascii="Cambria Math" w:hAnsi="Cambria Math"/>
            <w:lang w:val="en-US"/>
          </w:rPr>
          <m:t>=</m:t>
        </m:r>
        <m:f>
          <m:fPr>
            <m:type m:val="skw"/>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AUC</m:t>
                </m:r>
              </m:e>
              <m:sub>
                <m:r>
                  <w:rPr>
                    <w:rFonts w:ascii="Cambria Math" w:hAnsi="Cambria Math"/>
                    <w:lang w:val="en-US"/>
                  </w:rPr>
                  <m:t>S</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I</m:t>
                </m:r>
                <m:r>
                  <m:rPr>
                    <m:sty m:val="p"/>
                  </m:rPr>
                  <w:rPr>
                    <w:rFonts w:ascii="Cambria Math" w:hAnsi="Cambria Math"/>
                    <w:lang w:val="en-US"/>
                  </w:rPr>
                  <m:t>.</m:t>
                </m:r>
                <m:r>
                  <w:rPr>
                    <w:rFonts w:ascii="Cambria Math" w:hAnsi="Cambria Math"/>
                    <w:lang w:val="en-US"/>
                  </w:rPr>
                  <m:t>V</m:t>
                </m:r>
                <m:r>
                  <m:rPr>
                    <m:sty m:val="p"/>
                  </m:rPr>
                  <w:rPr>
                    <w:rFonts w:ascii="Cambria Math" w:hAnsi="Cambria Math"/>
                    <w:lang w:val="en-US"/>
                  </w:rPr>
                  <m:t>.</m:t>
                </m:r>
              </m:sub>
            </m:sSub>
          </m:num>
          <m:den>
            <m:sSub>
              <m:sSubPr>
                <m:ctrlPr>
                  <w:rPr>
                    <w:rFonts w:ascii="Cambria Math" w:hAnsi="Cambria Math"/>
                    <w:lang w:val="en-US"/>
                  </w:rPr>
                </m:ctrlPr>
              </m:sSubPr>
              <m:e>
                <m:r>
                  <w:rPr>
                    <w:rFonts w:ascii="Cambria Math" w:hAnsi="Cambria Math"/>
                    <w:lang w:val="en-US"/>
                  </w:rPr>
                  <m:t>AUC</m:t>
                </m:r>
              </m:e>
              <m:sub>
                <m:r>
                  <w:rPr>
                    <w:rFonts w:ascii="Cambria Math" w:hAnsi="Cambria Math"/>
                    <w:lang w:val="en-US"/>
                  </w:rPr>
                  <m:t>I</m:t>
                </m:r>
                <m:r>
                  <m:rPr>
                    <m:sty m:val="p"/>
                  </m:rPr>
                  <w:rPr>
                    <w:rFonts w:ascii="Cambria Math" w:hAnsi="Cambria Math"/>
                    <w:lang w:val="en-US"/>
                  </w:rPr>
                  <m:t>.</m:t>
                </m:r>
                <m:r>
                  <w:rPr>
                    <w:rFonts w:ascii="Cambria Math" w:hAnsi="Cambria Math"/>
                    <w:lang w:val="en-US"/>
                  </w:rPr>
                  <m:t>V</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S</m:t>
                </m:r>
                <m:r>
                  <m:rPr>
                    <m:sty m:val="p"/>
                  </m:rPr>
                  <w:rPr>
                    <w:rFonts w:ascii="Cambria Math" w:hAnsi="Cambria Math"/>
                    <w:lang w:val="en-US"/>
                  </w:rPr>
                  <m:t>.</m:t>
                </m:r>
                <m:r>
                  <w:rPr>
                    <w:rFonts w:ascii="Cambria Math" w:hAnsi="Cambria Math"/>
                    <w:lang w:val="en-US"/>
                  </w:rPr>
                  <m:t>C</m:t>
                </m:r>
                <m:r>
                  <m:rPr>
                    <m:sty m:val="p"/>
                  </m:rPr>
                  <w:rPr>
                    <w:rFonts w:ascii="Cambria Math" w:hAnsi="Cambria Math"/>
                    <w:lang w:val="en-US"/>
                  </w:rPr>
                  <m:t>.</m:t>
                </m:r>
              </m:sub>
            </m:sSub>
          </m:den>
        </m:f>
      </m:oMath>
      <w:r w:rsidRPr="000F0D5C">
        <w:rPr>
          <w:lang w:val="en-US"/>
        </w:rPr>
        <w:t xml:space="preserve">        </w:t>
      </w:r>
      <w:r w:rsidR="000F0D5C">
        <w:rPr>
          <w:lang w:val="en-US"/>
        </w:rPr>
        <w:t>(6</w:t>
      </w:r>
      <w:r w:rsidRPr="000F0D5C">
        <w:rPr>
          <w:lang w:val="en-US"/>
        </w:rPr>
        <w:t>)</w:t>
      </w:r>
    </w:p>
    <w:p w:rsidR="00FE0317" w:rsidRPr="000F0D5C" w:rsidRDefault="00FE0317" w:rsidP="00FE0317">
      <w:pPr>
        <w:pStyle w:val="Newparagraph"/>
        <w:rPr>
          <w:lang w:val="en-US"/>
        </w:rPr>
      </w:pPr>
      <w:r w:rsidRPr="000F0D5C">
        <w:rPr>
          <w:lang w:val="en-US"/>
        </w:rPr>
        <w:t>Clearance (CL) describes the process of irreversible elimination of venom and AV from systemic circulation and was calculated as follows:</w:t>
      </w:r>
    </w:p>
    <w:p w:rsidR="00FE0317" w:rsidRPr="000F0D5C" w:rsidRDefault="00FE0317" w:rsidP="00FE0317">
      <w:pPr>
        <w:pStyle w:val="Displayedequation"/>
        <w:rPr>
          <w:lang w:val="en-US"/>
        </w:rPr>
      </w:pPr>
      <m:oMath>
        <m:r>
          <w:rPr>
            <w:rFonts w:ascii="Cambria Math" w:hAnsi="Cambria Math"/>
            <w:lang w:val="en-US"/>
          </w:rPr>
          <m:t>CL</m:t>
        </m:r>
        <m:r>
          <m:rPr>
            <m:sty m:val="p"/>
          </m:rPr>
          <w:rPr>
            <w:rFonts w:ascii="Cambria Math" w:hAnsi="Cambria Math"/>
            <w:lang w:val="en-US"/>
          </w:rPr>
          <m:t xml:space="preserve">= </m:t>
        </m:r>
        <m:f>
          <m:fPr>
            <m:type m:val="skw"/>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I</m:t>
                </m:r>
                <m:r>
                  <m:rPr>
                    <m:sty m:val="p"/>
                  </m:rPr>
                  <w:rPr>
                    <w:rFonts w:ascii="Cambria Math" w:hAnsi="Cambria Math"/>
                    <w:lang w:val="en-US"/>
                  </w:rPr>
                  <m:t>.</m:t>
                </m:r>
                <m:r>
                  <w:rPr>
                    <w:rFonts w:ascii="Cambria Math" w:hAnsi="Cambria Math"/>
                    <w:lang w:val="en-US"/>
                  </w:rPr>
                  <m:t>V</m:t>
                </m:r>
                <m:r>
                  <m:rPr>
                    <m:sty m:val="p"/>
                  </m:rPr>
                  <w:rPr>
                    <w:rFonts w:ascii="Cambria Math" w:hAnsi="Cambria Math"/>
                    <w:lang w:val="en-US"/>
                  </w:rPr>
                  <m:t>.</m:t>
                </m:r>
              </m:sub>
            </m:sSub>
          </m:num>
          <m:den>
            <m:sSub>
              <m:sSubPr>
                <m:ctrlPr>
                  <w:rPr>
                    <w:rFonts w:ascii="Cambria Math" w:hAnsi="Cambria Math"/>
                    <w:lang w:val="en-US"/>
                  </w:rPr>
                </m:ctrlPr>
              </m:sSubPr>
              <m:e>
                <m:r>
                  <w:rPr>
                    <w:rFonts w:ascii="Cambria Math" w:hAnsi="Cambria Math"/>
                    <w:lang w:val="en-US"/>
                  </w:rPr>
                  <m:t>AUC</m:t>
                </m:r>
              </m:e>
              <m:sub>
                <m:r>
                  <w:rPr>
                    <w:rFonts w:ascii="Cambria Math" w:hAnsi="Cambria Math"/>
                    <w:lang w:val="en-US"/>
                  </w:rPr>
                  <m:t>I</m:t>
                </m:r>
                <m:r>
                  <m:rPr>
                    <m:sty m:val="p"/>
                  </m:rPr>
                  <w:rPr>
                    <w:rFonts w:ascii="Cambria Math" w:hAnsi="Cambria Math"/>
                    <w:lang w:val="en-US"/>
                  </w:rPr>
                  <m:t>.</m:t>
                </m:r>
                <m:r>
                  <w:rPr>
                    <w:rFonts w:ascii="Cambria Math" w:hAnsi="Cambria Math"/>
                    <w:lang w:val="en-US"/>
                  </w:rPr>
                  <m:t>V</m:t>
                </m:r>
                <m:r>
                  <m:rPr>
                    <m:sty m:val="p"/>
                  </m:rPr>
                  <w:rPr>
                    <w:rFonts w:ascii="Cambria Math" w:hAnsi="Cambria Math"/>
                    <w:lang w:val="en-US"/>
                  </w:rPr>
                  <m:t>.</m:t>
                </m:r>
              </m:sub>
            </m:sSub>
          </m:den>
        </m:f>
      </m:oMath>
      <w:r w:rsidRPr="000F0D5C">
        <w:rPr>
          <w:lang w:val="en-US"/>
        </w:rPr>
        <w:t xml:space="preserve">               (</w:t>
      </w:r>
      <w:r w:rsidR="000F0D5C">
        <w:rPr>
          <w:lang w:val="en-US"/>
        </w:rPr>
        <w:t>7</w:t>
      </w:r>
      <w:r w:rsidRPr="000F0D5C">
        <w:rPr>
          <w:lang w:val="en-US"/>
        </w:rPr>
        <w:t>)</w:t>
      </w:r>
    </w:p>
    <w:p w:rsidR="00FE0317" w:rsidRPr="000F0D5C" w:rsidRDefault="00FE0317" w:rsidP="00FE0317">
      <w:pPr>
        <w:pStyle w:val="Newparagraph"/>
        <w:rPr>
          <w:lang w:val="en-US"/>
        </w:rPr>
      </w:pPr>
      <w:r w:rsidRPr="000F0D5C">
        <w:rPr>
          <w:lang w:val="en-US"/>
        </w:rPr>
        <w:t>Mean residence time (MRT) refers to average time that venom and AV stays in the body; it is defined by:</w:t>
      </w:r>
    </w:p>
    <w:p w:rsidR="00FE0317" w:rsidRPr="000F0D5C" w:rsidRDefault="00FE0317" w:rsidP="00FE0317">
      <w:pPr>
        <w:pStyle w:val="Displayedequation"/>
        <w:rPr>
          <w:lang w:val="en-US"/>
        </w:rPr>
      </w:pPr>
      <m:oMath>
        <m:r>
          <w:rPr>
            <w:rFonts w:ascii="Cambria Math" w:hAnsi="Cambria Math"/>
            <w:lang w:val="en-US"/>
          </w:rPr>
          <m:t>MRT</m:t>
        </m:r>
        <m:r>
          <m:rPr>
            <m:sty m:val="p"/>
          </m:rPr>
          <w:rPr>
            <w:rFonts w:ascii="Cambria Math" w:hAnsi="Cambria Math"/>
            <w:lang w:val="en-US"/>
          </w:rPr>
          <m:t xml:space="preserve"> =</m:t>
        </m:r>
        <m:f>
          <m:fPr>
            <m:type m:val="skw"/>
            <m:ctrlPr>
              <w:rPr>
                <w:rFonts w:ascii="Cambria Math" w:hAnsi="Cambria Math"/>
                <w:lang w:val="en-US"/>
              </w:rPr>
            </m:ctrlPr>
          </m:fPr>
          <m:num>
            <m:r>
              <w:rPr>
                <w:rFonts w:ascii="Cambria Math" w:hAnsi="Cambria Math"/>
                <w:lang w:val="en-US"/>
              </w:rPr>
              <m:t>AUMC</m:t>
            </m:r>
          </m:num>
          <m:den>
            <m:r>
              <w:rPr>
                <w:rFonts w:ascii="Cambria Math" w:hAnsi="Cambria Math"/>
                <w:lang w:val="en-US"/>
              </w:rPr>
              <m:t>AUC</m:t>
            </m:r>
          </m:den>
        </m:f>
      </m:oMath>
      <w:r w:rsidRPr="000F0D5C">
        <w:rPr>
          <w:lang w:val="en-US"/>
        </w:rPr>
        <w:t xml:space="preserve">             </w:t>
      </w:r>
      <w:r w:rsidR="000F0D5C">
        <w:rPr>
          <w:lang w:val="en-US"/>
        </w:rPr>
        <w:t>(8</w:t>
      </w:r>
      <w:r w:rsidRPr="000F0D5C">
        <w:rPr>
          <w:lang w:val="en-US"/>
        </w:rPr>
        <w:t>)</w:t>
      </w:r>
    </w:p>
    <w:p w:rsidR="00FE0317" w:rsidRPr="000F0D5C" w:rsidRDefault="00FE0317" w:rsidP="00FE0317">
      <w:pPr>
        <w:pStyle w:val="Newparagraph"/>
        <w:rPr>
          <w:lang w:val="en-US"/>
        </w:rPr>
      </w:pPr>
      <w:r w:rsidRPr="000F0D5C">
        <w:rPr>
          <w:lang w:val="en-US"/>
        </w:rPr>
        <w:t xml:space="preserve"> The area under the first moment curve (AUMC) was estimated using trapezoidal numerical integration: </w:t>
      </w:r>
    </w:p>
    <w:p w:rsidR="00FE0317" w:rsidRPr="000F0D5C" w:rsidRDefault="000F0D5C" w:rsidP="00FE0317">
      <w:pPr>
        <w:pStyle w:val="Displayedequation"/>
        <w:rPr>
          <w:lang w:val="en-US"/>
        </w:rPr>
      </w:pPr>
      <m:oMath>
        <m:sSub>
          <m:sSubPr>
            <m:ctrlPr>
              <w:rPr>
                <w:rFonts w:ascii="Cambria Math" w:hAnsi="Cambria Math"/>
                <w:lang w:val="en-US"/>
              </w:rPr>
            </m:ctrlPr>
          </m:sSubPr>
          <m:e>
            <m:r>
              <w:rPr>
                <w:rFonts w:ascii="Cambria Math" w:hAnsi="Cambria Math"/>
                <w:lang w:val="en-US"/>
              </w:rPr>
              <m:t>AUMC</m:t>
            </m:r>
          </m:e>
          <m:sub>
            <m:r>
              <m:rPr>
                <m:sty m:val="p"/>
              </m:rPr>
              <w:rPr>
                <w:rFonts w:ascii="Cambria Math" w:hAnsi="Cambria Math"/>
                <w:lang w:val="en-US"/>
              </w:rPr>
              <m:t>0-</m:t>
            </m:r>
            <m:r>
              <w:rPr>
                <w:rFonts w:ascii="Cambria Math" w:hAnsi="Cambria Math"/>
                <w:lang w:val="en-US"/>
              </w:rPr>
              <m:t>t</m:t>
            </m:r>
          </m:sub>
        </m:sSub>
        <m:r>
          <m:rPr>
            <m:sty m:val="p"/>
          </m:rPr>
          <w:rPr>
            <w:rFonts w:ascii="Cambria Math" w:hAnsi="Cambria Math"/>
            <w:lang w:val="en-US"/>
          </w:rPr>
          <m:t>=</m:t>
        </m:r>
        <m:nary>
          <m:naryPr>
            <m:limLoc m:val="subSup"/>
            <m:ctrlPr>
              <w:rPr>
                <w:rFonts w:ascii="Cambria Math" w:hAnsi="Cambria Math"/>
                <w:lang w:val="en-US"/>
              </w:rPr>
            </m:ctrlPr>
          </m:naryPr>
          <m:sub>
            <m:r>
              <m:rPr>
                <m:sty m:val="p"/>
              </m:rPr>
              <w:rPr>
                <w:rFonts w:ascii="Cambria Math" w:hAnsi="Cambria Math"/>
                <w:lang w:val="en-US"/>
              </w:rPr>
              <m:t>0</m:t>
            </m:r>
          </m:sub>
          <m:sup>
            <m:r>
              <w:rPr>
                <w:rFonts w:ascii="Cambria Math" w:hAnsi="Cambria Math"/>
                <w:lang w:val="en-US"/>
              </w:rPr>
              <m:t>t</m:t>
            </m:r>
          </m:sup>
          <m:e>
            <m:r>
              <w:rPr>
                <w:rFonts w:ascii="Cambria Math" w:hAnsi="Cambria Math"/>
                <w:lang w:val="en-US"/>
              </w:rPr>
              <m:t>Csdt</m:t>
            </m:r>
          </m:e>
        </m:nary>
        <m:r>
          <m:rPr>
            <m:sty m:val="p"/>
          </m:rPr>
          <w:rPr>
            <w:rFonts w:ascii="Cambria Math" w:hAnsi="Cambria Math"/>
            <w:lang w:val="en-US"/>
          </w:rPr>
          <m:t>=</m:t>
        </m:r>
        <m:nary>
          <m:naryPr>
            <m:chr m:val="∑"/>
            <m:limLoc m:val="undOvr"/>
            <m:ctrlPr>
              <w:rPr>
                <w:rFonts w:ascii="Cambria Math" w:hAnsi="Cambria Math"/>
                <w:lang w:val="en-US"/>
              </w:rPr>
            </m:ctrlPr>
          </m:naryPr>
          <m:sub>
            <m:r>
              <w:rPr>
                <w:rFonts w:ascii="Cambria Math" w:hAnsi="Cambria Math"/>
                <w:lang w:val="en-US"/>
              </w:rPr>
              <m:t>i</m:t>
            </m:r>
            <m:r>
              <m:rPr>
                <m:sty m:val="p"/>
              </m:rPr>
              <w:rPr>
                <w:rFonts w:ascii="Cambria Math" w:hAnsi="Cambria Math"/>
                <w:lang w:val="en-US"/>
              </w:rPr>
              <m:t>=0</m:t>
            </m:r>
          </m:sub>
          <m:sup>
            <m:r>
              <w:rPr>
                <w:rFonts w:ascii="Cambria Math" w:hAnsi="Cambria Math"/>
                <w:lang w:val="en-US"/>
              </w:rPr>
              <m:t>i</m:t>
            </m:r>
            <m:r>
              <m:rPr>
                <m:sty m:val="p"/>
              </m:rPr>
              <w:rPr>
                <w:rFonts w:ascii="Cambria Math" w:hAnsi="Cambria Math"/>
                <w:lang w:val="en-US"/>
              </w:rPr>
              <m:t>=</m:t>
            </m:r>
            <m:r>
              <w:rPr>
                <w:rFonts w:ascii="Cambria Math" w:hAnsi="Cambria Math"/>
                <w:lang w:val="en-US"/>
              </w:rPr>
              <m:t>t</m:t>
            </m:r>
          </m:sup>
          <m:e>
            <m:d>
              <m:dPr>
                <m:ctrlPr>
                  <w:rPr>
                    <w:rFonts w:ascii="Cambria Math" w:hAnsi="Cambria Math"/>
                    <w:lang w:val="en-US"/>
                  </w:rPr>
                </m:ctrlPr>
              </m:dPr>
              <m:e>
                <m:f>
                  <m:fPr>
                    <m:type m:val="lin"/>
                    <m:ctrlPr>
                      <w:rPr>
                        <w:rFonts w:ascii="Cambria Math" w:hAnsi="Cambria Math"/>
                        <w:lang w:val="en-US"/>
                      </w:rPr>
                    </m:ctrlPr>
                  </m:fPr>
                  <m:num>
                    <m:r>
                      <m:rPr>
                        <m:sty m:val="p"/>
                      </m:rPr>
                      <w:rPr>
                        <w:rFonts w:ascii="Cambria Math" w:hAnsi="Cambria Math"/>
                        <w:lang w:val="en-US"/>
                      </w:rPr>
                      <m:t>1</m:t>
                    </m:r>
                  </m:num>
                  <m:den>
                    <m:r>
                      <m:rPr>
                        <m:sty m:val="p"/>
                      </m:rPr>
                      <w:rPr>
                        <w:rFonts w:ascii="Cambria Math" w:hAnsi="Cambria Math"/>
                        <w:lang w:val="en-US"/>
                      </w:rPr>
                      <m:t>6</m:t>
                    </m:r>
                  </m:den>
                </m:f>
              </m:e>
            </m:d>
            <m:r>
              <m:rPr>
                <m:sty m:val="p"/>
              </m:rP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e>
            </m:d>
            <m:r>
              <m:rPr>
                <m:sty m:val="p"/>
              </m:rPr>
              <w:rPr>
                <w:rFonts w:ascii="Cambria Math" w:hAnsi="Cambria Math"/>
                <w:lang w:val="en-US"/>
              </w:rPr>
              <m:t>×</m:t>
            </m:r>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r>
                      <m:rPr>
                        <m:sty m:val="p"/>
                      </m:rPr>
                      <w:rPr>
                        <w:rFonts w:ascii="Cambria Math" w:hAnsi="Cambria Math"/>
                        <w:lang w:val="en-US"/>
                      </w:rPr>
                      <m:t>+1</m:t>
                    </m:r>
                  </m:sub>
                </m:sSub>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Cs</m:t>
                        </m:r>
                      </m:e>
                      <m:sub>
                        <m:r>
                          <w:rPr>
                            <w:rFonts w:ascii="Cambria Math" w:hAnsi="Cambria Math"/>
                            <w:lang w:val="en-US"/>
                          </w:rPr>
                          <m:t>i</m:t>
                        </m:r>
                      </m:sub>
                    </m:sSub>
                    <m:r>
                      <m:rPr>
                        <m:sty m:val="p"/>
                      </m:rPr>
                      <w:rPr>
                        <w:rFonts w:ascii="Cambria Math" w:hAnsi="Cambria Math"/>
                        <w:lang w:val="en-US"/>
                      </w:rPr>
                      <m:t xml:space="preserve">+ </m:t>
                    </m:r>
                    <m:sSub>
                      <m:sSubPr>
                        <m:ctrlPr>
                          <w:rPr>
                            <w:rFonts w:ascii="Cambria Math" w:hAnsi="Cambria Math"/>
                            <w:lang w:val="en-US"/>
                          </w:rPr>
                        </m:ctrlPr>
                      </m:sSubPr>
                      <m:e>
                        <m:r>
                          <m:rPr>
                            <m:sty m:val="p"/>
                          </m:rPr>
                          <w:rPr>
                            <w:rFonts w:ascii="Cambria Math" w:hAnsi="Cambria Math"/>
                            <w:lang w:val="en-US"/>
                          </w:rPr>
                          <m:t>2</m:t>
                        </m:r>
                        <m:r>
                          <w:rPr>
                            <w:rFonts w:ascii="Cambria Math" w:hAnsi="Cambria Math"/>
                            <w:lang w:val="en-US"/>
                          </w:rPr>
                          <m:t>Cs</m:t>
                        </m:r>
                      </m:e>
                      <m:sub>
                        <m:r>
                          <w:rPr>
                            <w:rFonts w:ascii="Cambria Math" w:hAnsi="Cambria Math"/>
                            <w:lang w:val="en-US"/>
                          </w:rPr>
                          <m:t>i</m:t>
                        </m:r>
                        <m:r>
                          <m:rPr>
                            <m:sty m:val="p"/>
                          </m:rPr>
                          <w:rPr>
                            <w:rFonts w:ascii="Cambria Math" w:hAnsi="Cambria Math"/>
                            <w:lang w:val="en-US"/>
                          </w:rPr>
                          <m:t>+1</m:t>
                        </m:r>
                      </m:sub>
                    </m:sSub>
                  </m:e>
                </m:d>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t</m:t>
                    </m:r>
                  </m:e>
                  <m:sub>
                    <m:r>
                      <w:rPr>
                        <w:rFonts w:ascii="Cambria Math" w:hAnsi="Cambria Math"/>
                        <w:lang w:val="en-US"/>
                      </w:rPr>
                      <m:t>i</m:t>
                    </m:r>
                  </m:sub>
                </m:sSub>
                <m:d>
                  <m:dPr>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2</m:t>
                        </m:r>
                        <m:r>
                          <w:rPr>
                            <w:rFonts w:ascii="Cambria Math" w:hAnsi="Cambria Math"/>
                            <w:lang w:val="en-US"/>
                          </w:rPr>
                          <m:t>Cs</m:t>
                        </m:r>
                      </m:e>
                      <m:sub>
                        <m:r>
                          <w:rPr>
                            <w:rFonts w:ascii="Cambria Math" w:hAnsi="Cambria Math"/>
                            <w:lang w:val="en-US"/>
                          </w:rPr>
                          <m:t>i</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Cs</m:t>
                        </m:r>
                      </m:e>
                      <m:sub>
                        <m:r>
                          <w:rPr>
                            <w:rFonts w:ascii="Cambria Math" w:hAnsi="Cambria Math"/>
                            <w:lang w:val="en-US"/>
                          </w:rPr>
                          <m:t>i</m:t>
                        </m:r>
                        <m:r>
                          <m:rPr>
                            <m:sty m:val="p"/>
                          </m:rPr>
                          <w:rPr>
                            <w:rFonts w:ascii="Cambria Math" w:hAnsi="Cambria Math"/>
                            <w:lang w:val="en-US"/>
                          </w:rPr>
                          <m:t>+1</m:t>
                        </m:r>
                      </m:sub>
                    </m:sSub>
                  </m:e>
                </m:d>
              </m:e>
            </m:d>
          </m:e>
        </m:nary>
      </m:oMath>
      <w:r w:rsidR="00FE0317" w:rsidRPr="000F0D5C">
        <w:rPr>
          <w:lang w:val="en-US"/>
        </w:rPr>
        <w:t xml:space="preserve">                        (</w:t>
      </w:r>
      <w:r>
        <w:rPr>
          <w:lang w:val="en-US"/>
        </w:rPr>
        <w:t>9</w:t>
      </w:r>
      <w:r w:rsidR="00FE0317" w:rsidRPr="000F0D5C">
        <w:rPr>
          <w:lang w:val="en-US"/>
        </w:rPr>
        <w:t>)</w:t>
      </w:r>
    </w:p>
    <w:p w:rsidR="00FE0317" w:rsidRPr="000F0D5C" w:rsidRDefault="00FE0317" w:rsidP="00FE0317">
      <w:pPr>
        <w:pStyle w:val="Newparagraph"/>
        <w:rPr>
          <w:lang w:val="en-US"/>
        </w:rPr>
      </w:pPr>
      <w:r w:rsidRPr="000F0D5C">
        <w:rPr>
          <w:lang w:val="en-US"/>
        </w:rPr>
        <w:t>Volume of distribution at steady state (</w:t>
      </w:r>
      <w:proofErr w:type="spellStart"/>
      <w:r w:rsidRPr="000F0D5C">
        <w:rPr>
          <w:lang w:val="en-US"/>
        </w:rPr>
        <w:t>Vss</w:t>
      </w:r>
      <w:proofErr w:type="spellEnd"/>
      <w:r w:rsidRPr="000F0D5C">
        <w:rPr>
          <w:lang w:val="en-US"/>
        </w:rPr>
        <w:t>) refers to apparent volume of distribution when the concentration vs. time profile curve reaches equilibrium:</w:t>
      </w:r>
    </w:p>
    <w:p w:rsidR="00FE0317" w:rsidRPr="000F0D5C" w:rsidRDefault="00FE0317" w:rsidP="00FE0317">
      <w:pPr>
        <w:pStyle w:val="Displayedequation"/>
        <w:rPr>
          <w:lang w:val="en-US"/>
        </w:rPr>
      </w:pPr>
      <m:oMath>
        <m:r>
          <w:rPr>
            <w:rFonts w:ascii="Cambria Math" w:hAnsi="Cambria Math"/>
            <w:lang w:val="en-US"/>
          </w:rPr>
          <w:lastRenderedPageBreak/>
          <m:t>Vss =CL×MRT</m:t>
        </m:r>
      </m:oMath>
      <w:r w:rsidRPr="000F0D5C">
        <w:rPr>
          <w:lang w:val="en-US"/>
        </w:rPr>
        <w:t xml:space="preserve">                   </w:t>
      </w:r>
      <w:r w:rsidR="000F0D5C">
        <w:rPr>
          <w:lang w:val="en-US"/>
        </w:rPr>
        <w:t>(10</w:t>
      </w:r>
      <w:r w:rsidRPr="000F0D5C">
        <w:rPr>
          <w:lang w:val="en-US"/>
        </w:rPr>
        <w:t>)</w:t>
      </w:r>
    </w:p>
    <w:p w:rsidR="00FE0317" w:rsidRPr="000F0D5C" w:rsidRDefault="00FE0317" w:rsidP="00FE0317">
      <w:pPr>
        <w:pStyle w:val="Newparagraph"/>
        <w:rPr>
          <w:lang w:val="en-US"/>
        </w:rPr>
      </w:pPr>
      <w:r w:rsidRPr="000F0D5C">
        <w:rPr>
          <w:lang w:val="en-US"/>
        </w:rPr>
        <w:t>Maximum concentration (</w:t>
      </w:r>
      <w:proofErr w:type="spellStart"/>
      <w:r w:rsidRPr="000F0D5C">
        <w:rPr>
          <w:lang w:val="en-US"/>
        </w:rPr>
        <w:t>C</w:t>
      </w:r>
      <w:r w:rsidRPr="000F0D5C">
        <w:rPr>
          <w:vertAlign w:val="subscript"/>
          <w:lang w:val="en-US"/>
        </w:rPr>
        <w:t>max</w:t>
      </w:r>
      <w:proofErr w:type="spellEnd"/>
      <w:r w:rsidRPr="000F0D5C">
        <w:rPr>
          <w:lang w:val="en-US"/>
        </w:rPr>
        <w:t>), and the last concentration measured at the end of experiment (</w:t>
      </w:r>
      <w:proofErr w:type="spellStart"/>
      <w:r w:rsidRPr="000F0D5C">
        <w:rPr>
          <w:lang w:val="en-US"/>
        </w:rPr>
        <w:t>Cz</w:t>
      </w:r>
      <w:proofErr w:type="spellEnd"/>
      <w:r w:rsidRPr="000F0D5C">
        <w:rPr>
          <w:lang w:val="en-US"/>
        </w:rPr>
        <w:t>), were taken directly from experimental data, for both venom and AV.</w:t>
      </w:r>
    </w:p>
    <w:p w:rsidR="00FE0317" w:rsidRPr="000F0D5C" w:rsidRDefault="00FE0317" w:rsidP="00FE0317">
      <w:pPr>
        <w:pStyle w:val="Newparagraph"/>
        <w:rPr>
          <w:lang w:val="en-US"/>
        </w:rPr>
      </w:pPr>
      <w:r w:rsidRPr="000F0D5C">
        <w:rPr>
          <w:lang w:val="en-US"/>
        </w:rPr>
        <w:t>For group 3, the quantity of venom and AV in each lymph sample was calculated by multiplying the concentration obtained in each sample by the corresponding volume, and the cumulative amount was estimated by adding together the quantities previously calculated. Total recovery of venom was calculated as the sum of systemic availability in blood (F) and cumulative fraction of the dose recovered in lymph.</w:t>
      </w:r>
    </w:p>
    <w:p w:rsidR="00FE0317" w:rsidRDefault="00FE0317" w:rsidP="00FE0317">
      <w:pPr>
        <w:pStyle w:val="Newparagraph"/>
        <w:rPr>
          <w:lang w:val="en-US"/>
        </w:rPr>
      </w:pPr>
      <w:r w:rsidRPr="000F0D5C">
        <w:rPr>
          <w:lang w:val="en-US"/>
        </w:rPr>
        <w:t>Statistical comparisons between treatment groups were conducted for all parameters using the Student t-test.</w:t>
      </w:r>
    </w:p>
    <w:p w:rsidR="00274AC8" w:rsidRPr="00FE0317" w:rsidRDefault="00274AC8">
      <w:pPr>
        <w:rPr>
          <w:lang w:val="en-US"/>
        </w:rPr>
      </w:pPr>
    </w:p>
    <w:sectPr w:rsidR="00274AC8" w:rsidRPr="00FE03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2MbS0MDMzMLC0MLJU0lEKTi0uzszPAykwqgUAUqILgSwAAAA="/>
  </w:docVars>
  <w:rsids>
    <w:rsidRoot w:val="00FE0317"/>
    <w:rsid w:val="000F0D5C"/>
    <w:rsid w:val="00274AC8"/>
    <w:rsid w:val="00956821"/>
    <w:rsid w:val="00EF0A1F"/>
    <w:rsid w:val="00FE0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818D"/>
  <w15:chartTrackingRefBased/>
  <w15:docId w15:val="{A9641BE7-F2C0-422B-8844-DD299402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Paragraph"/>
    <w:link w:val="Ttulo2Car"/>
    <w:qFormat/>
    <w:rsid w:val="00FE0317"/>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E0317"/>
    <w:rPr>
      <w:rFonts w:ascii="Times New Roman" w:eastAsia="Times New Roman" w:hAnsi="Times New Roman" w:cs="Arial"/>
      <w:b/>
      <w:bCs/>
      <w:i/>
      <w:iCs/>
      <w:sz w:val="24"/>
      <w:szCs w:val="28"/>
      <w:lang w:val="en-GB" w:eastAsia="en-GB"/>
    </w:rPr>
  </w:style>
  <w:style w:type="paragraph" w:customStyle="1" w:styleId="Paragraph">
    <w:name w:val="Paragraph"/>
    <w:basedOn w:val="Normal"/>
    <w:next w:val="Newparagraph"/>
    <w:qFormat/>
    <w:rsid w:val="00FE0317"/>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FE0317"/>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Displayedequation">
    <w:name w:val="Displayed equation"/>
    <w:basedOn w:val="Normal"/>
    <w:next w:val="Paragraph"/>
    <w:qFormat/>
    <w:rsid w:val="00FE0317"/>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5116</Words>
  <Characters>29164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Dayanira Sheira Paniagua Meza</dc:creator>
  <cp:keywords/>
  <dc:description/>
  <cp:lastModifiedBy>Dayanira Sheira Paniagua Meza</cp:lastModifiedBy>
  <cp:revision>3</cp:revision>
  <dcterms:created xsi:type="dcterms:W3CDTF">2018-11-11T16:40:00Z</dcterms:created>
  <dcterms:modified xsi:type="dcterms:W3CDTF">2018-11-11T16:44:00Z</dcterms:modified>
</cp:coreProperties>
</file>