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02" w:rsidRDefault="00FD5B02" w:rsidP="00FD5B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Table 1.</w:t>
      </w:r>
      <w:proofErr w:type="gramEnd"/>
      <w:r w:rsidRPr="00B57EA5">
        <w:rPr>
          <w:rFonts w:ascii="Times New Roman" w:hAnsi="Times New Roman" w:cs="Times New Roman"/>
          <w:b/>
          <w:sz w:val="24"/>
          <w:szCs w:val="24"/>
        </w:rPr>
        <w:t xml:space="preserve"> Summary of </w:t>
      </w:r>
      <w:r>
        <w:rPr>
          <w:rFonts w:ascii="Times New Roman" w:hAnsi="Times New Roman" w:cs="Times New Roman"/>
          <w:b/>
          <w:sz w:val="24"/>
          <w:szCs w:val="24"/>
        </w:rPr>
        <w:t>studies</w:t>
      </w:r>
      <w:r w:rsidRPr="00B57EA5">
        <w:rPr>
          <w:rFonts w:ascii="Times New Roman" w:hAnsi="Times New Roman" w:cs="Times New Roman"/>
          <w:b/>
          <w:sz w:val="24"/>
          <w:szCs w:val="24"/>
        </w:rPr>
        <w:t xml:space="preserve"> used in the </w:t>
      </w:r>
      <w:r>
        <w:rPr>
          <w:rFonts w:ascii="Times New Roman" w:hAnsi="Times New Roman" w:cs="Times New Roman"/>
          <w:b/>
          <w:sz w:val="24"/>
          <w:szCs w:val="24"/>
        </w:rPr>
        <w:t>meta-regression</w:t>
      </w:r>
      <w:r w:rsidRPr="00B57EA5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044EB9">
        <w:rPr>
          <w:rFonts w:ascii="Times New Roman" w:hAnsi="Times New Roman" w:cs="Times New Roman"/>
          <w:b/>
          <w:sz w:val="24"/>
          <w:szCs w:val="24"/>
        </w:rPr>
        <w:t>6M-CDP</w:t>
      </w:r>
      <w:r w:rsidRPr="00B57EA5">
        <w:rPr>
          <w:rFonts w:ascii="Times New Roman" w:hAnsi="Times New Roman" w:cs="Times New Roman"/>
          <w:b/>
          <w:sz w:val="24"/>
          <w:szCs w:val="24"/>
        </w:rPr>
        <w:t xml:space="preserve"> reported at 24 months</w:t>
      </w:r>
    </w:p>
    <w:tbl>
      <w:tblPr>
        <w:tblW w:w="0" w:type="auto"/>
        <w:tblInd w:w="113" w:type="dxa"/>
        <w:tblBorders>
          <w:top w:val="single" w:sz="8" w:space="0" w:color="002C77"/>
          <w:left w:val="single" w:sz="8" w:space="0" w:color="002C77"/>
          <w:bottom w:val="single" w:sz="8" w:space="0" w:color="002C77"/>
          <w:right w:val="single" w:sz="8" w:space="0" w:color="002C77"/>
          <w:insideH w:val="single" w:sz="8" w:space="0" w:color="002C77"/>
          <w:insideV w:val="single" w:sz="8" w:space="0" w:color="002C77"/>
        </w:tblBorders>
        <w:tblLayout w:type="fixed"/>
        <w:tblLook w:val="0660" w:firstRow="1" w:lastRow="1" w:firstColumn="0" w:lastColumn="0" w:noHBand="1" w:noVBand="1"/>
      </w:tblPr>
      <w:tblGrid>
        <w:gridCol w:w="1113"/>
        <w:gridCol w:w="1042"/>
        <w:gridCol w:w="720"/>
        <w:gridCol w:w="646"/>
        <w:gridCol w:w="1064"/>
        <w:gridCol w:w="720"/>
        <w:gridCol w:w="616"/>
        <w:gridCol w:w="1004"/>
        <w:gridCol w:w="720"/>
        <w:gridCol w:w="676"/>
        <w:gridCol w:w="808"/>
      </w:tblGrid>
      <w:tr w:rsidR="00FD5B02" w:rsidTr="001205B5">
        <w:trPr>
          <w:tblHeader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Study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Treatment 1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Event 1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Total 1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Treatment 2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Event 2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Total 2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Treatment 3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Event 3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Total 3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Arms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AFFIRM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72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315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Natalizumab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69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627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BECOME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39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BRAVO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46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450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35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447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CAMMS223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Alemtuzumab</w:t>
            </w:r>
            <w:proofErr w:type="spellEnd"/>
            <w:r>
              <w:rPr>
                <w:rFonts w:eastAsia="Tahoma"/>
              </w:rPr>
              <w:t xml:space="preserve"> 12mg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113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19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111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CARE-MS I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Alemtuzumab</w:t>
            </w:r>
            <w:proofErr w:type="spellEnd"/>
            <w:r>
              <w:rPr>
                <w:rFonts w:eastAsia="Tahoma"/>
              </w:rPr>
              <w:t xml:space="preserve"> 12mg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30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386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21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195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CARE-MS II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Alemtuzumab</w:t>
            </w:r>
            <w:proofErr w:type="spellEnd"/>
            <w:r>
              <w:rPr>
                <w:rFonts w:eastAsia="Tahoma"/>
              </w:rPr>
              <w:t xml:space="preserve"> 12mg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54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436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43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231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CONFIRM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45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363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Dimethyl fumarate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28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362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38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360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Decide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Daclizumab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83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919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111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922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DEFINE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69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410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Dimethyl fumarate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52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411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FREEDOMS II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63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355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Fingolimod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49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358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FREEDOMS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79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418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Fingolimod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53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425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MSCRG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50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143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35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158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REGARD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33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378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45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386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TEMSO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68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363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14mg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49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359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7mg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51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366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TOWER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46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389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14mg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43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372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7mg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61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408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CLARITY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73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437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Cladribine</w:t>
            </w:r>
            <w:proofErr w:type="spellEnd"/>
            <w:r>
              <w:rPr>
                <w:rFonts w:eastAsia="Tahoma"/>
              </w:rPr>
              <w:t xml:space="preserve"> Tablets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433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OPERA I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44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411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Ocrelizumab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27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410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OPERA II trial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57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418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Ocrelizumab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417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1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PRISMS trial (unpublished data)</w:t>
            </w:r>
          </w:p>
        </w:tc>
        <w:tc>
          <w:tcPr>
            <w:tcW w:w="104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113</w:t>
            </w:r>
          </w:p>
        </w:tc>
        <w:tc>
          <w:tcPr>
            <w:tcW w:w="64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187</w:t>
            </w:r>
          </w:p>
        </w:tc>
        <w:tc>
          <w:tcPr>
            <w:tcW w:w="106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80</w:t>
            </w:r>
          </w:p>
        </w:tc>
        <w:tc>
          <w:tcPr>
            <w:tcW w:w="61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184</w:t>
            </w:r>
          </w:p>
        </w:tc>
        <w:tc>
          <w:tcPr>
            <w:tcW w:w="100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6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80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FFFFFF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</w:tbl>
    <w:p w:rsidR="00FD5B02" w:rsidRPr="00BE14C7" w:rsidRDefault="00FD5B02" w:rsidP="00FD5B02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6M-CDP</w:t>
      </w:r>
      <w:r w:rsidRPr="00C663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6-month c</w:t>
      </w:r>
      <w:r w:rsidRPr="00C66338">
        <w:rPr>
          <w:rFonts w:ascii="Times New Roman" w:hAnsi="Times New Roman" w:cs="Times New Roman"/>
          <w:sz w:val="24"/>
          <w:szCs w:val="24"/>
        </w:rPr>
        <w:t>onfirmed disability progression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14C7">
        <w:rPr>
          <w:rFonts w:ascii="Times New Roman" w:hAnsi="Times New Roman" w:cs="Times New Roman"/>
          <w:sz w:val="24"/>
          <w:szCs w:val="24"/>
        </w:rPr>
        <w:t xml:space="preserve"> IFN: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14C7">
        <w:rPr>
          <w:rFonts w:ascii="Times New Roman" w:hAnsi="Times New Roman" w:cs="Times New Roman"/>
          <w:sz w:val="24"/>
          <w:szCs w:val="24"/>
        </w:rPr>
        <w:t xml:space="preserve">nterferon; mcg: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E14C7">
        <w:rPr>
          <w:rFonts w:ascii="Times New Roman" w:hAnsi="Times New Roman" w:cs="Times New Roman"/>
          <w:sz w:val="24"/>
          <w:szCs w:val="24"/>
        </w:rPr>
        <w:t xml:space="preserve">icrogram; mg: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E14C7">
        <w:rPr>
          <w:rFonts w:ascii="Times New Roman" w:hAnsi="Times New Roman" w:cs="Times New Roman"/>
          <w:sz w:val="24"/>
          <w:szCs w:val="24"/>
        </w:rPr>
        <w:t xml:space="preserve">illigram; NA: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14C7">
        <w:rPr>
          <w:rFonts w:ascii="Times New Roman" w:hAnsi="Times New Roman" w:cs="Times New Roman"/>
          <w:sz w:val="24"/>
          <w:szCs w:val="24"/>
        </w:rPr>
        <w:t>ot applicable.</w:t>
      </w:r>
    </w:p>
    <w:p w:rsidR="00FD5B02" w:rsidRDefault="00FD5B02" w:rsidP="00FD5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B02" w:rsidRDefault="00FD5B02" w:rsidP="00FD5B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Summary of </w:t>
      </w:r>
      <w:r w:rsidRPr="00B57EA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tudies</w:t>
      </w:r>
      <w:r w:rsidRPr="00B57EA5">
        <w:rPr>
          <w:rFonts w:ascii="Times New Roman" w:hAnsi="Times New Roman" w:cs="Times New Roman"/>
          <w:b/>
          <w:sz w:val="24"/>
          <w:szCs w:val="24"/>
        </w:rPr>
        <w:t xml:space="preserve"> used in the </w:t>
      </w:r>
      <w:r>
        <w:rPr>
          <w:rFonts w:ascii="Times New Roman" w:hAnsi="Times New Roman" w:cs="Times New Roman"/>
          <w:b/>
          <w:sz w:val="24"/>
          <w:szCs w:val="24"/>
        </w:rPr>
        <w:t>meta-regression</w:t>
      </w:r>
      <w:r w:rsidRPr="00B57EA5"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4EB9">
        <w:rPr>
          <w:rFonts w:ascii="Times New Roman" w:hAnsi="Times New Roman" w:cs="Times New Roman"/>
          <w:b/>
          <w:sz w:val="24"/>
          <w:szCs w:val="24"/>
        </w:rPr>
        <w:t>M-CDP</w:t>
      </w:r>
      <w:r w:rsidRPr="00B57EA5">
        <w:rPr>
          <w:rFonts w:ascii="Times New Roman" w:hAnsi="Times New Roman" w:cs="Times New Roman"/>
          <w:b/>
          <w:sz w:val="24"/>
          <w:szCs w:val="24"/>
        </w:rPr>
        <w:t xml:space="preserve"> reported at 24 months </w:t>
      </w:r>
    </w:p>
    <w:tbl>
      <w:tblPr>
        <w:tblW w:w="0" w:type="auto"/>
        <w:tblInd w:w="113" w:type="dxa"/>
        <w:tblBorders>
          <w:top w:val="single" w:sz="8" w:space="0" w:color="002C77"/>
          <w:left w:val="single" w:sz="8" w:space="0" w:color="002C77"/>
          <w:bottom w:val="single" w:sz="8" w:space="0" w:color="002C77"/>
          <w:right w:val="single" w:sz="8" w:space="0" w:color="002C77"/>
          <w:insideH w:val="single" w:sz="8" w:space="0" w:color="002C77"/>
          <w:insideV w:val="single" w:sz="8" w:space="0" w:color="002C77"/>
        </w:tblBorders>
        <w:tblLayout w:type="fixed"/>
        <w:tblLook w:val="0660" w:firstRow="1" w:lastRow="1" w:firstColumn="0" w:lastColumn="0" w:noHBand="1" w:noVBand="1"/>
      </w:tblPr>
      <w:tblGrid>
        <w:gridCol w:w="1193"/>
        <w:gridCol w:w="1052"/>
        <w:gridCol w:w="630"/>
        <w:gridCol w:w="638"/>
        <w:gridCol w:w="1072"/>
        <w:gridCol w:w="720"/>
        <w:gridCol w:w="635"/>
        <w:gridCol w:w="1075"/>
        <w:gridCol w:w="720"/>
        <w:gridCol w:w="720"/>
        <w:gridCol w:w="674"/>
      </w:tblGrid>
      <w:tr w:rsidR="00FD5B02" w:rsidTr="001205B5">
        <w:trPr>
          <w:tblHeader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Study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Treatment 1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Event 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Total 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Treatment 2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Event 2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Total 2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Treatment 3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Event 3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Total 3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Arms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AFFIRM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91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315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Natalizumab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107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627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BEYOND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92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448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244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897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Bornstein 1987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25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BRAVO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60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450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447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CAMMS223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Alemtuzumab</w:t>
            </w:r>
            <w:proofErr w:type="spellEnd"/>
            <w:r>
              <w:rPr>
                <w:rFonts w:eastAsia="Tahoma"/>
              </w:rPr>
              <w:t xml:space="preserve"> 12 mg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113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111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CONFIRM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62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363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Dimethyl fumarate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362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56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360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Copolymer1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126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125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Decide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Daclizumab</w:t>
            </w:r>
            <w:proofErr w:type="spellEnd"/>
            <w:r>
              <w:rPr>
                <w:rFonts w:eastAsia="Tahoma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118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919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138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922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DEFINE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89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Dimethyl fumarate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411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FREEDOMS II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103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355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Fingolimod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91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358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FREEDOMS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101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418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Fingolimod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75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425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IFNB MS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123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43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124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PRISMS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68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187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22mcg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49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189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47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184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TEMSO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99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363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14 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72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359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7 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79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366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TOWER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76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389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14 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58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372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7 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86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408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CLARITY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103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437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Cladribine</w:t>
            </w:r>
            <w:proofErr w:type="spellEnd"/>
            <w:r>
              <w:rPr>
                <w:rFonts w:eastAsia="Tahoma"/>
              </w:rPr>
              <w:t xml:space="preserve"> Tablets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65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433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OPERA I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53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Ocrelizumab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410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OPERA II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 -β1a 44mcg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73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418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Ocrelizumab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46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</w:tbl>
    <w:p w:rsidR="00FD5B02" w:rsidRPr="0060755C" w:rsidRDefault="00FD5B02" w:rsidP="00FD5B02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Note. 3M-CDP</w:t>
      </w:r>
      <w:r w:rsidRPr="00C663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3-month c</w:t>
      </w:r>
      <w:r w:rsidRPr="00C66338">
        <w:rPr>
          <w:rFonts w:ascii="Times New Roman" w:hAnsi="Times New Roman" w:cs="Times New Roman"/>
          <w:sz w:val="24"/>
          <w:szCs w:val="24"/>
        </w:rPr>
        <w:t>onfirmed disability progression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755C">
        <w:rPr>
          <w:rFonts w:ascii="Times New Roman" w:hAnsi="Times New Roman" w:cs="Times New Roman"/>
          <w:sz w:val="24"/>
          <w:szCs w:val="24"/>
        </w:rPr>
        <w:t xml:space="preserve"> IFN: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755C">
        <w:rPr>
          <w:rFonts w:ascii="Times New Roman" w:hAnsi="Times New Roman" w:cs="Times New Roman"/>
          <w:sz w:val="24"/>
          <w:szCs w:val="24"/>
        </w:rPr>
        <w:t xml:space="preserve">nterferon; mcg: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755C">
        <w:rPr>
          <w:rFonts w:ascii="Times New Roman" w:hAnsi="Times New Roman" w:cs="Times New Roman"/>
          <w:sz w:val="24"/>
          <w:szCs w:val="24"/>
        </w:rPr>
        <w:t xml:space="preserve">icrogram; mg: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755C">
        <w:rPr>
          <w:rFonts w:ascii="Times New Roman" w:hAnsi="Times New Roman" w:cs="Times New Roman"/>
          <w:sz w:val="24"/>
          <w:szCs w:val="24"/>
        </w:rPr>
        <w:t xml:space="preserve">illigram; NA: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0755C">
        <w:rPr>
          <w:rFonts w:ascii="Times New Roman" w:hAnsi="Times New Roman" w:cs="Times New Roman"/>
          <w:sz w:val="24"/>
          <w:szCs w:val="24"/>
        </w:rPr>
        <w:t xml:space="preserve">ot applicable. </w:t>
      </w:r>
    </w:p>
    <w:p w:rsidR="00FD5B02" w:rsidRDefault="00FD5B02" w:rsidP="00FD5B02">
      <w:pPr>
        <w:rPr>
          <w:rFonts w:ascii="Times New Roman" w:hAnsi="Times New Roman" w:cs="Times New Roman"/>
          <w:b/>
          <w:sz w:val="24"/>
          <w:szCs w:val="24"/>
        </w:rPr>
      </w:pPr>
    </w:p>
    <w:p w:rsidR="00FD5B02" w:rsidRDefault="00FD5B02" w:rsidP="00FD5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B02" w:rsidRDefault="00FD5B02" w:rsidP="00FD5B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3.</w:t>
      </w:r>
      <w:proofErr w:type="gramEnd"/>
      <w:r w:rsidRPr="00B57EA5">
        <w:rPr>
          <w:rFonts w:ascii="Times New Roman" w:hAnsi="Times New Roman" w:cs="Times New Roman"/>
          <w:b/>
          <w:sz w:val="24"/>
          <w:szCs w:val="24"/>
        </w:rPr>
        <w:t xml:space="preserve"> Summary of </w:t>
      </w:r>
      <w:r>
        <w:rPr>
          <w:rFonts w:ascii="Times New Roman" w:hAnsi="Times New Roman" w:cs="Times New Roman"/>
          <w:b/>
          <w:sz w:val="24"/>
          <w:szCs w:val="24"/>
        </w:rPr>
        <w:t>studies</w:t>
      </w:r>
      <w:r w:rsidRPr="00B57EA5">
        <w:rPr>
          <w:rFonts w:ascii="Times New Roman" w:hAnsi="Times New Roman" w:cs="Times New Roman"/>
          <w:b/>
          <w:sz w:val="24"/>
          <w:szCs w:val="24"/>
        </w:rPr>
        <w:t xml:space="preserve"> used in the </w:t>
      </w:r>
      <w:r>
        <w:rPr>
          <w:rFonts w:ascii="Times New Roman" w:hAnsi="Times New Roman" w:cs="Times New Roman"/>
          <w:b/>
          <w:sz w:val="24"/>
          <w:szCs w:val="24"/>
        </w:rPr>
        <w:t>meta-regression</w:t>
      </w:r>
      <w:r w:rsidRPr="00B57EA5"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ARR</w:t>
      </w:r>
    </w:p>
    <w:tbl>
      <w:tblPr>
        <w:tblW w:w="0" w:type="auto"/>
        <w:tblInd w:w="113" w:type="dxa"/>
        <w:tblBorders>
          <w:top w:val="single" w:sz="8" w:space="0" w:color="002C77"/>
          <w:left w:val="single" w:sz="8" w:space="0" w:color="002C77"/>
          <w:bottom w:val="single" w:sz="8" w:space="0" w:color="002C77"/>
          <w:right w:val="single" w:sz="8" w:space="0" w:color="002C77"/>
          <w:insideH w:val="single" w:sz="8" w:space="0" w:color="002C77"/>
          <w:insideV w:val="single" w:sz="8" w:space="0" w:color="002C77"/>
        </w:tblBorders>
        <w:tblLayout w:type="fixed"/>
        <w:tblLook w:val="0660" w:firstRow="1" w:lastRow="1" w:firstColumn="0" w:lastColumn="0" w:noHBand="1" w:noVBand="1"/>
      </w:tblPr>
      <w:tblGrid>
        <w:gridCol w:w="1193"/>
        <w:gridCol w:w="1052"/>
        <w:gridCol w:w="630"/>
        <w:gridCol w:w="638"/>
        <w:gridCol w:w="1072"/>
        <w:gridCol w:w="720"/>
        <w:gridCol w:w="635"/>
        <w:gridCol w:w="1075"/>
        <w:gridCol w:w="720"/>
        <w:gridCol w:w="720"/>
        <w:gridCol w:w="674"/>
      </w:tblGrid>
      <w:tr w:rsidR="00FD5B02" w:rsidTr="001205B5">
        <w:trPr>
          <w:tblHeader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-H56"/>
            </w:pPr>
            <w:r>
              <w:t>Study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Treatment 1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Event 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Patient-time at risk 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Treatment 2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Event 2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Patient-time at risk 2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Treatment 3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Event 3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Patient-time at risk 3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shd w:val="clear" w:color="auto" w:fill="C7C7C7"/>
            <w:vAlign w:val="center"/>
            <w:hideMark/>
          </w:tcPr>
          <w:p w:rsidR="00FD5B02" w:rsidRDefault="00FD5B02" w:rsidP="001205B5">
            <w:pPr>
              <w:pStyle w:val="TableHeadingCentre-H57"/>
            </w:pPr>
            <w:r>
              <w:t>Arms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ADVANCE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181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445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Peg-IFN-β1a 125mcg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116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436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AFFIRM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472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738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Natalizumab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294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1,338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BECOME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23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25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68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BEYOND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374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1,100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814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2,260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Bornstein 1987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62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46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16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BRAVO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275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809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215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827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Calabrese 2012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52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103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51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102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40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101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CARE-MS I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Alemtuzumab</w:t>
            </w:r>
            <w:proofErr w:type="spellEnd"/>
            <w:r>
              <w:rPr>
                <w:rFonts w:eastAsia="Tahoma"/>
              </w:rPr>
              <w:t xml:space="preserve"> 12mg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119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661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122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313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CARE-MS II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Alemtuzumab</w:t>
            </w:r>
            <w:proofErr w:type="spellEnd"/>
            <w:r>
              <w:rPr>
                <w:rFonts w:eastAsia="Tahoma"/>
              </w:rPr>
              <w:t xml:space="preserve"> 12mg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236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908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201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387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proofErr w:type="spellStart"/>
            <w:r>
              <w:t>CombiRx</w:t>
            </w:r>
            <w:proofErr w:type="spellEnd"/>
            <w:r>
              <w:t xml:space="preserve">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70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651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97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604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CONFIRM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212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561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Dimethyl fumarate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124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553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163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570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Copolymer1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210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250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161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273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Decide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Daclizumab</w:t>
            </w:r>
            <w:proofErr w:type="spellEnd"/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500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2,274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873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2,238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DEFINE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246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612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Dimethyl fumarate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128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629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proofErr w:type="spellStart"/>
            <w:r>
              <w:t>Etemadifar</w:t>
            </w:r>
            <w:proofErr w:type="spellEnd"/>
            <w:r>
              <w:t xml:space="preserve"> 2006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57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66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60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65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60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 xml:space="preserve">European and Canadian </w:t>
            </w:r>
            <w:proofErr w:type="spellStart"/>
            <w:r>
              <w:t>Glatiramer</w:t>
            </w:r>
            <w:proofErr w:type="spellEnd"/>
            <w:r>
              <w:t xml:space="preserve">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91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75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61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EVIDENCE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195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304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165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305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FREEDOMS II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246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615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Fingolimod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131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624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FREEDOMS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359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898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Fingolimod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172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956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Gala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215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446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40mg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290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901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Gate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24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62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182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512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lastRenderedPageBreak/>
              <w:t>IFNB MS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266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209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173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207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IMPROVE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18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36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INCOMIN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126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180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95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190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proofErr w:type="spellStart"/>
            <w:r>
              <w:t>Kappos</w:t>
            </w:r>
            <w:proofErr w:type="spellEnd"/>
            <w:r>
              <w:t xml:space="preserve"> 2011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24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9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proofErr w:type="spellStart"/>
            <w:r>
              <w:t>Knobler</w:t>
            </w:r>
            <w:proofErr w:type="spellEnd"/>
            <w:r>
              <w:t xml:space="preserve"> 1993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MSCRG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235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286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212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316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O`Connor 2006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33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14mg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19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7mg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24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41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PRISMS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479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364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22mcg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344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366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318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363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REFORMS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10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14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IFN-β1b 250mcg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REGARD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Glatiramer</w:t>
            </w:r>
            <w:proofErr w:type="spellEnd"/>
            <w:r>
              <w:rPr>
                <w:rFonts w:eastAsia="Tahoma"/>
              </w:rPr>
              <w:t xml:space="preserve"> acetate 20mg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194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670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201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670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proofErr w:type="spellStart"/>
            <w:r>
              <w:t>Saida</w:t>
            </w:r>
            <w:proofErr w:type="spellEnd"/>
            <w:r>
              <w:t xml:space="preserve"> 2012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27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27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Fingolimod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13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26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SELECT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88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191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Daclizumab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43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205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TEMSO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335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620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14mg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227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614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7mg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233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630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TENERE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29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126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14mg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39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144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7mg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63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143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TOWER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296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592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14mg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177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553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Teriflunomide</w:t>
            </w:r>
            <w:proofErr w:type="spellEnd"/>
            <w:r>
              <w:rPr>
                <w:rFonts w:eastAsia="Tahoma"/>
              </w:rPr>
              <w:t xml:space="preserve"> 7mg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235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603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3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TRANSFORMS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Fingolimod</w:t>
            </w:r>
            <w:proofErr w:type="spellEnd"/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89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424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30mcg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179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416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CLARITY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252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741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Cladribine</w:t>
            </w:r>
            <w:proofErr w:type="spellEnd"/>
            <w:r>
              <w:rPr>
                <w:rFonts w:eastAsia="Tahoma"/>
              </w:rPr>
              <w:t xml:space="preserve"> Tablets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109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767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OPERA I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218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753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Ocrelizumab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124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778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r>
              <w:t>OPERA II trial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IFN-β1a 44mcg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214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739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Ocrelizumab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124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777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  <w:tr w:rsidR="00FD5B02" w:rsidTr="001205B5">
        <w:trPr>
          <w:cantSplit/>
        </w:trPr>
        <w:tc>
          <w:tcPr>
            <w:tcW w:w="1193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bottom"/>
            <w:hideMark/>
          </w:tcPr>
          <w:p w:rsidR="00FD5B02" w:rsidRDefault="00FD5B02" w:rsidP="001205B5">
            <w:pPr>
              <w:pStyle w:val="TableBodyText-H54"/>
            </w:pPr>
            <w:proofErr w:type="spellStart"/>
            <w:r>
              <w:t>Saida</w:t>
            </w:r>
            <w:proofErr w:type="spellEnd"/>
            <w:r>
              <w:t xml:space="preserve"> 2017</w:t>
            </w:r>
          </w:p>
        </w:tc>
        <w:tc>
          <w:tcPr>
            <w:tcW w:w="105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Placebo</w:t>
            </w:r>
          </w:p>
        </w:tc>
        <w:tc>
          <w:tcPr>
            <w:tcW w:w="63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36</w:t>
            </w:r>
          </w:p>
        </w:tc>
        <w:tc>
          <w:tcPr>
            <w:tcW w:w="638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</w:t>
            </w:r>
          </w:p>
        </w:tc>
        <w:tc>
          <w:tcPr>
            <w:tcW w:w="1072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proofErr w:type="spellStart"/>
            <w:r>
              <w:rPr>
                <w:rFonts w:eastAsia="Tahoma"/>
              </w:rPr>
              <w:t>Natalizumab</w:t>
            </w:r>
            <w:proofErr w:type="spellEnd"/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11</w:t>
            </w:r>
          </w:p>
        </w:tc>
        <w:tc>
          <w:tcPr>
            <w:tcW w:w="63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t>21</w:t>
            </w:r>
          </w:p>
        </w:tc>
        <w:tc>
          <w:tcPr>
            <w:tcW w:w="1075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720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hideMark/>
          </w:tcPr>
          <w:p w:rsidR="00FD5B02" w:rsidRDefault="00FD5B02" w:rsidP="001205B5">
            <w:pPr>
              <w:pStyle w:val="TableBodyText-H54"/>
            </w:pPr>
            <w:r>
              <w:rPr>
                <w:rFonts w:eastAsia="Tahoma"/>
              </w:rPr>
              <w:t>NA</w:t>
            </w:r>
          </w:p>
        </w:tc>
        <w:tc>
          <w:tcPr>
            <w:tcW w:w="674" w:type="dxa"/>
            <w:tcBorders>
              <w:top w:val="single" w:sz="8" w:space="0" w:color="002C77"/>
              <w:left w:val="single" w:sz="8" w:space="0" w:color="002C77"/>
              <w:bottom w:val="single" w:sz="8" w:space="0" w:color="002C77"/>
              <w:right w:val="single" w:sz="8" w:space="0" w:color="002C77"/>
            </w:tcBorders>
            <w:vAlign w:val="center"/>
            <w:hideMark/>
          </w:tcPr>
          <w:p w:rsidR="00FD5B02" w:rsidRDefault="00FD5B02" w:rsidP="001205B5">
            <w:pPr>
              <w:pStyle w:val="TableBodyText-H54"/>
              <w:rPr>
                <w:rFonts w:eastAsia="Tahoma"/>
              </w:rPr>
            </w:pPr>
            <w:r>
              <w:rPr>
                <w:rFonts w:eastAsia="Tahoma"/>
              </w:rPr>
              <w:t>2</w:t>
            </w:r>
          </w:p>
        </w:tc>
      </w:tr>
    </w:tbl>
    <w:p w:rsidR="00FD5B02" w:rsidRDefault="00FD5B02" w:rsidP="00FD5B02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Pr="000B7DC3">
        <w:rPr>
          <w:rFonts w:ascii="Times New Roman" w:hAnsi="Times New Roman" w:cs="Times New Roman"/>
          <w:sz w:val="24"/>
          <w:szCs w:val="24"/>
        </w:rPr>
        <w:t xml:space="preserve">ARR: </w:t>
      </w:r>
      <w:proofErr w:type="spellStart"/>
      <w:r w:rsidRPr="000B7DC3">
        <w:rPr>
          <w:rFonts w:ascii="Times New Roman" w:hAnsi="Times New Roman" w:cs="Times New Roman"/>
          <w:sz w:val="24"/>
          <w:szCs w:val="24"/>
        </w:rPr>
        <w:t>annualised</w:t>
      </w:r>
      <w:proofErr w:type="spellEnd"/>
      <w:r w:rsidRPr="000B7DC3">
        <w:rPr>
          <w:rFonts w:ascii="Times New Roman" w:hAnsi="Times New Roman" w:cs="Times New Roman"/>
          <w:sz w:val="24"/>
          <w:szCs w:val="24"/>
        </w:rPr>
        <w:t xml:space="preserve"> relapse rate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9347D">
        <w:rPr>
          <w:rFonts w:ascii="Times New Roman" w:hAnsi="Times New Roman" w:cs="Times New Roman"/>
          <w:sz w:val="24"/>
          <w:szCs w:val="24"/>
        </w:rPr>
        <w:t xml:space="preserve">IFN: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9347D">
        <w:rPr>
          <w:rFonts w:ascii="Times New Roman" w:hAnsi="Times New Roman" w:cs="Times New Roman"/>
          <w:sz w:val="24"/>
          <w:szCs w:val="24"/>
        </w:rPr>
        <w:t xml:space="preserve">nterferon; mcg: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9347D">
        <w:rPr>
          <w:rFonts w:ascii="Times New Roman" w:hAnsi="Times New Roman" w:cs="Times New Roman"/>
          <w:sz w:val="24"/>
          <w:szCs w:val="24"/>
        </w:rPr>
        <w:t xml:space="preserve">icrogram; mg: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9347D">
        <w:rPr>
          <w:rFonts w:ascii="Times New Roman" w:hAnsi="Times New Roman" w:cs="Times New Roman"/>
          <w:sz w:val="24"/>
          <w:szCs w:val="24"/>
        </w:rPr>
        <w:t xml:space="preserve">illigram; NA: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9347D">
        <w:rPr>
          <w:rFonts w:ascii="Times New Roman" w:hAnsi="Times New Roman" w:cs="Times New Roman"/>
          <w:sz w:val="24"/>
          <w:szCs w:val="24"/>
        </w:rPr>
        <w:t xml:space="preserve">ot applicable; PEG-IFN: </w:t>
      </w:r>
      <w:proofErr w:type="spellStart"/>
      <w:r w:rsidRPr="0019347D">
        <w:rPr>
          <w:rFonts w:ascii="Times New Roman" w:hAnsi="Times New Roman" w:cs="Times New Roman"/>
          <w:sz w:val="24"/>
          <w:szCs w:val="24"/>
        </w:rPr>
        <w:t>pegylated</w:t>
      </w:r>
      <w:proofErr w:type="spellEnd"/>
      <w:r w:rsidRPr="0019347D">
        <w:rPr>
          <w:rFonts w:ascii="Times New Roman" w:hAnsi="Times New Roman" w:cs="Times New Roman"/>
          <w:sz w:val="24"/>
          <w:szCs w:val="24"/>
        </w:rPr>
        <w:t xml:space="preserve"> inte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9347D">
        <w:rPr>
          <w:rFonts w:ascii="Times New Roman" w:hAnsi="Times New Roman" w:cs="Times New Roman"/>
          <w:sz w:val="24"/>
          <w:szCs w:val="24"/>
        </w:rPr>
        <w:t>feron.</w:t>
      </w:r>
    </w:p>
    <w:p w:rsidR="00FD5B02" w:rsidRPr="003B6DD7" w:rsidRDefault="00FD5B02" w:rsidP="00F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5B02" w:rsidRPr="003B6DD7" w:rsidRDefault="00FD5B02" w:rsidP="00FD5B02">
      <w:pPr>
        <w:keepNext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DD7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B6D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B6DD7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3B6DD7">
        <w:rPr>
          <w:rFonts w:ascii="Times New Roman" w:hAnsi="Times New Roman" w:cs="Times New Roman"/>
          <w:b/>
          <w:sz w:val="24"/>
          <w:szCs w:val="24"/>
        </w:rPr>
        <w:t xml:space="preserve"> Hazard ratios relative to placebo for key comparators </w:t>
      </w:r>
      <w:r>
        <w:rPr>
          <w:rFonts w:ascii="Times New Roman" w:hAnsi="Times New Roman" w:cs="Times New Roman"/>
          <w:b/>
          <w:sz w:val="24"/>
          <w:szCs w:val="24"/>
        </w:rPr>
        <w:t xml:space="preserve">by subpopulation </w:t>
      </w:r>
      <w:r w:rsidRPr="003B6DD7">
        <w:rPr>
          <w:rFonts w:ascii="Times New Roman" w:hAnsi="Times New Roman" w:cs="Times New Roman"/>
          <w:b/>
          <w:sz w:val="24"/>
          <w:szCs w:val="24"/>
        </w:rPr>
        <w:t>from the meta-regression for 6M-CDP</w:t>
      </w:r>
    </w:p>
    <w:p w:rsidR="00FD5B02" w:rsidRPr="0015571D" w:rsidRDefault="00FD5B02" w:rsidP="00FD5B02">
      <w:r>
        <w:rPr>
          <w:noProof/>
          <w:lang w:val="en-GB" w:eastAsia="en-GB"/>
        </w:rPr>
        <w:drawing>
          <wp:inline distT="0" distB="0" distL="0" distR="0" wp14:anchorId="7F3491BB" wp14:editId="1EC7A9D9">
            <wp:extent cx="5943600" cy="4466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02" w:rsidRPr="003B6DD7" w:rsidRDefault="00FD5B02" w:rsidP="00FD5B02">
      <w:pPr>
        <w:ind w:left="90"/>
        <w:rPr>
          <w:rFonts w:ascii="Times New Roman" w:hAnsi="Times New Roman" w:cs="Times New Roman"/>
          <w:sz w:val="24"/>
          <w:szCs w:val="24"/>
        </w:rPr>
      </w:pPr>
      <w:r w:rsidRPr="003B6DD7">
        <w:rPr>
          <w:rFonts w:ascii="Times New Roman" w:hAnsi="Times New Roman" w:cs="Times New Roman"/>
          <w:sz w:val="24"/>
          <w:szCs w:val="24"/>
        </w:rPr>
        <w:t>6M-CDP: 6-month confirmed disability progression</w:t>
      </w:r>
      <w:r>
        <w:rPr>
          <w:rFonts w:ascii="Times New Roman" w:hAnsi="Times New Roman" w:cs="Times New Roman"/>
          <w:sz w:val="24"/>
          <w:szCs w:val="24"/>
        </w:rPr>
        <w:t>; HDA: high disease activity; RES: rapidly evolving severe; SOT:</w:t>
      </w:r>
      <w:r w:rsidRPr="00691E3D">
        <w:rPr>
          <w:rFonts w:ascii="Times New Roman" w:hAnsi="Times New Roman" w:cs="Times New Roman"/>
          <w:sz w:val="24"/>
          <w:szCs w:val="24"/>
        </w:rPr>
        <w:t xml:space="preserve"> sub-optimal therapy</w:t>
      </w:r>
      <w:r>
        <w:rPr>
          <w:rFonts w:ascii="Times New Roman" w:hAnsi="Times New Roman" w:cs="Times New Roman"/>
          <w:sz w:val="24"/>
          <w:szCs w:val="24"/>
        </w:rPr>
        <w:t>; light lines represent range; dark lines represent 95% CI.</w:t>
      </w:r>
    </w:p>
    <w:p w:rsidR="00FD5B02" w:rsidRDefault="00FD5B02" w:rsidP="00FD5B02">
      <w:pPr>
        <w:rPr>
          <w:rFonts w:asciiTheme="majorHAnsi" w:hAnsiTheme="majorHAnsi" w:cstheme="majorHAnsi"/>
        </w:rPr>
      </w:pPr>
    </w:p>
    <w:p w:rsidR="00FD5B02" w:rsidRDefault="00FD5B02" w:rsidP="00FD5B02">
      <w:pPr>
        <w:rPr>
          <w:rFonts w:asciiTheme="majorHAnsi" w:hAnsiTheme="majorHAnsi" w:cstheme="majorHAnsi"/>
        </w:rPr>
      </w:pPr>
    </w:p>
    <w:p w:rsidR="00FD5B02" w:rsidRPr="00DB2E1A" w:rsidRDefault="00FD5B02" w:rsidP="00FD5B02">
      <w:pPr>
        <w:keepNext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5AA">
        <w:rPr>
          <w:rFonts w:ascii="Times New Roman" w:hAnsi="Times New Roman" w:cs="Times New Roman"/>
          <w:b/>
          <w:sz w:val="24"/>
          <w:szCs w:val="24"/>
        </w:rPr>
        <w:lastRenderedPageBreak/>
        <w:t>Supplemental Figure 2.</w:t>
      </w:r>
      <w:proofErr w:type="gramEnd"/>
      <w:r w:rsidRPr="001735AA">
        <w:rPr>
          <w:rFonts w:ascii="Times New Roman" w:hAnsi="Times New Roman" w:cs="Times New Roman"/>
          <w:b/>
          <w:sz w:val="24"/>
          <w:szCs w:val="24"/>
        </w:rPr>
        <w:t xml:space="preserve"> Rate ratios relative to placebo for key comparators by subpopulation from the meta-regression for ARR</w:t>
      </w:r>
    </w:p>
    <w:p w:rsidR="00FD5B02" w:rsidRDefault="00FD5B02" w:rsidP="00FD5B02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E68266C" wp14:editId="4C96A9F7">
            <wp:extent cx="5943600" cy="4451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02" w:rsidRPr="003B6DD7" w:rsidRDefault="00FD5B02" w:rsidP="00FD5B02">
      <w:pPr>
        <w:ind w:left="90"/>
        <w:rPr>
          <w:rFonts w:ascii="Times New Roman" w:hAnsi="Times New Roman" w:cs="Times New Roman"/>
          <w:sz w:val="24"/>
          <w:szCs w:val="24"/>
        </w:rPr>
      </w:pPr>
      <w:r w:rsidRPr="003B6DD7">
        <w:rPr>
          <w:rFonts w:ascii="Times New Roman" w:hAnsi="Times New Roman" w:cs="Times New Roman"/>
          <w:sz w:val="24"/>
          <w:szCs w:val="24"/>
        </w:rPr>
        <w:t xml:space="preserve">ARR: </w:t>
      </w:r>
      <w:proofErr w:type="spellStart"/>
      <w:r w:rsidRPr="003B6DD7">
        <w:rPr>
          <w:rFonts w:ascii="Times New Roman" w:hAnsi="Times New Roman" w:cs="Times New Roman"/>
          <w:sz w:val="24"/>
          <w:szCs w:val="24"/>
        </w:rPr>
        <w:t>annualised</w:t>
      </w:r>
      <w:proofErr w:type="spellEnd"/>
      <w:r w:rsidRPr="003B6DD7">
        <w:rPr>
          <w:rFonts w:ascii="Times New Roman" w:hAnsi="Times New Roman" w:cs="Times New Roman"/>
          <w:sz w:val="24"/>
          <w:szCs w:val="24"/>
        </w:rPr>
        <w:t xml:space="preserve"> relapse rate</w:t>
      </w:r>
      <w:r>
        <w:rPr>
          <w:rFonts w:ascii="Times New Roman" w:hAnsi="Times New Roman" w:cs="Times New Roman"/>
          <w:sz w:val="24"/>
          <w:szCs w:val="24"/>
        </w:rPr>
        <w:t>; HDA: high disease activity; RES: rapidly evolving severe; SOT:</w:t>
      </w:r>
      <w:r w:rsidRPr="00691E3D">
        <w:rPr>
          <w:rFonts w:ascii="Times New Roman" w:hAnsi="Times New Roman" w:cs="Times New Roman"/>
          <w:sz w:val="24"/>
          <w:szCs w:val="24"/>
        </w:rPr>
        <w:t xml:space="preserve"> sub-optimal therapy</w:t>
      </w:r>
      <w:r>
        <w:rPr>
          <w:rFonts w:ascii="Times New Roman" w:hAnsi="Times New Roman" w:cs="Times New Roman"/>
          <w:sz w:val="24"/>
          <w:szCs w:val="24"/>
        </w:rPr>
        <w:t>; light lines represent range; dark lines represent 95% CI.</w:t>
      </w:r>
    </w:p>
    <w:p w:rsidR="00FD5B02" w:rsidRDefault="00FD5B02" w:rsidP="00FD5B02">
      <w:pPr>
        <w:rPr>
          <w:rFonts w:asciiTheme="majorHAnsi" w:hAnsiTheme="majorHAnsi" w:cstheme="majorHAnsi"/>
        </w:rPr>
      </w:pPr>
    </w:p>
    <w:p w:rsidR="00FD5B02" w:rsidRDefault="00FD5B02" w:rsidP="00FD5B02">
      <w:pPr>
        <w:rPr>
          <w:rFonts w:asciiTheme="majorHAnsi" w:hAnsiTheme="majorHAnsi" w:cstheme="majorHAnsi"/>
        </w:rPr>
      </w:pPr>
    </w:p>
    <w:p w:rsidR="00FD5B02" w:rsidRDefault="00FD5B02" w:rsidP="00FD5B02">
      <w:pPr>
        <w:rPr>
          <w:rFonts w:asciiTheme="majorHAnsi" w:hAnsiTheme="majorHAnsi" w:cstheme="majorHAnsi"/>
        </w:rPr>
      </w:pPr>
    </w:p>
    <w:p w:rsidR="00FD5B02" w:rsidRDefault="00FD5B02" w:rsidP="00FD5B02">
      <w:pPr>
        <w:rPr>
          <w:rFonts w:asciiTheme="majorHAnsi" w:hAnsiTheme="majorHAnsi" w:cstheme="majorHAnsi"/>
        </w:rPr>
      </w:pPr>
    </w:p>
    <w:p w:rsidR="00FD5B02" w:rsidRDefault="00FD5B02" w:rsidP="00FD5B02">
      <w:pPr>
        <w:keepNext/>
        <w:rPr>
          <w:rFonts w:asciiTheme="majorHAnsi" w:hAnsiTheme="majorHAnsi" w:cstheme="majorHAnsi"/>
          <w:b/>
        </w:rPr>
      </w:pPr>
      <w:proofErr w:type="gramStart"/>
      <w:r w:rsidRPr="003B6DD7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B6D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B6DD7">
        <w:rPr>
          <w:rFonts w:ascii="Times New Roman" w:hAnsi="Times New Roman" w:cs="Times New Roman"/>
          <w:b/>
          <w:sz w:val="24"/>
          <w:szCs w:val="24"/>
        </w:rPr>
        <w:t>igure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3B6DD7">
        <w:rPr>
          <w:rFonts w:ascii="Times New Roman" w:hAnsi="Times New Roman" w:cs="Times New Roman"/>
          <w:b/>
          <w:sz w:val="24"/>
          <w:szCs w:val="24"/>
        </w:rPr>
        <w:t xml:space="preserve"> Hazard ratios relative to </w:t>
      </w:r>
      <w:proofErr w:type="spellStart"/>
      <w:r w:rsidRPr="003B6DD7">
        <w:rPr>
          <w:rFonts w:ascii="Times New Roman" w:hAnsi="Times New Roman" w:cs="Times New Roman"/>
          <w:b/>
          <w:sz w:val="24"/>
          <w:szCs w:val="24"/>
        </w:rPr>
        <w:t>cladribine</w:t>
      </w:r>
      <w:proofErr w:type="spellEnd"/>
      <w:r w:rsidRPr="003B6DD7">
        <w:rPr>
          <w:rFonts w:ascii="Times New Roman" w:hAnsi="Times New Roman" w:cs="Times New Roman"/>
          <w:b/>
          <w:sz w:val="24"/>
          <w:szCs w:val="24"/>
        </w:rPr>
        <w:t xml:space="preserve"> tablets for key comparators</w:t>
      </w:r>
      <w:r>
        <w:rPr>
          <w:rFonts w:ascii="Times New Roman" w:hAnsi="Times New Roman" w:cs="Times New Roman"/>
          <w:b/>
          <w:sz w:val="24"/>
          <w:szCs w:val="24"/>
        </w:rPr>
        <w:t xml:space="preserve"> overall</w:t>
      </w:r>
      <w:r w:rsidRPr="003B6DD7">
        <w:rPr>
          <w:rFonts w:ascii="Times New Roman" w:hAnsi="Times New Roman" w:cs="Times New Roman"/>
          <w:b/>
          <w:sz w:val="24"/>
          <w:szCs w:val="24"/>
        </w:rPr>
        <w:t xml:space="preserve"> from the meta-regression </w:t>
      </w:r>
      <w:r>
        <w:rPr>
          <w:rFonts w:ascii="Times New Roman" w:hAnsi="Times New Roman" w:cs="Times New Roman"/>
          <w:b/>
          <w:sz w:val="24"/>
          <w:szCs w:val="24"/>
        </w:rPr>
        <w:t>for</w:t>
      </w:r>
      <w:r w:rsidRPr="003B6DD7">
        <w:rPr>
          <w:rFonts w:ascii="Times New Roman" w:hAnsi="Times New Roman" w:cs="Times New Roman"/>
          <w:b/>
          <w:sz w:val="24"/>
          <w:szCs w:val="24"/>
        </w:rPr>
        <w:t xml:space="preserve"> 3M-CDP</w:t>
      </w:r>
    </w:p>
    <w:p w:rsidR="00FD5B02" w:rsidRDefault="00FD5B02" w:rsidP="00FD5B02">
      <w:r>
        <w:rPr>
          <w:noProof/>
          <w:lang w:val="en-GB" w:eastAsia="en-GB"/>
        </w:rPr>
        <w:drawing>
          <wp:inline distT="0" distB="0" distL="0" distR="0" wp14:anchorId="2686AD15" wp14:editId="17AACAC2">
            <wp:extent cx="5943600" cy="4451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02" w:rsidRPr="003B6DD7" w:rsidRDefault="00FD5B02" w:rsidP="00FD5B02">
      <w:pPr>
        <w:ind w:left="90"/>
        <w:rPr>
          <w:rFonts w:ascii="Times New Roman" w:hAnsi="Times New Roman" w:cs="Times New Roman"/>
          <w:sz w:val="24"/>
          <w:szCs w:val="24"/>
        </w:rPr>
      </w:pPr>
      <w:r w:rsidRPr="003B6DD7">
        <w:rPr>
          <w:rFonts w:ascii="Times New Roman" w:hAnsi="Times New Roman" w:cs="Times New Roman"/>
          <w:sz w:val="24"/>
          <w:szCs w:val="24"/>
        </w:rPr>
        <w:t>3M-CDP: 3-month confirmed disability progression</w:t>
      </w:r>
      <w:r>
        <w:rPr>
          <w:rFonts w:ascii="Times New Roman" w:hAnsi="Times New Roman" w:cs="Times New Roman"/>
          <w:sz w:val="24"/>
          <w:szCs w:val="24"/>
        </w:rPr>
        <w:t>; light lines represent range; dark lines represent 95% CI.</w:t>
      </w:r>
    </w:p>
    <w:p w:rsidR="00FD5B02" w:rsidRPr="003B6DD7" w:rsidRDefault="00FD5B02" w:rsidP="00FD5B02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3B6D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B6DD7">
        <w:rPr>
          <w:rFonts w:ascii="Times New Roman" w:hAnsi="Times New Roman" w:cs="Times New Roman"/>
          <w:b/>
          <w:sz w:val="24"/>
          <w:szCs w:val="24"/>
        </w:rPr>
        <w:t>igure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B6DD7">
        <w:rPr>
          <w:rFonts w:ascii="Times New Roman" w:hAnsi="Times New Roman" w:cs="Times New Roman"/>
          <w:b/>
          <w:sz w:val="24"/>
          <w:szCs w:val="24"/>
        </w:rPr>
        <w:t xml:space="preserve">: Hazard ratios relative to placebo for key comparators </w:t>
      </w:r>
      <w:r>
        <w:rPr>
          <w:rFonts w:ascii="Times New Roman" w:hAnsi="Times New Roman" w:cs="Times New Roman"/>
          <w:b/>
          <w:sz w:val="24"/>
          <w:szCs w:val="24"/>
        </w:rPr>
        <w:t xml:space="preserve">by subpopulation </w:t>
      </w:r>
      <w:r w:rsidRPr="003B6DD7">
        <w:rPr>
          <w:rFonts w:ascii="Times New Roman" w:hAnsi="Times New Roman" w:cs="Times New Roman"/>
          <w:b/>
          <w:sz w:val="24"/>
          <w:szCs w:val="24"/>
        </w:rPr>
        <w:t>from the meta-regression for 3M-CDP</w:t>
      </w:r>
    </w:p>
    <w:p w:rsidR="00FD5B02" w:rsidRPr="0015571D" w:rsidRDefault="00FD5B02" w:rsidP="00FD5B02">
      <w:r w:rsidRPr="008B5992"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DED5C23" wp14:editId="15F4A839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_P-CDP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02" w:rsidRPr="003B6DD7" w:rsidRDefault="00FD5B02" w:rsidP="00FD5B02">
      <w:pPr>
        <w:ind w:left="90"/>
        <w:rPr>
          <w:rFonts w:ascii="Times New Roman" w:hAnsi="Times New Roman" w:cs="Times New Roman"/>
          <w:sz w:val="24"/>
          <w:szCs w:val="24"/>
        </w:rPr>
      </w:pPr>
      <w:r w:rsidRPr="003B6DD7">
        <w:rPr>
          <w:rFonts w:ascii="Times New Roman" w:hAnsi="Times New Roman" w:cs="Times New Roman"/>
          <w:sz w:val="24"/>
          <w:szCs w:val="24"/>
        </w:rPr>
        <w:t>3M-CDP: 3-month confirmed disability progression</w:t>
      </w:r>
      <w:r>
        <w:rPr>
          <w:rFonts w:ascii="Times New Roman" w:hAnsi="Times New Roman" w:cs="Times New Roman"/>
          <w:sz w:val="24"/>
          <w:szCs w:val="24"/>
        </w:rPr>
        <w:t>; HDA: high disease activity; RES: rapidly evolving severe; SOT:</w:t>
      </w:r>
      <w:r w:rsidRPr="00691E3D">
        <w:rPr>
          <w:rFonts w:ascii="Times New Roman" w:hAnsi="Times New Roman" w:cs="Times New Roman"/>
          <w:sz w:val="24"/>
          <w:szCs w:val="24"/>
        </w:rPr>
        <w:t xml:space="preserve"> sub-optimal therapy</w:t>
      </w:r>
      <w:r>
        <w:rPr>
          <w:rFonts w:ascii="Times New Roman" w:hAnsi="Times New Roman" w:cs="Times New Roman"/>
          <w:sz w:val="24"/>
          <w:szCs w:val="24"/>
        </w:rPr>
        <w:t>; light lines represent range; dark lines represent 95% CI.</w:t>
      </w:r>
    </w:p>
    <w:p w:rsidR="00FD5B02" w:rsidRDefault="00FD5B02" w:rsidP="00FD5B02">
      <w:pPr>
        <w:rPr>
          <w:rFonts w:asciiTheme="majorHAnsi" w:hAnsiTheme="majorHAnsi" w:cstheme="majorHAnsi"/>
          <w:sz w:val="18"/>
        </w:rPr>
      </w:pPr>
    </w:p>
    <w:p w:rsidR="002929DE" w:rsidRPr="00FD5B02" w:rsidRDefault="002929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29DE" w:rsidRPr="00FD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F53"/>
    <w:multiLevelType w:val="hybridMultilevel"/>
    <w:tmpl w:val="1EECC424"/>
    <w:lvl w:ilvl="0" w:tplc="4768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61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4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6F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0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A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0A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D45E7E"/>
    <w:multiLevelType w:val="hybridMultilevel"/>
    <w:tmpl w:val="4608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2D48"/>
    <w:multiLevelType w:val="hybridMultilevel"/>
    <w:tmpl w:val="A95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6210"/>
    <w:multiLevelType w:val="hybridMultilevel"/>
    <w:tmpl w:val="7E58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2949"/>
    <w:multiLevelType w:val="hybridMultilevel"/>
    <w:tmpl w:val="8184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5E76"/>
    <w:multiLevelType w:val="hybridMultilevel"/>
    <w:tmpl w:val="3D7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B4701"/>
    <w:multiLevelType w:val="hybridMultilevel"/>
    <w:tmpl w:val="849242F2"/>
    <w:lvl w:ilvl="0" w:tplc="B984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E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C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A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0C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A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4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61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8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B072CC"/>
    <w:multiLevelType w:val="hybridMultilevel"/>
    <w:tmpl w:val="9736745A"/>
    <w:lvl w:ilvl="0" w:tplc="45ECF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8D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2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43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6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0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C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28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0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C8409E"/>
    <w:multiLevelType w:val="hybridMultilevel"/>
    <w:tmpl w:val="A430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B2CD2"/>
    <w:multiLevelType w:val="hybridMultilevel"/>
    <w:tmpl w:val="F8A22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15236"/>
    <w:multiLevelType w:val="hybridMultilevel"/>
    <w:tmpl w:val="5984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E3E"/>
    <w:multiLevelType w:val="hybridMultilevel"/>
    <w:tmpl w:val="E8B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866F7"/>
    <w:multiLevelType w:val="hybridMultilevel"/>
    <w:tmpl w:val="A96E6F00"/>
    <w:lvl w:ilvl="0" w:tplc="F53A3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86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E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8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29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44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88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A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44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682FD0"/>
    <w:multiLevelType w:val="hybridMultilevel"/>
    <w:tmpl w:val="8232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1C3"/>
    <w:multiLevelType w:val="hybridMultilevel"/>
    <w:tmpl w:val="2EAE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84079"/>
    <w:multiLevelType w:val="hybridMultilevel"/>
    <w:tmpl w:val="5B3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357A8"/>
    <w:multiLevelType w:val="hybridMultilevel"/>
    <w:tmpl w:val="270E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2"/>
    <w:rsid w:val="002467B0"/>
    <w:rsid w:val="002929DE"/>
    <w:rsid w:val="003F5C8C"/>
    <w:rsid w:val="00857728"/>
    <w:rsid w:val="00950C48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02"/>
    <w:pPr>
      <w:spacing w:after="160" w:line="259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B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D5B0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customStyle="1" w:styleId="022aCoverTableRight">
    <w:name w:val="022a Cover Table Right"/>
    <w:basedOn w:val="Normal"/>
    <w:rsid w:val="00FD5B02"/>
    <w:pPr>
      <w:spacing w:before="100" w:beforeAutospacing="1" w:after="0" w:afterAutospacing="1" w:line="260" w:lineRule="exact"/>
    </w:pPr>
    <w:rPr>
      <w:rFonts w:ascii="Arial" w:eastAsia="Times New Roman" w:hAnsi="Arial" w:cs="Arial"/>
      <w:b/>
    </w:rPr>
  </w:style>
  <w:style w:type="paragraph" w:customStyle="1" w:styleId="Default">
    <w:name w:val="Default"/>
    <w:rsid w:val="00FD5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odyText2">
    <w:name w:val="BodyText2"/>
    <w:basedOn w:val="Normal"/>
    <w:link w:val="BodyText2Char"/>
    <w:qFormat/>
    <w:rsid w:val="00FD5B02"/>
    <w:pPr>
      <w:spacing w:before="100" w:beforeAutospacing="1" w:after="240" w:afterAutospacing="1" w:line="300" w:lineRule="auto"/>
      <w:jc w:val="both"/>
    </w:pPr>
    <w:rPr>
      <w:rFonts w:ascii="Arial" w:eastAsia="Times New Roman" w:hAnsi="Arial" w:cs="Arial"/>
    </w:rPr>
  </w:style>
  <w:style w:type="character" w:customStyle="1" w:styleId="BodyText2Char">
    <w:name w:val="BodyText2 Char"/>
    <w:basedOn w:val="DefaultParagraphFont"/>
    <w:link w:val="BodyText2"/>
    <w:rsid w:val="00FD5B02"/>
    <w:rPr>
      <w:rFonts w:ascii="Arial" w:eastAsia="Times New Roman" w:hAnsi="Arial" w:cs="Arial"/>
      <w:lang w:val="en-US"/>
    </w:rPr>
  </w:style>
  <w:style w:type="paragraph" w:customStyle="1" w:styleId="Manu-Heading2">
    <w:name w:val="Manu-Heading 2"/>
    <w:basedOn w:val="Normal"/>
    <w:link w:val="Manu-Heading2Char"/>
    <w:rsid w:val="00FD5B02"/>
    <w:pPr>
      <w:keepNext/>
      <w:spacing w:before="100" w:beforeAutospacing="1" w:after="0" w:afterAutospacing="1" w:line="48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nu-Heading2Char">
    <w:name w:val="Manu-Heading 2 Char"/>
    <w:link w:val="Manu-Heading2"/>
    <w:rsid w:val="00FD5B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02"/>
    <w:rPr>
      <w:lang w:val="en-US"/>
    </w:rPr>
  </w:style>
  <w:style w:type="paragraph" w:styleId="ListParagraph">
    <w:name w:val="List Paragraph"/>
    <w:basedOn w:val="Normal"/>
    <w:uiPriority w:val="34"/>
    <w:qFormat/>
    <w:rsid w:val="00FD5B02"/>
    <w:pPr>
      <w:ind w:left="720"/>
      <w:contextualSpacing/>
    </w:pPr>
  </w:style>
  <w:style w:type="character" w:styleId="CommentReference">
    <w:name w:val="annotation reference"/>
    <w:aliases w:val="-H18,-H181,-H182,-H183,-H184"/>
    <w:basedOn w:val="DefaultParagraphFont"/>
    <w:unhideWhenUsed/>
    <w:qFormat/>
    <w:rsid w:val="00FD5B02"/>
    <w:rPr>
      <w:sz w:val="16"/>
      <w:szCs w:val="16"/>
    </w:rPr>
  </w:style>
  <w:style w:type="paragraph" w:styleId="CommentText">
    <w:name w:val="annotation text"/>
    <w:aliases w:val="- H19,- H191,- H192,- H193,- H194"/>
    <w:basedOn w:val="Normal"/>
    <w:link w:val="CommentTextChar"/>
    <w:uiPriority w:val="99"/>
    <w:unhideWhenUsed/>
    <w:qFormat/>
    <w:rsid w:val="00FD5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- H19 Char,- H191 Char,- H192 Char,- H193 Char,- H194 Char"/>
    <w:basedOn w:val="DefaultParagraphFont"/>
    <w:link w:val="CommentText"/>
    <w:uiPriority w:val="99"/>
    <w:rsid w:val="00FD5B0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0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02"/>
    <w:rPr>
      <w:rFonts w:ascii="Segoe UI" w:hAnsi="Segoe UI" w:cs="Segoe UI"/>
      <w:sz w:val="18"/>
      <w:szCs w:val="18"/>
      <w:lang w:val="en-US"/>
    </w:rPr>
  </w:style>
  <w:style w:type="character" w:customStyle="1" w:styleId="TableBodyText-H54Char">
    <w:name w:val="Table Body Text - H54 Char"/>
    <w:basedOn w:val="DefaultParagraphFont"/>
    <w:link w:val="TableBodyText-H54"/>
    <w:locked/>
    <w:rsid w:val="00FD5B02"/>
    <w:rPr>
      <w:rFonts w:ascii="Arial" w:eastAsia="Times New Roman" w:hAnsi="Arial" w:cs="Times New Roman"/>
      <w:color w:val="000000" w:themeColor="text1"/>
      <w:sz w:val="16"/>
      <w:szCs w:val="20"/>
    </w:rPr>
  </w:style>
  <w:style w:type="paragraph" w:customStyle="1" w:styleId="TableBodyText-H54">
    <w:name w:val="Table Body Text - H54"/>
    <w:basedOn w:val="BodyText"/>
    <w:link w:val="TableBodyText-H54Char"/>
    <w:qFormat/>
    <w:rsid w:val="00FD5B02"/>
    <w:pPr>
      <w:keepLines/>
      <w:widowControl w:val="0"/>
      <w:spacing w:before="40" w:after="40" w:line="240" w:lineRule="auto"/>
    </w:pPr>
    <w:rPr>
      <w:rFonts w:ascii="Arial" w:eastAsia="Times New Roman" w:hAnsi="Arial" w:cs="Times New Roman"/>
      <w:color w:val="000000" w:themeColor="text1"/>
      <w:sz w:val="16"/>
      <w:szCs w:val="20"/>
      <w:lang w:val="en-GB"/>
    </w:rPr>
  </w:style>
  <w:style w:type="paragraph" w:customStyle="1" w:styleId="TableHeading-H56">
    <w:name w:val="Table Heading - H56"/>
    <w:basedOn w:val="Heading4"/>
    <w:qFormat/>
    <w:rsid w:val="00FD5B02"/>
    <w:pPr>
      <w:keepNext w:val="0"/>
      <w:keepLines w:val="0"/>
      <w:widowControl w:val="0"/>
      <w:tabs>
        <w:tab w:val="left" w:pos="1440"/>
      </w:tabs>
      <w:spacing w:before="80" w:after="40" w:line="240" w:lineRule="auto"/>
      <w:outlineLvl w:val="9"/>
    </w:pPr>
    <w:rPr>
      <w:rFonts w:ascii="Arial" w:eastAsia="Arial Unicode MS" w:hAnsi="Arial" w:cs="Times New Roman"/>
      <w:b/>
      <w:iCs w:val="0"/>
      <w:color w:val="1F497D" w:themeColor="text2"/>
      <w:sz w:val="16"/>
      <w:szCs w:val="4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D5B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5B02"/>
    <w:rPr>
      <w:lang w:val="en-US"/>
    </w:rPr>
  </w:style>
  <w:style w:type="paragraph" w:customStyle="1" w:styleId="TableHeadingCentre-H57">
    <w:name w:val="Table Heading Centre - H57"/>
    <w:basedOn w:val="Normal"/>
    <w:qFormat/>
    <w:rsid w:val="00FD5B02"/>
    <w:pPr>
      <w:widowControl w:val="0"/>
      <w:tabs>
        <w:tab w:val="left" w:pos="1440"/>
      </w:tabs>
      <w:spacing w:before="80" w:after="40" w:line="240" w:lineRule="auto"/>
      <w:jc w:val="center"/>
    </w:pPr>
    <w:rPr>
      <w:rFonts w:ascii="Arial" w:eastAsia="Arial Unicode MS" w:hAnsi="Arial" w:cs="Times New Roman"/>
      <w:b/>
      <w:i/>
      <w:color w:val="1F497D" w:themeColor="text2"/>
      <w:sz w:val="16"/>
      <w:szCs w:val="4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D5B0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B0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5B0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D5B02"/>
    <w:rPr>
      <w:rFonts w:ascii="Calibri" w:hAnsi="Calibri"/>
      <w:noProof/>
      <w:lang w:val="en-US"/>
    </w:rPr>
  </w:style>
  <w:style w:type="character" w:customStyle="1" w:styleId="highlight">
    <w:name w:val="highlight"/>
    <w:basedOn w:val="DefaultParagraphFont"/>
    <w:rsid w:val="00FD5B02"/>
  </w:style>
  <w:style w:type="table" w:customStyle="1" w:styleId="Style11">
    <w:name w:val="Style11"/>
    <w:basedOn w:val="TableGrid8"/>
    <w:uiPriority w:val="99"/>
    <w:qFormat/>
    <w:rsid w:val="00FD5B02"/>
    <w:pPr>
      <w:keepLines/>
      <w:widowControl w:val="0"/>
      <w:spacing w:after="0" w:line="240" w:lineRule="auto"/>
    </w:pPr>
    <w:rPr>
      <w:rFonts w:ascii="Tahoma" w:eastAsia="Tahoma" w:hAnsi="Tahoma" w:cs="Times New Roman"/>
      <w:sz w:val="20"/>
      <w:szCs w:val="20"/>
      <w:lang w:val="en-GB" w:eastAsia="en-GB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-H563">
    <w:name w:val="Table Heading - H563"/>
    <w:basedOn w:val="Heading4"/>
    <w:qFormat/>
    <w:rsid w:val="00FD5B02"/>
    <w:pPr>
      <w:keepNext w:val="0"/>
      <w:keepLines w:val="0"/>
      <w:widowControl w:val="0"/>
      <w:tabs>
        <w:tab w:val="left" w:pos="1440"/>
      </w:tabs>
      <w:spacing w:before="80" w:after="40" w:line="240" w:lineRule="auto"/>
      <w:outlineLvl w:val="9"/>
    </w:pPr>
    <w:rPr>
      <w:rFonts w:ascii="Arial" w:eastAsia="Arial Unicode MS" w:hAnsi="Arial" w:cs="Times New Roman"/>
      <w:b/>
      <w:i w:val="0"/>
      <w:iCs w:val="0"/>
      <w:color w:val="1F497D" w:themeColor="text2"/>
      <w:sz w:val="16"/>
      <w:szCs w:val="44"/>
      <w:lang w:val="en-GB"/>
    </w:rPr>
  </w:style>
  <w:style w:type="table" w:styleId="TableGrid8">
    <w:name w:val="Table Grid 8"/>
    <w:basedOn w:val="TableNormal"/>
    <w:uiPriority w:val="99"/>
    <w:semiHidden/>
    <w:unhideWhenUsed/>
    <w:rsid w:val="00FD5B02"/>
    <w:pPr>
      <w:spacing w:after="160" w:line="259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D5B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5B02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5B0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5B02"/>
    <w:pPr>
      <w:spacing w:after="200" w:line="240" w:lineRule="auto"/>
    </w:pPr>
    <w:rPr>
      <w:rFonts w:ascii="Calibri" w:hAnsi="Calibri" w:cs="Calibri"/>
      <w:i/>
      <w:iCs/>
      <w:color w:val="1F497D" w:themeColor="text2"/>
      <w:sz w:val="18"/>
      <w:szCs w:val="18"/>
    </w:rPr>
  </w:style>
  <w:style w:type="paragraph" w:customStyle="1" w:styleId="SPCnormal">
    <w:name w:val="SPC_normal"/>
    <w:link w:val="SPCnormalChar"/>
    <w:rsid w:val="00FD5B02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PCnormalChar">
    <w:name w:val="SPC_normal Char"/>
    <w:link w:val="SPCnormal"/>
    <w:rsid w:val="00FD5B02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B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D5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02"/>
    <w:pPr>
      <w:spacing w:after="160" w:line="259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B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D5B0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customStyle="1" w:styleId="022aCoverTableRight">
    <w:name w:val="022a Cover Table Right"/>
    <w:basedOn w:val="Normal"/>
    <w:rsid w:val="00FD5B02"/>
    <w:pPr>
      <w:spacing w:before="100" w:beforeAutospacing="1" w:after="0" w:afterAutospacing="1" w:line="260" w:lineRule="exact"/>
    </w:pPr>
    <w:rPr>
      <w:rFonts w:ascii="Arial" w:eastAsia="Times New Roman" w:hAnsi="Arial" w:cs="Arial"/>
      <w:b/>
    </w:rPr>
  </w:style>
  <w:style w:type="paragraph" w:customStyle="1" w:styleId="Default">
    <w:name w:val="Default"/>
    <w:rsid w:val="00FD5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odyText2">
    <w:name w:val="BodyText2"/>
    <w:basedOn w:val="Normal"/>
    <w:link w:val="BodyText2Char"/>
    <w:qFormat/>
    <w:rsid w:val="00FD5B02"/>
    <w:pPr>
      <w:spacing w:before="100" w:beforeAutospacing="1" w:after="240" w:afterAutospacing="1" w:line="300" w:lineRule="auto"/>
      <w:jc w:val="both"/>
    </w:pPr>
    <w:rPr>
      <w:rFonts w:ascii="Arial" w:eastAsia="Times New Roman" w:hAnsi="Arial" w:cs="Arial"/>
    </w:rPr>
  </w:style>
  <w:style w:type="character" w:customStyle="1" w:styleId="BodyText2Char">
    <w:name w:val="BodyText2 Char"/>
    <w:basedOn w:val="DefaultParagraphFont"/>
    <w:link w:val="BodyText2"/>
    <w:rsid w:val="00FD5B02"/>
    <w:rPr>
      <w:rFonts w:ascii="Arial" w:eastAsia="Times New Roman" w:hAnsi="Arial" w:cs="Arial"/>
      <w:lang w:val="en-US"/>
    </w:rPr>
  </w:style>
  <w:style w:type="paragraph" w:customStyle="1" w:styleId="Manu-Heading2">
    <w:name w:val="Manu-Heading 2"/>
    <w:basedOn w:val="Normal"/>
    <w:link w:val="Manu-Heading2Char"/>
    <w:rsid w:val="00FD5B02"/>
    <w:pPr>
      <w:keepNext/>
      <w:spacing w:before="100" w:beforeAutospacing="1" w:after="0" w:afterAutospacing="1" w:line="48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nu-Heading2Char">
    <w:name w:val="Manu-Heading 2 Char"/>
    <w:link w:val="Manu-Heading2"/>
    <w:rsid w:val="00FD5B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02"/>
    <w:rPr>
      <w:lang w:val="en-US"/>
    </w:rPr>
  </w:style>
  <w:style w:type="paragraph" w:styleId="ListParagraph">
    <w:name w:val="List Paragraph"/>
    <w:basedOn w:val="Normal"/>
    <w:uiPriority w:val="34"/>
    <w:qFormat/>
    <w:rsid w:val="00FD5B02"/>
    <w:pPr>
      <w:ind w:left="720"/>
      <w:contextualSpacing/>
    </w:pPr>
  </w:style>
  <w:style w:type="character" w:styleId="CommentReference">
    <w:name w:val="annotation reference"/>
    <w:aliases w:val="-H18,-H181,-H182,-H183,-H184"/>
    <w:basedOn w:val="DefaultParagraphFont"/>
    <w:unhideWhenUsed/>
    <w:qFormat/>
    <w:rsid w:val="00FD5B02"/>
    <w:rPr>
      <w:sz w:val="16"/>
      <w:szCs w:val="16"/>
    </w:rPr>
  </w:style>
  <w:style w:type="paragraph" w:styleId="CommentText">
    <w:name w:val="annotation text"/>
    <w:aliases w:val="- H19,- H191,- H192,- H193,- H194"/>
    <w:basedOn w:val="Normal"/>
    <w:link w:val="CommentTextChar"/>
    <w:uiPriority w:val="99"/>
    <w:unhideWhenUsed/>
    <w:qFormat/>
    <w:rsid w:val="00FD5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- H19 Char,- H191 Char,- H192 Char,- H193 Char,- H194 Char"/>
    <w:basedOn w:val="DefaultParagraphFont"/>
    <w:link w:val="CommentText"/>
    <w:uiPriority w:val="99"/>
    <w:rsid w:val="00FD5B0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0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02"/>
    <w:rPr>
      <w:rFonts w:ascii="Segoe UI" w:hAnsi="Segoe UI" w:cs="Segoe UI"/>
      <w:sz w:val="18"/>
      <w:szCs w:val="18"/>
      <w:lang w:val="en-US"/>
    </w:rPr>
  </w:style>
  <w:style w:type="character" w:customStyle="1" w:styleId="TableBodyText-H54Char">
    <w:name w:val="Table Body Text - H54 Char"/>
    <w:basedOn w:val="DefaultParagraphFont"/>
    <w:link w:val="TableBodyText-H54"/>
    <w:locked/>
    <w:rsid w:val="00FD5B02"/>
    <w:rPr>
      <w:rFonts w:ascii="Arial" w:eastAsia="Times New Roman" w:hAnsi="Arial" w:cs="Times New Roman"/>
      <w:color w:val="000000" w:themeColor="text1"/>
      <w:sz w:val="16"/>
      <w:szCs w:val="20"/>
    </w:rPr>
  </w:style>
  <w:style w:type="paragraph" w:customStyle="1" w:styleId="TableBodyText-H54">
    <w:name w:val="Table Body Text - H54"/>
    <w:basedOn w:val="BodyText"/>
    <w:link w:val="TableBodyText-H54Char"/>
    <w:qFormat/>
    <w:rsid w:val="00FD5B02"/>
    <w:pPr>
      <w:keepLines/>
      <w:widowControl w:val="0"/>
      <w:spacing w:before="40" w:after="40" w:line="240" w:lineRule="auto"/>
    </w:pPr>
    <w:rPr>
      <w:rFonts w:ascii="Arial" w:eastAsia="Times New Roman" w:hAnsi="Arial" w:cs="Times New Roman"/>
      <w:color w:val="000000" w:themeColor="text1"/>
      <w:sz w:val="16"/>
      <w:szCs w:val="20"/>
      <w:lang w:val="en-GB"/>
    </w:rPr>
  </w:style>
  <w:style w:type="paragraph" w:customStyle="1" w:styleId="TableHeading-H56">
    <w:name w:val="Table Heading - H56"/>
    <w:basedOn w:val="Heading4"/>
    <w:qFormat/>
    <w:rsid w:val="00FD5B02"/>
    <w:pPr>
      <w:keepNext w:val="0"/>
      <w:keepLines w:val="0"/>
      <w:widowControl w:val="0"/>
      <w:tabs>
        <w:tab w:val="left" w:pos="1440"/>
      </w:tabs>
      <w:spacing w:before="80" w:after="40" w:line="240" w:lineRule="auto"/>
      <w:outlineLvl w:val="9"/>
    </w:pPr>
    <w:rPr>
      <w:rFonts w:ascii="Arial" w:eastAsia="Arial Unicode MS" w:hAnsi="Arial" w:cs="Times New Roman"/>
      <w:b/>
      <w:iCs w:val="0"/>
      <w:color w:val="1F497D" w:themeColor="text2"/>
      <w:sz w:val="16"/>
      <w:szCs w:val="4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D5B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5B02"/>
    <w:rPr>
      <w:lang w:val="en-US"/>
    </w:rPr>
  </w:style>
  <w:style w:type="paragraph" w:customStyle="1" w:styleId="TableHeadingCentre-H57">
    <w:name w:val="Table Heading Centre - H57"/>
    <w:basedOn w:val="Normal"/>
    <w:qFormat/>
    <w:rsid w:val="00FD5B02"/>
    <w:pPr>
      <w:widowControl w:val="0"/>
      <w:tabs>
        <w:tab w:val="left" w:pos="1440"/>
      </w:tabs>
      <w:spacing w:before="80" w:after="40" w:line="240" w:lineRule="auto"/>
      <w:jc w:val="center"/>
    </w:pPr>
    <w:rPr>
      <w:rFonts w:ascii="Arial" w:eastAsia="Arial Unicode MS" w:hAnsi="Arial" w:cs="Times New Roman"/>
      <w:b/>
      <w:i/>
      <w:color w:val="1F497D" w:themeColor="text2"/>
      <w:sz w:val="16"/>
      <w:szCs w:val="4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D5B0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B0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5B0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D5B02"/>
    <w:rPr>
      <w:rFonts w:ascii="Calibri" w:hAnsi="Calibri"/>
      <w:noProof/>
      <w:lang w:val="en-US"/>
    </w:rPr>
  </w:style>
  <w:style w:type="character" w:customStyle="1" w:styleId="highlight">
    <w:name w:val="highlight"/>
    <w:basedOn w:val="DefaultParagraphFont"/>
    <w:rsid w:val="00FD5B02"/>
  </w:style>
  <w:style w:type="table" w:customStyle="1" w:styleId="Style11">
    <w:name w:val="Style11"/>
    <w:basedOn w:val="TableGrid8"/>
    <w:uiPriority w:val="99"/>
    <w:qFormat/>
    <w:rsid w:val="00FD5B02"/>
    <w:pPr>
      <w:keepLines/>
      <w:widowControl w:val="0"/>
      <w:spacing w:after="0" w:line="240" w:lineRule="auto"/>
    </w:pPr>
    <w:rPr>
      <w:rFonts w:ascii="Tahoma" w:eastAsia="Tahoma" w:hAnsi="Tahoma" w:cs="Times New Roman"/>
      <w:sz w:val="20"/>
      <w:szCs w:val="20"/>
      <w:lang w:val="en-GB" w:eastAsia="en-GB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-H563">
    <w:name w:val="Table Heading - H563"/>
    <w:basedOn w:val="Heading4"/>
    <w:qFormat/>
    <w:rsid w:val="00FD5B02"/>
    <w:pPr>
      <w:keepNext w:val="0"/>
      <w:keepLines w:val="0"/>
      <w:widowControl w:val="0"/>
      <w:tabs>
        <w:tab w:val="left" w:pos="1440"/>
      </w:tabs>
      <w:spacing w:before="80" w:after="40" w:line="240" w:lineRule="auto"/>
      <w:outlineLvl w:val="9"/>
    </w:pPr>
    <w:rPr>
      <w:rFonts w:ascii="Arial" w:eastAsia="Arial Unicode MS" w:hAnsi="Arial" w:cs="Times New Roman"/>
      <w:b/>
      <w:i w:val="0"/>
      <w:iCs w:val="0"/>
      <w:color w:val="1F497D" w:themeColor="text2"/>
      <w:sz w:val="16"/>
      <w:szCs w:val="44"/>
      <w:lang w:val="en-GB"/>
    </w:rPr>
  </w:style>
  <w:style w:type="table" w:styleId="TableGrid8">
    <w:name w:val="Table Grid 8"/>
    <w:basedOn w:val="TableNormal"/>
    <w:uiPriority w:val="99"/>
    <w:semiHidden/>
    <w:unhideWhenUsed/>
    <w:rsid w:val="00FD5B02"/>
    <w:pPr>
      <w:spacing w:after="160" w:line="259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D5B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5B02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5B0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5B02"/>
    <w:pPr>
      <w:spacing w:after="200" w:line="240" w:lineRule="auto"/>
    </w:pPr>
    <w:rPr>
      <w:rFonts w:ascii="Calibri" w:hAnsi="Calibri" w:cs="Calibri"/>
      <w:i/>
      <w:iCs/>
      <w:color w:val="1F497D" w:themeColor="text2"/>
      <w:sz w:val="18"/>
      <w:szCs w:val="18"/>
    </w:rPr>
  </w:style>
  <w:style w:type="paragraph" w:customStyle="1" w:styleId="SPCnormal">
    <w:name w:val="SPC_normal"/>
    <w:link w:val="SPCnormalChar"/>
    <w:rsid w:val="00FD5B02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PCnormalChar">
    <w:name w:val="SPC_normal Char"/>
    <w:link w:val="SPCnormal"/>
    <w:rsid w:val="00FD5B02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B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D5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DE, Springer</dc:creator>
  <cp:lastModifiedBy>DE, Springer</cp:lastModifiedBy>
  <cp:revision>1</cp:revision>
  <dcterms:created xsi:type="dcterms:W3CDTF">2019-02-11T16:40:00Z</dcterms:created>
  <dcterms:modified xsi:type="dcterms:W3CDTF">2019-02-11T16:40:00Z</dcterms:modified>
</cp:coreProperties>
</file>