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3725" w14:textId="59C14D7B" w:rsidR="005868F6" w:rsidRPr="00243F8A" w:rsidRDefault="00750E0A" w:rsidP="00243F8A">
      <w:pPr>
        <w:jc w:val="center"/>
        <w:rPr>
          <w:b/>
          <w:sz w:val="32"/>
          <w:szCs w:val="32"/>
        </w:rPr>
      </w:pPr>
      <w:r w:rsidRPr="00243F8A">
        <w:rPr>
          <w:b/>
          <w:sz w:val="32"/>
          <w:szCs w:val="32"/>
        </w:rPr>
        <w:t>Supplement</w:t>
      </w:r>
    </w:p>
    <w:p w14:paraId="61DB0B81" w14:textId="50B9CF8E" w:rsidR="00243F8A" w:rsidRDefault="00243F8A" w:rsidP="00243F8A">
      <w:pPr>
        <w:jc w:val="center"/>
        <w:rPr>
          <w:b/>
          <w:sz w:val="24"/>
        </w:rPr>
      </w:pPr>
      <w:r>
        <w:rPr>
          <w:b/>
          <w:sz w:val="24"/>
        </w:rPr>
        <w:t>to</w:t>
      </w:r>
    </w:p>
    <w:p w14:paraId="67C64112" w14:textId="5F4E81EB" w:rsidR="00243F8A" w:rsidRDefault="00243F8A" w:rsidP="00243F8A">
      <w:pPr>
        <w:jc w:val="center"/>
        <w:rPr>
          <w:b/>
          <w:sz w:val="24"/>
        </w:rPr>
      </w:pPr>
      <w:r w:rsidRPr="00243F8A">
        <w:rPr>
          <w:b/>
          <w:sz w:val="24"/>
        </w:rPr>
        <w:t>Concentration-Time Extrapolation of Short-Term Inhalation Exposure Levels: Dimethyl Sulfide, a Case Study Using a Chemical-Specific Toxic Load Exponent</w:t>
      </w:r>
    </w:p>
    <w:p w14:paraId="2F8F791A" w14:textId="02366042" w:rsidR="00243F8A" w:rsidRPr="00243F8A" w:rsidRDefault="00243F8A" w:rsidP="00243F8A">
      <w:pPr>
        <w:jc w:val="center"/>
        <w:rPr>
          <w:sz w:val="24"/>
        </w:rPr>
      </w:pPr>
      <w:r w:rsidRPr="00243F8A">
        <w:rPr>
          <w:sz w:val="24"/>
        </w:rPr>
        <w:t>by</w:t>
      </w:r>
    </w:p>
    <w:p w14:paraId="7B17878F" w14:textId="7F5EB46F" w:rsidR="00243F8A" w:rsidRPr="00243F8A" w:rsidRDefault="00243F8A" w:rsidP="00243F8A">
      <w:pPr>
        <w:jc w:val="center"/>
        <w:rPr>
          <w:sz w:val="24"/>
        </w:rPr>
      </w:pPr>
      <w:r w:rsidRPr="00243F8A">
        <w:rPr>
          <w:sz w:val="24"/>
        </w:rPr>
        <w:t>Eugene Demchuk, Shannon L. Ball, San L. Le and Andrew J. Prussia</w:t>
      </w:r>
      <w:bookmarkStart w:id="0" w:name="_GoBack"/>
      <w:bookmarkEnd w:id="0"/>
    </w:p>
    <w:p w14:paraId="6F3D15BC" w14:textId="27D7BEDE" w:rsidR="00243F8A" w:rsidRDefault="00243F8A" w:rsidP="00243F8A">
      <w:pPr>
        <w:jc w:val="center"/>
        <w:rPr>
          <w:b/>
          <w:sz w:val="24"/>
        </w:rPr>
      </w:pPr>
    </w:p>
    <w:p w14:paraId="1AC22397" w14:textId="77777777" w:rsidR="00243F8A" w:rsidRPr="00243F8A" w:rsidRDefault="00243F8A" w:rsidP="00243F8A">
      <w:pPr>
        <w:jc w:val="center"/>
        <w:rPr>
          <w:b/>
          <w:sz w:val="24"/>
        </w:rPr>
      </w:pPr>
    </w:p>
    <w:p w14:paraId="333E0904" w14:textId="57635245" w:rsidR="002F005F" w:rsidRDefault="00750E0A" w:rsidP="002F005F">
      <w:pPr>
        <w:rPr>
          <w:rFonts w:ascii="Courier New" w:hAnsi="Courier New" w:cs="Courier New"/>
          <w:sz w:val="16"/>
          <w:szCs w:val="16"/>
        </w:rPr>
      </w:pPr>
      <w:r>
        <w:rPr>
          <w:b/>
          <w:color w:val="000000" w:themeColor="text1"/>
        </w:rPr>
        <w:t>S</w:t>
      </w:r>
      <w:r w:rsidR="00780BEC">
        <w:rPr>
          <w:b/>
          <w:color w:val="000000" w:themeColor="text1"/>
        </w:rPr>
        <w:t xml:space="preserve">1. </w:t>
      </w:r>
      <w:r w:rsidR="00780BEC">
        <w:rPr>
          <w:color w:val="000000" w:themeColor="text1"/>
        </w:rPr>
        <w:t xml:space="preserve"> Probit analysis of </w:t>
      </w:r>
      <w:r w:rsidR="00780BEC">
        <w:t xml:space="preserve">binomial incidence data </w:t>
      </w:r>
      <w:r w:rsidR="002F005F">
        <w:t xml:space="preserve">for </w:t>
      </w:r>
      <w:r w:rsidR="00BD653C">
        <w:t xml:space="preserve">inhaled </w:t>
      </w:r>
      <w:r w:rsidR="002F005F">
        <w:t xml:space="preserve">DMS </w:t>
      </w:r>
      <w:r w:rsidR="00BD653C">
        <w:t xml:space="preserve">in rat </w:t>
      </w:r>
      <w:r w:rsidR="00780BEC">
        <w:t xml:space="preserve">pooled from </w:t>
      </w:r>
      <w:r w:rsidR="00780BEC" w:rsidRPr="00557CEE">
        <w:t>Schoenig</w:t>
      </w:r>
      <w:r w:rsidR="00780BEC">
        <w:t xml:space="preserve"> (1967b), Tansy et al. (</w:t>
      </w:r>
      <w:r w:rsidR="00780BEC" w:rsidRPr="004D7116">
        <w:t>1981</w:t>
      </w:r>
      <w:r w:rsidR="00780BEC">
        <w:t>) and Zieve</w:t>
      </w:r>
      <w:r w:rsidR="00780BEC" w:rsidRPr="000F23C7">
        <w:t xml:space="preserve"> </w:t>
      </w:r>
      <w:r w:rsidR="00780BEC">
        <w:t>et al. (1974).</w:t>
      </w:r>
    </w:p>
    <w:p w14:paraId="21CC79C7" w14:textId="77777777" w:rsidR="001904CB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14:paraId="0F012BD4" w14:textId="77777777" w:rsidR="001904CB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ab/>
        <w:t xml:space="preserve">  Ten Berge Model. (Version: 1.0; Date: 12/26/2006)</w:t>
      </w:r>
    </w:p>
    <w:p w14:paraId="4E8A4564" w14:textId="77777777" w:rsidR="001904CB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14:paraId="0FAB8126" w14:textId="3AFB1CBD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8651CA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Dose-Response Analysis</w:t>
      </w:r>
    </w:p>
    <w:p w14:paraId="58FC9B0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DD55EC5" w14:textId="487A04E4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Method of M</w:t>
      </w:r>
      <w:r w:rsidR="006772CB">
        <w:rPr>
          <w:rFonts w:ascii="Courier New" w:hAnsi="Courier New" w:cs="Courier New"/>
          <w:sz w:val="16"/>
          <w:szCs w:val="16"/>
        </w:rPr>
        <w:t>aximum Likelihood according to:</w:t>
      </w:r>
    </w:p>
    <w:p w14:paraId="53270F41" w14:textId="77777777" w:rsidR="001904CB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D.J. Finney, 1977. Probit Analysis. Cambridge University Press.</w:t>
      </w:r>
    </w:p>
    <w:p w14:paraId="2CA988F0" w14:textId="2994F92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~~~~~~~~~~~~~~~~~~~~~~~~~~~~~~~~~~~~~~~~~~~~~~~~~~~~~~~~~~~~~~~~~~~~~</w:t>
      </w:r>
    </w:p>
    <w:p w14:paraId="1C811266" w14:textId="77777777" w:rsidR="001904CB" w:rsidRDefault="001904CB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B3FCB23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Model: P(v1, v2, ...) = Link(B0 + B1*v1 + B2*v2 + ...)</w:t>
      </w:r>
    </w:p>
    <w:p w14:paraId="2A709D46" w14:textId="77777777" w:rsidR="00880085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</w:p>
    <w:p w14:paraId="66C2E27E" w14:textId="2880A078" w:rsidR="001904CB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772CB">
        <w:rPr>
          <w:rFonts w:ascii="Courier New" w:hAnsi="Courier New" w:cs="Courier New"/>
          <w:sz w:val="16"/>
          <w:szCs w:val="16"/>
        </w:rPr>
        <w:t xml:space="preserve"> Link is either Logit or Probit</w:t>
      </w:r>
    </w:p>
    <w:p w14:paraId="308954E9" w14:textId="2E8606E2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v1, v2, ... are the variables (transformations of the input parameters)</w:t>
      </w:r>
    </w:p>
    <w:p w14:paraId="1F8B44E4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DE94E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04277B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Number of input parameters = 2</w:t>
      </w:r>
    </w:p>
    <w:p w14:paraId="346B7C4A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 number of observations = 21</w:t>
      </w:r>
    </w:p>
    <w:p w14:paraId="1A8BFE3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 number of records with missing values = 0</w:t>
      </w:r>
    </w:p>
    <w:p w14:paraId="07A4944C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D9D4F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2CAF744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Dose           Time              N              k</w:t>
      </w:r>
    </w:p>
    <w:p w14:paraId="6F7CE41C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548027B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800.00         240.00            10.             0.</w:t>
      </w:r>
    </w:p>
    <w:p w14:paraId="5693E958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3000.00         240.00            10.             0.</w:t>
      </w:r>
    </w:p>
    <w:p w14:paraId="036BCBCF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6000.00         240.00            10.             0.</w:t>
      </w:r>
    </w:p>
    <w:p w14:paraId="59767AD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12000.00         240.00            10.             0.</w:t>
      </w:r>
    </w:p>
    <w:p w14:paraId="3152B417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24000.00         240.00            10.             0.</w:t>
      </w:r>
    </w:p>
    <w:p w14:paraId="4CD39C1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D18E27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36000.00         240.00            10.             2.</w:t>
      </w:r>
    </w:p>
    <w:p w14:paraId="6EB5F36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39000.00         240.00            10.             5.</w:t>
      </w:r>
    </w:p>
    <w:p w14:paraId="5548C64F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42000.00         240.00            10.             5.</w:t>
      </w:r>
    </w:p>
    <w:p w14:paraId="63ECAE9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45000.00         240.00            10.             8.</w:t>
      </w:r>
    </w:p>
    <w:p w14:paraId="09F20A2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48000.00         240.00            10.             9.</w:t>
      </w:r>
    </w:p>
    <w:p w14:paraId="257B6DD4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312FB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18500.00         180.00            10.             0.</w:t>
      </w:r>
    </w:p>
    <w:p w14:paraId="78FF4C53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42100.00         240.00            10.             4.</w:t>
      </w:r>
    </w:p>
    <w:p w14:paraId="752000B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81500.00          70.00            10.            10.</w:t>
      </w:r>
    </w:p>
    <w:p w14:paraId="67C944C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195000.00          18.00            10.            10.</w:t>
      </w:r>
    </w:p>
    <w:p w14:paraId="2F60525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74643.00          15.00            12.             2.</w:t>
      </w:r>
    </w:p>
    <w:p w14:paraId="1D43E1D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3B05B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85898.00          15.00             6.             1.</w:t>
      </w:r>
    </w:p>
    <w:p w14:paraId="035606F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89445.00          15.00             3.             1.</w:t>
      </w:r>
    </w:p>
    <w:p w14:paraId="1655AC9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93527.00          15.00             6.             3.</w:t>
      </w:r>
    </w:p>
    <w:p w14:paraId="6FC9D5B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100425.00          15.00             5.             4.</w:t>
      </w:r>
    </w:p>
    <w:p w14:paraId="2D17EF2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112361.00          15.00            14.            11.</w:t>
      </w:r>
    </w:p>
    <w:p w14:paraId="0A3E446C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D39EE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130468.00          15.00             6.             5.</w:t>
      </w:r>
    </w:p>
    <w:p w14:paraId="7E82E7B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EFF55DA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Selection of observations from number  1 through  21</w:t>
      </w:r>
    </w:p>
    <w:p w14:paraId="248D836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F7065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Transformation of input parameters</w:t>
      </w:r>
    </w:p>
    <w:p w14:paraId="16BA53F4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Dose                is transformed logaritmically!</w:t>
      </w:r>
    </w:p>
    <w:p w14:paraId="05337B28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Time                is transformed logaritmically!</w:t>
      </w:r>
    </w:p>
    <w:p w14:paraId="230853E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87520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Probit link used without background response correction!</w:t>
      </w:r>
    </w:p>
    <w:p w14:paraId="0F62CE95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C9BDD27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Variable  1  =  Transformed Dose</w:t>
      </w:r>
    </w:p>
    <w:p w14:paraId="628015C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Variable  2  =  Transformed Time</w:t>
      </w:r>
    </w:p>
    <w:p w14:paraId="66CF7F3A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50C66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C5FD20" w14:textId="77777777" w:rsidR="001904CB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Chi-Square          =  7.16</w:t>
      </w:r>
    </w:p>
    <w:p w14:paraId="7E5ADC14" w14:textId="77777777" w:rsidR="00880085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Degrees of Freedom  =  18</w:t>
      </w:r>
    </w:p>
    <w:p w14:paraId="1E241B75" w14:textId="3D4E4286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3E2294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B0 = -5.955e+001</w:t>
      </w:r>
      <w:r>
        <w:rPr>
          <w:rFonts w:ascii="Courier New" w:hAnsi="Courier New" w:cs="Courier New"/>
          <w:sz w:val="16"/>
          <w:szCs w:val="16"/>
        </w:rPr>
        <w:tab/>
        <w:t xml:space="preserve">   Student t  for B0 = -5.22</w:t>
      </w:r>
    </w:p>
    <w:p w14:paraId="6CC1881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B1 = 5.252e+000</w:t>
      </w:r>
      <w:r>
        <w:rPr>
          <w:rFonts w:ascii="Courier New" w:hAnsi="Courier New" w:cs="Courier New"/>
          <w:sz w:val="16"/>
          <w:szCs w:val="16"/>
        </w:rPr>
        <w:tab/>
        <w:t xml:space="preserve">   Student t  for B1 = 5.67</w:t>
      </w:r>
    </w:p>
    <w:p w14:paraId="578FC68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B2 = 1.609e+000</w:t>
      </w:r>
      <w:r>
        <w:rPr>
          <w:rFonts w:ascii="Courier New" w:hAnsi="Courier New" w:cs="Courier New"/>
          <w:sz w:val="16"/>
          <w:szCs w:val="16"/>
        </w:rPr>
        <w:tab/>
        <w:t xml:space="preserve">   Student t  for B2 = 5.44</w:t>
      </w:r>
    </w:p>
    <w:p w14:paraId="41BF3A6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2F43D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variance  B00 = 1.301e+002</w:t>
      </w:r>
    </w:p>
    <w:p w14:paraId="104AC6E8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covariance  B01 = -1.057e+001</w:t>
      </w:r>
    </w:p>
    <w:p w14:paraId="1FBD7B6A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covariance  B02 = -3.229e+000</w:t>
      </w:r>
    </w:p>
    <w:p w14:paraId="43344FC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variance  B11 = 8.593e-001</w:t>
      </w:r>
    </w:p>
    <w:p w14:paraId="48E53698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covariance  B12 = 2.594e-001</w:t>
      </w:r>
    </w:p>
    <w:p w14:paraId="1C6C52F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variance  B22 = 8.735e-002</w:t>
      </w:r>
    </w:p>
    <w:p w14:paraId="02B891B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BB299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3684D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Probability of correct model (p-value) is 0.988661</w:t>
      </w:r>
    </w:p>
    <w:p w14:paraId="1692B22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The prediction of the model is sufficient. Use for estimation of the</w:t>
      </w:r>
    </w:p>
    <w:p w14:paraId="14CA372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95% confidence limits the Standard Normal Deviate</w:t>
      </w:r>
    </w:p>
    <w:p w14:paraId="2CB3701F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E126A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No correction for variances required!</w:t>
      </w:r>
    </w:p>
    <w:p w14:paraId="2A93F8BC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B9FCB9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F20F011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Estimation of ratio between regression coefficients</w:t>
      </w:r>
    </w:p>
    <w:p w14:paraId="6DA6921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Ratio between regression coefficients</w:t>
      </w:r>
    </w:p>
    <w:p w14:paraId="2A406FDA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Dose and Time</w:t>
      </w:r>
    </w:p>
    <w:p w14:paraId="050FC7DB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972BEE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Deviate Corresponding to Confidence Level of Interest = 1.960000</w:t>
      </w:r>
    </w:p>
    <w:p w14:paraId="5211788E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4ACFFB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Ratio      =    3.264234</w:t>
      </w:r>
    </w:p>
    <w:p w14:paraId="68199557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831D8C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Confidence limits</w:t>
      </w:r>
    </w:p>
    <w:p w14:paraId="191166C4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2.885652     3.642816</w:t>
      </w:r>
    </w:p>
    <w:p w14:paraId="4BA03E0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Estimation of Dose</w:t>
      </w:r>
    </w:p>
    <w:p w14:paraId="5D795230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Response</w:t>
      </w:r>
      <w:r>
        <w:rPr>
          <w:rFonts w:ascii="Courier New" w:hAnsi="Courier New" w:cs="Courier New"/>
          <w:sz w:val="16"/>
          <w:szCs w:val="16"/>
        </w:rPr>
        <w:tab/>
        <w:t xml:space="preserve"> = 50.000000  percent</w:t>
      </w:r>
    </w:p>
    <w:p w14:paraId="1252D0A2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Time</w:t>
      </w:r>
      <w:r>
        <w:rPr>
          <w:rFonts w:ascii="Courier New" w:hAnsi="Courier New" w:cs="Courier New"/>
          <w:sz w:val="16"/>
          <w:szCs w:val="16"/>
        </w:rPr>
        <w:tab/>
        <w:t xml:space="preserve"> = 2.000000</w:t>
      </w:r>
    </w:p>
    <w:p w14:paraId="0E1A9E7D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3EC766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Estimated Dose  50.000000 percent = 1.760e+005</w:t>
      </w:r>
    </w:p>
    <w:p w14:paraId="3974716B" w14:textId="77777777" w:rsidR="002F005F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Lower limit Dose  50.000000 percent  = 1.760e+005</w:t>
      </w:r>
    </w:p>
    <w:p w14:paraId="489B7E0C" w14:textId="77777777" w:rsidR="00750E0A" w:rsidRDefault="002F005F" w:rsidP="002F00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Upper limit Dose  50.000000 percent  = 1.760e+005</w:t>
      </w:r>
    </w:p>
    <w:p w14:paraId="6C6BAF18" w14:textId="77777777" w:rsidR="00750E0A" w:rsidRDefault="00750E0A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1450083C" w14:textId="7B4EBCD8" w:rsidR="00750E0A" w:rsidRDefault="00750E0A" w:rsidP="00750E0A">
      <w:pPr>
        <w:spacing w:after="0"/>
      </w:pPr>
      <w:r>
        <w:rPr>
          <w:b/>
        </w:rPr>
        <w:lastRenderedPageBreak/>
        <w:t>S2</w:t>
      </w:r>
      <w:r w:rsidRPr="005D1C6C">
        <w:t>.</w:t>
      </w:r>
      <w:r>
        <w:t xml:space="preserve"> Odor intensity of DMS</w:t>
      </w:r>
      <w:r w:rsidR="0064171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50E0A" w14:paraId="6ACF7890" w14:textId="77777777" w:rsidTr="00F93B28">
        <w:tc>
          <w:tcPr>
            <w:tcW w:w="3356" w:type="dxa"/>
            <w:vAlign w:val="center"/>
          </w:tcPr>
          <w:p w14:paraId="5D589EAA" w14:textId="77777777" w:rsidR="00750E0A" w:rsidRPr="008570F9" w:rsidRDefault="00750E0A" w:rsidP="00F93B28">
            <w:pPr>
              <w:jc w:val="center"/>
              <w:rPr>
                <w:b/>
              </w:rPr>
            </w:pPr>
            <w:r w:rsidRPr="008570F9">
              <w:rPr>
                <w:b/>
              </w:rPr>
              <w:t>Intensity</w:t>
            </w:r>
          </w:p>
        </w:tc>
        <w:tc>
          <w:tcPr>
            <w:tcW w:w="3357" w:type="dxa"/>
            <w:vAlign w:val="center"/>
          </w:tcPr>
          <w:p w14:paraId="2BCBDACB" w14:textId="77777777" w:rsidR="00750E0A" w:rsidRPr="008570F9" w:rsidRDefault="00750E0A" w:rsidP="00F93B28">
            <w:pPr>
              <w:jc w:val="center"/>
              <w:rPr>
                <w:b/>
              </w:rPr>
            </w:pPr>
            <w:r w:rsidRPr="008570F9">
              <w:rPr>
                <w:b/>
              </w:rPr>
              <w:t>Description</w:t>
            </w:r>
          </w:p>
        </w:tc>
        <w:tc>
          <w:tcPr>
            <w:tcW w:w="3357" w:type="dxa"/>
            <w:vAlign w:val="center"/>
          </w:tcPr>
          <w:p w14:paraId="46955AF6" w14:textId="77777777" w:rsidR="00750E0A" w:rsidRPr="008570F9" w:rsidRDefault="00750E0A" w:rsidP="00F93B28">
            <w:pPr>
              <w:jc w:val="center"/>
              <w:rPr>
                <w:b/>
              </w:rPr>
            </w:pPr>
            <w:r w:rsidRPr="008570F9">
              <w:rPr>
                <w:b/>
              </w:rPr>
              <w:t>Concentration (ppm)</w:t>
            </w:r>
          </w:p>
        </w:tc>
      </w:tr>
      <w:tr w:rsidR="00750E0A" w14:paraId="3D306681" w14:textId="77777777" w:rsidTr="00F93B28">
        <w:tc>
          <w:tcPr>
            <w:tcW w:w="3356" w:type="dxa"/>
            <w:vAlign w:val="center"/>
          </w:tcPr>
          <w:p w14:paraId="34512D6A" w14:textId="77777777" w:rsidR="00750E0A" w:rsidRDefault="00750E0A" w:rsidP="00F93B28">
            <w:pPr>
              <w:jc w:val="center"/>
            </w:pPr>
            <w:r>
              <w:t>0</w:t>
            </w:r>
          </w:p>
        </w:tc>
        <w:tc>
          <w:tcPr>
            <w:tcW w:w="3357" w:type="dxa"/>
            <w:vAlign w:val="center"/>
          </w:tcPr>
          <w:p w14:paraId="29481426" w14:textId="77777777" w:rsidR="00750E0A" w:rsidRDefault="00750E0A" w:rsidP="00F93B28">
            <w:pPr>
              <w:jc w:val="center"/>
            </w:pPr>
            <w:r>
              <w:t>No odor</w:t>
            </w:r>
          </w:p>
        </w:tc>
        <w:tc>
          <w:tcPr>
            <w:tcW w:w="3357" w:type="dxa"/>
            <w:vAlign w:val="center"/>
          </w:tcPr>
          <w:p w14:paraId="4D39CB13" w14:textId="77777777" w:rsidR="00750E0A" w:rsidRDefault="00750E0A" w:rsidP="00F93B28">
            <w:pPr>
              <w:jc w:val="center"/>
            </w:pPr>
            <w:r>
              <w:t>0.00016</w:t>
            </w:r>
          </w:p>
        </w:tc>
      </w:tr>
      <w:tr w:rsidR="00750E0A" w14:paraId="17266B78" w14:textId="77777777" w:rsidTr="00F93B28">
        <w:tc>
          <w:tcPr>
            <w:tcW w:w="3356" w:type="dxa"/>
            <w:vAlign w:val="center"/>
          </w:tcPr>
          <w:p w14:paraId="04D92B19" w14:textId="77777777" w:rsidR="00750E0A" w:rsidRDefault="00750E0A" w:rsidP="00F93B28">
            <w:pPr>
              <w:jc w:val="center"/>
            </w:pPr>
            <w:r>
              <w:t>1</w:t>
            </w:r>
          </w:p>
        </w:tc>
        <w:tc>
          <w:tcPr>
            <w:tcW w:w="3357" w:type="dxa"/>
            <w:vAlign w:val="center"/>
          </w:tcPr>
          <w:p w14:paraId="1A571575" w14:textId="77777777" w:rsidR="00750E0A" w:rsidRDefault="00750E0A" w:rsidP="00F93B28">
            <w:pPr>
              <w:jc w:val="center"/>
            </w:pPr>
            <w:r>
              <w:t>Very faint</w:t>
            </w:r>
          </w:p>
        </w:tc>
        <w:tc>
          <w:tcPr>
            <w:tcW w:w="3357" w:type="dxa"/>
            <w:vAlign w:val="center"/>
          </w:tcPr>
          <w:p w14:paraId="19DEE5E6" w14:textId="77777777" w:rsidR="00750E0A" w:rsidRDefault="00750E0A" w:rsidP="00F93B28">
            <w:pPr>
              <w:jc w:val="center"/>
            </w:pPr>
            <w:r>
              <w:t>0.0037</w:t>
            </w:r>
          </w:p>
        </w:tc>
      </w:tr>
      <w:tr w:rsidR="00750E0A" w14:paraId="1019F73F" w14:textId="77777777" w:rsidTr="00F93B28">
        <w:tc>
          <w:tcPr>
            <w:tcW w:w="3356" w:type="dxa"/>
            <w:vAlign w:val="center"/>
          </w:tcPr>
          <w:p w14:paraId="37F595F0" w14:textId="77777777" w:rsidR="00750E0A" w:rsidRDefault="00750E0A" w:rsidP="00F93B28">
            <w:pPr>
              <w:jc w:val="center"/>
            </w:pPr>
            <w:r>
              <w:t>2</w:t>
            </w:r>
          </w:p>
        </w:tc>
        <w:tc>
          <w:tcPr>
            <w:tcW w:w="3357" w:type="dxa"/>
            <w:vAlign w:val="center"/>
          </w:tcPr>
          <w:p w14:paraId="6385ECA1" w14:textId="77777777" w:rsidR="00750E0A" w:rsidRDefault="00750E0A" w:rsidP="00F93B28">
            <w:pPr>
              <w:jc w:val="center"/>
            </w:pPr>
            <w:r>
              <w:t>Faint</w:t>
            </w:r>
          </w:p>
        </w:tc>
        <w:tc>
          <w:tcPr>
            <w:tcW w:w="3357" w:type="dxa"/>
            <w:vAlign w:val="center"/>
          </w:tcPr>
          <w:p w14:paraId="23D3D187" w14:textId="77777777" w:rsidR="00750E0A" w:rsidRDefault="00750E0A" w:rsidP="00F93B28">
            <w:pPr>
              <w:jc w:val="center"/>
            </w:pPr>
            <w:r>
              <w:t>0.084</w:t>
            </w:r>
          </w:p>
        </w:tc>
      </w:tr>
      <w:tr w:rsidR="00750E0A" w14:paraId="6C5A4FCE" w14:textId="77777777" w:rsidTr="00F93B28">
        <w:tc>
          <w:tcPr>
            <w:tcW w:w="3356" w:type="dxa"/>
            <w:vAlign w:val="center"/>
          </w:tcPr>
          <w:p w14:paraId="4F2EDF23" w14:textId="77777777" w:rsidR="00750E0A" w:rsidRDefault="00750E0A" w:rsidP="00F93B28">
            <w:pPr>
              <w:jc w:val="center"/>
            </w:pPr>
            <w:r>
              <w:t>3</w:t>
            </w:r>
          </w:p>
        </w:tc>
        <w:tc>
          <w:tcPr>
            <w:tcW w:w="3357" w:type="dxa"/>
            <w:vAlign w:val="center"/>
          </w:tcPr>
          <w:p w14:paraId="543324D8" w14:textId="77777777" w:rsidR="00750E0A" w:rsidRDefault="00750E0A" w:rsidP="00F93B28">
            <w:pPr>
              <w:jc w:val="center"/>
            </w:pPr>
            <w:r>
              <w:t>Easily noticed</w:t>
            </w:r>
          </w:p>
        </w:tc>
        <w:tc>
          <w:tcPr>
            <w:tcW w:w="3357" w:type="dxa"/>
            <w:vAlign w:val="center"/>
          </w:tcPr>
          <w:p w14:paraId="49195839" w14:textId="77777777" w:rsidR="00750E0A" w:rsidRDefault="00750E0A" w:rsidP="00F93B28">
            <w:pPr>
              <w:jc w:val="center"/>
            </w:pPr>
            <w:r>
              <w:t>1.9</w:t>
            </w:r>
          </w:p>
        </w:tc>
      </w:tr>
      <w:tr w:rsidR="00750E0A" w14:paraId="02072C45" w14:textId="77777777" w:rsidTr="00F93B28">
        <w:tc>
          <w:tcPr>
            <w:tcW w:w="3356" w:type="dxa"/>
            <w:vAlign w:val="center"/>
          </w:tcPr>
          <w:p w14:paraId="5FB48E84" w14:textId="77777777" w:rsidR="00750E0A" w:rsidRDefault="00750E0A" w:rsidP="00F93B28">
            <w:pPr>
              <w:jc w:val="center"/>
            </w:pPr>
            <w:r>
              <w:t>4</w:t>
            </w:r>
          </w:p>
        </w:tc>
        <w:tc>
          <w:tcPr>
            <w:tcW w:w="3357" w:type="dxa"/>
            <w:vAlign w:val="center"/>
          </w:tcPr>
          <w:p w14:paraId="2CCC4162" w14:textId="77777777" w:rsidR="00750E0A" w:rsidRDefault="00750E0A" w:rsidP="00F93B28">
            <w:pPr>
              <w:jc w:val="center"/>
            </w:pPr>
            <w:r>
              <w:t>Strong</w:t>
            </w:r>
          </w:p>
        </w:tc>
        <w:tc>
          <w:tcPr>
            <w:tcW w:w="3357" w:type="dxa"/>
            <w:vAlign w:val="center"/>
          </w:tcPr>
          <w:p w14:paraId="32F527DE" w14:textId="77777777" w:rsidR="00750E0A" w:rsidRDefault="00750E0A" w:rsidP="00F93B28">
            <w:pPr>
              <w:jc w:val="center"/>
            </w:pPr>
            <w:r>
              <w:t>44</w:t>
            </w:r>
          </w:p>
        </w:tc>
      </w:tr>
      <w:tr w:rsidR="00750E0A" w14:paraId="4762F723" w14:textId="77777777" w:rsidTr="00F93B28">
        <w:tc>
          <w:tcPr>
            <w:tcW w:w="3356" w:type="dxa"/>
            <w:vAlign w:val="center"/>
          </w:tcPr>
          <w:p w14:paraId="683A0484" w14:textId="77777777" w:rsidR="00750E0A" w:rsidRDefault="00750E0A" w:rsidP="00F93B28">
            <w:pPr>
              <w:jc w:val="center"/>
            </w:pPr>
            <w:r>
              <w:t>5</w:t>
            </w:r>
          </w:p>
        </w:tc>
        <w:tc>
          <w:tcPr>
            <w:tcW w:w="3357" w:type="dxa"/>
            <w:vAlign w:val="center"/>
          </w:tcPr>
          <w:p w14:paraId="14CC37AA" w14:textId="77777777" w:rsidR="00750E0A" w:rsidRDefault="00750E0A" w:rsidP="00F93B28">
            <w:pPr>
              <w:jc w:val="center"/>
            </w:pPr>
            <w:r>
              <w:t>Very strong</w:t>
            </w:r>
          </w:p>
        </w:tc>
        <w:tc>
          <w:tcPr>
            <w:tcW w:w="3357" w:type="dxa"/>
            <w:vAlign w:val="center"/>
          </w:tcPr>
          <w:p w14:paraId="79803AF6" w14:textId="77777777" w:rsidR="00750E0A" w:rsidRDefault="00750E0A" w:rsidP="00F93B28">
            <w:pPr>
              <w:jc w:val="center"/>
            </w:pPr>
            <w:r>
              <w:t>1000</w:t>
            </w:r>
          </w:p>
        </w:tc>
      </w:tr>
    </w:tbl>
    <w:p w14:paraId="4A656789" w14:textId="2F03774C" w:rsidR="0036741F" w:rsidRPr="00DD48B5" w:rsidRDefault="0036741F" w:rsidP="0036741F">
      <w:pPr>
        <w:spacing w:after="0" w:line="240" w:lineRule="auto"/>
      </w:pPr>
      <w:r w:rsidRPr="00DD48B5">
        <w:rPr>
          <w:vertAlign w:val="superscript"/>
        </w:rPr>
        <w:t>1</w:t>
      </w:r>
      <w:r w:rsidRPr="00DD48B5">
        <w:t xml:space="preserve"> </w:t>
      </w:r>
      <w:r>
        <w:t xml:space="preserve">reported concentrations </w:t>
      </w:r>
      <w:r w:rsidRPr="00DD48B5">
        <w:t>“usually agree in orde</w:t>
      </w:r>
      <w:r w:rsidR="00D300B8">
        <w:t>r of magnitude” (Katz and Talbert</w:t>
      </w:r>
      <w:r w:rsidRPr="00DD48B5">
        <w:t xml:space="preserve"> 1930).</w:t>
      </w:r>
    </w:p>
    <w:p w14:paraId="3AAFD8A6" w14:textId="595E7A63" w:rsidR="00750E0A" w:rsidRDefault="00750E0A" w:rsidP="00750E0A">
      <w:r>
        <w:t>Source: adapted from Katz and Talbert (1930).</w:t>
      </w:r>
    </w:p>
    <w:p w14:paraId="188A076D" w14:textId="41EF4254" w:rsidR="00750E0A" w:rsidRDefault="00750E0A" w:rsidP="00750E0A"/>
    <w:p w14:paraId="12D0755F" w14:textId="52950D15" w:rsidR="00F2398F" w:rsidRDefault="00F2398F" w:rsidP="00750E0A"/>
    <w:p w14:paraId="3B23B59F" w14:textId="77777777" w:rsidR="00F2398F" w:rsidRDefault="00F2398F" w:rsidP="00750E0A"/>
    <w:p w14:paraId="262EEEA0" w14:textId="06EEF7B0" w:rsidR="00750E0A" w:rsidRDefault="00750E0A" w:rsidP="00750E0A">
      <w:pPr>
        <w:spacing w:after="0"/>
      </w:pPr>
      <w:r>
        <w:rPr>
          <w:b/>
        </w:rPr>
        <w:t>S3</w:t>
      </w:r>
      <w:r w:rsidRPr="003F0EB0">
        <w:rPr>
          <w:b/>
        </w:rPr>
        <w:t>.</w:t>
      </w:r>
      <w:r>
        <w:t xml:space="preserve"> Mortality in rats exposed to DMS at </w:t>
      </w:r>
      <w:r w:rsidR="00CE7163">
        <w:t>several</w:t>
      </w:r>
      <w:r>
        <w:t xml:space="preserve"> concentrations</w:t>
      </w:r>
      <w:r w:rsidR="00CE7163">
        <w:t xml:space="preserve"> (in 4-h exposure design experiments)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C53211" w14:paraId="0ED0938C" w14:textId="5D195F21" w:rsidTr="00C53211">
        <w:tc>
          <w:tcPr>
            <w:tcW w:w="2517" w:type="dxa"/>
            <w:vAlign w:val="center"/>
          </w:tcPr>
          <w:p w14:paraId="71853787" w14:textId="77777777" w:rsidR="00C53211" w:rsidRPr="004B77FE" w:rsidRDefault="00C53211" w:rsidP="00F93B28">
            <w:pPr>
              <w:jc w:val="center"/>
              <w:rPr>
                <w:b/>
              </w:rPr>
            </w:pPr>
            <w:r w:rsidRPr="004B77FE">
              <w:rPr>
                <w:b/>
              </w:rPr>
              <w:t>Duration</w:t>
            </w:r>
            <w:r>
              <w:rPr>
                <w:b/>
              </w:rPr>
              <w:t xml:space="preserve"> of Exposure (min)</w:t>
            </w:r>
          </w:p>
        </w:tc>
        <w:tc>
          <w:tcPr>
            <w:tcW w:w="2518" w:type="dxa"/>
            <w:vAlign w:val="center"/>
          </w:tcPr>
          <w:p w14:paraId="1EB03A38" w14:textId="77777777" w:rsidR="00C53211" w:rsidRPr="004B77FE" w:rsidRDefault="00C53211" w:rsidP="00F93B28">
            <w:pPr>
              <w:jc w:val="center"/>
              <w:rPr>
                <w:b/>
              </w:rPr>
            </w:pPr>
            <w:r w:rsidRPr="004B77FE">
              <w:rPr>
                <w:b/>
              </w:rPr>
              <w:t>Concentration</w:t>
            </w:r>
            <w:r>
              <w:rPr>
                <w:b/>
              </w:rPr>
              <w:t xml:space="preserve"> (ppm)</w:t>
            </w:r>
          </w:p>
        </w:tc>
        <w:tc>
          <w:tcPr>
            <w:tcW w:w="2517" w:type="dxa"/>
            <w:vAlign w:val="center"/>
          </w:tcPr>
          <w:p w14:paraId="69B639B4" w14:textId="77777777" w:rsidR="00C53211" w:rsidRPr="004B77FE" w:rsidRDefault="00C53211" w:rsidP="00F93B28">
            <w:pPr>
              <w:jc w:val="center"/>
              <w:rPr>
                <w:b/>
              </w:rPr>
            </w:pPr>
            <w:r w:rsidRPr="004B77FE">
              <w:rPr>
                <w:b/>
              </w:rPr>
              <w:t>Mortality</w:t>
            </w:r>
          </w:p>
        </w:tc>
        <w:tc>
          <w:tcPr>
            <w:tcW w:w="2518" w:type="dxa"/>
            <w:vAlign w:val="center"/>
          </w:tcPr>
          <w:p w14:paraId="316361C9" w14:textId="76A78193" w:rsidR="00C53211" w:rsidRPr="004B77FE" w:rsidRDefault="00C53211" w:rsidP="00C53211">
            <w:pPr>
              <w:jc w:val="center"/>
              <w:rPr>
                <w:b/>
              </w:rPr>
            </w:pPr>
            <w:r>
              <w:rPr>
                <w:b/>
              </w:rPr>
              <w:t>Times of Death After Start of Exposure (min)</w:t>
            </w:r>
          </w:p>
        </w:tc>
      </w:tr>
      <w:tr w:rsidR="00C53211" w14:paraId="35224C96" w14:textId="4CAB2BF8" w:rsidTr="00AE22CB">
        <w:tc>
          <w:tcPr>
            <w:tcW w:w="2517" w:type="dxa"/>
            <w:vAlign w:val="center"/>
          </w:tcPr>
          <w:p w14:paraId="72B91D93" w14:textId="16B19EFE" w:rsidR="00C53211" w:rsidRDefault="00C53211" w:rsidP="00E23538">
            <w:pPr>
              <w:jc w:val="center"/>
            </w:pPr>
            <w:r>
              <w:t>180</w:t>
            </w:r>
            <w:r w:rsidR="00E23538" w:rsidRPr="00DD48B5">
              <w:rPr>
                <w:vertAlign w:val="superscript"/>
              </w:rPr>
              <w:t>1</w:t>
            </w:r>
          </w:p>
        </w:tc>
        <w:tc>
          <w:tcPr>
            <w:tcW w:w="2518" w:type="dxa"/>
            <w:vAlign w:val="center"/>
          </w:tcPr>
          <w:p w14:paraId="42B087B0" w14:textId="77777777" w:rsidR="00C53211" w:rsidRDefault="00C53211" w:rsidP="00F93B28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18,500</w:t>
            </w:r>
          </w:p>
        </w:tc>
        <w:tc>
          <w:tcPr>
            <w:tcW w:w="2517" w:type="dxa"/>
            <w:tcMar>
              <w:left w:w="115" w:type="dxa"/>
              <w:right w:w="1008" w:type="dxa"/>
            </w:tcMar>
            <w:vAlign w:val="center"/>
          </w:tcPr>
          <w:p w14:paraId="09524B60" w14:textId="77777777" w:rsidR="00C53211" w:rsidRDefault="00C53211" w:rsidP="00AE22CB">
            <w:pPr>
              <w:jc w:val="right"/>
            </w:pPr>
            <w:r>
              <w:t xml:space="preserve">  0/10</w:t>
            </w:r>
          </w:p>
        </w:tc>
        <w:tc>
          <w:tcPr>
            <w:tcW w:w="2518" w:type="dxa"/>
            <w:vAlign w:val="center"/>
          </w:tcPr>
          <w:p w14:paraId="5DC29BAA" w14:textId="022D8512" w:rsidR="00C53211" w:rsidRDefault="00C53211" w:rsidP="00C53211">
            <w:pPr>
              <w:jc w:val="center"/>
            </w:pPr>
            <w:r>
              <w:t>–</w:t>
            </w:r>
          </w:p>
        </w:tc>
      </w:tr>
      <w:tr w:rsidR="00C53211" w14:paraId="1270C514" w14:textId="0DDAA90B" w:rsidTr="00AE22CB">
        <w:tc>
          <w:tcPr>
            <w:tcW w:w="2517" w:type="dxa"/>
            <w:vAlign w:val="center"/>
          </w:tcPr>
          <w:p w14:paraId="7FE0DE7F" w14:textId="6BC3D512" w:rsidR="00C53211" w:rsidRDefault="00C53211" w:rsidP="00AE22CB">
            <w:pPr>
              <w:jc w:val="center"/>
            </w:pPr>
            <w:r>
              <w:t>240</w:t>
            </w:r>
          </w:p>
        </w:tc>
        <w:tc>
          <w:tcPr>
            <w:tcW w:w="2518" w:type="dxa"/>
            <w:vAlign w:val="center"/>
          </w:tcPr>
          <w:p w14:paraId="70C49D54" w14:textId="77777777" w:rsidR="00C53211" w:rsidRDefault="00C53211" w:rsidP="00F93B28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42,100</w:t>
            </w:r>
          </w:p>
        </w:tc>
        <w:tc>
          <w:tcPr>
            <w:tcW w:w="2517" w:type="dxa"/>
            <w:tcMar>
              <w:left w:w="115" w:type="dxa"/>
              <w:right w:w="936" w:type="dxa"/>
            </w:tcMar>
            <w:vAlign w:val="center"/>
          </w:tcPr>
          <w:p w14:paraId="41D48EA2" w14:textId="2B98A3AA" w:rsidR="00C53211" w:rsidRDefault="00C53211" w:rsidP="00AE22CB">
            <w:pPr>
              <w:jc w:val="right"/>
            </w:pPr>
            <w:r>
              <w:t xml:space="preserve">  4/10</w:t>
            </w:r>
            <w:r w:rsidR="00AE22CB">
              <w:rPr>
                <w:vertAlign w:val="superscript"/>
              </w:rPr>
              <w:t>2</w:t>
            </w:r>
          </w:p>
        </w:tc>
        <w:tc>
          <w:tcPr>
            <w:tcW w:w="2518" w:type="dxa"/>
            <w:vAlign w:val="center"/>
          </w:tcPr>
          <w:p w14:paraId="1893CE22" w14:textId="4542495B" w:rsidR="00C53211" w:rsidRDefault="00C53211" w:rsidP="00C53211">
            <w:pPr>
              <w:jc w:val="center"/>
            </w:pPr>
            <w:r>
              <w:t>120–200</w:t>
            </w:r>
          </w:p>
        </w:tc>
      </w:tr>
      <w:tr w:rsidR="00C53211" w14:paraId="471C330C" w14:textId="7957BE99" w:rsidTr="00AE22CB">
        <w:tc>
          <w:tcPr>
            <w:tcW w:w="2517" w:type="dxa"/>
            <w:vAlign w:val="center"/>
          </w:tcPr>
          <w:p w14:paraId="0B455D25" w14:textId="77777777" w:rsidR="00C53211" w:rsidRDefault="00C53211" w:rsidP="00F93B28">
            <w:pPr>
              <w:jc w:val="center"/>
            </w:pPr>
            <w:r>
              <w:t xml:space="preserve">  70</w:t>
            </w:r>
          </w:p>
        </w:tc>
        <w:tc>
          <w:tcPr>
            <w:tcW w:w="2518" w:type="dxa"/>
            <w:vAlign w:val="center"/>
          </w:tcPr>
          <w:p w14:paraId="7F1315DA" w14:textId="77777777" w:rsidR="00C53211" w:rsidRDefault="00C53211" w:rsidP="00F93B28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81,500</w:t>
            </w:r>
          </w:p>
        </w:tc>
        <w:tc>
          <w:tcPr>
            <w:tcW w:w="2517" w:type="dxa"/>
            <w:tcMar>
              <w:left w:w="115" w:type="dxa"/>
              <w:right w:w="1008" w:type="dxa"/>
            </w:tcMar>
            <w:vAlign w:val="center"/>
          </w:tcPr>
          <w:p w14:paraId="1A3A3BFE" w14:textId="77777777" w:rsidR="00C53211" w:rsidRDefault="00C53211" w:rsidP="00AE22CB">
            <w:pPr>
              <w:jc w:val="right"/>
            </w:pPr>
            <w:r>
              <w:t>10/10</w:t>
            </w:r>
          </w:p>
        </w:tc>
        <w:tc>
          <w:tcPr>
            <w:tcW w:w="2518" w:type="dxa"/>
            <w:vAlign w:val="center"/>
          </w:tcPr>
          <w:p w14:paraId="3637E207" w14:textId="5B5914B9" w:rsidR="00C53211" w:rsidRDefault="00C53211" w:rsidP="00C53211">
            <w:pPr>
              <w:jc w:val="center"/>
            </w:pPr>
            <w:r>
              <w:t>45–70</w:t>
            </w:r>
          </w:p>
        </w:tc>
      </w:tr>
      <w:tr w:rsidR="00C53211" w14:paraId="59485AEC" w14:textId="18E6F67F" w:rsidTr="00AE22CB">
        <w:tc>
          <w:tcPr>
            <w:tcW w:w="2517" w:type="dxa"/>
            <w:vAlign w:val="center"/>
          </w:tcPr>
          <w:p w14:paraId="1FDF40E8" w14:textId="77777777" w:rsidR="00C53211" w:rsidRDefault="00C53211" w:rsidP="00F93B28">
            <w:pPr>
              <w:jc w:val="center"/>
            </w:pPr>
            <w:r>
              <w:t xml:space="preserve">  18</w:t>
            </w:r>
          </w:p>
        </w:tc>
        <w:tc>
          <w:tcPr>
            <w:tcW w:w="2518" w:type="dxa"/>
            <w:vAlign w:val="center"/>
          </w:tcPr>
          <w:p w14:paraId="52C9CD30" w14:textId="77777777" w:rsidR="00C53211" w:rsidRDefault="00C53211" w:rsidP="00F93B28">
            <w:pPr>
              <w:jc w:val="center"/>
            </w:pPr>
            <w:r>
              <w:t>195,000</w:t>
            </w:r>
          </w:p>
        </w:tc>
        <w:tc>
          <w:tcPr>
            <w:tcW w:w="2517" w:type="dxa"/>
            <w:tcMar>
              <w:left w:w="115" w:type="dxa"/>
              <w:right w:w="1008" w:type="dxa"/>
            </w:tcMar>
            <w:vAlign w:val="center"/>
          </w:tcPr>
          <w:p w14:paraId="22D17A2A" w14:textId="77777777" w:rsidR="00C53211" w:rsidRDefault="00C53211" w:rsidP="00AE22CB">
            <w:pPr>
              <w:jc w:val="right"/>
            </w:pPr>
            <w:r>
              <w:t>10/10</w:t>
            </w:r>
          </w:p>
        </w:tc>
        <w:tc>
          <w:tcPr>
            <w:tcW w:w="2518" w:type="dxa"/>
            <w:vAlign w:val="center"/>
          </w:tcPr>
          <w:p w14:paraId="6F8B1258" w14:textId="67FE4663" w:rsidR="00C53211" w:rsidRDefault="00C53211" w:rsidP="00C53211">
            <w:pPr>
              <w:jc w:val="center"/>
            </w:pPr>
            <w:r>
              <w:t>10–18</w:t>
            </w:r>
          </w:p>
        </w:tc>
      </w:tr>
    </w:tbl>
    <w:p w14:paraId="7DFE3584" w14:textId="3149765C" w:rsidR="00CE7163" w:rsidRDefault="00E23538" w:rsidP="00CE7163">
      <w:pPr>
        <w:spacing w:after="0" w:line="240" w:lineRule="auto"/>
      </w:pPr>
      <w:r>
        <w:rPr>
          <w:vertAlign w:val="superscript"/>
        </w:rPr>
        <w:t>1</w:t>
      </w:r>
      <w:r w:rsidR="00CE7163" w:rsidRPr="00DD48B5">
        <w:t xml:space="preserve"> </w:t>
      </w:r>
      <w:r w:rsidR="00CE7163">
        <w:t>a 4-h experiment was terminated early because of paucity of the DMS exposure material</w:t>
      </w:r>
      <w:r>
        <w:t>;</w:t>
      </w:r>
    </w:p>
    <w:p w14:paraId="7A5C1FAC" w14:textId="4D1C68F1" w:rsidR="00E23538" w:rsidRDefault="00E23538" w:rsidP="00E23538">
      <w:pPr>
        <w:spacing w:after="0" w:line="240" w:lineRule="auto"/>
      </w:pPr>
      <w:r>
        <w:rPr>
          <w:vertAlign w:val="superscript"/>
        </w:rPr>
        <w:t>2</w:t>
      </w:r>
      <w:r w:rsidRPr="00DD48B5">
        <w:t xml:space="preserve"> </w:t>
      </w:r>
      <w:r>
        <w:t>gender differences are not reported;</w:t>
      </w:r>
    </w:p>
    <w:p w14:paraId="47D4FC61" w14:textId="5D5FEFC7" w:rsidR="00750E0A" w:rsidRDefault="00750E0A" w:rsidP="00750E0A">
      <w:r>
        <w:t xml:space="preserve">Source: adapted from </w:t>
      </w:r>
      <w:r w:rsidRPr="00557CEE">
        <w:t>Schoenig</w:t>
      </w:r>
      <w:r>
        <w:t xml:space="preserve"> (1967b).</w:t>
      </w:r>
    </w:p>
    <w:p w14:paraId="7397941E" w14:textId="77777777" w:rsidR="00A2595A" w:rsidRDefault="00A2595A" w:rsidP="00A2595A">
      <w:pPr>
        <w:spacing w:after="360"/>
      </w:pPr>
    </w:p>
    <w:p w14:paraId="191A39E3" w14:textId="77777777" w:rsidR="00A2595A" w:rsidRDefault="00A2595A" w:rsidP="00A2595A">
      <w:pPr>
        <w:spacing w:after="360"/>
      </w:pPr>
    </w:p>
    <w:p w14:paraId="1E2B7E07" w14:textId="757097B3" w:rsidR="00A2595A" w:rsidRDefault="00A2595A" w:rsidP="00A2595A">
      <w:pPr>
        <w:spacing w:after="0"/>
      </w:pPr>
      <w:r>
        <w:rPr>
          <w:b/>
        </w:rPr>
        <w:t>S4</w:t>
      </w:r>
      <w:r w:rsidRPr="00B75BAE">
        <w:t xml:space="preserve">. </w:t>
      </w:r>
      <w:r>
        <w:t>I</w:t>
      </w:r>
      <w:r w:rsidRPr="00B75BAE">
        <w:t>nhalation</w:t>
      </w:r>
      <w:r>
        <w:t xml:space="preserve"> toxicity data for mice exposed to high concentrations of DMS for short periods.</w:t>
      </w:r>
      <w:r w:rsidRPr="00452291">
        <w:rPr>
          <w:noProof/>
        </w:rPr>
        <w:t xml:space="preserve">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79"/>
        <w:gridCol w:w="1680"/>
      </w:tblGrid>
      <w:tr w:rsidR="00A2595A" w:rsidRPr="001264FF" w14:paraId="507D0695" w14:textId="77777777" w:rsidTr="002B6F7C">
        <w:trPr>
          <w:trHeight w:val="720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14:paraId="058E8DBD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64FF">
              <w:rPr>
                <w:rFonts w:ascii="Calibri" w:eastAsia="Times New Roman" w:hAnsi="Calibri" w:cs="Calibri"/>
                <w:b/>
                <w:bCs/>
                <w:color w:val="000000"/>
              </w:rPr>
              <w:t>Concentration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</w:t>
            </w:r>
            <w:r w:rsidRPr="001264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1000 </w:t>
            </w:r>
            <w:r w:rsidRPr="001264FF">
              <w:rPr>
                <w:rFonts w:ascii="Calibri" w:eastAsia="Times New Roman" w:hAnsi="Calibri" w:cs="Calibri"/>
                <w:b/>
                <w:bCs/>
                <w:color w:val="000000"/>
              </w:rPr>
              <w:t>ppm)</w:t>
            </w:r>
          </w:p>
        </w:tc>
        <w:tc>
          <w:tcPr>
            <w:tcW w:w="8396" w:type="dxa"/>
            <w:gridSpan w:val="5"/>
            <w:shd w:val="clear" w:color="auto" w:fill="auto"/>
            <w:vAlign w:val="center"/>
            <w:hideMark/>
          </w:tcPr>
          <w:p w14:paraId="48E0522B" w14:textId="77777777" w:rsidR="00A2595A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Exposure D</w:t>
            </w:r>
            <w:r w:rsidRPr="001264FF">
              <w:rPr>
                <w:rFonts w:ascii="Calibri" w:eastAsia="Times New Roman" w:hAnsi="Calibri" w:cs="Calibri"/>
                <w:b/>
                <w:bCs/>
                <w:color w:val="000000"/>
              </w:rPr>
              <w:t>uration (min)</w:t>
            </w:r>
          </w:p>
          <w:p w14:paraId="60BD1289" w14:textId="77777777" w:rsidR="00A2595A" w:rsidRPr="002A255E" w:rsidRDefault="00A2595A" w:rsidP="002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for </w:t>
            </w:r>
            <w:r w:rsidRPr="002A255E">
              <w:rPr>
                <w:rFonts w:ascii="Calibri" w:eastAsia="Times New Roman" w:hAnsi="Calibri" w:cs="Calibri"/>
                <w:bCs/>
                <w:color w:val="000000"/>
              </w:rPr>
              <w:t>astasis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2A255E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2A255E">
              <w:rPr>
                <w:rFonts w:ascii="Calibri" w:eastAsia="Times New Roman" w:hAnsi="Calibri" w:cs="Calibri"/>
                <w:bCs/>
                <w:color w:val="000000"/>
              </w:rPr>
              <w:t xml:space="preserve">death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in animals #1–</w:t>
            </w:r>
            <w:r w:rsidRPr="002A255E"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</w:tr>
      <w:tr w:rsidR="00A2595A" w:rsidRPr="001264FF" w14:paraId="58EFD185" w14:textId="77777777" w:rsidTr="002B6F7C">
        <w:trPr>
          <w:trHeight w:val="300"/>
        </w:trPr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677262C9" w14:textId="77777777" w:rsidR="00A2595A" w:rsidRPr="001264FF" w:rsidRDefault="00A2595A" w:rsidP="002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A449F00" w14:textId="77777777" w:rsidR="00A2595A" w:rsidRPr="00B320B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20BF">
              <w:rPr>
                <w:rFonts w:ascii="Calibri" w:eastAsia="Times New Roman" w:hAnsi="Calibri" w:cs="Calibri"/>
                <w:b/>
                <w:color w:val="000000"/>
              </w:rPr>
              <w:t>#1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5947EA5" w14:textId="77777777" w:rsidR="00A2595A" w:rsidRPr="00B320B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20BF">
              <w:rPr>
                <w:rFonts w:ascii="Calibri" w:eastAsia="Times New Roman" w:hAnsi="Calibri" w:cs="Calibri"/>
                <w:b/>
                <w:color w:val="000000"/>
              </w:rPr>
              <w:t>#2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CCB49E5" w14:textId="77777777" w:rsidR="00A2595A" w:rsidRPr="00B320B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20BF">
              <w:rPr>
                <w:rFonts w:ascii="Calibri" w:eastAsia="Times New Roman" w:hAnsi="Calibri" w:cs="Calibri"/>
                <w:b/>
                <w:color w:val="000000"/>
              </w:rPr>
              <w:t>#3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DDEBABF" w14:textId="77777777" w:rsidR="00A2595A" w:rsidRPr="00B320B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20BF">
              <w:rPr>
                <w:rFonts w:ascii="Calibri" w:eastAsia="Times New Roman" w:hAnsi="Calibri" w:cs="Calibri"/>
                <w:b/>
                <w:color w:val="000000"/>
              </w:rPr>
              <w:t>#4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AF0215" w14:textId="77777777" w:rsidR="00A2595A" w:rsidRPr="00B320B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20BF">
              <w:rPr>
                <w:rFonts w:ascii="Calibri" w:eastAsia="Times New Roman" w:hAnsi="Calibri" w:cs="Calibri"/>
                <w:b/>
                <w:color w:val="000000"/>
              </w:rPr>
              <w:t>#5</w:t>
            </w:r>
          </w:p>
        </w:tc>
      </w:tr>
      <w:tr w:rsidR="00A2595A" w:rsidRPr="001264FF" w14:paraId="1548D8B5" w14:textId="77777777" w:rsidTr="002B6F7C">
        <w:trPr>
          <w:trHeight w:val="30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0345B8C2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68 ± 25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4CD8AFF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0.67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7.63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C5A2C08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0.77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A58261E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0.77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2BB2671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0.80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BE72DA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1.08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7.03</w:t>
            </w:r>
          </w:p>
        </w:tc>
      </w:tr>
      <w:tr w:rsidR="00A2595A" w:rsidRPr="001264FF" w14:paraId="2FF04510" w14:textId="77777777" w:rsidTr="002B6F7C">
        <w:trPr>
          <w:trHeight w:val="30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6AE647B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 xml:space="preserve">116 </w:t>
            </w:r>
            <w:r>
              <w:rPr>
                <w:rFonts w:ascii="Calibri" w:eastAsia="Times New Roman" w:hAnsi="Calibri" w:cs="Calibri"/>
                <w:color w:val="000000"/>
              </w:rPr>
              <w:t>± 10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0B519C87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54EE925A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0.53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5F716015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0.57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B7FFA38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0.57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4.20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AF0219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Pr="001264FF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</w:tr>
      <w:tr w:rsidR="00A2595A" w:rsidRPr="001264FF" w14:paraId="75E9D7FD" w14:textId="77777777" w:rsidTr="002B6F7C">
        <w:trPr>
          <w:trHeight w:val="30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F963155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 xml:space="preserve">236 </w:t>
            </w:r>
            <w:r>
              <w:rPr>
                <w:rFonts w:ascii="Calibri" w:eastAsia="Times New Roman" w:hAnsi="Calibri" w:cs="Calibri"/>
                <w:color w:val="000000"/>
              </w:rPr>
              <w:t>± 73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FEF5E66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0D0544B3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E29521C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323FAFCC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4804B8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0.47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</w:tr>
      <w:tr w:rsidR="00A2595A" w:rsidRPr="001264FF" w14:paraId="1EA7C77F" w14:textId="77777777" w:rsidTr="002B6F7C">
        <w:trPr>
          <w:trHeight w:val="30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70FFA40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 xml:space="preserve">340 </w:t>
            </w:r>
            <w:r>
              <w:rPr>
                <w:rFonts w:ascii="Calibri" w:eastAsia="Times New Roman" w:hAnsi="Calibri" w:cs="Calibri"/>
                <w:color w:val="000000"/>
              </w:rPr>
              <w:t>± 61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B002E1C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0.27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0F5BF3D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EB6638C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0.32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615CA47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Pr="001264FF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FDC628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0.42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</w:tr>
      <w:tr w:rsidR="00A2595A" w:rsidRPr="001264FF" w14:paraId="7058C5EA" w14:textId="77777777" w:rsidTr="002B6F7C">
        <w:trPr>
          <w:trHeight w:val="30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59D1A3F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506 ± 71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704A4D4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0.13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8340680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0.17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6EEA19CA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0.18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5EC4A8D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F4D9E9" w14:textId="77777777" w:rsidR="00A2595A" w:rsidRPr="001264FF" w:rsidRDefault="00A2595A" w:rsidP="002B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4FF">
              <w:rPr>
                <w:rFonts w:ascii="Calibri" w:eastAsia="Times New Roman" w:hAnsi="Calibri" w:cs="Calibri"/>
                <w:color w:val="000000"/>
              </w:rPr>
              <w:t>0.23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1264FF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</w:tbl>
    <w:p w14:paraId="18AD8F08" w14:textId="77777777" w:rsidR="00A2595A" w:rsidRDefault="00A2595A" w:rsidP="00A2595A">
      <w:pPr>
        <w:spacing w:after="0" w:line="240" w:lineRule="auto"/>
      </w:pPr>
      <w:r>
        <w:rPr>
          <w:vertAlign w:val="superscript"/>
        </w:rPr>
        <w:t>1</w:t>
      </w:r>
      <w:r w:rsidRPr="00B12E52">
        <w:rPr>
          <w:vertAlign w:val="superscript"/>
        </w:rPr>
        <w:t xml:space="preserve"> </w:t>
      </w:r>
      <w:r w:rsidRPr="00E22EB3">
        <w:t xml:space="preserve">Mean </w:t>
      </w:r>
      <w:r>
        <w:rPr>
          <w:rFonts w:ascii="Calibri" w:eastAsia="Times New Roman" w:hAnsi="Calibri" w:cs="Calibri"/>
          <w:color w:val="000000"/>
        </w:rPr>
        <w:t>±</w:t>
      </w:r>
      <w:r>
        <w:t xml:space="preserve"> 1.96 x SD,</w:t>
      </w:r>
      <w:r w:rsidRPr="00E22EB3">
        <w:t xml:space="preserve"> </w:t>
      </w:r>
      <w:r w:rsidRPr="00D127B0">
        <w:t>(n = 5)</w:t>
      </w:r>
      <w:r>
        <w:t>.</w:t>
      </w:r>
    </w:p>
    <w:p w14:paraId="5554E478" w14:textId="77777777" w:rsidR="00A2595A" w:rsidRDefault="00A2595A" w:rsidP="00A2595A">
      <w:r>
        <w:t>Source: adapted from Terazawa et al. (1991).</w:t>
      </w:r>
    </w:p>
    <w:p w14:paraId="558AB7D2" w14:textId="3F992F7D" w:rsidR="00F2398F" w:rsidRDefault="00F2398F">
      <w:pPr>
        <w:rPr>
          <w:b/>
        </w:rPr>
      </w:pPr>
      <w:r>
        <w:rPr>
          <w:b/>
        </w:rPr>
        <w:br w:type="page"/>
      </w:r>
    </w:p>
    <w:p w14:paraId="69337F85" w14:textId="59F99178" w:rsidR="005D2367" w:rsidRDefault="00A2595A" w:rsidP="006772CB">
      <w:pPr>
        <w:rPr>
          <w:rFonts w:ascii="Courier New" w:hAnsi="Courier New" w:cs="Courier New"/>
          <w:sz w:val="16"/>
          <w:szCs w:val="16"/>
        </w:rPr>
      </w:pPr>
      <w:r>
        <w:rPr>
          <w:b/>
          <w:color w:val="000000" w:themeColor="text1"/>
        </w:rPr>
        <w:lastRenderedPageBreak/>
        <w:t>S5</w:t>
      </w:r>
      <w:r w:rsidR="005D2367">
        <w:rPr>
          <w:b/>
          <w:color w:val="000000" w:themeColor="text1"/>
        </w:rPr>
        <w:t xml:space="preserve">. </w:t>
      </w:r>
      <w:r w:rsidR="005D2367">
        <w:rPr>
          <w:color w:val="000000" w:themeColor="text1"/>
        </w:rPr>
        <w:t xml:space="preserve"> </w:t>
      </w:r>
      <w:r w:rsidR="005D2367" w:rsidRPr="007B40A7">
        <w:rPr>
          <w:color w:val="000000" w:themeColor="text1"/>
        </w:rPr>
        <w:t xml:space="preserve">Derivation of </w:t>
      </w:r>
      <w:r w:rsidR="005D2367">
        <w:rPr>
          <w:color w:val="000000" w:themeColor="text1"/>
        </w:rPr>
        <w:t>the b</w:t>
      </w:r>
      <w:r w:rsidR="005D2367" w:rsidRPr="007B40A7">
        <w:rPr>
          <w:color w:val="000000" w:themeColor="text1"/>
        </w:rPr>
        <w:t xml:space="preserve">enchmark </w:t>
      </w:r>
      <w:r w:rsidR="005D2367">
        <w:rPr>
          <w:color w:val="000000" w:themeColor="text1"/>
        </w:rPr>
        <w:t>concentration (BMCL</w:t>
      </w:r>
      <w:r w:rsidR="005D2367" w:rsidRPr="008152B7">
        <w:rPr>
          <w:color w:val="000000" w:themeColor="text1"/>
          <w:vertAlign w:val="subscript"/>
        </w:rPr>
        <w:t>0</w:t>
      </w:r>
      <w:r w:rsidR="005D2367">
        <w:rPr>
          <w:color w:val="000000" w:themeColor="text1"/>
          <w:vertAlign w:val="subscript"/>
        </w:rPr>
        <w:t>5</w:t>
      </w:r>
      <w:r w:rsidR="005D2367">
        <w:rPr>
          <w:color w:val="000000" w:themeColor="text1"/>
        </w:rPr>
        <w:t>)</w:t>
      </w:r>
      <w:r w:rsidR="005D2367" w:rsidRPr="007B40A7">
        <w:rPr>
          <w:color w:val="000000" w:themeColor="text1"/>
        </w:rPr>
        <w:t xml:space="preserve"> for </w:t>
      </w:r>
      <w:r w:rsidR="005D2367">
        <w:rPr>
          <w:color w:val="000000" w:themeColor="text1"/>
        </w:rPr>
        <w:t xml:space="preserve">mortality caused by 4 h exposure of rats to DMS using </w:t>
      </w:r>
      <w:r w:rsidR="006772CB">
        <w:rPr>
          <w:color w:val="000000" w:themeColor="text1"/>
        </w:rPr>
        <w:t xml:space="preserve">combined </w:t>
      </w:r>
      <w:r w:rsidR="005D2367">
        <w:rPr>
          <w:color w:val="000000" w:themeColor="text1"/>
        </w:rPr>
        <w:t xml:space="preserve">binomial incidence data of </w:t>
      </w:r>
      <w:r w:rsidR="005D2367">
        <w:t>Tansy et al. (</w:t>
      </w:r>
      <w:r w:rsidR="005D2367" w:rsidRPr="004D7116">
        <w:t>1981</w:t>
      </w:r>
      <w:r w:rsidR="006772CB">
        <w:t xml:space="preserve">) and </w:t>
      </w:r>
      <w:r w:rsidR="006772CB" w:rsidRPr="00557CEE">
        <w:t>Schoenig</w:t>
      </w:r>
      <w:r w:rsidR="006772CB">
        <w:t xml:space="preserve"> (1967b).</w:t>
      </w:r>
    </w:p>
    <w:p w14:paraId="042DF88F" w14:textId="34AE6B6C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14:paraId="72A525DE" w14:textId="3AC61A7A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Probit Model. (Version: 3.4;  Date: 5/21/2017)</w:t>
      </w:r>
    </w:p>
    <w:p w14:paraId="7BBDE244" w14:textId="762A88EF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14:paraId="3E9E448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B82318" w14:textId="6D7EFDA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BMDS_Model_Run</w:t>
      </w:r>
    </w:p>
    <w:p w14:paraId="2B273C11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~~~~~~~~~~~~~~~~~~~~~~~~~~~~~~~~~~~~~~~~~~~~~~~~~~~~~~~~~~~~~~~~~~~~~</w:t>
      </w:r>
    </w:p>
    <w:p w14:paraId="1B3824A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E3EC25" w14:textId="4F71D584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The form of the probability function is:</w:t>
      </w:r>
    </w:p>
    <w:p w14:paraId="69E7257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959196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P[response] = Background</w:t>
      </w:r>
    </w:p>
    <w:p w14:paraId="7BFF004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+ (1-Background) * CumNorm(Intercept+Slope*Log(Dose)),</w:t>
      </w:r>
    </w:p>
    <w:p w14:paraId="00BAAD5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998F2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where CumNorm(.) is the cumulative normal distribution function</w:t>
      </w:r>
    </w:p>
    <w:p w14:paraId="6215476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61DC6D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6523030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Dependent variable = Effect</w:t>
      </w:r>
    </w:p>
    <w:p w14:paraId="4A0FA58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Independent variable = Dose</w:t>
      </w:r>
    </w:p>
    <w:p w14:paraId="554E5B9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Slope parameter is not restricted</w:t>
      </w:r>
    </w:p>
    <w:p w14:paraId="3A1CECD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B6383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 number of observations = 13</w:t>
      </w:r>
    </w:p>
    <w:p w14:paraId="239850F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 number of records with missing values = 0</w:t>
      </w:r>
    </w:p>
    <w:p w14:paraId="2567785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Maximum number of iterations = 500</w:t>
      </w:r>
    </w:p>
    <w:p w14:paraId="0D80733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Relative Function Convergence has been set to: 1e-008</w:t>
      </w:r>
    </w:p>
    <w:p w14:paraId="13D06451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Parameter Convergence has been set to: 1e-008</w:t>
      </w:r>
    </w:p>
    <w:p w14:paraId="3CA5236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64C3E86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076A2D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58135D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User has chosen the log transformed model</w:t>
      </w:r>
    </w:p>
    <w:p w14:paraId="78FB256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D62E4A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BAB94F" w14:textId="134D1F5F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Default Initial (and Specified) Parameter Values</w:t>
      </w:r>
    </w:p>
    <w:p w14:paraId="5A63B8C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background =            0</w:t>
      </w:r>
    </w:p>
    <w:p w14:paraId="3EB59E0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intercept =     -7.64081</w:t>
      </w:r>
    </w:p>
    <w:p w14:paraId="587BB780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slope =     0.731809</w:t>
      </w:r>
    </w:p>
    <w:p w14:paraId="1D3B7E3F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66FB1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FBAC69F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Asymptotic Correlation Matrix of Parameter Estimates</w:t>
      </w:r>
    </w:p>
    <w:p w14:paraId="5B62768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B6954A2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 *** The model parameter(s)  -background   </w:t>
      </w:r>
    </w:p>
    <w:p w14:paraId="42E0AAE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have been estimated at a boundary point, or have been specified by the user,</w:t>
      </w:r>
    </w:p>
    <w:p w14:paraId="40098164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and do not appear in the correlation matrix )</w:t>
      </w:r>
    </w:p>
    <w:p w14:paraId="47B59D8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D688FA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intercept        slope</w:t>
      </w:r>
    </w:p>
    <w:p w14:paraId="4F5C6E3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7FDC8D8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intercept            1           -1</w:t>
      </w:r>
    </w:p>
    <w:p w14:paraId="4E0EC02A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6EEDFD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slope           -1            1</w:t>
      </w:r>
    </w:p>
    <w:p w14:paraId="350E8ACF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EFEE2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904EE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F2F834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Parameter Estimates</w:t>
      </w:r>
    </w:p>
    <w:p w14:paraId="1CCC1DB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9C2CE0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95.0% Wald Confidence Interval</w:t>
      </w:r>
    </w:p>
    <w:p w14:paraId="4B7266D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Variable         Estimate        Std. Err.     Lower Conf. Limit   Upper Conf. Limit</w:t>
      </w:r>
    </w:p>
    <w:p w14:paraId="7EE01B4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background                0               NA</w:t>
      </w:r>
    </w:p>
    <w:p w14:paraId="7684209A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intercept         -71.5812          21.2899            -113.309            -29.8537</w:t>
      </w:r>
    </w:p>
    <w:p w14:paraId="45E3A6A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slope          6.74063          2.00166             2.81744             10.6638</w:t>
      </w:r>
    </w:p>
    <w:p w14:paraId="497D7ED4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E777842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 - Indicates that this parameter has hit a bound</w:t>
      </w:r>
    </w:p>
    <w:p w14:paraId="784D75B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implied by some inequality constraint and thus</w:t>
      </w:r>
    </w:p>
    <w:p w14:paraId="4EAA8D94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has no standard error.</w:t>
      </w:r>
    </w:p>
    <w:p w14:paraId="00065058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44F0D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8D7929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1206EDD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Analysis of Deviance Table</w:t>
      </w:r>
    </w:p>
    <w:p w14:paraId="0449F62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74A59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Model      Log(likelihood)  # Param's  Deviance  Test d.f.   P-value</w:t>
      </w:r>
    </w:p>
    <w:p w14:paraId="2A02260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Full model        -33.8519        13</w:t>
      </w:r>
    </w:p>
    <w:p w14:paraId="2F7A3BB4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Fitted model        -35.0887         2       2.47349     11           0.996</w:t>
      </w:r>
    </w:p>
    <w:p w14:paraId="7F513BB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Reduced model         -87.881         1       108.058     12         &lt;.0001</w:t>
      </w:r>
    </w:p>
    <w:p w14:paraId="6A6C8E5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19E1FC9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AIC:         74.1774</w:t>
      </w:r>
    </w:p>
    <w:p w14:paraId="0A363CF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CE56A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DF2CF8" w14:textId="25F80330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Goodness  of  Fit</w:t>
      </w:r>
    </w:p>
    <w:p w14:paraId="3FCCF9F0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Scaled</w:t>
      </w:r>
    </w:p>
    <w:p w14:paraId="359D4FD8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Dose     Est._Prob.    Expected    Observed     Size       Residual</w:t>
      </w:r>
    </w:p>
    <w:p w14:paraId="6F0CDB4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------------------------------------------------------------------------</w:t>
      </w:r>
    </w:p>
    <w:p w14:paraId="5B44E30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800.0000     0.0000         0.000     0.000      10.000       -0.000</w:t>
      </w:r>
    </w:p>
    <w:p w14:paraId="7CC71C4C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3000.0000     0.0000         0.000     0.000      10.000       -0.000</w:t>
      </w:r>
    </w:p>
    <w:p w14:paraId="7D9580BF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6000.0000     0.0000         0.000     0.000      10.000       -0.000</w:t>
      </w:r>
    </w:p>
    <w:p w14:paraId="6B792A60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12000.0000     0.0000         0.000     0.000      10.000       -0.000</w:t>
      </w:r>
    </w:p>
    <w:p w14:paraId="225BA2F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24000.0000     0.0002         0.002     0.000      10.000       -0.040</w:t>
      </w:r>
    </w:p>
    <w:p w14:paraId="308845A3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36000.0000     0.1939         1.939     2.000      10.000        0.048</w:t>
      </w:r>
    </w:p>
    <w:p w14:paraId="76E43882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39000.0000     0.3730         3.730     5.000      10.000        0.830</w:t>
      </w:r>
    </w:p>
    <w:p w14:paraId="2C58B93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42000.0000     0.5697         5.697     5.000      10.000       -0.445</w:t>
      </w:r>
    </w:p>
    <w:p w14:paraId="62C5E1F8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45000.0000     0.7391         7.391     8.000      10.000        0.438</w:t>
      </w:r>
    </w:p>
    <w:p w14:paraId="5C7ADE61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48000.0000     0.8590         8.590     9.000      10.000        0.373</w:t>
      </w:r>
    </w:p>
    <w:p w14:paraId="70B20FA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42100.0000     0.5760         5.760     4.000      10.000       -1.126</w:t>
      </w:r>
    </w:p>
    <w:p w14:paraId="7A100A8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81500.0000     1.0000        10.000    10.000      10.000        0.004</w:t>
      </w:r>
    </w:p>
    <w:p w14:paraId="5471D81B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195000.0000     1.0000        10.000    10.000      10.000        0.000</w:t>
      </w:r>
    </w:p>
    <w:p w14:paraId="2E7C5AA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3AE8026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Chi^2 = 2.49      d.f. = 11        P-value = 0.9959</w:t>
      </w:r>
    </w:p>
    <w:p w14:paraId="08771696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AA37C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2BC655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Benchmark Dose Computation</w:t>
      </w:r>
    </w:p>
    <w:p w14:paraId="26648552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95B577A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Specified effect =           0.05</w:t>
      </w:r>
    </w:p>
    <w:p w14:paraId="4037E878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BDE14E4" w14:textId="5B50E416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Risk Type        =      Extra risk</w:t>
      </w:r>
    </w:p>
    <w:p w14:paraId="51D44BBD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6A747D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Confidence level =           0.95</w:t>
      </w:r>
    </w:p>
    <w:p w14:paraId="0703CFA8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421741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BMD =        32059.6</w:t>
      </w:r>
    </w:p>
    <w:p w14:paraId="5A82ED6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BDB867A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BMDL =        26108.9</w:t>
      </w:r>
    </w:p>
    <w:p w14:paraId="5FC2D747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C99A6E" w14:textId="77777777" w:rsidR="006772CB" w:rsidRDefault="006772CB" w:rsidP="006772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BMDU =        35251.1</w:t>
      </w:r>
    </w:p>
    <w:p w14:paraId="6D904814" w14:textId="2726523F" w:rsidR="005D2367" w:rsidRDefault="005D2367" w:rsidP="005D23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2FA3AD" w14:textId="735D6FAF" w:rsidR="00BA17B7" w:rsidRDefault="00BA17B7" w:rsidP="006E0E6B">
      <w:pPr>
        <w:spacing w:after="360"/>
      </w:pPr>
    </w:p>
    <w:p w14:paraId="629281D6" w14:textId="77777777" w:rsidR="00BA17B7" w:rsidRDefault="00BA17B7" w:rsidP="006E0E6B">
      <w:pPr>
        <w:spacing w:after="360"/>
      </w:pPr>
    </w:p>
    <w:p w14:paraId="1BE7EE6D" w14:textId="77777777" w:rsidR="00081352" w:rsidRDefault="00081352">
      <w:pPr>
        <w:rPr>
          <w:b/>
        </w:rPr>
      </w:pPr>
      <w:r>
        <w:rPr>
          <w:b/>
        </w:rPr>
        <w:br w:type="page"/>
      </w:r>
    </w:p>
    <w:p w14:paraId="6DE08F8C" w14:textId="52C99F0F" w:rsidR="00BA17B7" w:rsidRDefault="00A2595A" w:rsidP="00BA17B7">
      <w:pPr>
        <w:spacing w:after="0"/>
      </w:pPr>
      <w:r>
        <w:rPr>
          <w:b/>
        </w:rPr>
        <w:lastRenderedPageBreak/>
        <w:t>S6</w:t>
      </w:r>
      <w:r w:rsidR="00BA17B7">
        <w:t>. Acute inhalation toxicity data f</w:t>
      </w:r>
      <w:r w:rsidR="0083544D">
        <w:t>or rats exposed to DMS for</w:t>
      </w:r>
      <w:r w:rsidR="00BA17B7">
        <w:t xml:space="preserve"> 30 min.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6295"/>
      </w:tblGrid>
      <w:tr w:rsidR="00BA17B7" w14:paraId="635D3B8B" w14:textId="77777777" w:rsidTr="00F04FB6">
        <w:tc>
          <w:tcPr>
            <w:tcW w:w="2155" w:type="dxa"/>
            <w:vAlign w:val="center"/>
          </w:tcPr>
          <w:p w14:paraId="5AEFDC3A" w14:textId="77777777" w:rsidR="00BA17B7" w:rsidRPr="0084033D" w:rsidRDefault="00BA17B7" w:rsidP="00F04FB6">
            <w:pPr>
              <w:jc w:val="center"/>
              <w:rPr>
                <w:b/>
              </w:rPr>
            </w:pPr>
            <w:r>
              <w:rPr>
                <w:b/>
              </w:rPr>
              <w:t>Concentration (ppm)</w:t>
            </w:r>
          </w:p>
        </w:tc>
        <w:tc>
          <w:tcPr>
            <w:tcW w:w="1620" w:type="dxa"/>
            <w:vAlign w:val="center"/>
          </w:tcPr>
          <w:p w14:paraId="3EE08C57" w14:textId="77777777" w:rsidR="00BA17B7" w:rsidRPr="0084033D" w:rsidRDefault="00BA17B7" w:rsidP="00F04FB6">
            <w:pPr>
              <w:jc w:val="center"/>
              <w:rPr>
                <w:b/>
              </w:rPr>
            </w:pPr>
            <w:r>
              <w:rPr>
                <w:b/>
              </w:rPr>
              <w:t>Duration (min)</w:t>
            </w:r>
          </w:p>
        </w:tc>
        <w:tc>
          <w:tcPr>
            <w:tcW w:w="6295" w:type="dxa"/>
            <w:vAlign w:val="center"/>
          </w:tcPr>
          <w:p w14:paraId="4774B554" w14:textId="77777777" w:rsidR="00BA17B7" w:rsidRPr="0084033D" w:rsidRDefault="00BA17B7" w:rsidP="00F04FB6">
            <w:pPr>
              <w:jc w:val="center"/>
              <w:rPr>
                <w:b/>
              </w:rPr>
            </w:pPr>
            <w:r>
              <w:rPr>
                <w:b/>
              </w:rPr>
              <w:t>Health Effect(s)</w:t>
            </w:r>
          </w:p>
        </w:tc>
      </w:tr>
      <w:tr w:rsidR="00BA17B7" w14:paraId="2497A12D" w14:textId="77777777" w:rsidTr="00F04FB6">
        <w:tc>
          <w:tcPr>
            <w:tcW w:w="2155" w:type="dxa"/>
            <w:vAlign w:val="center"/>
          </w:tcPr>
          <w:p w14:paraId="0AC23025" w14:textId="77777777" w:rsidR="00BA17B7" w:rsidRDefault="00BA17B7" w:rsidP="00F04FB6">
            <w:pPr>
              <w:jc w:val="center"/>
            </w:pPr>
            <w:r>
              <w:t xml:space="preserve">  1,100</w:t>
            </w:r>
          </w:p>
        </w:tc>
        <w:tc>
          <w:tcPr>
            <w:tcW w:w="1620" w:type="dxa"/>
            <w:vAlign w:val="center"/>
          </w:tcPr>
          <w:p w14:paraId="56BDBD74" w14:textId="77777777" w:rsidR="00BA17B7" w:rsidRDefault="00BA17B7" w:rsidP="00F04FB6">
            <w:pPr>
              <w:jc w:val="center"/>
            </w:pPr>
            <w:r>
              <w:t>30</w:t>
            </w:r>
          </w:p>
        </w:tc>
        <w:tc>
          <w:tcPr>
            <w:tcW w:w="6295" w:type="dxa"/>
            <w:vAlign w:val="center"/>
          </w:tcPr>
          <w:p w14:paraId="4819E5F4" w14:textId="77777777" w:rsidR="00BA17B7" w:rsidRDefault="00BA17B7" w:rsidP="00F04FB6">
            <w:pPr>
              <w:jc w:val="center"/>
            </w:pPr>
            <w:r>
              <w:t>No effects</w:t>
            </w:r>
          </w:p>
        </w:tc>
      </w:tr>
      <w:tr w:rsidR="00BA17B7" w14:paraId="2C48AB29" w14:textId="77777777" w:rsidTr="00F04FB6">
        <w:tc>
          <w:tcPr>
            <w:tcW w:w="2155" w:type="dxa"/>
            <w:vMerge w:val="restart"/>
            <w:vAlign w:val="center"/>
          </w:tcPr>
          <w:p w14:paraId="680F0586" w14:textId="77777777" w:rsidR="00BA17B7" w:rsidRDefault="00BA17B7" w:rsidP="00F04FB6">
            <w:pPr>
              <w:jc w:val="center"/>
            </w:pPr>
            <w:r>
              <w:t xml:space="preserve">  5,600</w:t>
            </w:r>
          </w:p>
        </w:tc>
        <w:tc>
          <w:tcPr>
            <w:tcW w:w="1620" w:type="dxa"/>
            <w:vAlign w:val="center"/>
          </w:tcPr>
          <w:p w14:paraId="2353DF24" w14:textId="77777777" w:rsidR="00BA17B7" w:rsidRDefault="00BA17B7" w:rsidP="00F04FB6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2</w:t>
            </w:r>
          </w:p>
        </w:tc>
        <w:tc>
          <w:tcPr>
            <w:tcW w:w="6295" w:type="dxa"/>
            <w:vAlign w:val="center"/>
          </w:tcPr>
          <w:p w14:paraId="63A42C69" w14:textId="6C648397" w:rsidR="00BA17B7" w:rsidRDefault="00BA17B7" w:rsidP="00F04FB6">
            <w:pPr>
              <w:jc w:val="center"/>
            </w:pPr>
            <w:r>
              <w:t>Shut</w:t>
            </w:r>
            <w:r w:rsidR="00F6713C">
              <w:t>s</w:t>
            </w:r>
            <w:r>
              <w:t xml:space="preserve"> eyes</w:t>
            </w:r>
            <w:r w:rsidR="00F6713C">
              <w:t xml:space="preserve"> because of irritation</w:t>
            </w:r>
          </w:p>
        </w:tc>
      </w:tr>
      <w:tr w:rsidR="00BA17B7" w14:paraId="0AED6D4A" w14:textId="77777777" w:rsidTr="00F04FB6">
        <w:tc>
          <w:tcPr>
            <w:tcW w:w="2155" w:type="dxa"/>
            <w:vMerge/>
            <w:vAlign w:val="center"/>
          </w:tcPr>
          <w:p w14:paraId="7ADB16C3" w14:textId="77777777" w:rsidR="00BA17B7" w:rsidRDefault="00BA17B7" w:rsidP="00F04FB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20532FF" w14:textId="77777777" w:rsidR="00BA17B7" w:rsidRDefault="00BA17B7" w:rsidP="00F04FB6">
            <w:pPr>
              <w:jc w:val="center"/>
            </w:pPr>
            <w:r>
              <w:t>10</w:t>
            </w:r>
          </w:p>
        </w:tc>
        <w:tc>
          <w:tcPr>
            <w:tcW w:w="6295" w:type="dxa"/>
            <w:vAlign w:val="center"/>
          </w:tcPr>
          <w:p w14:paraId="5C8239BA" w14:textId="771FB072" w:rsidR="00BA17B7" w:rsidRDefault="00F6713C" w:rsidP="00F04FB6">
            <w:pPr>
              <w:jc w:val="center"/>
            </w:pPr>
            <w:r>
              <w:t>Lays down</w:t>
            </w:r>
          </w:p>
        </w:tc>
      </w:tr>
      <w:tr w:rsidR="00BA17B7" w14:paraId="09CB12E4" w14:textId="77777777" w:rsidTr="00F04FB6">
        <w:tc>
          <w:tcPr>
            <w:tcW w:w="2155" w:type="dxa"/>
            <w:vMerge/>
            <w:vAlign w:val="center"/>
          </w:tcPr>
          <w:p w14:paraId="518665C1" w14:textId="77777777" w:rsidR="00BA17B7" w:rsidRDefault="00BA17B7" w:rsidP="00F04FB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BFA8DF5" w14:textId="77777777" w:rsidR="00BA17B7" w:rsidRDefault="00BA17B7" w:rsidP="00F04FB6">
            <w:pPr>
              <w:jc w:val="center"/>
            </w:pPr>
            <w:r>
              <w:t>30</w:t>
            </w:r>
          </w:p>
        </w:tc>
        <w:tc>
          <w:tcPr>
            <w:tcW w:w="6295" w:type="dxa"/>
            <w:vAlign w:val="center"/>
          </w:tcPr>
          <w:p w14:paraId="4624B89C" w14:textId="77777777" w:rsidR="00BA17B7" w:rsidRDefault="00BA17B7" w:rsidP="00F04FB6">
            <w:pPr>
              <w:jc w:val="center"/>
            </w:pPr>
            <w:r>
              <w:t>Instantly alert after release</w:t>
            </w:r>
          </w:p>
        </w:tc>
      </w:tr>
      <w:tr w:rsidR="00F6713C" w14:paraId="4E955591" w14:textId="77777777" w:rsidTr="00F04FB6">
        <w:tc>
          <w:tcPr>
            <w:tcW w:w="2155" w:type="dxa"/>
            <w:vMerge w:val="restart"/>
            <w:vAlign w:val="center"/>
          </w:tcPr>
          <w:p w14:paraId="4EA05C9D" w14:textId="77777777" w:rsidR="00F6713C" w:rsidRDefault="00F6713C" w:rsidP="00F6713C">
            <w:pPr>
              <w:jc w:val="center"/>
            </w:pPr>
            <w:r>
              <w:t>13,000</w:t>
            </w:r>
          </w:p>
        </w:tc>
        <w:tc>
          <w:tcPr>
            <w:tcW w:w="1620" w:type="dxa"/>
            <w:vAlign w:val="center"/>
          </w:tcPr>
          <w:p w14:paraId="790DDE2E" w14:textId="5342B054" w:rsidR="00F6713C" w:rsidRDefault="00F6713C" w:rsidP="00F6713C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0</w:t>
            </w:r>
          </w:p>
        </w:tc>
        <w:tc>
          <w:tcPr>
            <w:tcW w:w="6295" w:type="dxa"/>
            <w:vAlign w:val="center"/>
          </w:tcPr>
          <w:p w14:paraId="2411812D" w14:textId="54AA6B69" w:rsidR="00F6713C" w:rsidRDefault="00F6713C" w:rsidP="00F6713C">
            <w:pPr>
              <w:jc w:val="center"/>
            </w:pPr>
            <w:r>
              <w:t>Shuts eyes because of irritation</w:t>
            </w:r>
          </w:p>
        </w:tc>
      </w:tr>
      <w:tr w:rsidR="00F6713C" w14:paraId="7FBEC044" w14:textId="77777777" w:rsidTr="00F04FB6">
        <w:tc>
          <w:tcPr>
            <w:tcW w:w="2155" w:type="dxa"/>
            <w:vMerge/>
            <w:vAlign w:val="center"/>
          </w:tcPr>
          <w:p w14:paraId="3647D048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C0E2F1F" w14:textId="2598A77E" w:rsidR="00F6713C" w:rsidRDefault="00F6713C" w:rsidP="00F6713C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5</w:t>
            </w:r>
          </w:p>
        </w:tc>
        <w:tc>
          <w:tcPr>
            <w:tcW w:w="6295" w:type="dxa"/>
            <w:vAlign w:val="center"/>
          </w:tcPr>
          <w:p w14:paraId="4732B7B7" w14:textId="6C5E47BD" w:rsidR="00F6713C" w:rsidRDefault="00F6713C" w:rsidP="00F6713C">
            <w:pPr>
              <w:jc w:val="center"/>
            </w:pPr>
            <w:r>
              <w:t>Slow respiration</w:t>
            </w:r>
          </w:p>
        </w:tc>
      </w:tr>
      <w:tr w:rsidR="00F6713C" w14:paraId="3B5C4552" w14:textId="77777777" w:rsidTr="00F04FB6">
        <w:tc>
          <w:tcPr>
            <w:tcW w:w="2155" w:type="dxa"/>
            <w:vMerge/>
            <w:vAlign w:val="center"/>
          </w:tcPr>
          <w:p w14:paraId="52007AAF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76F71B3" w14:textId="77777777" w:rsidR="00F6713C" w:rsidRDefault="00F6713C" w:rsidP="00F6713C">
            <w:pPr>
              <w:jc w:val="center"/>
            </w:pPr>
            <w:r>
              <w:t>10</w:t>
            </w:r>
          </w:p>
        </w:tc>
        <w:tc>
          <w:tcPr>
            <w:tcW w:w="6295" w:type="dxa"/>
            <w:vAlign w:val="center"/>
          </w:tcPr>
          <w:p w14:paraId="0969CFF9" w14:textId="77777777" w:rsidR="00F6713C" w:rsidRDefault="00F6713C" w:rsidP="00F6713C">
            <w:pPr>
              <w:jc w:val="center"/>
            </w:pPr>
            <w:r>
              <w:t>Irregular, deep breaths</w:t>
            </w:r>
          </w:p>
        </w:tc>
      </w:tr>
      <w:tr w:rsidR="00F6713C" w14:paraId="66B8D7AA" w14:textId="77777777" w:rsidTr="00F04FB6">
        <w:tc>
          <w:tcPr>
            <w:tcW w:w="2155" w:type="dxa"/>
            <w:vMerge/>
            <w:vAlign w:val="center"/>
          </w:tcPr>
          <w:p w14:paraId="5DDC27AA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1EA8C88" w14:textId="77777777" w:rsidR="00F6713C" w:rsidRDefault="00F6713C" w:rsidP="00F6713C">
            <w:pPr>
              <w:jc w:val="center"/>
            </w:pPr>
            <w:r>
              <w:t>30</w:t>
            </w:r>
          </w:p>
        </w:tc>
        <w:tc>
          <w:tcPr>
            <w:tcW w:w="6295" w:type="dxa"/>
            <w:vAlign w:val="center"/>
          </w:tcPr>
          <w:p w14:paraId="7E1E2D32" w14:textId="77777777" w:rsidR="00F6713C" w:rsidRDefault="00F6713C" w:rsidP="00F6713C">
            <w:pPr>
              <w:jc w:val="center"/>
            </w:pPr>
            <w:r>
              <w:t>Instantly alert after release</w:t>
            </w:r>
          </w:p>
        </w:tc>
      </w:tr>
      <w:tr w:rsidR="00F6713C" w14:paraId="6472A21E" w14:textId="77777777" w:rsidTr="00F04FB6">
        <w:tc>
          <w:tcPr>
            <w:tcW w:w="2155" w:type="dxa"/>
            <w:vMerge w:val="restart"/>
            <w:vAlign w:val="center"/>
          </w:tcPr>
          <w:p w14:paraId="5C368260" w14:textId="77777777" w:rsidR="00F6713C" w:rsidRDefault="00F6713C" w:rsidP="00F6713C">
            <w:pPr>
              <w:jc w:val="center"/>
            </w:pPr>
            <w:r>
              <w:t>29,000</w:t>
            </w:r>
          </w:p>
        </w:tc>
        <w:tc>
          <w:tcPr>
            <w:tcW w:w="1620" w:type="dxa"/>
            <w:vAlign w:val="center"/>
          </w:tcPr>
          <w:p w14:paraId="3234931D" w14:textId="77777777" w:rsidR="00F6713C" w:rsidRDefault="00F6713C" w:rsidP="00F6713C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5</w:t>
            </w:r>
          </w:p>
        </w:tc>
        <w:tc>
          <w:tcPr>
            <w:tcW w:w="6295" w:type="dxa"/>
            <w:vAlign w:val="center"/>
          </w:tcPr>
          <w:p w14:paraId="25FC8B24" w14:textId="77777777" w:rsidR="00F6713C" w:rsidRDefault="00F6713C" w:rsidP="00F6713C">
            <w:pPr>
              <w:jc w:val="center"/>
            </w:pPr>
            <w:r>
              <w:t>Slow respiration</w:t>
            </w:r>
          </w:p>
        </w:tc>
      </w:tr>
      <w:tr w:rsidR="00F6713C" w14:paraId="6C32CAA7" w14:textId="77777777" w:rsidTr="00F04FB6">
        <w:tc>
          <w:tcPr>
            <w:tcW w:w="2155" w:type="dxa"/>
            <w:vMerge/>
            <w:vAlign w:val="center"/>
          </w:tcPr>
          <w:p w14:paraId="1CC24206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6BB3F3" w14:textId="77777777" w:rsidR="00F6713C" w:rsidRDefault="00F6713C" w:rsidP="00F6713C">
            <w:pPr>
              <w:jc w:val="center"/>
            </w:pPr>
            <w:r>
              <w:t>10</w:t>
            </w:r>
          </w:p>
        </w:tc>
        <w:tc>
          <w:tcPr>
            <w:tcW w:w="6295" w:type="dxa"/>
            <w:vAlign w:val="center"/>
          </w:tcPr>
          <w:p w14:paraId="35E34DF7" w14:textId="77777777" w:rsidR="00F6713C" w:rsidRDefault="00F6713C" w:rsidP="00F6713C">
            <w:pPr>
              <w:jc w:val="center"/>
            </w:pPr>
            <w:r>
              <w:t>Irregular deep breaths</w:t>
            </w:r>
          </w:p>
        </w:tc>
      </w:tr>
      <w:tr w:rsidR="00F6713C" w14:paraId="05CDBFFD" w14:textId="77777777" w:rsidTr="00F04FB6">
        <w:tc>
          <w:tcPr>
            <w:tcW w:w="2155" w:type="dxa"/>
            <w:vMerge/>
            <w:vAlign w:val="center"/>
          </w:tcPr>
          <w:p w14:paraId="73956545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55B0AF7" w14:textId="77777777" w:rsidR="00F6713C" w:rsidRDefault="00F6713C" w:rsidP="00F6713C">
            <w:pPr>
              <w:jc w:val="center"/>
            </w:pPr>
            <w:r>
              <w:t>25</w:t>
            </w:r>
          </w:p>
        </w:tc>
        <w:tc>
          <w:tcPr>
            <w:tcW w:w="6295" w:type="dxa"/>
            <w:vAlign w:val="center"/>
          </w:tcPr>
          <w:p w14:paraId="50C08C28" w14:textId="77777777" w:rsidR="00F6713C" w:rsidRDefault="00F6713C" w:rsidP="00F6713C">
            <w:pPr>
              <w:jc w:val="center"/>
            </w:pPr>
            <w:r>
              <w:t>Staggered in attempt to rise</w:t>
            </w:r>
          </w:p>
        </w:tc>
      </w:tr>
      <w:tr w:rsidR="00F6713C" w14:paraId="47992F87" w14:textId="77777777" w:rsidTr="00F04FB6">
        <w:tc>
          <w:tcPr>
            <w:tcW w:w="2155" w:type="dxa"/>
            <w:vMerge/>
            <w:vAlign w:val="center"/>
          </w:tcPr>
          <w:p w14:paraId="414AFE23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5046B83" w14:textId="77777777" w:rsidR="00F6713C" w:rsidRDefault="00F6713C" w:rsidP="00F6713C">
            <w:pPr>
              <w:jc w:val="center"/>
            </w:pPr>
            <w:r>
              <w:t>30</w:t>
            </w:r>
          </w:p>
        </w:tc>
        <w:tc>
          <w:tcPr>
            <w:tcW w:w="6295" w:type="dxa"/>
            <w:vAlign w:val="center"/>
          </w:tcPr>
          <w:p w14:paraId="459D88E2" w14:textId="77777777" w:rsidR="00F6713C" w:rsidRDefault="00F6713C" w:rsidP="00F6713C">
            <w:pPr>
              <w:jc w:val="center"/>
            </w:pPr>
            <w:r>
              <w:t>Lay on its side, unable to get up by itself, respiration is very fast and superficial (200 per min), but recovered 10 min after release</w:t>
            </w:r>
          </w:p>
        </w:tc>
      </w:tr>
      <w:tr w:rsidR="00F6713C" w14:paraId="21805634" w14:textId="77777777" w:rsidTr="00F04FB6">
        <w:tc>
          <w:tcPr>
            <w:tcW w:w="2155" w:type="dxa"/>
            <w:vMerge w:val="restart"/>
            <w:vAlign w:val="center"/>
          </w:tcPr>
          <w:p w14:paraId="5AC11752" w14:textId="77777777" w:rsidR="00F6713C" w:rsidRDefault="00F6713C" w:rsidP="00F6713C">
            <w:pPr>
              <w:jc w:val="center"/>
            </w:pPr>
            <w:r>
              <w:t>31,000</w:t>
            </w:r>
          </w:p>
        </w:tc>
        <w:tc>
          <w:tcPr>
            <w:tcW w:w="1620" w:type="dxa"/>
            <w:vAlign w:val="center"/>
          </w:tcPr>
          <w:p w14:paraId="3CA8975B" w14:textId="77777777" w:rsidR="00F6713C" w:rsidRDefault="00F6713C" w:rsidP="00F6713C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5</w:t>
            </w:r>
          </w:p>
        </w:tc>
        <w:tc>
          <w:tcPr>
            <w:tcW w:w="6295" w:type="dxa"/>
            <w:vAlign w:val="center"/>
          </w:tcPr>
          <w:p w14:paraId="2AC34D7C" w14:textId="77777777" w:rsidR="00F6713C" w:rsidRDefault="00F6713C" w:rsidP="00F6713C">
            <w:pPr>
              <w:jc w:val="center"/>
            </w:pPr>
            <w:r>
              <w:t>Staggered in attempt to rise</w:t>
            </w:r>
          </w:p>
        </w:tc>
      </w:tr>
      <w:tr w:rsidR="00F6713C" w14:paraId="3D8EE8F1" w14:textId="77777777" w:rsidTr="00F04FB6">
        <w:tc>
          <w:tcPr>
            <w:tcW w:w="2155" w:type="dxa"/>
            <w:vMerge/>
            <w:vAlign w:val="center"/>
          </w:tcPr>
          <w:p w14:paraId="5377DFA8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8CC16E9" w14:textId="77777777" w:rsidR="00F6713C" w:rsidRDefault="00F6713C" w:rsidP="00F6713C">
            <w:pPr>
              <w:jc w:val="center"/>
            </w:pPr>
            <w:r>
              <w:t>20</w:t>
            </w:r>
          </w:p>
        </w:tc>
        <w:tc>
          <w:tcPr>
            <w:tcW w:w="6295" w:type="dxa"/>
            <w:vAlign w:val="center"/>
          </w:tcPr>
          <w:p w14:paraId="0897AB2F" w14:textId="77777777" w:rsidR="00F6713C" w:rsidRDefault="00F6713C" w:rsidP="00F6713C">
            <w:pPr>
              <w:jc w:val="center"/>
            </w:pPr>
            <w:r>
              <w:t>Lay on its side and unable to get up by itself</w:t>
            </w:r>
          </w:p>
        </w:tc>
      </w:tr>
      <w:tr w:rsidR="00F6713C" w14:paraId="7CBAC9E5" w14:textId="77777777" w:rsidTr="00F04FB6">
        <w:tc>
          <w:tcPr>
            <w:tcW w:w="2155" w:type="dxa"/>
            <w:vMerge/>
            <w:vAlign w:val="center"/>
          </w:tcPr>
          <w:p w14:paraId="2E8B283D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B9378F7" w14:textId="77777777" w:rsidR="00F6713C" w:rsidRDefault="00F6713C" w:rsidP="00F6713C">
            <w:pPr>
              <w:jc w:val="center"/>
            </w:pPr>
            <w:r>
              <w:t>30</w:t>
            </w:r>
          </w:p>
        </w:tc>
        <w:tc>
          <w:tcPr>
            <w:tcW w:w="6295" w:type="dxa"/>
            <w:vAlign w:val="center"/>
          </w:tcPr>
          <w:p w14:paraId="5394562C" w14:textId="77777777" w:rsidR="00F6713C" w:rsidRDefault="00F6713C" w:rsidP="00F6713C">
            <w:pPr>
              <w:jc w:val="center"/>
            </w:pPr>
            <w:r>
              <w:t>Recovered 10 min after release</w:t>
            </w:r>
          </w:p>
        </w:tc>
      </w:tr>
      <w:tr w:rsidR="00F6713C" w14:paraId="1C8D5727" w14:textId="77777777" w:rsidTr="00F04FB6">
        <w:tc>
          <w:tcPr>
            <w:tcW w:w="2155" w:type="dxa"/>
            <w:vMerge w:val="restart"/>
            <w:vAlign w:val="center"/>
          </w:tcPr>
          <w:p w14:paraId="24E05652" w14:textId="77777777" w:rsidR="00F6713C" w:rsidRDefault="00F6713C" w:rsidP="00F6713C">
            <w:pPr>
              <w:jc w:val="center"/>
            </w:pPr>
            <w:r>
              <w:t>54,000</w:t>
            </w:r>
          </w:p>
        </w:tc>
        <w:tc>
          <w:tcPr>
            <w:tcW w:w="1620" w:type="dxa"/>
            <w:vAlign w:val="center"/>
          </w:tcPr>
          <w:p w14:paraId="4D5C52A4" w14:textId="77777777" w:rsidR="00F6713C" w:rsidRDefault="00F6713C" w:rsidP="00F6713C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2</w:t>
            </w:r>
          </w:p>
        </w:tc>
        <w:tc>
          <w:tcPr>
            <w:tcW w:w="6295" w:type="dxa"/>
            <w:vAlign w:val="center"/>
          </w:tcPr>
          <w:p w14:paraId="69DB4906" w14:textId="77777777" w:rsidR="00F6713C" w:rsidRDefault="00F6713C" w:rsidP="00F6713C">
            <w:pPr>
              <w:jc w:val="center"/>
            </w:pPr>
            <w:r>
              <w:t>Dyspnea, staggered, fell down on its side</w:t>
            </w:r>
          </w:p>
        </w:tc>
      </w:tr>
      <w:tr w:rsidR="00F6713C" w14:paraId="259D21F3" w14:textId="77777777" w:rsidTr="00F04FB6">
        <w:tc>
          <w:tcPr>
            <w:tcW w:w="2155" w:type="dxa"/>
            <w:vMerge/>
            <w:vAlign w:val="center"/>
          </w:tcPr>
          <w:p w14:paraId="75554330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2FF8857" w14:textId="77777777" w:rsidR="00F6713C" w:rsidRDefault="00F6713C" w:rsidP="00F6713C">
            <w:pPr>
              <w:jc w:val="center"/>
            </w:pPr>
            <w:r>
              <w:t xml:space="preserve"> </w:t>
            </w:r>
            <w:r w:rsidRPr="00452291">
              <w:rPr>
                <w:sz w:val="16"/>
                <w:szCs w:val="16"/>
              </w:rPr>
              <w:t xml:space="preserve">  </w:t>
            </w:r>
            <w:r>
              <w:t>5</w:t>
            </w:r>
          </w:p>
        </w:tc>
        <w:tc>
          <w:tcPr>
            <w:tcW w:w="6295" w:type="dxa"/>
            <w:vAlign w:val="center"/>
          </w:tcPr>
          <w:p w14:paraId="001E4DD9" w14:textId="77777777" w:rsidR="00F6713C" w:rsidRDefault="00F6713C" w:rsidP="00F6713C">
            <w:pPr>
              <w:jc w:val="center"/>
            </w:pPr>
            <w:r>
              <w:t>Irregular slow, deep respiration, fluid bubbled from nose</w:t>
            </w:r>
          </w:p>
        </w:tc>
      </w:tr>
      <w:tr w:rsidR="00F6713C" w14:paraId="33E34DA2" w14:textId="77777777" w:rsidTr="00F04FB6">
        <w:tc>
          <w:tcPr>
            <w:tcW w:w="2155" w:type="dxa"/>
            <w:vMerge/>
            <w:vAlign w:val="center"/>
          </w:tcPr>
          <w:p w14:paraId="182C2FE3" w14:textId="77777777" w:rsidR="00F6713C" w:rsidRDefault="00F6713C" w:rsidP="00F6713C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235D9B3" w14:textId="77777777" w:rsidR="00F6713C" w:rsidRDefault="00F6713C" w:rsidP="00F6713C">
            <w:pPr>
              <w:jc w:val="center"/>
            </w:pPr>
            <w:r>
              <w:t>15</w:t>
            </w:r>
          </w:p>
        </w:tc>
        <w:tc>
          <w:tcPr>
            <w:tcW w:w="6295" w:type="dxa"/>
            <w:vAlign w:val="center"/>
          </w:tcPr>
          <w:p w14:paraId="16ED97C0" w14:textId="77777777" w:rsidR="00F6713C" w:rsidRDefault="00F6713C" w:rsidP="00F6713C">
            <w:pPr>
              <w:jc w:val="center"/>
            </w:pPr>
            <w:r>
              <w:t>1/1 mortality</w:t>
            </w:r>
          </w:p>
        </w:tc>
      </w:tr>
    </w:tbl>
    <w:p w14:paraId="32261220" w14:textId="74A9B177" w:rsidR="00BA17B7" w:rsidRDefault="00BA17B7" w:rsidP="00BA17B7">
      <w:r>
        <w:t xml:space="preserve">Source: adapted from </w:t>
      </w:r>
      <w:r w:rsidR="00D300B8">
        <w:t>Ljunggren and Norberg</w:t>
      </w:r>
      <w:r>
        <w:t xml:space="preserve"> (1943).</w:t>
      </w:r>
    </w:p>
    <w:p w14:paraId="79921A08" w14:textId="77777777" w:rsidR="00BA17B7" w:rsidRDefault="00BA17B7" w:rsidP="00BA17B7"/>
    <w:p w14:paraId="74FD9EE3" w14:textId="74EFE6FC" w:rsidR="00BA17B7" w:rsidRDefault="00BA17B7" w:rsidP="00BA17B7"/>
    <w:p w14:paraId="327D42B1" w14:textId="77777777" w:rsidR="0083544D" w:rsidRDefault="0083544D" w:rsidP="00BA17B7"/>
    <w:p w14:paraId="18215559" w14:textId="77777777" w:rsidR="00081352" w:rsidRDefault="00081352">
      <w:pPr>
        <w:rPr>
          <w:b/>
        </w:rPr>
      </w:pPr>
      <w:r>
        <w:rPr>
          <w:b/>
        </w:rPr>
        <w:br w:type="page"/>
      </w:r>
    </w:p>
    <w:p w14:paraId="7A3E59BC" w14:textId="02DDF58A" w:rsidR="0083544D" w:rsidRDefault="00A2595A" w:rsidP="0083544D">
      <w:pPr>
        <w:spacing w:after="0"/>
      </w:pPr>
      <w:r>
        <w:rPr>
          <w:b/>
        </w:rPr>
        <w:lastRenderedPageBreak/>
        <w:t>S7</w:t>
      </w:r>
      <w:r w:rsidR="0083544D">
        <w:t>. Acute inhalation toxicity data for rats exposed to DMS for up to 4 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325"/>
        <w:gridCol w:w="1495"/>
        <w:gridCol w:w="5229"/>
      </w:tblGrid>
      <w:tr w:rsidR="0083544D" w14:paraId="0CDD1618" w14:textId="77777777" w:rsidTr="0083544D">
        <w:tc>
          <w:tcPr>
            <w:tcW w:w="2021" w:type="dxa"/>
            <w:vAlign w:val="center"/>
          </w:tcPr>
          <w:p w14:paraId="4505871E" w14:textId="77777777" w:rsidR="0083544D" w:rsidRPr="0084033D" w:rsidRDefault="0083544D" w:rsidP="004A7F8D">
            <w:pPr>
              <w:jc w:val="center"/>
              <w:rPr>
                <w:b/>
              </w:rPr>
            </w:pPr>
            <w:r>
              <w:rPr>
                <w:b/>
              </w:rPr>
              <w:t>Concentration (ppm)</w:t>
            </w:r>
          </w:p>
        </w:tc>
        <w:tc>
          <w:tcPr>
            <w:tcW w:w="1325" w:type="dxa"/>
          </w:tcPr>
          <w:p w14:paraId="3ABBD70C" w14:textId="70C2F7BF" w:rsidR="0083544D" w:rsidRDefault="0083544D" w:rsidP="004A7F8D">
            <w:pPr>
              <w:jc w:val="center"/>
              <w:rPr>
                <w:b/>
              </w:rPr>
            </w:pPr>
            <w:r>
              <w:rPr>
                <w:b/>
              </w:rPr>
              <w:t>Time of Onset (min)</w:t>
            </w:r>
          </w:p>
        </w:tc>
        <w:tc>
          <w:tcPr>
            <w:tcW w:w="1495" w:type="dxa"/>
            <w:vAlign w:val="center"/>
          </w:tcPr>
          <w:p w14:paraId="001D73A0" w14:textId="505A7EB5" w:rsidR="0083544D" w:rsidRPr="0084033D" w:rsidRDefault="0083544D" w:rsidP="004A7F8D">
            <w:pPr>
              <w:jc w:val="center"/>
              <w:rPr>
                <w:b/>
              </w:rPr>
            </w:pPr>
            <w:r>
              <w:rPr>
                <w:b/>
              </w:rPr>
              <w:t>Duration (min)</w:t>
            </w:r>
          </w:p>
        </w:tc>
        <w:tc>
          <w:tcPr>
            <w:tcW w:w="5229" w:type="dxa"/>
            <w:vAlign w:val="center"/>
          </w:tcPr>
          <w:p w14:paraId="04E97FEB" w14:textId="77777777" w:rsidR="0083544D" w:rsidRPr="0084033D" w:rsidRDefault="0083544D" w:rsidP="004A7F8D">
            <w:pPr>
              <w:jc w:val="center"/>
              <w:rPr>
                <w:b/>
              </w:rPr>
            </w:pPr>
            <w:r>
              <w:rPr>
                <w:b/>
              </w:rPr>
              <w:t>Health Effect(s)</w:t>
            </w:r>
          </w:p>
        </w:tc>
      </w:tr>
      <w:tr w:rsidR="00BE0C9D" w14:paraId="44729C5C" w14:textId="77777777" w:rsidTr="004A7F8D">
        <w:tc>
          <w:tcPr>
            <w:tcW w:w="2021" w:type="dxa"/>
            <w:vMerge w:val="restart"/>
            <w:vAlign w:val="center"/>
          </w:tcPr>
          <w:p w14:paraId="39CA7C06" w14:textId="2EA751B0" w:rsidR="00BE0C9D" w:rsidRDefault="00BE0C9D" w:rsidP="00BE0C9D">
            <w:pPr>
              <w:jc w:val="center"/>
            </w:pPr>
            <w:r w:rsidRPr="0083544D">
              <w:t>18</w:t>
            </w:r>
            <w:r>
              <w:t>,</w:t>
            </w:r>
            <w:r w:rsidRPr="0083544D">
              <w:t>500</w:t>
            </w:r>
          </w:p>
        </w:tc>
        <w:tc>
          <w:tcPr>
            <w:tcW w:w="1325" w:type="dxa"/>
          </w:tcPr>
          <w:p w14:paraId="4E30AAFF" w14:textId="53E89E5D" w:rsidR="00BE0C9D" w:rsidRDefault="00BE0C9D" w:rsidP="00BE0C9D">
            <w:pPr>
              <w:jc w:val="center"/>
            </w:pPr>
            <w:r>
              <w:t>10–15</w:t>
            </w:r>
          </w:p>
        </w:tc>
        <w:tc>
          <w:tcPr>
            <w:tcW w:w="1495" w:type="dxa"/>
          </w:tcPr>
          <w:p w14:paraId="2804C786" w14:textId="389E2AB8" w:rsidR="00BE0C9D" w:rsidRDefault="00BE0C9D" w:rsidP="00BE0C9D">
            <w:pPr>
              <w:jc w:val="center"/>
            </w:pPr>
            <w:r>
              <w:t>45</w:t>
            </w:r>
            <w:r w:rsidRPr="00EA22DE">
              <w:t>–</w:t>
            </w:r>
            <w:r>
              <w:t>70</w:t>
            </w:r>
          </w:p>
        </w:tc>
        <w:tc>
          <w:tcPr>
            <w:tcW w:w="5229" w:type="dxa"/>
            <w:vAlign w:val="center"/>
          </w:tcPr>
          <w:p w14:paraId="5A67353F" w14:textId="560E12CF" w:rsidR="00BE0C9D" w:rsidRDefault="00BE0C9D" w:rsidP="00BE0C9D">
            <w:pPr>
              <w:jc w:val="center"/>
            </w:pPr>
            <w:r>
              <w:t>Generalized inactivity</w:t>
            </w:r>
          </w:p>
        </w:tc>
      </w:tr>
      <w:tr w:rsidR="00BE0C9D" w14:paraId="1BCDDB57" w14:textId="77777777" w:rsidTr="004A7F8D">
        <w:tc>
          <w:tcPr>
            <w:tcW w:w="2021" w:type="dxa"/>
            <w:vMerge/>
            <w:vAlign w:val="center"/>
          </w:tcPr>
          <w:p w14:paraId="7BE55387" w14:textId="77777777" w:rsidR="00BE0C9D" w:rsidRDefault="00BE0C9D" w:rsidP="00BE0C9D">
            <w:pPr>
              <w:jc w:val="center"/>
            </w:pPr>
          </w:p>
        </w:tc>
        <w:tc>
          <w:tcPr>
            <w:tcW w:w="1325" w:type="dxa"/>
          </w:tcPr>
          <w:p w14:paraId="3759344A" w14:textId="785AFA07" w:rsidR="00BE0C9D" w:rsidRDefault="00BE0C9D" w:rsidP="00BE0C9D">
            <w:pPr>
              <w:jc w:val="center"/>
            </w:pPr>
            <w:r>
              <w:t>30–45</w:t>
            </w:r>
          </w:p>
        </w:tc>
        <w:tc>
          <w:tcPr>
            <w:tcW w:w="1495" w:type="dxa"/>
          </w:tcPr>
          <w:p w14:paraId="27C267A4" w14:textId="6ED87FBC" w:rsidR="00BE0C9D" w:rsidRDefault="00BE0C9D" w:rsidP="00BE0C9D">
            <w:pPr>
              <w:jc w:val="center"/>
            </w:pPr>
            <w:r>
              <w:t>30</w:t>
            </w:r>
            <w:r w:rsidRPr="00EA22DE">
              <w:t>–</w:t>
            </w:r>
            <w:r>
              <w:t>50</w:t>
            </w:r>
          </w:p>
        </w:tc>
        <w:tc>
          <w:tcPr>
            <w:tcW w:w="5229" w:type="dxa"/>
            <w:vAlign w:val="center"/>
          </w:tcPr>
          <w:p w14:paraId="680ED352" w14:textId="5D5B7B16" w:rsidR="00BE0C9D" w:rsidRDefault="00BE0C9D" w:rsidP="00BE0C9D">
            <w:pPr>
              <w:jc w:val="center"/>
            </w:pPr>
            <w:r>
              <w:t>Tremors</w:t>
            </w:r>
          </w:p>
        </w:tc>
      </w:tr>
      <w:tr w:rsidR="00BE0C9D" w14:paraId="22991E81" w14:textId="77777777" w:rsidTr="004A7F8D">
        <w:tc>
          <w:tcPr>
            <w:tcW w:w="2021" w:type="dxa"/>
            <w:vMerge/>
            <w:vAlign w:val="center"/>
          </w:tcPr>
          <w:p w14:paraId="43645752" w14:textId="77777777" w:rsidR="00BE0C9D" w:rsidRDefault="00BE0C9D" w:rsidP="00BE0C9D">
            <w:pPr>
              <w:jc w:val="center"/>
            </w:pPr>
          </w:p>
        </w:tc>
        <w:tc>
          <w:tcPr>
            <w:tcW w:w="1325" w:type="dxa"/>
          </w:tcPr>
          <w:p w14:paraId="1A2B2E70" w14:textId="6014AAFF" w:rsidR="00BE0C9D" w:rsidRDefault="00BE0C9D" w:rsidP="00BE0C9D">
            <w:pPr>
              <w:jc w:val="center"/>
            </w:pPr>
            <w:r>
              <w:t>60-–80</w:t>
            </w:r>
          </w:p>
        </w:tc>
        <w:tc>
          <w:tcPr>
            <w:tcW w:w="1495" w:type="dxa"/>
          </w:tcPr>
          <w:p w14:paraId="7B76BFE6" w14:textId="20B1F09D" w:rsidR="00BE0C9D" w:rsidRDefault="00BE0C9D" w:rsidP="00BE0C9D">
            <w:pPr>
              <w:jc w:val="center"/>
            </w:pPr>
            <w:r>
              <w:t>120</w:t>
            </w:r>
            <w:r w:rsidRPr="00EA22DE">
              <w:t>–</w:t>
            </w:r>
            <w:r>
              <w:t>130</w:t>
            </w:r>
          </w:p>
        </w:tc>
        <w:tc>
          <w:tcPr>
            <w:tcW w:w="5229" w:type="dxa"/>
            <w:vAlign w:val="center"/>
          </w:tcPr>
          <w:p w14:paraId="15ACD5F7" w14:textId="5F94BEE5" w:rsidR="00BE0C9D" w:rsidRDefault="00BE0C9D" w:rsidP="00BE0C9D">
            <w:pPr>
              <w:jc w:val="center"/>
            </w:pPr>
            <w:r>
              <w:t>Unconsciousness</w:t>
            </w:r>
          </w:p>
        </w:tc>
      </w:tr>
      <w:tr w:rsidR="0073116E" w14:paraId="3DF50FF7" w14:textId="77777777" w:rsidTr="004A7F8D">
        <w:tc>
          <w:tcPr>
            <w:tcW w:w="2021" w:type="dxa"/>
            <w:vMerge w:val="restart"/>
            <w:vAlign w:val="center"/>
          </w:tcPr>
          <w:p w14:paraId="6733F00F" w14:textId="223C09F8" w:rsidR="0073116E" w:rsidRDefault="0073116E" w:rsidP="00BE0C9D">
            <w:pPr>
              <w:jc w:val="center"/>
            </w:pPr>
            <w:r w:rsidRPr="0083544D">
              <w:t>42</w:t>
            </w:r>
            <w:r>
              <w:t>,</w:t>
            </w:r>
            <w:r w:rsidRPr="0083544D">
              <w:t>100</w:t>
            </w:r>
          </w:p>
        </w:tc>
        <w:tc>
          <w:tcPr>
            <w:tcW w:w="1325" w:type="dxa"/>
          </w:tcPr>
          <w:p w14:paraId="1539397C" w14:textId="68C9B4C4" w:rsidR="0073116E" w:rsidRDefault="0073116E" w:rsidP="00BE0C9D">
            <w:pPr>
              <w:jc w:val="center"/>
            </w:pPr>
            <w:r>
              <w:t>0–2</w:t>
            </w:r>
          </w:p>
        </w:tc>
        <w:tc>
          <w:tcPr>
            <w:tcW w:w="1495" w:type="dxa"/>
          </w:tcPr>
          <w:p w14:paraId="4E8D6E4D" w14:textId="0098F85A" w:rsidR="0073116E" w:rsidRDefault="0073116E" w:rsidP="00BE0C9D">
            <w:pPr>
              <w:jc w:val="center"/>
            </w:pPr>
            <w:r>
              <w:t>6</w:t>
            </w:r>
            <w:r w:rsidRPr="00EA22DE">
              <w:t>–</w:t>
            </w:r>
            <w:r>
              <w:t>10</w:t>
            </w:r>
          </w:p>
        </w:tc>
        <w:tc>
          <w:tcPr>
            <w:tcW w:w="5229" w:type="dxa"/>
            <w:vAlign w:val="center"/>
          </w:tcPr>
          <w:p w14:paraId="22CD6DAB" w14:textId="7C17EA67" w:rsidR="0073116E" w:rsidRDefault="0073116E" w:rsidP="00BE0C9D">
            <w:pPr>
              <w:jc w:val="center"/>
            </w:pPr>
            <w:r>
              <w:t>Hyperactivity</w:t>
            </w:r>
          </w:p>
        </w:tc>
      </w:tr>
      <w:tr w:rsidR="0073116E" w14:paraId="30AAFCA5" w14:textId="77777777" w:rsidTr="004A7F8D">
        <w:tc>
          <w:tcPr>
            <w:tcW w:w="2021" w:type="dxa"/>
            <w:vMerge/>
            <w:vAlign w:val="center"/>
          </w:tcPr>
          <w:p w14:paraId="7D723E35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09229B83" w14:textId="2F3898EE" w:rsidR="0073116E" w:rsidRDefault="0073116E" w:rsidP="00BE0C9D">
            <w:pPr>
              <w:jc w:val="center"/>
            </w:pPr>
            <w:r>
              <w:t>8–10</w:t>
            </w:r>
          </w:p>
        </w:tc>
        <w:tc>
          <w:tcPr>
            <w:tcW w:w="1495" w:type="dxa"/>
          </w:tcPr>
          <w:p w14:paraId="22C98266" w14:textId="4FCA5A76" w:rsidR="0073116E" w:rsidRDefault="0073116E" w:rsidP="00BE0C9D">
            <w:pPr>
              <w:jc w:val="center"/>
            </w:pPr>
            <w:r>
              <w:t>10</w:t>
            </w:r>
            <w:r w:rsidRPr="00EA22DE">
              <w:t>–</w:t>
            </w:r>
            <w:r>
              <w:t>20</w:t>
            </w:r>
          </w:p>
        </w:tc>
        <w:tc>
          <w:tcPr>
            <w:tcW w:w="5229" w:type="dxa"/>
            <w:vAlign w:val="center"/>
          </w:tcPr>
          <w:p w14:paraId="279C425F" w14:textId="2DA6CD5B" w:rsidR="0073116E" w:rsidRDefault="0073116E" w:rsidP="00BE0C9D">
            <w:pPr>
              <w:jc w:val="center"/>
            </w:pPr>
            <w:r>
              <w:t>Generalized inactivity</w:t>
            </w:r>
          </w:p>
        </w:tc>
      </w:tr>
      <w:tr w:rsidR="0073116E" w14:paraId="08939C22" w14:textId="77777777" w:rsidTr="004A7F8D">
        <w:tc>
          <w:tcPr>
            <w:tcW w:w="2021" w:type="dxa"/>
            <w:vMerge/>
            <w:vAlign w:val="center"/>
          </w:tcPr>
          <w:p w14:paraId="2AAB2062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20856C29" w14:textId="668B6684" w:rsidR="0073116E" w:rsidRDefault="0073116E" w:rsidP="00BE0C9D">
            <w:pPr>
              <w:jc w:val="center"/>
            </w:pPr>
            <w:r>
              <w:t>10</w:t>
            </w:r>
            <w:r w:rsidRPr="00B87725">
              <w:t>–</w:t>
            </w:r>
            <w:r>
              <w:t>15</w:t>
            </w:r>
          </w:p>
        </w:tc>
        <w:tc>
          <w:tcPr>
            <w:tcW w:w="1495" w:type="dxa"/>
          </w:tcPr>
          <w:p w14:paraId="02060C4C" w14:textId="4A4E29A3" w:rsidR="0073116E" w:rsidRDefault="0073116E" w:rsidP="00BE0C9D">
            <w:pPr>
              <w:jc w:val="center"/>
            </w:pPr>
            <w:r>
              <w:t>250</w:t>
            </w:r>
            <w:r w:rsidRPr="00EA22DE">
              <w:t>–</w:t>
            </w:r>
            <w:r>
              <w:t>260</w:t>
            </w:r>
          </w:p>
        </w:tc>
        <w:tc>
          <w:tcPr>
            <w:tcW w:w="5229" w:type="dxa"/>
            <w:vAlign w:val="center"/>
          </w:tcPr>
          <w:p w14:paraId="3D127808" w14:textId="5CBCF743" w:rsidR="0073116E" w:rsidRDefault="0073116E" w:rsidP="00BE0C9D">
            <w:pPr>
              <w:jc w:val="center"/>
            </w:pPr>
            <w:r>
              <w:t>H</w:t>
            </w:r>
            <w:r w:rsidRPr="00BE0C9D">
              <w:t>yperpnea</w:t>
            </w:r>
          </w:p>
        </w:tc>
      </w:tr>
      <w:tr w:rsidR="0073116E" w14:paraId="61CA1672" w14:textId="77777777" w:rsidTr="004A7F8D">
        <w:tc>
          <w:tcPr>
            <w:tcW w:w="2021" w:type="dxa"/>
            <w:vMerge/>
            <w:vAlign w:val="center"/>
          </w:tcPr>
          <w:p w14:paraId="21D98AF0" w14:textId="739AA65B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5C0280DA" w14:textId="180B9814" w:rsidR="0073116E" w:rsidRDefault="0073116E" w:rsidP="00BE0C9D">
            <w:pPr>
              <w:jc w:val="center"/>
            </w:pPr>
            <w:r>
              <w:t>20</w:t>
            </w:r>
            <w:r w:rsidRPr="00B87725">
              <w:t>–</w:t>
            </w:r>
            <w:r>
              <w:t>30</w:t>
            </w:r>
          </w:p>
        </w:tc>
        <w:tc>
          <w:tcPr>
            <w:tcW w:w="1495" w:type="dxa"/>
          </w:tcPr>
          <w:p w14:paraId="31B3D0B6" w14:textId="0744577A" w:rsidR="0073116E" w:rsidRDefault="0073116E" w:rsidP="00BE0C9D">
            <w:pPr>
              <w:jc w:val="center"/>
            </w:pPr>
            <w:r>
              <w:t>240</w:t>
            </w:r>
            <w:r w:rsidRPr="00EA22DE">
              <w:t>–</w:t>
            </w:r>
            <w:r>
              <w:t>250</w:t>
            </w:r>
          </w:p>
        </w:tc>
        <w:tc>
          <w:tcPr>
            <w:tcW w:w="5229" w:type="dxa"/>
            <w:vAlign w:val="center"/>
          </w:tcPr>
          <w:p w14:paraId="5A5AA072" w14:textId="0C534351" w:rsidR="0073116E" w:rsidRDefault="0073116E" w:rsidP="00BE0C9D">
            <w:pPr>
              <w:jc w:val="center"/>
            </w:pPr>
            <w:r>
              <w:t>Unconsciousness</w:t>
            </w:r>
          </w:p>
        </w:tc>
      </w:tr>
      <w:tr w:rsidR="0073116E" w14:paraId="5F5EAD30" w14:textId="77777777" w:rsidTr="004A7F8D">
        <w:tc>
          <w:tcPr>
            <w:tcW w:w="2021" w:type="dxa"/>
            <w:vMerge/>
            <w:vAlign w:val="center"/>
          </w:tcPr>
          <w:p w14:paraId="20CBF5DF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5635D4A0" w14:textId="79EF262A" w:rsidR="0073116E" w:rsidRDefault="0073116E" w:rsidP="00BE0C9D">
            <w:pPr>
              <w:jc w:val="center"/>
            </w:pPr>
            <w:r>
              <w:t>120</w:t>
            </w:r>
            <w:r w:rsidRPr="00B87725">
              <w:t>–</w:t>
            </w:r>
            <w:r>
              <w:t>200</w:t>
            </w:r>
          </w:p>
        </w:tc>
        <w:tc>
          <w:tcPr>
            <w:tcW w:w="1495" w:type="dxa"/>
          </w:tcPr>
          <w:p w14:paraId="4BA4396A" w14:textId="5B8AA614" w:rsidR="0073116E" w:rsidRDefault="0073116E" w:rsidP="00BE0C9D">
            <w:pPr>
              <w:jc w:val="center"/>
            </w:pPr>
            <w:r>
              <w:t>until death</w:t>
            </w:r>
          </w:p>
        </w:tc>
        <w:tc>
          <w:tcPr>
            <w:tcW w:w="5229" w:type="dxa"/>
            <w:vAlign w:val="center"/>
          </w:tcPr>
          <w:p w14:paraId="763B6355" w14:textId="31ED9348" w:rsidR="0073116E" w:rsidRDefault="0073116E" w:rsidP="00BE0C9D">
            <w:pPr>
              <w:jc w:val="center"/>
            </w:pPr>
            <w:r>
              <w:t>C</w:t>
            </w:r>
            <w:r w:rsidRPr="00BE0C9D">
              <w:t>yanosis</w:t>
            </w:r>
            <w:r>
              <w:t xml:space="preserve"> – only in rats that died</w:t>
            </w:r>
          </w:p>
        </w:tc>
      </w:tr>
      <w:tr w:rsidR="0073116E" w14:paraId="3DB8B119" w14:textId="77777777" w:rsidTr="004A7F8D">
        <w:tc>
          <w:tcPr>
            <w:tcW w:w="2021" w:type="dxa"/>
            <w:vMerge/>
            <w:vAlign w:val="center"/>
          </w:tcPr>
          <w:p w14:paraId="4E26E746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0A949A6C" w14:textId="744C8553" w:rsidR="0073116E" w:rsidRDefault="0073116E" w:rsidP="00BE0C9D">
            <w:pPr>
              <w:jc w:val="center"/>
            </w:pPr>
            <w:r>
              <w:t>310</w:t>
            </w:r>
          </w:p>
        </w:tc>
        <w:tc>
          <w:tcPr>
            <w:tcW w:w="1495" w:type="dxa"/>
          </w:tcPr>
          <w:p w14:paraId="4583444B" w14:textId="2C244237" w:rsidR="0073116E" w:rsidRDefault="0073116E" w:rsidP="00BE0C9D">
            <w:pPr>
              <w:jc w:val="center"/>
            </w:pPr>
            <w:r>
              <w:t>60</w:t>
            </w:r>
            <w:r w:rsidRPr="00EA22DE">
              <w:t>–</w:t>
            </w:r>
            <w:r>
              <w:t>120</w:t>
            </w:r>
          </w:p>
        </w:tc>
        <w:tc>
          <w:tcPr>
            <w:tcW w:w="5229" w:type="dxa"/>
            <w:vAlign w:val="center"/>
          </w:tcPr>
          <w:p w14:paraId="57DFBF3F" w14:textId="78F8451B" w:rsidR="0073116E" w:rsidRDefault="0073116E" w:rsidP="00BE0C9D">
            <w:pPr>
              <w:jc w:val="center"/>
            </w:pPr>
            <w:r>
              <w:t>T</w:t>
            </w:r>
            <w:r w:rsidRPr="00BE0C9D">
              <w:t>remors</w:t>
            </w:r>
          </w:p>
        </w:tc>
      </w:tr>
      <w:tr w:rsidR="0073116E" w14:paraId="008B94E6" w14:textId="77777777" w:rsidTr="004A7F8D">
        <w:tc>
          <w:tcPr>
            <w:tcW w:w="2021" w:type="dxa"/>
            <w:vMerge w:val="restart"/>
            <w:vAlign w:val="center"/>
          </w:tcPr>
          <w:p w14:paraId="716EE46B" w14:textId="117D896D" w:rsidR="0073116E" w:rsidRDefault="0073116E" w:rsidP="00BE0C9D">
            <w:pPr>
              <w:jc w:val="center"/>
            </w:pPr>
            <w:r w:rsidRPr="0083544D">
              <w:t>81</w:t>
            </w:r>
            <w:r>
              <w:t>,</w:t>
            </w:r>
            <w:r w:rsidRPr="0083544D">
              <w:t>500</w:t>
            </w:r>
          </w:p>
        </w:tc>
        <w:tc>
          <w:tcPr>
            <w:tcW w:w="1325" w:type="dxa"/>
          </w:tcPr>
          <w:p w14:paraId="26FEADE6" w14:textId="212C9883" w:rsidR="0073116E" w:rsidRDefault="0073116E" w:rsidP="00BE0C9D">
            <w:pPr>
              <w:jc w:val="center"/>
            </w:pPr>
            <w:r>
              <w:t>0</w:t>
            </w:r>
            <w:r w:rsidRPr="00B87725">
              <w:t>–</w:t>
            </w:r>
            <w:r>
              <w:t>2</w:t>
            </w:r>
          </w:p>
        </w:tc>
        <w:tc>
          <w:tcPr>
            <w:tcW w:w="1495" w:type="dxa"/>
          </w:tcPr>
          <w:p w14:paraId="463DE2FE" w14:textId="63AD7946" w:rsidR="0073116E" w:rsidRDefault="0073116E" w:rsidP="00BE0C9D">
            <w:pPr>
              <w:jc w:val="center"/>
            </w:pPr>
            <w:r>
              <w:t>6</w:t>
            </w:r>
            <w:r w:rsidRPr="00EA22DE">
              <w:t>–</w:t>
            </w:r>
            <w:r>
              <w:t>8</w:t>
            </w:r>
          </w:p>
        </w:tc>
        <w:tc>
          <w:tcPr>
            <w:tcW w:w="5229" w:type="dxa"/>
            <w:vAlign w:val="center"/>
          </w:tcPr>
          <w:p w14:paraId="4F3A0982" w14:textId="4260B1DC" w:rsidR="0073116E" w:rsidRDefault="0073116E" w:rsidP="00BE0C9D">
            <w:pPr>
              <w:jc w:val="center"/>
            </w:pPr>
            <w:r>
              <w:t>Hyperactivity</w:t>
            </w:r>
          </w:p>
        </w:tc>
      </w:tr>
      <w:tr w:rsidR="0073116E" w14:paraId="5848EF4B" w14:textId="77777777" w:rsidTr="004A7F8D">
        <w:tc>
          <w:tcPr>
            <w:tcW w:w="2021" w:type="dxa"/>
            <w:vMerge/>
            <w:vAlign w:val="center"/>
          </w:tcPr>
          <w:p w14:paraId="05DBF8C6" w14:textId="0D5CC72E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3269CDC6" w14:textId="1FDB7BAD" w:rsidR="0073116E" w:rsidRDefault="0073116E" w:rsidP="00BE0C9D">
            <w:pPr>
              <w:jc w:val="center"/>
            </w:pPr>
            <w:r>
              <w:t>6</w:t>
            </w:r>
            <w:r w:rsidRPr="00B87725">
              <w:t>–</w:t>
            </w:r>
            <w:r>
              <w:t>8</w:t>
            </w:r>
          </w:p>
        </w:tc>
        <w:tc>
          <w:tcPr>
            <w:tcW w:w="1495" w:type="dxa"/>
          </w:tcPr>
          <w:p w14:paraId="62E386C4" w14:textId="447064CB" w:rsidR="0073116E" w:rsidRDefault="0073116E" w:rsidP="00BE0C9D">
            <w:pPr>
              <w:jc w:val="center"/>
            </w:pPr>
            <w:r>
              <w:t>10</w:t>
            </w:r>
            <w:r w:rsidRPr="00EA22DE">
              <w:t>–</w:t>
            </w:r>
            <w:r>
              <w:t>15</w:t>
            </w:r>
          </w:p>
        </w:tc>
        <w:tc>
          <w:tcPr>
            <w:tcW w:w="5229" w:type="dxa"/>
            <w:vAlign w:val="center"/>
          </w:tcPr>
          <w:p w14:paraId="4DB5F370" w14:textId="54FA4CB4" w:rsidR="0073116E" w:rsidRDefault="0073116E" w:rsidP="00BE0C9D">
            <w:pPr>
              <w:jc w:val="center"/>
            </w:pPr>
            <w:r>
              <w:t>Generalized inactivity</w:t>
            </w:r>
          </w:p>
        </w:tc>
      </w:tr>
      <w:tr w:rsidR="0073116E" w14:paraId="249119D3" w14:textId="77777777" w:rsidTr="004A7F8D">
        <w:tc>
          <w:tcPr>
            <w:tcW w:w="2021" w:type="dxa"/>
            <w:vMerge/>
            <w:vAlign w:val="center"/>
          </w:tcPr>
          <w:p w14:paraId="011107C3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6972EF07" w14:textId="4AD38D24" w:rsidR="0073116E" w:rsidRDefault="0073116E" w:rsidP="00BE0C9D">
            <w:pPr>
              <w:jc w:val="center"/>
            </w:pPr>
            <w:r>
              <w:t>8</w:t>
            </w:r>
            <w:r w:rsidRPr="00B87725">
              <w:t>–</w:t>
            </w:r>
            <w:r>
              <w:t>12</w:t>
            </w:r>
          </w:p>
        </w:tc>
        <w:tc>
          <w:tcPr>
            <w:tcW w:w="1495" w:type="dxa"/>
          </w:tcPr>
          <w:p w14:paraId="05636C74" w14:textId="7824F14B" w:rsidR="0073116E" w:rsidRDefault="0073116E" w:rsidP="00BE0C9D">
            <w:pPr>
              <w:jc w:val="center"/>
            </w:pPr>
            <w:r w:rsidRPr="00FB603A">
              <w:t>until death</w:t>
            </w:r>
          </w:p>
        </w:tc>
        <w:tc>
          <w:tcPr>
            <w:tcW w:w="5229" w:type="dxa"/>
            <w:vAlign w:val="center"/>
          </w:tcPr>
          <w:p w14:paraId="524462DA" w14:textId="3B2CBBF7" w:rsidR="0073116E" w:rsidRDefault="0073116E" w:rsidP="00BE0C9D">
            <w:pPr>
              <w:jc w:val="center"/>
            </w:pPr>
            <w:r>
              <w:t>H</w:t>
            </w:r>
            <w:r w:rsidRPr="00BE0C9D">
              <w:t>yperpnea</w:t>
            </w:r>
          </w:p>
        </w:tc>
      </w:tr>
      <w:tr w:rsidR="0073116E" w14:paraId="27DE9781" w14:textId="77777777" w:rsidTr="004A7F8D">
        <w:tc>
          <w:tcPr>
            <w:tcW w:w="2021" w:type="dxa"/>
            <w:vMerge/>
            <w:vAlign w:val="center"/>
          </w:tcPr>
          <w:p w14:paraId="6D9878F5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77F97F61" w14:textId="5481CEFE" w:rsidR="0073116E" w:rsidRDefault="0073116E" w:rsidP="00BE0C9D">
            <w:pPr>
              <w:jc w:val="center"/>
            </w:pPr>
            <w:r>
              <w:t>10</w:t>
            </w:r>
            <w:r w:rsidRPr="00B87725">
              <w:t>–</w:t>
            </w:r>
            <w:r>
              <w:t>20</w:t>
            </w:r>
          </w:p>
        </w:tc>
        <w:tc>
          <w:tcPr>
            <w:tcW w:w="1495" w:type="dxa"/>
          </w:tcPr>
          <w:p w14:paraId="0D654FE2" w14:textId="76BD25F3" w:rsidR="0073116E" w:rsidRDefault="0073116E" w:rsidP="00BE0C9D">
            <w:pPr>
              <w:jc w:val="center"/>
            </w:pPr>
            <w:r w:rsidRPr="00FB603A">
              <w:t>until death</w:t>
            </w:r>
          </w:p>
        </w:tc>
        <w:tc>
          <w:tcPr>
            <w:tcW w:w="5229" w:type="dxa"/>
            <w:vAlign w:val="center"/>
          </w:tcPr>
          <w:p w14:paraId="02B654C4" w14:textId="00B4DD69" w:rsidR="0073116E" w:rsidRDefault="0073116E" w:rsidP="00BE0C9D">
            <w:pPr>
              <w:jc w:val="center"/>
            </w:pPr>
            <w:r>
              <w:t>Unconsciousness</w:t>
            </w:r>
          </w:p>
        </w:tc>
      </w:tr>
      <w:tr w:rsidR="0073116E" w14:paraId="3FC7923F" w14:textId="77777777" w:rsidTr="004A7F8D">
        <w:tc>
          <w:tcPr>
            <w:tcW w:w="2021" w:type="dxa"/>
            <w:vMerge/>
            <w:vAlign w:val="center"/>
          </w:tcPr>
          <w:p w14:paraId="21670177" w14:textId="4AA0E115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30F9BE5A" w14:textId="339E780D" w:rsidR="0073116E" w:rsidRDefault="0073116E" w:rsidP="00BE0C9D">
            <w:pPr>
              <w:jc w:val="center"/>
            </w:pPr>
            <w:r>
              <w:t>15</w:t>
            </w:r>
            <w:r w:rsidRPr="00B87725">
              <w:t>–</w:t>
            </w:r>
            <w:r>
              <w:t>20</w:t>
            </w:r>
          </w:p>
        </w:tc>
        <w:tc>
          <w:tcPr>
            <w:tcW w:w="1495" w:type="dxa"/>
          </w:tcPr>
          <w:p w14:paraId="07AFF54C" w14:textId="4CE6A0BE" w:rsidR="0073116E" w:rsidRDefault="0073116E" w:rsidP="00BE0C9D">
            <w:pPr>
              <w:jc w:val="center"/>
            </w:pPr>
            <w:r w:rsidRPr="00FB603A">
              <w:t>until death</w:t>
            </w:r>
          </w:p>
        </w:tc>
        <w:tc>
          <w:tcPr>
            <w:tcW w:w="5229" w:type="dxa"/>
            <w:vAlign w:val="center"/>
          </w:tcPr>
          <w:p w14:paraId="04620788" w14:textId="2CCB58DD" w:rsidR="0073116E" w:rsidRDefault="0073116E" w:rsidP="00BE0C9D">
            <w:pPr>
              <w:jc w:val="center"/>
            </w:pPr>
            <w:r>
              <w:t>S</w:t>
            </w:r>
            <w:r w:rsidRPr="00BE0C9D">
              <w:t>alivation</w:t>
            </w:r>
          </w:p>
        </w:tc>
      </w:tr>
      <w:tr w:rsidR="0073116E" w14:paraId="6A88A70C" w14:textId="77777777" w:rsidTr="004A7F8D">
        <w:tc>
          <w:tcPr>
            <w:tcW w:w="2021" w:type="dxa"/>
            <w:vMerge/>
            <w:vAlign w:val="center"/>
          </w:tcPr>
          <w:p w14:paraId="66424A4F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70B68943" w14:textId="49C8C9C1" w:rsidR="0073116E" w:rsidRDefault="0073116E" w:rsidP="00BE0C9D">
            <w:pPr>
              <w:jc w:val="center"/>
            </w:pPr>
            <w:r>
              <w:t>15</w:t>
            </w:r>
            <w:r w:rsidRPr="00B87725">
              <w:t>–</w:t>
            </w:r>
            <w:r>
              <w:t>25</w:t>
            </w:r>
          </w:p>
        </w:tc>
        <w:tc>
          <w:tcPr>
            <w:tcW w:w="1495" w:type="dxa"/>
          </w:tcPr>
          <w:p w14:paraId="1829A739" w14:textId="1FB303EB" w:rsidR="0073116E" w:rsidRDefault="0073116E" w:rsidP="00BE0C9D">
            <w:pPr>
              <w:jc w:val="center"/>
            </w:pPr>
            <w:r w:rsidRPr="00FB603A">
              <w:t>until death</w:t>
            </w:r>
          </w:p>
        </w:tc>
        <w:tc>
          <w:tcPr>
            <w:tcW w:w="5229" w:type="dxa"/>
            <w:vAlign w:val="center"/>
          </w:tcPr>
          <w:p w14:paraId="1100E61D" w14:textId="33C18D4E" w:rsidR="0073116E" w:rsidRDefault="0073116E" w:rsidP="00BE0C9D">
            <w:pPr>
              <w:jc w:val="center"/>
            </w:pPr>
            <w:r>
              <w:t xml:space="preserve">Frothy </w:t>
            </w:r>
            <w:r w:rsidRPr="00BE0C9D">
              <w:t>nasal discharge</w:t>
            </w:r>
          </w:p>
        </w:tc>
      </w:tr>
      <w:tr w:rsidR="0073116E" w14:paraId="1B03A25B" w14:textId="77777777" w:rsidTr="004A7F8D">
        <w:tc>
          <w:tcPr>
            <w:tcW w:w="2021" w:type="dxa"/>
            <w:vMerge/>
            <w:vAlign w:val="center"/>
          </w:tcPr>
          <w:p w14:paraId="177D6043" w14:textId="77777777" w:rsidR="0073116E" w:rsidRDefault="0073116E" w:rsidP="00BE0C9D">
            <w:pPr>
              <w:jc w:val="center"/>
            </w:pPr>
          </w:p>
        </w:tc>
        <w:tc>
          <w:tcPr>
            <w:tcW w:w="1325" w:type="dxa"/>
          </w:tcPr>
          <w:p w14:paraId="55FD2A0E" w14:textId="51D5BA80" w:rsidR="0073116E" w:rsidRDefault="0073116E" w:rsidP="00BE0C9D">
            <w:pPr>
              <w:jc w:val="center"/>
            </w:pPr>
            <w:r>
              <w:t>15</w:t>
            </w:r>
            <w:r w:rsidRPr="00B87725">
              <w:t>–</w:t>
            </w:r>
            <w:r>
              <w:t>25</w:t>
            </w:r>
          </w:p>
        </w:tc>
        <w:tc>
          <w:tcPr>
            <w:tcW w:w="1495" w:type="dxa"/>
          </w:tcPr>
          <w:p w14:paraId="3FE2A934" w14:textId="6394024D" w:rsidR="0073116E" w:rsidRDefault="0073116E" w:rsidP="00BE0C9D">
            <w:pPr>
              <w:jc w:val="center"/>
            </w:pPr>
            <w:r w:rsidRPr="00FB603A">
              <w:t>until death</w:t>
            </w:r>
          </w:p>
        </w:tc>
        <w:tc>
          <w:tcPr>
            <w:tcW w:w="5229" w:type="dxa"/>
            <w:vAlign w:val="center"/>
          </w:tcPr>
          <w:p w14:paraId="758218F0" w14:textId="57979111" w:rsidR="0073116E" w:rsidRDefault="0073116E" w:rsidP="00BE0C9D">
            <w:pPr>
              <w:jc w:val="center"/>
            </w:pPr>
            <w:r>
              <w:t>C</w:t>
            </w:r>
            <w:r w:rsidRPr="00BE0C9D">
              <w:t>yanosis</w:t>
            </w:r>
          </w:p>
        </w:tc>
      </w:tr>
      <w:tr w:rsidR="0073116E" w14:paraId="72D6D3A7" w14:textId="77777777" w:rsidTr="004A7F8D">
        <w:tc>
          <w:tcPr>
            <w:tcW w:w="2021" w:type="dxa"/>
            <w:vMerge w:val="restart"/>
            <w:vAlign w:val="center"/>
          </w:tcPr>
          <w:p w14:paraId="1E8EC6B8" w14:textId="6C3573E8" w:rsidR="0073116E" w:rsidRDefault="0073116E" w:rsidP="0073116E">
            <w:pPr>
              <w:jc w:val="center"/>
            </w:pPr>
            <w:r w:rsidRPr="0083544D">
              <w:t>195</w:t>
            </w:r>
            <w:r>
              <w:t>,</w:t>
            </w:r>
            <w:r w:rsidRPr="0083544D">
              <w:t>000</w:t>
            </w:r>
          </w:p>
        </w:tc>
        <w:tc>
          <w:tcPr>
            <w:tcW w:w="1325" w:type="dxa"/>
          </w:tcPr>
          <w:p w14:paraId="666A3B23" w14:textId="5A7F4B64" w:rsidR="0073116E" w:rsidRDefault="0073116E" w:rsidP="0073116E">
            <w:pPr>
              <w:jc w:val="center"/>
            </w:pPr>
            <w:r>
              <w:t>0</w:t>
            </w:r>
            <w:r w:rsidRPr="008F0A60">
              <w:t>–</w:t>
            </w:r>
            <w:r>
              <w:t>1</w:t>
            </w:r>
          </w:p>
        </w:tc>
        <w:tc>
          <w:tcPr>
            <w:tcW w:w="1495" w:type="dxa"/>
          </w:tcPr>
          <w:p w14:paraId="146B93B2" w14:textId="5C451666" w:rsidR="0073116E" w:rsidRPr="00FB603A" w:rsidRDefault="0073116E" w:rsidP="0073116E">
            <w:pPr>
              <w:jc w:val="center"/>
            </w:pPr>
            <w:r>
              <w:t>1</w:t>
            </w:r>
            <w:r w:rsidRPr="00046373">
              <w:t>–</w:t>
            </w:r>
            <w:r>
              <w:t>4</w:t>
            </w:r>
          </w:p>
        </w:tc>
        <w:tc>
          <w:tcPr>
            <w:tcW w:w="5229" w:type="dxa"/>
            <w:vAlign w:val="center"/>
          </w:tcPr>
          <w:p w14:paraId="7E0DCF4E" w14:textId="40BABDA2" w:rsidR="0073116E" w:rsidRDefault="0073116E" w:rsidP="0073116E">
            <w:pPr>
              <w:jc w:val="center"/>
            </w:pPr>
            <w:r>
              <w:t>Generalized inactivity</w:t>
            </w:r>
          </w:p>
        </w:tc>
      </w:tr>
      <w:tr w:rsidR="0073116E" w14:paraId="5DA3FEC4" w14:textId="77777777" w:rsidTr="004A7F8D">
        <w:tc>
          <w:tcPr>
            <w:tcW w:w="2021" w:type="dxa"/>
            <w:vMerge/>
            <w:vAlign w:val="center"/>
          </w:tcPr>
          <w:p w14:paraId="51CE7FE2" w14:textId="77777777" w:rsidR="0073116E" w:rsidRDefault="0073116E" w:rsidP="0073116E">
            <w:pPr>
              <w:jc w:val="center"/>
            </w:pPr>
          </w:p>
        </w:tc>
        <w:tc>
          <w:tcPr>
            <w:tcW w:w="1325" w:type="dxa"/>
          </w:tcPr>
          <w:p w14:paraId="7A0CEE6B" w14:textId="0D144A68" w:rsidR="0073116E" w:rsidRDefault="0073116E" w:rsidP="0073116E">
            <w:pPr>
              <w:jc w:val="center"/>
            </w:pPr>
            <w:r>
              <w:t>1</w:t>
            </w:r>
            <w:r w:rsidRPr="008F0A60">
              <w:t>–</w:t>
            </w:r>
            <w:r>
              <w:t>2</w:t>
            </w:r>
          </w:p>
        </w:tc>
        <w:tc>
          <w:tcPr>
            <w:tcW w:w="1495" w:type="dxa"/>
          </w:tcPr>
          <w:p w14:paraId="5D237F99" w14:textId="1DD7E452" w:rsidR="0073116E" w:rsidRPr="00FB603A" w:rsidRDefault="0073116E" w:rsidP="0073116E">
            <w:pPr>
              <w:jc w:val="center"/>
            </w:pPr>
            <w:r>
              <w:t>5</w:t>
            </w:r>
            <w:r w:rsidRPr="00046373">
              <w:t>–</w:t>
            </w:r>
            <w:r>
              <w:t>8</w:t>
            </w:r>
          </w:p>
        </w:tc>
        <w:tc>
          <w:tcPr>
            <w:tcW w:w="5229" w:type="dxa"/>
            <w:vAlign w:val="center"/>
          </w:tcPr>
          <w:p w14:paraId="35E2ECD2" w14:textId="5709CD83" w:rsidR="0073116E" w:rsidRDefault="0073116E" w:rsidP="0073116E">
            <w:pPr>
              <w:jc w:val="center"/>
            </w:pPr>
            <w:r>
              <w:t>H</w:t>
            </w:r>
            <w:r w:rsidRPr="00BE0C9D">
              <w:t>yperpnea</w:t>
            </w:r>
          </w:p>
        </w:tc>
      </w:tr>
      <w:tr w:rsidR="0073116E" w14:paraId="4743A8E6" w14:textId="77777777" w:rsidTr="004A7F8D">
        <w:tc>
          <w:tcPr>
            <w:tcW w:w="2021" w:type="dxa"/>
            <w:vMerge/>
            <w:vAlign w:val="center"/>
          </w:tcPr>
          <w:p w14:paraId="678E3EAA" w14:textId="77777777" w:rsidR="0073116E" w:rsidRDefault="0073116E" w:rsidP="0073116E">
            <w:pPr>
              <w:jc w:val="center"/>
            </w:pPr>
          </w:p>
        </w:tc>
        <w:tc>
          <w:tcPr>
            <w:tcW w:w="1325" w:type="dxa"/>
          </w:tcPr>
          <w:p w14:paraId="5706E762" w14:textId="104C147E" w:rsidR="0073116E" w:rsidRDefault="0073116E" w:rsidP="0073116E">
            <w:pPr>
              <w:jc w:val="center"/>
            </w:pPr>
            <w:r>
              <w:t>1</w:t>
            </w:r>
            <w:r w:rsidRPr="008F0A60">
              <w:t>–</w:t>
            </w:r>
            <w:r>
              <w:t>5</w:t>
            </w:r>
          </w:p>
        </w:tc>
        <w:tc>
          <w:tcPr>
            <w:tcW w:w="1495" w:type="dxa"/>
          </w:tcPr>
          <w:p w14:paraId="3EE77C75" w14:textId="05D85AD2" w:rsidR="0073116E" w:rsidRPr="00FB603A" w:rsidRDefault="0073116E" w:rsidP="0073116E">
            <w:pPr>
              <w:jc w:val="center"/>
            </w:pPr>
            <w:r w:rsidRPr="003654BE">
              <w:t>until death</w:t>
            </w:r>
          </w:p>
        </w:tc>
        <w:tc>
          <w:tcPr>
            <w:tcW w:w="5229" w:type="dxa"/>
            <w:vAlign w:val="center"/>
          </w:tcPr>
          <w:p w14:paraId="519E76E2" w14:textId="5F24193D" w:rsidR="0073116E" w:rsidRDefault="0073116E" w:rsidP="0073116E">
            <w:pPr>
              <w:jc w:val="center"/>
            </w:pPr>
            <w:r>
              <w:t>Unconsciousness</w:t>
            </w:r>
          </w:p>
        </w:tc>
      </w:tr>
      <w:tr w:rsidR="0073116E" w14:paraId="4EF4BAC5" w14:textId="77777777" w:rsidTr="004A7F8D">
        <w:tc>
          <w:tcPr>
            <w:tcW w:w="2021" w:type="dxa"/>
            <w:vMerge/>
            <w:vAlign w:val="center"/>
          </w:tcPr>
          <w:p w14:paraId="2EA1F3B1" w14:textId="77777777" w:rsidR="0073116E" w:rsidRDefault="0073116E" w:rsidP="0073116E">
            <w:pPr>
              <w:jc w:val="center"/>
            </w:pPr>
          </w:p>
        </w:tc>
        <w:tc>
          <w:tcPr>
            <w:tcW w:w="1325" w:type="dxa"/>
          </w:tcPr>
          <w:p w14:paraId="160E8DD1" w14:textId="39A2504F" w:rsidR="0073116E" w:rsidRDefault="0073116E" w:rsidP="0073116E">
            <w:pPr>
              <w:jc w:val="center"/>
            </w:pPr>
            <w:r>
              <w:t>7</w:t>
            </w:r>
            <w:r w:rsidRPr="008F0A60">
              <w:t>–</w:t>
            </w:r>
            <w:r>
              <w:t>10</w:t>
            </w:r>
          </w:p>
        </w:tc>
        <w:tc>
          <w:tcPr>
            <w:tcW w:w="1495" w:type="dxa"/>
          </w:tcPr>
          <w:p w14:paraId="47634D76" w14:textId="5820DA8B" w:rsidR="0073116E" w:rsidRPr="00FB603A" w:rsidRDefault="0073116E" w:rsidP="0073116E">
            <w:pPr>
              <w:jc w:val="center"/>
            </w:pPr>
            <w:r w:rsidRPr="003654BE">
              <w:t>until death</w:t>
            </w:r>
          </w:p>
        </w:tc>
        <w:tc>
          <w:tcPr>
            <w:tcW w:w="5229" w:type="dxa"/>
            <w:vAlign w:val="center"/>
          </w:tcPr>
          <w:p w14:paraId="479F8D18" w14:textId="3D9E236F" w:rsidR="0073116E" w:rsidRDefault="0073116E" w:rsidP="0073116E">
            <w:pPr>
              <w:jc w:val="center"/>
            </w:pPr>
            <w:r>
              <w:t>D</w:t>
            </w:r>
            <w:r w:rsidRPr="0073116E">
              <w:t>yspnea</w:t>
            </w:r>
          </w:p>
        </w:tc>
      </w:tr>
    </w:tbl>
    <w:p w14:paraId="75783793" w14:textId="3B24F781" w:rsidR="0083544D" w:rsidRDefault="0083544D" w:rsidP="0083544D">
      <w:r>
        <w:t xml:space="preserve">Source: adapted from </w:t>
      </w:r>
      <w:r w:rsidRPr="00557CEE">
        <w:t>Schoenig</w:t>
      </w:r>
      <w:r>
        <w:t xml:space="preserve"> (1967b).</w:t>
      </w:r>
    </w:p>
    <w:p w14:paraId="471931C7" w14:textId="7EFD808B" w:rsidR="0083544D" w:rsidRDefault="0083544D" w:rsidP="00BA17B7"/>
    <w:p w14:paraId="16FEFF75" w14:textId="77777777" w:rsidR="0083544D" w:rsidRDefault="0083544D" w:rsidP="00BA17B7"/>
    <w:p w14:paraId="00870B10" w14:textId="77777777" w:rsidR="00081352" w:rsidRDefault="00081352">
      <w:pPr>
        <w:rPr>
          <w:b/>
        </w:rPr>
      </w:pPr>
      <w:r>
        <w:rPr>
          <w:b/>
        </w:rPr>
        <w:br w:type="page"/>
      </w:r>
    </w:p>
    <w:p w14:paraId="15B5B74E" w14:textId="6B6E462D" w:rsidR="00BA17B7" w:rsidRDefault="00BA17B7" w:rsidP="00BA17B7">
      <w:r>
        <w:rPr>
          <w:b/>
        </w:rPr>
        <w:lastRenderedPageBreak/>
        <w:t>S</w:t>
      </w:r>
      <w:r w:rsidR="00A2595A">
        <w:rPr>
          <w:b/>
        </w:rPr>
        <w:t>8</w:t>
      </w:r>
      <w:r>
        <w:t xml:space="preserve">. </w:t>
      </w:r>
      <w:r w:rsidR="00733BA6" w:rsidRPr="007B40A7">
        <w:rPr>
          <w:color w:val="000000" w:themeColor="text1"/>
        </w:rPr>
        <w:t xml:space="preserve">Derivation of </w:t>
      </w:r>
      <w:r w:rsidR="000356BC">
        <w:rPr>
          <w:color w:val="000000" w:themeColor="text1"/>
        </w:rPr>
        <w:t>the b</w:t>
      </w:r>
      <w:r w:rsidR="000356BC" w:rsidRPr="007B40A7">
        <w:rPr>
          <w:color w:val="000000" w:themeColor="text1"/>
        </w:rPr>
        <w:t xml:space="preserve">enchmark </w:t>
      </w:r>
      <w:r w:rsidR="000356BC">
        <w:rPr>
          <w:color w:val="000000" w:themeColor="text1"/>
        </w:rPr>
        <w:t>concentration (BMCL</w:t>
      </w:r>
      <w:r w:rsidR="000356BC" w:rsidRPr="008152B7">
        <w:rPr>
          <w:color w:val="000000" w:themeColor="text1"/>
          <w:vertAlign w:val="subscript"/>
        </w:rPr>
        <w:t>10</w:t>
      </w:r>
      <w:r w:rsidR="000356BC">
        <w:rPr>
          <w:color w:val="000000" w:themeColor="text1"/>
        </w:rPr>
        <w:t>)</w:t>
      </w:r>
      <w:r w:rsidR="000356BC" w:rsidRPr="007B40A7">
        <w:rPr>
          <w:color w:val="000000" w:themeColor="text1"/>
        </w:rPr>
        <w:t xml:space="preserve"> </w:t>
      </w:r>
      <w:r w:rsidR="00733BA6" w:rsidRPr="007B40A7">
        <w:rPr>
          <w:color w:val="000000" w:themeColor="text1"/>
        </w:rPr>
        <w:t xml:space="preserve">for </w:t>
      </w:r>
      <w:r w:rsidR="00733BA6">
        <w:rPr>
          <w:color w:val="000000" w:themeColor="text1"/>
        </w:rPr>
        <w:t xml:space="preserve">coma that took place during a 15-min </w:t>
      </w:r>
      <w:r w:rsidR="00733BA6">
        <w:t>exposure</w:t>
      </w:r>
      <w:r w:rsidR="00DF6332">
        <w:t xml:space="preserve"> of rats</w:t>
      </w:r>
      <w:r w:rsidR="00733BA6" w:rsidRPr="003F0EB0">
        <w:t xml:space="preserve"> to </w:t>
      </w:r>
      <w:r w:rsidR="00733BA6">
        <w:t>DMS</w:t>
      </w:r>
      <w:r w:rsidR="00733BA6">
        <w:rPr>
          <w:color w:val="000000" w:themeColor="text1"/>
        </w:rPr>
        <w:t xml:space="preserve">; incidence data from </w:t>
      </w:r>
      <w:r w:rsidR="00D300B8">
        <w:rPr>
          <w:color w:val="000000" w:themeColor="text1"/>
        </w:rPr>
        <w:t>Ljunggren and Norberg</w:t>
      </w:r>
      <w:r w:rsidR="0060247C" w:rsidRPr="001904CB">
        <w:rPr>
          <w:color w:val="000000" w:themeColor="text1"/>
        </w:rPr>
        <w:t xml:space="preserve"> </w:t>
      </w:r>
      <w:r w:rsidR="0060247C">
        <w:rPr>
          <w:color w:val="000000" w:themeColor="text1"/>
        </w:rPr>
        <w:t>(</w:t>
      </w:r>
      <w:r w:rsidR="0060247C" w:rsidRPr="001904CB">
        <w:rPr>
          <w:color w:val="000000" w:themeColor="text1"/>
        </w:rPr>
        <w:t>1943</w:t>
      </w:r>
      <w:r w:rsidR="0060247C">
        <w:rPr>
          <w:color w:val="000000" w:themeColor="text1"/>
        </w:rPr>
        <w:t xml:space="preserve">), </w:t>
      </w:r>
      <w:r w:rsidR="0060247C" w:rsidRPr="00557CEE">
        <w:t>Schoenig</w:t>
      </w:r>
      <w:r w:rsidR="0060247C">
        <w:t xml:space="preserve"> (1967b) </w:t>
      </w:r>
      <w:r w:rsidR="0060247C">
        <w:rPr>
          <w:color w:val="000000" w:themeColor="text1"/>
        </w:rPr>
        <w:t>and</w:t>
      </w:r>
      <w:r w:rsidR="0060247C" w:rsidRPr="00771C77">
        <w:rPr>
          <w:color w:val="000000" w:themeColor="text1"/>
        </w:rPr>
        <w:t xml:space="preserve"> </w:t>
      </w:r>
      <w:r w:rsidR="0060247C">
        <w:t xml:space="preserve">Zieve et al. (1974) </w:t>
      </w:r>
      <w:r w:rsidR="00733BA6">
        <w:t>studies were pooled.</w:t>
      </w:r>
    </w:p>
    <w:p w14:paraId="29914CF4" w14:textId="7825ABEB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=====================================</w:t>
      </w:r>
      <w:r w:rsidR="006772CB">
        <w:rPr>
          <w:rFonts w:ascii="Courier New" w:hAnsi="Courier New" w:cs="Courier New"/>
          <w:sz w:val="16"/>
          <w:szCs w:val="16"/>
        </w:rPr>
        <w:t>===============================</w:t>
      </w:r>
    </w:p>
    <w:p w14:paraId="4641F94B" w14:textId="090ED989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</w:t>
      </w:r>
      <w:r w:rsidRPr="0060247C">
        <w:rPr>
          <w:rFonts w:ascii="Courier New" w:hAnsi="Courier New" w:cs="Courier New"/>
          <w:sz w:val="16"/>
          <w:szCs w:val="16"/>
        </w:rPr>
        <w:tab/>
        <w:t xml:space="preserve">  Probit Model. (</w:t>
      </w:r>
      <w:r w:rsidR="006772CB">
        <w:rPr>
          <w:rFonts w:ascii="Courier New" w:hAnsi="Courier New" w:cs="Courier New"/>
          <w:sz w:val="16"/>
          <w:szCs w:val="16"/>
        </w:rPr>
        <w:t>Version: 3.3;  Date: 2/28/2013)</w:t>
      </w:r>
    </w:p>
    <w:p w14:paraId="1325E50C" w14:textId="66B73E54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=====================================</w:t>
      </w:r>
      <w:r w:rsidR="006772CB">
        <w:rPr>
          <w:rFonts w:ascii="Courier New" w:hAnsi="Courier New" w:cs="Courier New"/>
          <w:sz w:val="16"/>
          <w:szCs w:val="16"/>
        </w:rPr>
        <w:t>===============================</w:t>
      </w:r>
    </w:p>
    <w:p w14:paraId="2FD0B33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478CF46" w14:textId="29BDDAB0" w:rsidR="0060247C" w:rsidRPr="0060247C" w:rsidRDefault="006772CB" w:rsidP="0060247C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BMDS_Model_Run</w:t>
      </w:r>
    </w:p>
    <w:p w14:paraId="59B49F66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~~~~~~~~~~~~~~~~~~~~~~~~~~~~~~~~~~~~~~~~~~~~~~~~~~~~~~~~~~~~~~~~~~~~~</w:t>
      </w:r>
    </w:p>
    <w:p w14:paraId="0153E65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</w:t>
      </w:r>
    </w:p>
    <w:p w14:paraId="0AB89317" w14:textId="0B76B2B8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The form </w:t>
      </w:r>
      <w:r w:rsidR="006772CB">
        <w:rPr>
          <w:rFonts w:ascii="Courier New" w:hAnsi="Courier New" w:cs="Courier New"/>
          <w:sz w:val="16"/>
          <w:szCs w:val="16"/>
        </w:rPr>
        <w:t>of the probability function is:</w:t>
      </w:r>
    </w:p>
    <w:p w14:paraId="65EF9A0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3F48DC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P[response] = Background</w:t>
      </w:r>
    </w:p>
    <w:p w14:paraId="47F069F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+ (1-Background) * CumNorm(Intercept+Slope*Log(Dose)),</w:t>
      </w:r>
    </w:p>
    <w:p w14:paraId="6D1E95BA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4962EEB7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where CumNorm(.) is the cumulative normal distribution function</w:t>
      </w:r>
    </w:p>
    <w:p w14:paraId="736CBCE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2D98666E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4A9E4288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Dependent variable = Effect</w:t>
      </w:r>
    </w:p>
    <w:p w14:paraId="346B3A9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Independent variable = Dose</w:t>
      </w:r>
    </w:p>
    <w:p w14:paraId="10B29A6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Background parameter is set to zero</w:t>
      </w:r>
    </w:p>
    <w:p w14:paraId="2ED93C9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Slope parameter is not restricted</w:t>
      </w:r>
    </w:p>
    <w:p w14:paraId="5EF5BC3A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442DB5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Total number of observations = 15</w:t>
      </w:r>
    </w:p>
    <w:p w14:paraId="63E512AF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Total number of records with missing values = 0</w:t>
      </w:r>
    </w:p>
    <w:p w14:paraId="660AB65D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Maximum number of iterations = 500</w:t>
      </w:r>
    </w:p>
    <w:p w14:paraId="4402F21D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Relative Function Convergence has been set to: 1e-008</w:t>
      </w:r>
    </w:p>
    <w:p w14:paraId="400F24B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Parameter Convergence has been set to: 1e-008</w:t>
      </w:r>
    </w:p>
    <w:p w14:paraId="1FFF723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25CC9E1D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5DA8FF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CD27B0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User has chosen the log transformed model</w:t>
      </w:r>
    </w:p>
    <w:p w14:paraId="51C6BC7E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03A1EC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0BB1BBE" w14:textId="7B03653C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Default Initial (a</w:t>
      </w:r>
      <w:r w:rsidR="006772CB">
        <w:rPr>
          <w:rFonts w:ascii="Courier New" w:hAnsi="Courier New" w:cs="Courier New"/>
          <w:sz w:val="16"/>
          <w:szCs w:val="16"/>
        </w:rPr>
        <w:t>nd Specified) Parameter Values</w:t>
      </w:r>
    </w:p>
    <w:p w14:paraId="0524405D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background =            0   Specified</w:t>
      </w:r>
    </w:p>
    <w:p w14:paraId="5AC5D85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 intercept =     -10.5391</w:t>
      </w:r>
    </w:p>
    <w:p w14:paraId="7308A5E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     slope =     0.929386</w:t>
      </w:r>
    </w:p>
    <w:p w14:paraId="2DD10F7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484A466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47AD96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Asymptotic Correlation Matrix of Parameter Estimates</w:t>
      </w:r>
    </w:p>
    <w:p w14:paraId="57F2CF9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9126371" w14:textId="7C7FA96E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( *** The mo</w:t>
      </w:r>
      <w:r w:rsidR="006772CB">
        <w:rPr>
          <w:rFonts w:ascii="Courier New" w:hAnsi="Courier New" w:cs="Courier New"/>
          <w:sz w:val="16"/>
          <w:szCs w:val="16"/>
        </w:rPr>
        <w:t>del parameter(s)  -background</w:t>
      </w:r>
    </w:p>
    <w:p w14:paraId="717DB77F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have been estimated at a boundary point, or have been specified by the user,</w:t>
      </w:r>
    </w:p>
    <w:p w14:paraId="7EF56DF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and do not appear in the correlation matrix )</w:t>
      </w:r>
    </w:p>
    <w:p w14:paraId="2889374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31AC42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intercept        slope</w:t>
      </w:r>
    </w:p>
    <w:p w14:paraId="24E42E2A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0CBCFD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intercept            1           -1</w:t>
      </w:r>
    </w:p>
    <w:p w14:paraId="05F1F328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2E09FCE8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slope           -1            1</w:t>
      </w:r>
    </w:p>
    <w:p w14:paraId="50380CA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14B0BC3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70EF330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394268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            Parameter Estimates</w:t>
      </w:r>
    </w:p>
    <w:p w14:paraId="45968AFE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B5F017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                                    95.0% Wald Confidence Interval</w:t>
      </w:r>
    </w:p>
    <w:p w14:paraId="46C8589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Variable         Estimate        Std. Err.     Lower Conf. Limit   Upper Conf. Limit</w:t>
      </w:r>
    </w:p>
    <w:p w14:paraId="0EFABC2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intercept         -34.4566          7.65299            -49.4562             -19.457</w:t>
      </w:r>
    </w:p>
    <w:p w14:paraId="4411A360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slope          3.01362         0.668748             1.70289             4.32434</w:t>
      </w:r>
    </w:p>
    <w:p w14:paraId="73B566F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13C5B2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381312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E4733B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   Analysis of Deviance Table</w:t>
      </w:r>
    </w:p>
    <w:p w14:paraId="2C97635F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46CC0B5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Model      Log(likelihood)  # Param's  Deviance  Test d.f.   P-value</w:t>
      </w:r>
    </w:p>
    <w:p w14:paraId="1CDB6ADD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Full model         -30.009        15</w:t>
      </w:r>
    </w:p>
    <w:p w14:paraId="289F4F7E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Fitted model        -32.6471         2       5.27614     13          0.9686</w:t>
      </w:r>
    </w:p>
    <w:p w14:paraId="02B958E3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Reduced model        -60.1762         1       60.3344     14         &lt;.0001</w:t>
      </w:r>
    </w:p>
    <w:p w14:paraId="1B93B437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C755AD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AIC:         69.2942</w:t>
      </w:r>
    </w:p>
    <w:p w14:paraId="0D2B48DF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097472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691D9EB" w14:textId="10BCDCB6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</w:t>
      </w:r>
      <w:r w:rsidR="006772CB">
        <w:rPr>
          <w:rFonts w:ascii="Courier New" w:hAnsi="Courier New" w:cs="Courier New"/>
          <w:sz w:val="16"/>
          <w:szCs w:val="16"/>
        </w:rPr>
        <w:t xml:space="preserve">              Goodness  of  Fit</w:t>
      </w:r>
    </w:p>
    <w:p w14:paraId="3461E70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Scaled</w:t>
      </w:r>
    </w:p>
    <w:p w14:paraId="2AE915DE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Dose     Est._Prob.    Expected    Observed     Size       Residual</w:t>
      </w:r>
    </w:p>
    <w:p w14:paraId="4AF8B81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------------------------------------------------------------------------</w:t>
      </w:r>
    </w:p>
    <w:p w14:paraId="42BA5CE3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1100.0000     0.0000         0.000     0.000       1.000       -0.000</w:t>
      </w:r>
    </w:p>
    <w:p w14:paraId="028A3BD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5600.0000     0.0000         0.000     0.000       1.000       -0.000</w:t>
      </w:r>
    </w:p>
    <w:p w14:paraId="0C269CF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13000.0000     0.0000         0.000     0.000       1.000       -0.000</w:t>
      </w:r>
    </w:p>
    <w:p w14:paraId="4060A538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29000.0000     0.0002         0.000     0.000       1.000       -0.015</w:t>
      </w:r>
    </w:p>
    <w:p w14:paraId="56AF3EFB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31000.0000     0.0005         0.000     0.000       1.000       -0.022</w:t>
      </w:r>
    </w:p>
    <w:p w14:paraId="1C101873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47680.1846     0.0231         0.254     1.000      11.000        1.496</w:t>
      </w:r>
    </w:p>
    <w:p w14:paraId="3086B18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74643.0000     0.2603         3.124     2.000      12.000       -0.739</w:t>
      </w:r>
    </w:p>
    <w:p w14:paraId="3A55089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85898.0000     0.4133         2.480     1.000       6.000       -1.227</w:t>
      </w:r>
    </w:p>
    <w:p w14:paraId="6B3686ED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89445.0000     0.4613         1.384     1.000       3.000       -0.445</w:t>
      </w:r>
    </w:p>
    <w:p w14:paraId="25E333A7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93527.0000     0.5149         3.089     3.000       6.000       -0.073</w:t>
      </w:r>
    </w:p>
    <w:p w14:paraId="1841436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100425.0000     0.5994         2.997     4.000       5.000        0.916</w:t>
      </w:r>
    </w:p>
    <w:p w14:paraId="1AC3363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112361.0000     0.7225        10.114    11.000      14.000        0.529</w:t>
      </w:r>
    </w:p>
    <w:p w14:paraId="4E046CA5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130468.0000     0.8509         5.106     5.000       6.000       -0.121</w:t>
      </w:r>
    </w:p>
    <w:p w14:paraId="1AC8CF69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18500.0000     0.0000         0.000     0.000      10.000       -0.003</w:t>
      </w:r>
    </w:p>
    <w:p w14:paraId="24C99DFA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195000.0000     0.9878         9.878    10.000      10.000        0.351</w:t>
      </w:r>
    </w:p>
    <w:p w14:paraId="65BE4773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4FC7F97E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Chi^2 = 5.75      d.f. = 13        P-value = 0.9549</w:t>
      </w:r>
    </w:p>
    <w:p w14:paraId="45BB342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9CBE2A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DC2120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Benchmark Dose Computation</w:t>
      </w:r>
    </w:p>
    <w:p w14:paraId="79399032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05DB438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Specified effect =            0.1</w:t>
      </w:r>
    </w:p>
    <w:p w14:paraId="15D78B1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9005E95" w14:textId="4F36FA68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Ris</w:t>
      </w:r>
      <w:r w:rsidR="006772CB">
        <w:rPr>
          <w:rFonts w:ascii="Courier New" w:hAnsi="Courier New" w:cs="Courier New"/>
          <w:sz w:val="16"/>
          <w:szCs w:val="16"/>
        </w:rPr>
        <w:t>k Type        =      Extra risk</w:t>
      </w:r>
    </w:p>
    <w:p w14:paraId="6E393073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2304A01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>Confidence level =           0.95</w:t>
      </w:r>
    </w:p>
    <w:p w14:paraId="037D826C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1011F56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 BMD =        60378.5</w:t>
      </w:r>
    </w:p>
    <w:p w14:paraId="231BDF44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F50EFF1" w14:textId="77777777" w:rsidR="0060247C" w:rsidRPr="0060247C" w:rsidRDefault="0060247C" w:rsidP="0060247C">
      <w:pPr>
        <w:pStyle w:val="NoSpacing"/>
        <w:rPr>
          <w:rFonts w:ascii="Courier New" w:hAnsi="Courier New" w:cs="Courier New"/>
          <w:sz w:val="16"/>
          <w:szCs w:val="16"/>
        </w:rPr>
      </w:pPr>
      <w:r w:rsidRPr="0060247C">
        <w:rPr>
          <w:rFonts w:ascii="Courier New" w:hAnsi="Courier New" w:cs="Courier New"/>
          <w:sz w:val="16"/>
          <w:szCs w:val="16"/>
        </w:rPr>
        <w:t xml:space="preserve">            BMDL =        47408.8</w:t>
      </w:r>
    </w:p>
    <w:p w14:paraId="70A16BFB" w14:textId="7442F4D3" w:rsidR="0083544D" w:rsidRDefault="0083544D" w:rsidP="000C0323">
      <w:pPr>
        <w:rPr>
          <w:b/>
        </w:rPr>
      </w:pPr>
    </w:p>
    <w:p w14:paraId="47B725B5" w14:textId="4374A0A8" w:rsidR="0083544D" w:rsidRDefault="0083544D" w:rsidP="000C0323">
      <w:pPr>
        <w:rPr>
          <w:b/>
        </w:rPr>
      </w:pPr>
    </w:p>
    <w:p w14:paraId="6C441D3D" w14:textId="7DA1B15F" w:rsidR="00483190" w:rsidRDefault="00483190" w:rsidP="000C0323">
      <w:pPr>
        <w:rPr>
          <w:b/>
        </w:rPr>
      </w:pPr>
    </w:p>
    <w:p w14:paraId="3F1E7290" w14:textId="48EBAB6C" w:rsidR="00483190" w:rsidRDefault="00483190" w:rsidP="000C0323">
      <w:pPr>
        <w:rPr>
          <w:b/>
        </w:rPr>
      </w:pPr>
    </w:p>
    <w:p w14:paraId="141C36CD" w14:textId="77C8F592" w:rsidR="00483190" w:rsidRDefault="00483190" w:rsidP="000C0323">
      <w:pPr>
        <w:rPr>
          <w:b/>
        </w:rPr>
      </w:pPr>
    </w:p>
    <w:p w14:paraId="7381D6A0" w14:textId="77777777" w:rsidR="00483190" w:rsidRDefault="00483190" w:rsidP="000C0323">
      <w:pPr>
        <w:rPr>
          <w:b/>
        </w:rPr>
      </w:pPr>
    </w:p>
    <w:p w14:paraId="6DD421FA" w14:textId="77777777" w:rsidR="0083544D" w:rsidRDefault="0083544D" w:rsidP="000C0323">
      <w:pPr>
        <w:rPr>
          <w:b/>
        </w:rPr>
      </w:pPr>
    </w:p>
    <w:p w14:paraId="676F53EF" w14:textId="77777777" w:rsidR="00081352" w:rsidRDefault="00081352">
      <w:pPr>
        <w:rPr>
          <w:b/>
        </w:rPr>
      </w:pPr>
      <w:r>
        <w:rPr>
          <w:b/>
        </w:rPr>
        <w:br w:type="page"/>
      </w:r>
    </w:p>
    <w:p w14:paraId="54D233D8" w14:textId="45018C47" w:rsidR="00A64F51" w:rsidRDefault="00A64F51" w:rsidP="00A64F51">
      <w:r>
        <w:rPr>
          <w:b/>
        </w:rPr>
        <w:lastRenderedPageBreak/>
        <w:t>S</w:t>
      </w:r>
      <w:r w:rsidR="00A2595A">
        <w:rPr>
          <w:b/>
        </w:rPr>
        <w:t>9</w:t>
      </w:r>
      <w:r>
        <w:t xml:space="preserve">. </w:t>
      </w:r>
      <w:r w:rsidR="006C4A13">
        <w:rPr>
          <w:color w:val="000000" w:themeColor="text1"/>
        </w:rPr>
        <w:t xml:space="preserve">Computation </w:t>
      </w:r>
      <w:r>
        <w:rPr>
          <w:color w:val="000000" w:themeColor="text1"/>
        </w:rPr>
        <w:t xml:space="preserve">of </w:t>
      </w:r>
      <w:r>
        <w:t>short-term inhalation</w:t>
      </w:r>
      <w:r w:rsidRPr="008C21A6">
        <w:t xml:space="preserve"> exposure </w:t>
      </w:r>
      <w:r>
        <w:t>levels</w:t>
      </w:r>
      <w:r w:rsidRPr="008C21A6">
        <w:t xml:space="preserve"> </w:t>
      </w:r>
      <w:r w:rsidRPr="00033A4C">
        <w:rPr>
          <w:color w:val="000000" w:themeColor="text1"/>
        </w:rPr>
        <w:t>for DMS</w:t>
      </w:r>
      <w:r>
        <w:t>.</w:t>
      </w:r>
    </w:p>
    <w:p w14:paraId="34227116" w14:textId="169C3A98" w:rsidR="00A64F51" w:rsidRPr="0035083F" w:rsidRDefault="006C4A13" w:rsidP="00A64F5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Worksheet</w:t>
      </w:r>
      <w:r w:rsidRPr="0035083F">
        <w:rPr>
          <w:b/>
          <w:u w:val="single"/>
        </w:rPr>
        <w:t xml:space="preserve"> </w:t>
      </w:r>
      <w:r>
        <w:rPr>
          <w:b/>
          <w:u w:val="single"/>
        </w:rPr>
        <w:t xml:space="preserve">for </w:t>
      </w:r>
      <w:r w:rsidR="00A64F51" w:rsidRPr="0035083F">
        <w:rPr>
          <w:b/>
          <w:u w:val="single"/>
        </w:rPr>
        <w:t>Tier-3</w:t>
      </w:r>
      <w:r>
        <w:rPr>
          <w:b/>
          <w:u w:val="single"/>
        </w:rPr>
        <w:t xml:space="preserve"> </w:t>
      </w:r>
    </w:p>
    <w:p w14:paraId="130CEFC3" w14:textId="77777777" w:rsidR="00E577F3" w:rsidRPr="00C14180" w:rsidRDefault="00E577F3" w:rsidP="00EE442D">
      <w:pPr>
        <w:rPr>
          <w:b/>
        </w:rPr>
      </w:pPr>
      <w:r w:rsidRPr="00C14180">
        <w:rPr>
          <w:u w:val="single"/>
        </w:rPr>
        <w:t>Species</w:t>
      </w:r>
      <w:r w:rsidRPr="00C14180">
        <w:rPr>
          <w:b/>
        </w:rPr>
        <w:t xml:space="preserve">: </w:t>
      </w:r>
      <w:r w:rsidRPr="00414B8B">
        <w:t>Rat</w:t>
      </w:r>
    </w:p>
    <w:p w14:paraId="2112E3AC" w14:textId="3AED50AC" w:rsidR="00E577F3" w:rsidRDefault="00E577F3" w:rsidP="00EE442D">
      <w:r w:rsidRPr="00C14180">
        <w:rPr>
          <w:u w:val="single"/>
        </w:rPr>
        <w:t>Time scaling</w:t>
      </w:r>
      <w:r>
        <w:rPr>
          <w:b/>
        </w:rPr>
        <w:t xml:space="preserve">: </w:t>
      </w:r>
      <w:r w:rsidRPr="0085601D">
        <w:rPr>
          <w:i/>
        </w:rPr>
        <w:t>C</w:t>
      </w:r>
      <w:r w:rsidRPr="0085601D">
        <w:rPr>
          <w:i/>
          <w:vertAlign w:val="superscript"/>
        </w:rPr>
        <w:t>n</w:t>
      </w:r>
      <w:r>
        <w:t xml:space="preserve"> x </w:t>
      </w:r>
      <w:r w:rsidRPr="0085601D">
        <w:rPr>
          <w:i/>
        </w:rPr>
        <w:t>t</w:t>
      </w:r>
      <w:r w:rsidR="00A047E8">
        <w:t xml:space="preserve"> = const</w:t>
      </w:r>
    </w:p>
    <w:p w14:paraId="68E1DFC5" w14:textId="2F5E0E6C" w:rsidR="00E577F3" w:rsidRDefault="00A64F51" w:rsidP="00C44D35">
      <w:pPr>
        <w:ind w:left="540" w:hanging="540"/>
      </w:pPr>
      <w:r w:rsidRPr="00E577F3">
        <w:rPr>
          <w:u w:val="single"/>
        </w:rPr>
        <w:t>POD</w:t>
      </w:r>
      <w:r w:rsidR="00C44D35">
        <w:t>:</w:t>
      </w:r>
      <w:r w:rsidR="00C44D35">
        <w:tab/>
      </w:r>
      <w:r w:rsidR="00A047E8" w:rsidRPr="00C57F60">
        <w:t>26</w:t>
      </w:r>
      <w:r w:rsidR="00A047E8">
        <w:t>,</w:t>
      </w:r>
      <w:r w:rsidR="00A047E8" w:rsidRPr="00C57F60">
        <w:t>108.9</w:t>
      </w:r>
      <w:r w:rsidR="00A047E8">
        <w:t xml:space="preserve"> </w:t>
      </w:r>
      <w:r>
        <w:t>ppm (</w:t>
      </w:r>
      <w:r w:rsidRPr="00A64F51">
        <w:t>BMCL</w:t>
      </w:r>
      <w:r w:rsidRPr="00A64F51">
        <w:rPr>
          <w:vertAlign w:val="subscript"/>
        </w:rPr>
        <w:t>0</w:t>
      </w:r>
      <w:r w:rsidR="00A047E8">
        <w:rPr>
          <w:vertAlign w:val="subscript"/>
        </w:rPr>
        <w:t>5</w:t>
      </w:r>
      <w:r>
        <w:t xml:space="preserve"> </w:t>
      </w:r>
      <w:r w:rsidR="00C44D35">
        <w:t xml:space="preserve">for mortality </w:t>
      </w:r>
      <w:r>
        <w:t xml:space="preserve">using </w:t>
      </w:r>
      <w:r w:rsidR="00A047E8">
        <w:t xml:space="preserve">pooled </w:t>
      </w:r>
      <w:r>
        <w:t xml:space="preserve">data of </w:t>
      </w:r>
      <w:r w:rsidR="00D300B8">
        <w:t>Tansy et al.</w:t>
      </w:r>
      <w:r w:rsidRPr="00A64F51">
        <w:t xml:space="preserve"> </w:t>
      </w:r>
      <w:r w:rsidR="00D300B8">
        <w:t>(</w:t>
      </w:r>
      <w:r w:rsidRPr="00A64F51">
        <w:t>1981</w:t>
      </w:r>
      <w:r w:rsidR="00D300B8">
        <w:t>)</w:t>
      </w:r>
      <w:r w:rsidR="00A047E8">
        <w:t xml:space="preserve"> and </w:t>
      </w:r>
      <w:r w:rsidR="00A047E8" w:rsidRPr="00A047E8">
        <w:t xml:space="preserve">Schoenig </w:t>
      </w:r>
      <w:r w:rsidR="00D300B8">
        <w:t>(</w:t>
      </w:r>
      <w:r w:rsidR="00A047E8" w:rsidRPr="00A047E8">
        <w:t>1967b</w:t>
      </w:r>
      <w:r w:rsidR="00D300B8">
        <w:t>)</w:t>
      </w:r>
      <w:r>
        <w:t>)</w:t>
      </w:r>
    </w:p>
    <w:p w14:paraId="06DB9E3E" w14:textId="77777777" w:rsidR="00E577F3" w:rsidRPr="00E577F3" w:rsidRDefault="00E577F3" w:rsidP="00A64F51">
      <w:pPr>
        <w:spacing w:after="0"/>
        <w:rPr>
          <w:u w:val="single"/>
        </w:rPr>
      </w:pPr>
      <w:r w:rsidRPr="00E577F3">
        <w:rPr>
          <w:u w:val="single"/>
        </w:rPr>
        <w:t>UF</w:t>
      </w:r>
    </w:p>
    <w:p w14:paraId="591732E7" w14:textId="578E3D89" w:rsidR="00A64F51" w:rsidRDefault="00A64F51" w:rsidP="00E577F3">
      <w:pPr>
        <w:spacing w:after="0"/>
        <w:ind w:firstLine="360"/>
      </w:pPr>
      <w:r>
        <w:t>for LOAEL: N/A</w:t>
      </w:r>
    </w:p>
    <w:p w14:paraId="6A08ABA5" w14:textId="473B1C12" w:rsidR="00A64F51" w:rsidRDefault="00A64F51" w:rsidP="00E577F3">
      <w:pPr>
        <w:spacing w:after="0"/>
        <w:ind w:firstLine="360"/>
      </w:pPr>
      <w:r>
        <w:t>for interspecies variation: 3</w:t>
      </w:r>
    </w:p>
    <w:p w14:paraId="4C1461C3" w14:textId="0714FA94" w:rsidR="00A64F51" w:rsidRDefault="00A64F51" w:rsidP="00EE442D">
      <w:pPr>
        <w:ind w:firstLine="360"/>
      </w:pPr>
      <w:r>
        <w:t>for intraspecies variation: 3</w:t>
      </w:r>
    </w:p>
    <w:p w14:paraId="5EA478C9" w14:textId="224333ED" w:rsidR="00A64F51" w:rsidRPr="00EE442D" w:rsidRDefault="00A64F51" w:rsidP="00EE442D">
      <w:r w:rsidRPr="00CC0FD3">
        <w:rPr>
          <w:u w:val="single"/>
        </w:rPr>
        <w:t>Total UF</w:t>
      </w:r>
      <w:r>
        <w:t>: 10</w:t>
      </w:r>
    </w:p>
    <w:p w14:paraId="66BAAD41" w14:textId="77777777" w:rsidR="00A64F51" w:rsidRPr="00C14180" w:rsidRDefault="00A64F51" w:rsidP="00EE442D">
      <w:pPr>
        <w:rPr>
          <w:b/>
        </w:rPr>
      </w:pPr>
      <w:r w:rsidRPr="00C14180">
        <w:rPr>
          <w:u w:val="single"/>
        </w:rPr>
        <w:t>Modifying Factor</w:t>
      </w:r>
      <w:r w:rsidRPr="00C14180">
        <w:t>:</w:t>
      </w:r>
      <w:r>
        <w:t xml:space="preserve"> None</w:t>
      </w:r>
    </w:p>
    <w:p w14:paraId="22958895" w14:textId="2CAE47F7" w:rsidR="00A64F51" w:rsidRDefault="00A64F51" w:rsidP="00EE442D">
      <w:r w:rsidRPr="00C14180">
        <w:rPr>
          <w:u w:val="single"/>
        </w:rPr>
        <w:t>Calculations</w:t>
      </w:r>
      <w:r w:rsidRPr="00C14180">
        <w:t>:</w:t>
      </w:r>
      <w:r>
        <w:t xml:space="preserve"> </w:t>
      </w:r>
      <w:r w:rsidR="00C57F60" w:rsidRPr="00C57F60">
        <w:t>26</w:t>
      </w:r>
      <w:r w:rsidR="00C57F60">
        <w:t>,</w:t>
      </w:r>
      <w:r w:rsidR="00C57F60" w:rsidRPr="00C57F60">
        <w:t>108.9</w:t>
      </w:r>
      <w:r w:rsidR="00C57F60">
        <w:t xml:space="preserve"> </w:t>
      </w:r>
      <w:r>
        <w:t>ppm</w:t>
      </w:r>
      <w:r w:rsidR="00461AB2">
        <w:t xml:space="preserve"> </w:t>
      </w:r>
      <w:r>
        <w:t>/</w:t>
      </w:r>
      <w:r w:rsidR="00461AB2">
        <w:t xml:space="preserve"> </w:t>
      </w:r>
      <w:r>
        <w:t xml:space="preserve">10 = </w:t>
      </w:r>
      <w:r w:rsidR="00C57F60" w:rsidRPr="00C57F60">
        <w:t>2</w:t>
      </w:r>
      <w:r w:rsidR="00C57F60">
        <w:t>,</w:t>
      </w:r>
      <w:r w:rsidR="00C57F60" w:rsidRPr="00C57F60">
        <w:t>610.89</w:t>
      </w:r>
      <w:r w:rsidR="00C57F60">
        <w:t xml:space="preserve"> </w:t>
      </w:r>
      <w:r>
        <w:t>ppm</w:t>
      </w:r>
    </w:p>
    <w:p w14:paraId="5DA57A2B" w14:textId="77777777" w:rsidR="00A64F51" w:rsidRDefault="00A64F51" w:rsidP="00A64F51">
      <w:pPr>
        <w:spacing w:after="0"/>
      </w:pPr>
      <w:r>
        <w:t>C</w:t>
      </w:r>
      <w:r>
        <w:rPr>
          <w:vertAlign w:val="superscript"/>
        </w:rPr>
        <w:t>2.89</w:t>
      </w:r>
      <w:r>
        <w:t xml:space="preserve"> x t = k</w:t>
      </w:r>
    </w:p>
    <w:p w14:paraId="304CACBF" w14:textId="74FD6C06" w:rsidR="00A64F51" w:rsidRDefault="00A64F51" w:rsidP="00C57F60">
      <w:pPr>
        <w:rPr>
          <w:rFonts w:ascii="Calibri" w:eastAsia="Times New Roman" w:hAnsi="Calibri" w:cs="Times New Roman"/>
          <w:color w:val="000000"/>
        </w:rPr>
      </w:pPr>
      <w:r>
        <w:t>(</w:t>
      </w:r>
      <w:r w:rsidR="00C57F60" w:rsidRPr="00C57F60">
        <w:t>2</w:t>
      </w:r>
      <w:r w:rsidR="00C57F60">
        <w:t>,</w:t>
      </w:r>
      <w:r w:rsidR="00C57F60" w:rsidRPr="00C57F60">
        <w:t>610.89</w:t>
      </w:r>
      <w:r w:rsidR="00C57F60">
        <w:t xml:space="preserve"> </w:t>
      </w:r>
      <w:r>
        <w:t>ppm)</w:t>
      </w:r>
      <w:r>
        <w:rPr>
          <w:vertAlign w:val="superscript"/>
        </w:rPr>
        <w:t>2.89</w:t>
      </w:r>
      <w:r>
        <w:t xml:space="preserve"> x 240 min = </w:t>
      </w:r>
      <w:r w:rsidR="00C57F60" w:rsidRPr="00C57F60">
        <w:rPr>
          <w:rFonts w:ascii="Calibri" w:eastAsia="Times New Roman" w:hAnsi="Calibri" w:cs="Times New Roman"/>
          <w:color w:val="000000"/>
        </w:rPr>
        <w:t>1.7978E+12</w:t>
      </w:r>
    </w:p>
    <w:p w14:paraId="088BEF29" w14:textId="77777777" w:rsidR="00A64F51" w:rsidRDefault="00A64F51" w:rsidP="00A64F51">
      <w:pPr>
        <w:spacing w:after="0"/>
      </w:pPr>
      <w:r>
        <w:t>C</w:t>
      </w:r>
      <w:r>
        <w:rPr>
          <w:vertAlign w:val="superscript"/>
        </w:rPr>
        <w:t>3.64</w:t>
      </w:r>
      <w:r>
        <w:t xml:space="preserve"> x t = k</w:t>
      </w:r>
    </w:p>
    <w:p w14:paraId="7B62AE37" w14:textId="4AA81CB5" w:rsidR="00A64F51" w:rsidRDefault="00A64F51" w:rsidP="00C57F60">
      <w:pPr>
        <w:rPr>
          <w:rFonts w:ascii="Calibri" w:eastAsia="Times New Roman" w:hAnsi="Calibri" w:cs="Times New Roman"/>
          <w:color w:val="000000"/>
        </w:rPr>
      </w:pPr>
      <w:r>
        <w:t>(</w:t>
      </w:r>
      <w:r w:rsidR="00C57F60" w:rsidRPr="00C57F60">
        <w:t>2</w:t>
      </w:r>
      <w:r w:rsidR="00C57F60">
        <w:t>,</w:t>
      </w:r>
      <w:r w:rsidR="00C57F60" w:rsidRPr="00C57F60">
        <w:t>610.89</w:t>
      </w:r>
      <w:r w:rsidR="00C57F60">
        <w:t xml:space="preserve"> </w:t>
      </w:r>
      <w:r>
        <w:t>ppm)</w:t>
      </w:r>
      <w:r>
        <w:rPr>
          <w:vertAlign w:val="superscript"/>
        </w:rPr>
        <w:t>3.64</w:t>
      </w:r>
      <w:r>
        <w:t xml:space="preserve"> x 240 min = </w:t>
      </w:r>
      <w:r w:rsidR="00C57F60" w:rsidRPr="00C57F60">
        <w:rPr>
          <w:rFonts w:ascii="Calibri" w:eastAsia="Times New Roman" w:hAnsi="Calibri" w:cs="Times New Roman"/>
          <w:color w:val="000000"/>
        </w:rPr>
        <w:t>6.5663E+14</w:t>
      </w:r>
    </w:p>
    <w:p w14:paraId="13C26846" w14:textId="77777777" w:rsidR="00A64F51" w:rsidRDefault="00A64F51" w:rsidP="00A64F51">
      <w:pPr>
        <w:spacing w:after="0"/>
      </w:pPr>
    </w:p>
    <w:p w14:paraId="2426F550" w14:textId="3B321957" w:rsidR="00A64F51" w:rsidRDefault="00A64F51" w:rsidP="00A64F51">
      <w:pPr>
        <w:spacing w:after="0"/>
      </w:pPr>
      <w:r>
        <w:t xml:space="preserve">10-minute </w:t>
      </w:r>
      <w:r w:rsidR="00CD45E3">
        <w:t>tier-3 value</w:t>
      </w:r>
      <w:r w:rsidR="0035083F">
        <w:t xml:space="preserve"> = 30-minute tier-3 value</w:t>
      </w:r>
    </w:p>
    <w:p w14:paraId="059DB42A" w14:textId="19D716FF" w:rsidR="00A64F51" w:rsidRDefault="00A64F51" w:rsidP="00A64F51">
      <w:pPr>
        <w:spacing w:after="0"/>
      </w:pPr>
      <w:r>
        <w:tab/>
      </w:r>
      <w:r>
        <w:tab/>
      </w:r>
      <w:r>
        <w:tab/>
        <w:t xml:space="preserve">C = </w:t>
      </w:r>
      <w:r w:rsidR="00A047E8" w:rsidRPr="00A047E8">
        <w:t xml:space="preserve">4,622.6416 </w:t>
      </w:r>
      <w:r>
        <w:t>ppm</w:t>
      </w:r>
    </w:p>
    <w:p w14:paraId="0E156848" w14:textId="612D5628" w:rsidR="00A64F51" w:rsidRDefault="00A64F51" w:rsidP="00A64F51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30-minute </w:t>
      </w:r>
      <w:r w:rsidR="00CD45E3">
        <w:t>tier-3 value</w:t>
      </w:r>
      <w:r>
        <w:tab/>
        <w:t>C</w:t>
      </w:r>
      <w:r>
        <w:rPr>
          <w:vertAlign w:val="superscript"/>
        </w:rPr>
        <w:t>3.64</w:t>
      </w:r>
      <w:r>
        <w:t xml:space="preserve"> x 30 min = </w:t>
      </w:r>
      <w:r w:rsidR="00A047E8" w:rsidRPr="00C57F60">
        <w:rPr>
          <w:rFonts w:ascii="Calibri" w:eastAsia="Times New Roman" w:hAnsi="Calibri" w:cs="Times New Roman"/>
          <w:color w:val="000000"/>
        </w:rPr>
        <w:t>6.5663E+14</w:t>
      </w:r>
    </w:p>
    <w:p w14:paraId="664E4E66" w14:textId="287E3968" w:rsidR="00A64F51" w:rsidRDefault="00A64F51" w:rsidP="00A64F51">
      <w:pPr>
        <w:spacing w:after="0"/>
      </w:pPr>
      <w:r>
        <w:tab/>
      </w:r>
      <w:r>
        <w:tab/>
      </w:r>
      <w:r>
        <w:tab/>
        <w:t xml:space="preserve">C = </w:t>
      </w:r>
      <w:r w:rsidR="00A047E8" w:rsidRPr="00A047E8">
        <w:t xml:space="preserve">4,622.6416 </w:t>
      </w:r>
      <w:r>
        <w:t>ppm</w:t>
      </w:r>
    </w:p>
    <w:p w14:paraId="65227A64" w14:textId="6B47C468" w:rsidR="00A64F51" w:rsidRPr="00815360" w:rsidRDefault="00A64F51" w:rsidP="00A64F51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1-hour </w:t>
      </w:r>
      <w:r w:rsidR="00CD45E3">
        <w:t>tier-3 value</w:t>
      </w:r>
      <w:r>
        <w:tab/>
        <w:t>C</w:t>
      </w:r>
      <w:r>
        <w:rPr>
          <w:vertAlign w:val="superscript"/>
        </w:rPr>
        <w:t>3.64</w:t>
      </w:r>
      <w:r>
        <w:t xml:space="preserve"> x 60 min = </w:t>
      </w:r>
      <w:r w:rsidR="00A047E8" w:rsidRPr="00C57F60">
        <w:rPr>
          <w:rFonts w:ascii="Calibri" w:eastAsia="Times New Roman" w:hAnsi="Calibri" w:cs="Times New Roman"/>
          <w:color w:val="000000"/>
        </w:rPr>
        <w:t>6.5663E+14</w:t>
      </w:r>
    </w:p>
    <w:p w14:paraId="76BE3846" w14:textId="7438C44B" w:rsidR="00A64F51" w:rsidRDefault="00A64F51" w:rsidP="00A64F51">
      <w:pPr>
        <w:spacing w:after="0"/>
      </w:pPr>
      <w:r>
        <w:tab/>
      </w:r>
      <w:r>
        <w:tab/>
      </w:r>
      <w:r>
        <w:tab/>
        <w:t xml:space="preserve">C = </w:t>
      </w:r>
      <w:r w:rsidR="00A047E8" w:rsidRPr="00A047E8">
        <w:t xml:space="preserve">3,821.1112 </w:t>
      </w:r>
      <w:r>
        <w:t>ppm</w:t>
      </w:r>
    </w:p>
    <w:p w14:paraId="7A81CF7C" w14:textId="714C41C9" w:rsidR="00A64F51" w:rsidRPr="00815360" w:rsidRDefault="00A64F51" w:rsidP="00A64F51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4-hour </w:t>
      </w:r>
      <w:r w:rsidR="00CD45E3">
        <w:t>tier-3 value</w:t>
      </w:r>
      <w:r w:rsidR="00CD45E3">
        <w:tab/>
      </w:r>
      <w:r w:rsidR="00F5245A">
        <w:t>the study concentration-time point</w:t>
      </w:r>
    </w:p>
    <w:p w14:paraId="6101C434" w14:textId="23DA202A" w:rsidR="00A64F51" w:rsidRDefault="00A64F51" w:rsidP="00A64F51">
      <w:pPr>
        <w:spacing w:after="0"/>
      </w:pPr>
      <w:r>
        <w:tab/>
      </w:r>
      <w:r>
        <w:tab/>
      </w:r>
      <w:r>
        <w:tab/>
        <w:t xml:space="preserve">C = </w:t>
      </w:r>
      <w:r w:rsidR="00A047E8" w:rsidRPr="00C57F60">
        <w:t>26</w:t>
      </w:r>
      <w:r w:rsidR="00A047E8">
        <w:t>,</w:t>
      </w:r>
      <w:r w:rsidR="00A047E8" w:rsidRPr="00C57F60">
        <w:t>108.9</w:t>
      </w:r>
      <w:r w:rsidR="00A047E8">
        <w:t xml:space="preserve"> ppm / 10 = </w:t>
      </w:r>
      <w:r w:rsidR="00A047E8" w:rsidRPr="00C57F60">
        <w:t>2</w:t>
      </w:r>
      <w:r w:rsidR="00A047E8">
        <w:t>,</w:t>
      </w:r>
      <w:r w:rsidR="00A047E8" w:rsidRPr="00C57F60">
        <w:t>610.89</w:t>
      </w:r>
      <w:r w:rsidR="00A047E8">
        <w:t xml:space="preserve"> ppm</w:t>
      </w:r>
    </w:p>
    <w:p w14:paraId="1BD0D7FC" w14:textId="5A36016D" w:rsidR="00A64F51" w:rsidRPr="00815360" w:rsidRDefault="00A64F51" w:rsidP="00A64F51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8-hour </w:t>
      </w:r>
      <w:r w:rsidR="00CD45E3">
        <w:t>tier-3 value</w:t>
      </w:r>
      <w:r w:rsidR="00CD45E3">
        <w:tab/>
      </w:r>
      <w:r>
        <w:t>C</w:t>
      </w:r>
      <w:r>
        <w:rPr>
          <w:vertAlign w:val="superscript"/>
        </w:rPr>
        <w:t>2.89</w:t>
      </w:r>
      <w:r>
        <w:t xml:space="preserve"> x 480 min = </w:t>
      </w:r>
      <w:r w:rsidR="00A047E8" w:rsidRPr="00C57F60">
        <w:rPr>
          <w:rFonts w:ascii="Calibri" w:eastAsia="Times New Roman" w:hAnsi="Calibri" w:cs="Times New Roman"/>
          <w:color w:val="000000"/>
        </w:rPr>
        <w:t>1.7978E+12</w:t>
      </w:r>
    </w:p>
    <w:p w14:paraId="35FA90E6" w14:textId="541834AF" w:rsidR="00A64F51" w:rsidRDefault="00A64F51" w:rsidP="00A64F51">
      <w:pPr>
        <w:spacing w:after="0"/>
      </w:pPr>
      <w:r>
        <w:tab/>
      </w:r>
      <w:r>
        <w:tab/>
      </w:r>
      <w:r>
        <w:tab/>
        <w:t xml:space="preserve">C = </w:t>
      </w:r>
      <w:r w:rsidR="00A047E8" w:rsidRPr="00A047E8">
        <w:t xml:space="preserve">2,054.1206 </w:t>
      </w:r>
      <w:r>
        <w:t>ppm</w:t>
      </w:r>
    </w:p>
    <w:p w14:paraId="55C4C59D" w14:textId="040C3A35" w:rsidR="00E577F3" w:rsidRDefault="00E577F3" w:rsidP="00A64F51">
      <w:pPr>
        <w:spacing w:after="0"/>
      </w:pPr>
    </w:p>
    <w:p w14:paraId="3CE07AC9" w14:textId="17481B00" w:rsidR="0035083F" w:rsidRPr="0035083F" w:rsidRDefault="006C4A13" w:rsidP="0035083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Worksheet</w:t>
      </w:r>
      <w:r w:rsidRPr="0035083F">
        <w:rPr>
          <w:b/>
          <w:u w:val="single"/>
        </w:rPr>
        <w:t xml:space="preserve"> </w:t>
      </w:r>
      <w:r>
        <w:rPr>
          <w:b/>
          <w:u w:val="single"/>
        </w:rPr>
        <w:t xml:space="preserve">for </w:t>
      </w:r>
      <w:r w:rsidR="0035083F" w:rsidRPr="0035083F">
        <w:rPr>
          <w:b/>
          <w:u w:val="single"/>
        </w:rPr>
        <w:t>Tier</w:t>
      </w:r>
      <w:r w:rsidR="0035083F">
        <w:rPr>
          <w:b/>
          <w:u w:val="single"/>
        </w:rPr>
        <w:t>-2</w:t>
      </w:r>
    </w:p>
    <w:p w14:paraId="084A97FE" w14:textId="77777777" w:rsidR="00E577F3" w:rsidRPr="00C14180" w:rsidRDefault="00E577F3" w:rsidP="00EE442D">
      <w:pPr>
        <w:rPr>
          <w:b/>
        </w:rPr>
      </w:pPr>
      <w:r w:rsidRPr="00C14180">
        <w:rPr>
          <w:u w:val="single"/>
        </w:rPr>
        <w:t>Species</w:t>
      </w:r>
      <w:r w:rsidRPr="00C14180">
        <w:rPr>
          <w:b/>
        </w:rPr>
        <w:t xml:space="preserve">: </w:t>
      </w:r>
      <w:r w:rsidRPr="00414B8B">
        <w:t>Rat</w:t>
      </w:r>
    </w:p>
    <w:p w14:paraId="716B767A" w14:textId="5714DC92" w:rsidR="00E577F3" w:rsidRDefault="00E577F3" w:rsidP="00EE442D">
      <w:r w:rsidRPr="00C14180">
        <w:rPr>
          <w:u w:val="single"/>
        </w:rPr>
        <w:t>Time scaling</w:t>
      </w:r>
      <w:r>
        <w:rPr>
          <w:b/>
        </w:rPr>
        <w:t xml:space="preserve">: </w:t>
      </w:r>
      <w:r w:rsidRPr="0085601D">
        <w:rPr>
          <w:i/>
        </w:rPr>
        <w:t>C</w:t>
      </w:r>
      <w:r w:rsidRPr="0085601D">
        <w:rPr>
          <w:i/>
          <w:vertAlign w:val="superscript"/>
        </w:rPr>
        <w:t>n</w:t>
      </w:r>
      <w:r>
        <w:t xml:space="preserve"> x </w:t>
      </w:r>
      <w:r w:rsidRPr="0085601D">
        <w:rPr>
          <w:i/>
        </w:rPr>
        <w:t>t</w:t>
      </w:r>
      <w:r w:rsidR="00A047E8">
        <w:t xml:space="preserve"> = const</w:t>
      </w:r>
    </w:p>
    <w:p w14:paraId="7C19EB47" w14:textId="4681A9B7" w:rsidR="00E577F3" w:rsidRDefault="0035083F" w:rsidP="00C44D35">
      <w:pPr>
        <w:ind w:left="540" w:hanging="540"/>
      </w:pPr>
      <w:r w:rsidRPr="00E577F3">
        <w:rPr>
          <w:u w:val="single"/>
        </w:rPr>
        <w:t>POD</w:t>
      </w:r>
      <w:r w:rsidR="00C44D35">
        <w:t>:</w:t>
      </w:r>
      <w:r w:rsidR="00C44D35">
        <w:tab/>
      </w:r>
      <w:r w:rsidRPr="0035083F">
        <w:t>47</w:t>
      </w:r>
      <w:r>
        <w:t>,</w:t>
      </w:r>
      <w:r w:rsidRPr="0035083F">
        <w:t>408.8</w:t>
      </w:r>
      <w:r>
        <w:t xml:space="preserve"> ppm (</w:t>
      </w:r>
      <w:r w:rsidRPr="00A64F51">
        <w:t>BMCL</w:t>
      </w:r>
      <w:r w:rsidRPr="00A64F51">
        <w:rPr>
          <w:vertAlign w:val="subscript"/>
        </w:rPr>
        <w:t>10</w:t>
      </w:r>
      <w:r>
        <w:t xml:space="preserve"> </w:t>
      </w:r>
      <w:r w:rsidR="00C44D35">
        <w:t xml:space="preserve">for coma </w:t>
      </w:r>
      <w:r>
        <w:t>usin</w:t>
      </w:r>
      <w:r w:rsidR="00D300B8">
        <w:t>g combined data of Zieve et al.</w:t>
      </w:r>
      <w:r>
        <w:t xml:space="preserve"> </w:t>
      </w:r>
      <w:r w:rsidR="00D300B8">
        <w:t>(</w:t>
      </w:r>
      <w:r>
        <w:t>1974</w:t>
      </w:r>
      <w:r w:rsidR="00D300B8">
        <w:t>), Ljunggren and Norberg</w:t>
      </w:r>
      <w:r>
        <w:t xml:space="preserve"> </w:t>
      </w:r>
      <w:r w:rsidR="00D300B8">
        <w:t>(1943),</w:t>
      </w:r>
      <w:r w:rsidRPr="0035083F">
        <w:t xml:space="preserve"> Schoenig</w:t>
      </w:r>
      <w:r>
        <w:t xml:space="preserve"> </w:t>
      </w:r>
      <w:r w:rsidR="00D300B8">
        <w:t>(</w:t>
      </w:r>
      <w:r w:rsidRPr="0035083F">
        <w:t>1967b</w:t>
      </w:r>
      <w:r w:rsidR="00D300B8">
        <w:t>)</w:t>
      </w:r>
      <w:r w:rsidRPr="0035083F">
        <w:t>)</w:t>
      </w:r>
    </w:p>
    <w:p w14:paraId="453DEA83" w14:textId="77777777" w:rsidR="00EE442D" w:rsidRPr="00EE442D" w:rsidRDefault="00EE442D" w:rsidP="0035083F">
      <w:pPr>
        <w:spacing w:after="0"/>
        <w:rPr>
          <w:u w:val="single"/>
        </w:rPr>
      </w:pPr>
      <w:r w:rsidRPr="00EE442D">
        <w:rPr>
          <w:u w:val="single"/>
        </w:rPr>
        <w:t>UF</w:t>
      </w:r>
    </w:p>
    <w:p w14:paraId="056F99D5" w14:textId="262A7101" w:rsidR="0035083F" w:rsidRDefault="0035083F" w:rsidP="00EE442D">
      <w:pPr>
        <w:spacing w:after="0"/>
        <w:ind w:firstLine="360"/>
      </w:pPr>
      <w:r>
        <w:lastRenderedPageBreak/>
        <w:t>for LOAEL: N/A</w:t>
      </w:r>
    </w:p>
    <w:p w14:paraId="256D3FB2" w14:textId="24D18CF5" w:rsidR="0035083F" w:rsidRDefault="0035083F" w:rsidP="00EE442D">
      <w:pPr>
        <w:spacing w:after="0"/>
        <w:ind w:firstLine="360"/>
      </w:pPr>
      <w:r>
        <w:t>for interspecies variation: 10</w:t>
      </w:r>
    </w:p>
    <w:p w14:paraId="606E5BB0" w14:textId="43F7BE7F" w:rsidR="0035083F" w:rsidRDefault="0035083F" w:rsidP="00EE442D">
      <w:pPr>
        <w:ind w:firstLine="360"/>
      </w:pPr>
      <w:r>
        <w:t>for intraspecies variation: 3</w:t>
      </w:r>
    </w:p>
    <w:p w14:paraId="46F7632A" w14:textId="1520D0C6" w:rsidR="00C57F60" w:rsidRPr="00E577F3" w:rsidRDefault="0035083F" w:rsidP="00E577F3">
      <w:r w:rsidRPr="00CC0FD3">
        <w:rPr>
          <w:u w:val="single"/>
        </w:rPr>
        <w:t>Total UF</w:t>
      </w:r>
      <w:r>
        <w:t>: 30</w:t>
      </w:r>
    </w:p>
    <w:p w14:paraId="74537B72" w14:textId="77777777" w:rsidR="0035083F" w:rsidRPr="00C14180" w:rsidRDefault="0035083F" w:rsidP="0035083F">
      <w:pPr>
        <w:rPr>
          <w:b/>
        </w:rPr>
      </w:pPr>
      <w:r w:rsidRPr="00C14180">
        <w:rPr>
          <w:u w:val="single"/>
        </w:rPr>
        <w:t>Modifying Factor</w:t>
      </w:r>
      <w:r w:rsidRPr="00C14180">
        <w:t>:</w:t>
      </w:r>
      <w:r>
        <w:t xml:space="preserve"> None</w:t>
      </w:r>
    </w:p>
    <w:p w14:paraId="41B3AAEB" w14:textId="41457A91" w:rsidR="0035083F" w:rsidRDefault="0035083F" w:rsidP="0035083F">
      <w:r w:rsidRPr="00C14180">
        <w:rPr>
          <w:u w:val="single"/>
        </w:rPr>
        <w:t>Calculations</w:t>
      </w:r>
      <w:r w:rsidRPr="00C14180">
        <w:t>:</w:t>
      </w:r>
      <w:r>
        <w:t xml:space="preserve"> </w:t>
      </w:r>
      <w:r w:rsidRPr="0035083F">
        <w:t>47</w:t>
      </w:r>
      <w:r>
        <w:t>,</w:t>
      </w:r>
      <w:r w:rsidRPr="0035083F">
        <w:t>408.8</w:t>
      </w:r>
      <w:r>
        <w:t xml:space="preserve"> ppm</w:t>
      </w:r>
      <w:r w:rsidR="00461AB2">
        <w:t xml:space="preserve"> </w:t>
      </w:r>
      <w:r>
        <w:t>/</w:t>
      </w:r>
      <w:r w:rsidR="00461AB2">
        <w:t xml:space="preserve"> </w:t>
      </w:r>
      <w:r>
        <w:t xml:space="preserve">30 = </w:t>
      </w:r>
      <w:r w:rsidRPr="0035083F">
        <w:t>1</w:t>
      </w:r>
      <w:r>
        <w:t>,</w:t>
      </w:r>
      <w:r w:rsidRPr="0035083F">
        <w:t>580.293</w:t>
      </w:r>
      <w:r>
        <w:t>33 ppm</w:t>
      </w:r>
    </w:p>
    <w:p w14:paraId="24B0BF6E" w14:textId="77777777" w:rsidR="0035083F" w:rsidRDefault="0035083F" w:rsidP="0035083F">
      <w:pPr>
        <w:spacing w:after="0"/>
      </w:pPr>
      <w:r>
        <w:t>C</w:t>
      </w:r>
      <w:r>
        <w:rPr>
          <w:vertAlign w:val="superscript"/>
        </w:rPr>
        <w:t>2.89</w:t>
      </w:r>
      <w:r>
        <w:t xml:space="preserve"> x t = k</w:t>
      </w:r>
    </w:p>
    <w:p w14:paraId="2BACB26F" w14:textId="10DFE14E" w:rsidR="0035083F" w:rsidRDefault="0035083F" w:rsidP="00461AB2">
      <w:pPr>
        <w:spacing w:after="0"/>
        <w:rPr>
          <w:rFonts w:ascii="Calibri" w:eastAsia="Times New Roman" w:hAnsi="Calibri" w:cs="Times New Roman"/>
          <w:color w:val="000000"/>
        </w:rPr>
      </w:pPr>
      <w:r>
        <w:t>(</w:t>
      </w:r>
      <w:r w:rsidR="00461AB2" w:rsidRPr="0035083F">
        <w:t>1</w:t>
      </w:r>
      <w:r w:rsidR="00461AB2">
        <w:t>,</w:t>
      </w:r>
      <w:r w:rsidR="00461AB2" w:rsidRPr="0035083F">
        <w:t>580.293</w:t>
      </w:r>
      <w:r w:rsidR="00461AB2">
        <w:t xml:space="preserve">33 </w:t>
      </w:r>
      <w:r>
        <w:t>ppm)</w:t>
      </w:r>
      <w:r>
        <w:rPr>
          <w:vertAlign w:val="superscript"/>
        </w:rPr>
        <w:t>2.89</w:t>
      </w:r>
      <w:r>
        <w:t xml:space="preserve"> x 15 min = </w:t>
      </w:r>
      <w:r w:rsidR="00461AB2" w:rsidRPr="00461AB2">
        <w:rPr>
          <w:rFonts w:ascii="Calibri" w:eastAsia="Times New Roman" w:hAnsi="Calibri" w:cs="Times New Roman"/>
          <w:color w:val="000000"/>
        </w:rPr>
        <w:t>2.63295E+10</w:t>
      </w:r>
    </w:p>
    <w:p w14:paraId="1B460D24" w14:textId="77777777" w:rsidR="0035083F" w:rsidRDefault="0035083F" w:rsidP="0035083F">
      <w:pPr>
        <w:spacing w:after="0"/>
      </w:pPr>
      <w:r>
        <w:t>C</w:t>
      </w:r>
      <w:r>
        <w:rPr>
          <w:vertAlign w:val="superscript"/>
        </w:rPr>
        <w:t>3.64</w:t>
      </w:r>
      <w:r>
        <w:t xml:space="preserve"> x t = k</w:t>
      </w:r>
    </w:p>
    <w:p w14:paraId="6972D61F" w14:textId="14A61ECF" w:rsidR="0035083F" w:rsidRDefault="0035083F" w:rsidP="00461AB2">
      <w:pPr>
        <w:spacing w:after="0"/>
        <w:rPr>
          <w:rFonts w:ascii="Calibri" w:eastAsia="Times New Roman" w:hAnsi="Calibri" w:cs="Times New Roman"/>
          <w:color w:val="000000"/>
        </w:rPr>
      </w:pPr>
      <w:r>
        <w:t>(</w:t>
      </w:r>
      <w:r w:rsidR="00461AB2" w:rsidRPr="0035083F">
        <w:t>1</w:t>
      </w:r>
      <w:r w:rsidR="00461AB2">
        <w:t>,</w:t>
      </w:r>
      <w:r w:rsidR="00461AB2" w:rsidRPr="0035083F">
        <w:t>580.293</w:t>
      </w:r>
      <w:r w:rsidR="00461AB2">
        <w:t xml:space="preserve">33 </w:t>
      </w:r>
      <w:r>
        <w:t>ppm)</w:t>
      </w:r>
      <w:r>
        <w:rPr>
          <w:vertAlign w:val="superscript"/>
        </w:rPr>
        <w:t>3.64</w:t>
      </w:r>
      <w:r>
        <w:t xml:space="preserve"> x 15 min = </w:t>
      </w:r>
      <w:r w:rsidR="00461AB2" w:rsidRPr="00461AB2">
        <w:rPr>
          <w:rFonts w:ascii="Calibri" w:eastAsia="Times New Roman" w:hAnsi="Calibri" w:cs="Times New Roman"/>
          <w:color w:val="000000"/>
        </w:rPr>
        <w:t>6.59928E+12</w:t>
      </w:r>
    </w:p>
    <w:p w14:paraId="43F89888" w14:textId="77777777" w:rsidR="00C57F60" w:rsidRDefault="00C57F60" w:rsidP="00461AB2">
      <w:pPr>
        <w:spacing w:after="0"/>
        <w:rPr>
          <w:rFonts w:ascii="Calibri" w:eastAsia="Times New Roman" w:hAnsi="Calibri" w:cs="Times New Roman"/>
          <w:color w:val="000000"/>
        </w:rPr>
      </w:pPr>
    </w:p>
    <w:p w14:paraId="758D5E5E" w14:textId="77777777" w:rsidR="0035083F" w:rsidRDefault="0035083F" w:rsidP="0035083F">
      <w:pPr>
        <w:spacing w:after="0"/>
        <w:rPr>
          <w:rFonts w:ascii="Calibri" w:eastAsia="Times New Roman" w:hAnsi="Calibri" w:cs="Times New Roman"/>
          <w:color w:val="000000"/>
        </w:rPr>
      </w:pPr>
    </w:p>
    <w:p w14:paraId="4B6A26B2" w14:textId="21B35C3E" w:rsidR="0035083F" w:rsidRDefault="00461AB2" w:rsidP="0035083F">
      <w:pPr>
        <w:spacing w:after="0"/>
        <w:rPr>
          <w:rFonts w:ascii="Calibri" w:eastAsia="Times New Roman" w:hAnsi="Calibri" w:cs="Times New Roman"/>
          <w:color w:val="000000"/>
        </w:rPr>
      </w:pPr>
      <w:r>
        <w:t>10-minute tier-2 value</w:t>
      </w:r>
      <w:r w:rsidR="0035083F">
        <w:tab/>
        <w:t>C</w:t>
      </w:r>
      <w:r w:rsidR="0035083F">
        <w:rPr>
          <w:vertAlign w:val="superscript"/>
        </w:rPr>
        <w:t>3.64</w:t>
      </w:r>
      <w:r w:rsidR="0035083F">
        <w:t xml:space="preserve"> x 10 min = </w:t>
      </w:r>
      <w:r w:rsidRPr="00461AB2">
        <w:rPr>
          <w:rFonts w:ascii="Calibri" w:eastAsia="Times New Roman" w:hAnsi="Calibri" w:cs="Times New Roman"/>
          <w:color w:val="000000"/>
        </w:rPr>
        <w:t>6.59928E+12</w:t>
      </w:r>
    </w:p>
    <w:p w14:paraId="425B5FE4" w14:textId="7BD725FC" w:rsidR="0035083F" w:rsidRDefault="0035083F" w:rsidP="0035083F">
      <w:pPr>
        <w:spacing w:after="0"/>
      </w:pPr>
      <w:r>
        <w:tab/>
      </w:r>
      <w:r>
        <w:tab/>
      </w:r>
      <w:r>
        <w:tab/>
        <w:t xml:space="preserve">C = </w:t>
      </w:r>
      <w:r w:rsidR="00461AB2" w:rsidRPr="00461AB2">
        <w:t xml:space="preserve">1766.503196 </w:t>
      </w:r>
      <w:r>
        <w:t>ppm</w:t>
      </w:r>
    </w:p>
    <w:p w14:paraId="467A96E1" w14:textId="31363D2A" w:rsidR="0035083F" w:rsidRDefault="0035083F" w:rsidP="0035083F">
      <w:pPr>
        <w:spacing w:after="0"/>
        <w:rPr>
          <w:rFonts w:ascii="Calibri" w:eastAsia="Times New Roman" w:hAnsi="Calibri" w:cs="Times New Roman"/>
          <w:color w:val="000000"/>
        </w:rPr>
      </w:pPr>
      <w:r>
        <w:t>30</w:t>
      </w:r>
      <w:r w:rsidR="00461AB2">
        <w:t>-minute tier-2 value</w:t>
      </w:r>
      <w:r>
        <w:tab/>
        <w:t>C</w:t>
      </w:r>
      <w:r>
        <w:rPr>
          <w:vertAlign w:val="superscript"/>
        </w:rPr>
        <w:t>2.89</w:t>
      </w:r>
      <w:r>
        <w:t xml:space="preserve"> x 30 min = </w:t>
      </w:r>
      <w:r w:rsidR="00461AB2" w:rsidRPr="00461AB2">
        <w:rPr>
          <w:rFonts w:ascii="Calibri" w:eastAsia="Times New Roman" w:hAnsi="Calibri" w:cs="Times New Roman"/>
          <w:color w:val="000000"/>
        </w:rPr>
        <w:t>2.63295E+10</w:t>
      </w:r>
    </w:p>
    <w:p w14:paraId="67FB028A" w14:textId="3AD2660B" w:rsidR="0035083F" w:rsidRDefault="0035083F" w:rsidP="0035083F">
      <w:pPr>
        <w:spacing w:after="0"/>
      </w:pPr>
      <w:r>
        <w:tab/>
      </w:r>
      <w:r>
        <w:tab/>
      </w:r>
      <w:r>
        <w:tab/>
        <w:t xml:space="preserve">C = </w:t>
      </w:r>
      <w:r w:rsidR="00461AB2" w:rsidRPr="00461AB2">
        <w:t xml:space="preserve">1243.297555 </w:t>
      </w:r>
      <w:r>
        <w:t>ppm</w:t>
      </w:r>
    </w:p>
    <w:p w14:paraId="239D48F1" w14:textId="6A6C5DA3" w:rsidR="0035083F" w:rsidRPr="00815360" w:rsidRDefault="0035083F" w:rsidP="0035083F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1-hour </w:t>
      </w:r>
      <w:r w:rsidR="00461AB2">
        <w:t>tier-2 value</w:t>
      </w:r>
      <w:r>
        <w:tab/>
        <w:t>C</w:t>
      </w:r>
      <w:r>
        <w:rPr>
          <w:vertAlign w:val="superscript"/>
        </w:rPr>
        <w:t>2.89</w:t>
      </w:r>
      <w:r>
        <w:t xml:space="preserve"> x 60 min = </w:t>
      </w:r>
      <w:r w:rsidR="00461AB2" w:rsidRPr="00461AB2">
        <w:rPr>
          <w:rFonts w:ascii="Calibri" w:eastAsia="Times New Roman" w:hAnsi="Calibri" w:cs="Times New Roman"/>
          <w:color w:val="000000"/>
        </w:rPr>
        <w:t>2.63295E+10</w:t>
      </w:r>
    </w:p>
    <w:p w14:paraId="6404131A" w14:textId="19CCD907" w:rsidR="0035083F" w:rsidRDefault="0035083F" w:rsidP="0035083F">
      <w:pPr>
        <w:spacing w:after="0"/>
      </w:pPr>
      <w:r>
        <w:tab/>
      </w:r>
      <w:r>
        <w:tab/>
      </w:r>
      <w:r>
        <w:tab/>
        <w:t xml:space="preserve">C = </w:t>
      </w:r>
      <w:r w:rsidR="00461AB2" w:rsidRPr="00461AB2">
        <w:t xml:space="preserve">978.1657485 </w:t>
      </w:r>
      <w:r>
        <w:t>ppm</w:t>
      </w:r>
    </w:p>
    <w:p w14:paraId="0B5DA637" w14:textId="23FFBB69" w:rsidR="0035083F" w:rsidRPr="00815360" w:rsidRDefault="0035083F" w:rsidP="0035083F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4-hour </w:t>
      </w:r>
      <w:r w:rsidR="00461AB2">
        <w:t>tier-2 value</w:t>
      </w:r>
      <w:r>
        <w:tab/>
        <w:t>C</w:t>
      </w:r>
      <w:r>
        <w:rPr>
          <w:vertAlign w:val="superscript"/>
        </w:rPr>
        <w:t>2.89</w:t>
      </w:r>
      <w:r>
        <w:t xml:space="preserve"> x 240 min = </w:t>
      </w:r>
      <w:r w:rsidR="00461AB2" w:rsidRPr="00461AB2">
        <w:rPr>
          <w:rFonts w:ascii="Calibri" w:eastAsia="Times New Roman" w:hAnsi="Calibri" w:cs="Times New Roman"/>
          <w:color w:val="000000"/>
        </w:rPr>
        <w:t>2.63295E+10</w:t>
      </w:r>
    </w:p>
    <w:p w14:paraId="22BE3053" w14:textId="593FFE5D" w:rsidR="0035083F" w:rsidRDefault="0035083F" w:rsidP="0035083F">
      <w:pPr>
        <w:spacing w:after="0"/>
      </w:pPr>
      <w:r>
        <w:tab/>
      </w:r>
      <w:r>
        <w:tab/>
      </w:r>
      <w:r>
        <w:tab/>
        <w:t xml:space="preserve">C = </w:t>
      </w:r>
      <w:r w:rsidR="00461AB2" w:rsidRPr="00461AB2">
        <w:t xml:space="preserve">605.4624235 </w:t>
      </w:r>
      <w:r>
        <w:t>ppm</w:t>
      </w:r>
    </w:p>
    <w:p w14:paraId="7550974C" w14:textId="17245EA8" w:rsidR="0035083F" w:rsidRPr="00815360" w:rsidRDefault="0035083F" w:rsidP="0035083F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8-hour </w:t>
      </w:r>
      <w:r w:rsidR="00461AB2">
        <w:t>tier-2 value</w:t>
      </w:r>
      <w:r>
        <w:tab/>
        <w:t>C</w:t>
      </w:r>
      <w:r>
        <w:rPr>
          <w:vertAlign w:val="superscript"/>
        </w:rPr>
        <w:t>2.89</w:t>
      </w:r>
      <w:r>
        <w:t xml:space="preserve"> x 480 min = </w:t>
      </w:r>
      <w:r w:rsidR="00461AB2" w:rsidRPr="00461AB2">
        <w:rPr>
          <w:rFonts w:ascii="Calibri" w:eastAsia="Times New Roman" w:hAnsi="Calibri" w:cs="Times New Roman"/>
          <w:color w:val="000000"/>
        </w:rPr>
        <w:t>2.63295E+10</w:t>
      </w:r>
    </w:p>
    <w:p w14:paraId="4D0C10FF" w14:textId="78CEA8A7" w:rsidR="0035083F" w:rsidRDefault="0035083F" w:rsidP="0035083F">
      <w:pPr>
        <w:spacing w:after="0"/>
      </w:pPr>
      <w:r>
        <w:tab/>
      </w:r>
      <w:r>
        <w:tab/>
      </w:r>
      <w:r>
        <w:tab/>
        <w:t xml:space="preserve">C = </w:t>
      </w:r>
      <w:r w:rsidR="00461AB2" w:rsidRPr="00461AB2">
        <w:t xml:space="preserve">476.3482419 </w:t>
      </w:r>
      <w:r>
        <w:t>ppm</w:t>
      </w:r>
    </w:p>
    <w:p w14:paraId="5926A77F" w14:textId="77777777" w:rsidR="00461AB2" w:rsidRDefault="00461AB2" w:rsidP="00461AB2">
      <w:pPr>
        <w:spacing w:after="0"/>
      </w:pPr>
    </w:p>
    <w:p w14:paraId="3AF49FDC" w14:textId="45C4DC80" w:rsidR="00461AB2" w:rsidRPr="0035083F" w:rsidRDefault="006C4A13" w:rsidP="00461A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Worksheet</w:t>
      </w:r>
      <w:r w:rsidRPr="0035083F">
        <w:rPr>
          <w:b/>
          <w:u w:val="single"/>
        </w:rPr>
        <w:t xml:space="preserve"> </w:t>
      </w:r>
      <w:r>
        <w:rPr>
          <w:b/>
          <w:u w:val="single"/>
        </w:rPr>
        <w:t xml:space="preserve">for </w:t>
      </w:r>
      <w:r w:rsidR="00461AB2" w:rsidRPr="0035083F">
        <w:rPr>
          <w:b/>
          <w:u w:val="single"/>
        </w:rPr>
        <w:t>Tier</w:t>
      </w:r>
      <w:r w:rsidR="00461AB2">
        <w:rPr>
          <w:b/>
          <w:u w:val="single"/>
        </w:rPr>
        <w:t>-1</w:t>
      </w:r>
    </w:p>
    <w:p w14:paraId="2087FB34" w14:textId="5C3D98F7" w:rsidR="00E577F3" w:rsidRDefault="00E577F3" w:rsidP="00EE442D">
      <w:pPr>
        <w:rPr>
          <w:u w:val="single"/>
        </w:rPr>
      </w:pPr>
      <w:r w:rsidRPr="00CC1737">
        <w:rPr>
          <w:u w:val="single"/>
        </w:rPr>
        <w:t>Species</w:t>
      </w:r>
      <w:r w:rsidRPr="00CC1737">
        <w:rPr>
          <w:b/>
        </w:rPr>
        <w:t xml:space="preserve">: </w:t>
      </w:r>
      <w:r w:rsidRPr="00414B8B">
        <w:t>Human</w:t>
      </w:r>
    </w:p>
    <w:p w14:paraId="2B43723D" w14:textId="41C70B29" w:rsidR="00E577F3" w:rsidRPr="00EE442D" w:rsidRDefault="00E577F3" w:rsidP="00EE442D">
      <w:pPr>
        <w:rPr>
          <w:u w:val="single"/>
        </w:rPr>
      </w:pPr>
      <w:r>
        <w:rPr>
          <w:u w:val="single"/>
        </w:rPr>
        <w:t xml:space="preserve">Time </w:t>
      </w:r>
      <w:r w:rsidRPr="00CC1737">
        <w:rPr>
          <w:u w:val="single"/>
        </w:rPr>
        <w:t>scaling</w:t>
      </w:r>
      <w:r w:rsidRPr="00CC1737">
        <w:rPr>
          <w:b/>
        </w:rPr>
        <w:t xml:space="preserve">: </w:t>
      </w:r>
      <w:r w:rsidRPr="00CC1737">
        <w:t>None</w:t>
      </w:r>
    </w:p>
    <w:p w14:paraId="6895A3CA" w14:textId="2EAD400D" w:rsidR="00A64F51" w:rsidRPr="00EE442D" w:rsidRDefault="00461AB2" w:rsidP="00C44D35">
      <w:pPr>
        <w:ind w:left="540" w:hanging="540"/>
      </w:pPr>
      <w:r w:rsidRPr="00E577F3">
        <w:rPr>
          <w:u w:val="single"/>
        </w:rPr>
        <w:t>POD</w:t>
      </w:r>
      <w:r w:rsidR="00C44D35">
        <w:t>:</w:t>
      </w:r>
      <w:r w:rsidR="00C44D35">
        <w:tab/>
      </w:r>
      <w:r w:rsidR="00E577F3">
        <w:t>1.9</w:t>
      </w:r>
      <w:r>
        <w:t xml:space="preserve"> ppm (</w:t>
      </w:r>
      <w:r w:rsidR="00E577F3">
        <w:t>NOAEL</w:t>
      </w:r>
      <w:r>
        <w:t xml:space="preserve"> </w:t>
      </w:r>
      <w:r w:rsidR="00C44D35">
        <w:t>for nausea interpreted from</w:t>
      </w:r>
      <w:r>
        <w:t xml:space="preserve"> </w:t>
      </w:r>
      <w:r w:rsidR="00D300B8">
        <w:t>Katz and</w:t>
      </w:r>
      <w:r w:rsidR="00E577F3" w:rsidRPr="00E577F3">
        <w:t xml:space="preserve"> </w:t>
      </w:r>
      <w:r w:rsidR="00D300B8" w:rsidRPr="00ED6B3A">
        <w:t xml:space="preserve">Talbert </w:t>
      </w:r>
      <w:r w:rsidR="00D300B8">
        <w:t>(</w:t>
      </w:r>
      <w:r w:rsidR="00E577F3" w:rsidRPr="00E577F3">
        <w:t>1930</w:t>
      </w:r>
      <w:r w:rsidR="00D300B8">
        <w:t>)</w:t>
      </w:r>
      <w:r w:rsidRPr="0035083F">
        <w:t>)</w:t>
      </w:r>
    </w:p>
    <w:p w14:paraId="320B56B9" w14:textId="77777777" w:rsidR="00E577F3" w:rsidRPr="00E577F3" w:rsidRDefault="00E577F3" w:rsidP="00E577F3">
      <w:pPr>
        <w:spacing w:after="0"/>
        <w:rPr>
          <w:u w:val="single"/>
        </w:rPr>
      </w:pPr>
      <w:r w:rsidRPr="00E577F3">
        <w:rPr>
          <w:u w:val="single"/>
        </w:rPr>
        <w:t>UF</w:t>
      </w:r>
    </w:p>
    <w:p w14:paraId="780AC6B4" w14:textId="77777777" w:rsidR="00E577F3" w:rsidRDefault="00E577F3" w:rsidP="00E577F3">
      <w:pPr>
        <w:spacing w:after="0"/>
        <w:ind w:firstLine="360"/>
      </w:pPr>
      <w:r>
        <w:t>for LOAEL: None</w:t>
      </w:r>
    </w:p>
    <w:p w14:paraId="5075DCE1" w14:textId="77777777" w:rsidR="00E577F3" w:rsidRDefault="00E577F3" w:rsidP="00E577F3">
      <w:pPr>
        <w:spacing w:after="0"/>
        <w:ind w:firstLine="360"/>
      </w:pPr>
      <w:r>
        <w:t>for interspecies variation: None</w:t>
      </w:r>
    </w:p>
    <w:p w14:paraId="377574DB" w14:textId="2C075442" w:rsidR="00E577F3" w:rsidRDefault="00E577F3" w:rsidP="00EE442D">
      <w:pPr>
        <w:ind w:firstLine="360"/>
      </w:pPr>
      <w:r>
        <w:t>for intraspecies variation: 3</w:t>
      </w:r>
    </w:p>
    <w:p w14:paraId="0BEC3C07" w14:textId="421B8875" w:rsidR="00E577F3" w:rsidRDefault="00E577F3" w:rsidP="00EE442D">
      <w:r w:rsidRPr="00CC0FD3">
        <w:rPr>
          <w:u w:val="single"/>
        </w:rPr>
        <w:t>Total UF</w:t>
      </w:r>
      <w:r>
        <w:t>: 3</w:t>
      </w:r>
    </w:p>
    <w:p w14:paraId="04E2D002" w14:textId="657410BF" w:rsidR="00E577F3" w:rsidRDefault="00E577F3" w:rsidP="00EE442D">
      <w:r w:rsidRPr="00CC1737">
        <w:rPr>
          <w:u w:val="single"/>
        </w:rPr>
        <w:t>Modifying Factor</w:t>
      </w:r>
      <w:r w:rsidRPr="00CC1737">
        <w:rPr>
          <w:b/>
        </w:rPr>
        <w:t xml:space="preserve">: </w:t>
      </w:r>
      <w:r w:rsidRPr="00CC1737">
        <w:t>None</w:t>
      </w:r>
    </w:p>
    <w:p w14:paraId="24BA1DEA" w14:textId="18AFCD33" w:rsidR="00E577F3" w:rsidRPr="00EE442D" w:rsidRDefault="00E577F3" w:rsidP="00EE442D">
      <w:pPr>
        <w:rPr>
          <w:u w:val="single"/>
        </w:rPr>
      </w:pPr>
      <w:r w:rsidRPr="00CC1737">
        <w:rPr>
          <w:u w:val="single"/>
        </w:rPr>
        <w:t>Calculations</w:t>
      </w:r>
      <w:r w:rsidRPr="00CC1737">
        <w:t>: 1.9 ppm</w:t>
      </w:r>
      <w:r w:rsidR="00EE442D">
        <w:t xml:space="preserve"> </w:t>
      </w:r>
      <w:r w:rsidRPr="00CC1737">
        <w:t>/</w:t>
      </w:r>
      <w:r w:rsidR="00EE442D">
        <w:t xml:space="preserve"> </w:t>
      </w:r>
      <w:r w:rsidRPr="00CC1737">
        <w:t>3 = 0.633</w:t>
      </w:r>
    </w:p>
    <w:p w14:paraId="131A58BA" w14:textId="30324177" w:rsidR="00E577F3" w:rsidRPr="00CC1737" w:rsidRDefault="00E577F3" w:rsidP="00E577F3">
      <w:pPr>
        <w:spacing w:after="0"/>
      </w:pPr>
      <w:r w:rsidRPr="00CC1737">
        <w:t xml:space="preserve">10-minute </w:t>
      </w:r>
      <w:r w:rsidR="00EE442D">
        <w:t>tier-1 value</w:t>
      </w:r>
      <w:r w:rsidRPr="00CC1737">
        <w:tab/>
      </w:r>
      <w:r w:rsidR="00EE442D">
        <w:t xml:space="preserve">C = </w:t>
      </w:r>
      <w:r w:rsidRPr="00CC1737">
        <w:t>0.633 ppm</w:t>
      </w:r>
    </w:p>
    <w:p w14:paraId="74CA8C51" w14:textId="0C33949E" w:rsidR="00E577F3" w:rsidRPr="00CC1737" w:rsidRDefault="00E577F3" w:rsidP="00E577F3">
      <w:pPr>
        <w:spacing w:after="0"/>
      </w:pPr>
      <w:r>
        <w:lastRenderedPageBreak/>
        <w:t xml:space="preserve">30-minute </w:t>
      </w:r>
      <w:r w:rsidR="00EE442D">
        <w:t>tier-1 value</w:t>
      </w:r>
      <w:r w:rsidRPr="00CC1737">
        <w:tab/>
      </w:r>
      <w:r w:rsidR="00EE442D">
        <w:t xml:space="preserve">C = </w:t>
      </w:r>
      <w:r w:rsidRPr="00CC1737">
        <w:t>0.633 ppm</w:t>
      </w:r>
    </w:p>
    <w:p w14:paraId="1975FAD6" w14:textId="687759D0" w:rsidR="00E577F3" w:rsidRPr="00CC1737" w:rsidRDefault="00E577F3" w:rsidP="00E577F3">
      <w:pPr>
        <w:spacing w:after="0"/>
      </w:pPr>
      <w:r w:rsidRPr="00CC1737">
        <w:t xml:space="preserve">1-hour </w:t>
      </w:r>
      <w:r w:rsidR="00EE442D">
        <w:t>tier-1 value</w:t>
      </w:r>
      <w:r w:rsidR="00EE442D">
        <w:tab/>
        <w:t xml:space="preserve">C = </w:t>
      </w:r>
      <w:r w:rsidRPr="00CC1737">
        <w:t>0.633 ppm</w:t>
      </w:r>
    </w:p>
    <w:p w14:paraId="5E249D83" w14:textId="5A27BF81" w:rsidR="00E577F3" w:rsidRPr="00CC1737" w:rsidRDefault="00E577F3" w:rsidP="00E577F3">
      <w:pPr>
        <w:spacing w:after="0"/>
      </w:pPr>
      <w:r w:rsidRPr="00CC1737">
        <w:t xml:space="preserve">4-hour </w:t>
      </w:r>
      <w:r w:rsidR="00EE442D">
        <w:t>tier-1 value</w:t>
      </w:r>
      <w:r w:rsidRPr="00CC1737">
        <w:tab/>
      </w:r>
      <w:r w:rsidR="00EE442D">
        <w:t xml:space="preserve">C = </w:t>
      </w:r>
      <w:r w:rsidRPr="00CC1737">
        <w:t>0.633 ppm</w:t>
      </w:r>
    </w:p>
    <w:p w14:paraId="3DBB8627" w14:textId="164D7385" w:rsidR="00E577F3" w:rsidRPr="00CC1737" w:rsidRDefault="00E577F3" w:rsidP="00E577F3">
      <w:pPr>
        <w:spacing w:after="0"/>
      </w:pPr>
      <w:r w:rsidRPr="00CC1737">
        <w:t xml:space="preserve">8-hour </w:t>
      </w:r>
      <w:r w:rsidR="00EE442D">
        <w:t>tier-1 value</w:t>
      </w:r>
      <w:r w:rsidRPr="00CC1737">
        <w:tab/>
      </w:r>
      <w:r w:rsidR="00EE442D">
        <w:t xml:space="preserve">C = </w:t>
      </w:r>
      <w:r w:rsidRPr="00CC1737">
        <w:t>0.633 ppm</w:t>
      </w:r>
    </w:p>
    <w:p w14:paraId="7787288D" w14:textId="10D5AB9E" w:rsidR="00A64F51" w:rsidRDefault="00A64F51" w:rsidP="00A64F51"/>
    <w:p w14:paraId="702581F8" w14:textId="102853DD" w:rsidR="00A64F51" w:rsidRDefault="00A64F51" w:rsidP="00A64F51"/>
    <w:p w14:paraId="7625EC8B" w14:textId="77777777" w:rsidR="00A64F51" w:rsidRDefault="00A64F51" w:rsidP="00A64F51"/>
    <w:p w14:paraId="6032B300" w14:textId="16B0DE07" w:rsidR="000C0323" w:rsidRPr="000D58A4" w:rsidRDefault="00A2595A" w:rsidP="0083544D">
      <w:pPr>
        <w:spacing w:after="0"/>
        <w:rPr>
          <w:color w:val="0070C0"/>
        </w:rPr>
      </w:pPr>
      <w:r>
        <w:rPr>
          <w:b/>
        </w:rPr>
        <w:t>S10</w:t>
      </w:r>
      <w:r w:rsidR="000C0323" w:rsidRPr="005E31B4">
        <w:t>. AEGL</w:t>
      </w:r>
      <w:r w:rsidR="000C0323">
        <w:t xml:space="preserve"> values for hydrogen s</w:t>
      </w:r>
      <w:r w:rsidR="000C0323" w:rsidRPr="004C1C6F">
        <w:t>ulfide (ppm).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41"/>
        <w:gridCol w:w="949"/>
        <w:gridCol w:w="900"/>
        <w:gridCol w:w="900"/>
        <w:gridCol w:w="900"/>
        <w:gridCol w:w="1190"/>
        <w:gridCol w:w="1556"/>
        <w:gridCol w:w="1299"/>
      </w:tblGrid>
      <w:tr w:rsidR="000C0323" w14:paraId="28A89A2A" w14:textId="77777777" w:rsidTr="00B80F25">
        <w:tc>
          <w:tcPr>
            <w:tcW w:w="1435" w:type="dxa"/>
            <w:vAlign w:val="center"/>
          </w:tcPr>
          <w:p w14:paraId="1409E7E3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Severity Tier</w:t>
            </w:r>
          </w:p>
        </w:tc>
        <w:tc>
          <w:tcPr>
            <w:tcW w:w="941" w:type="dxa"/>
            <w:vAlign w:val="center"/>
          </w:tcPr>
          <w:p w14:paraId="5B119D9F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949" w:type="dxa"/>
            <w:vAlign w:val="center"/>
          </w:tcPr>
          <w:p w14:paraId="4DD8B267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min</w:t>
            </w:r>
          </w:p>
        </w:tc>
        <w:tc>
          <w:tcPr>
            <w:tcW w:w="900" w:type="dxa"/>
            <w:vAlign w:val="center"/>
          </w:tcPr>
          <w:p w14:paraId="0D410ADD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900" w:type="dxa"/>
            <w:vAlign w:val="center"/>
          </w:tcPr>
          <w:p w14:paraId="134A73EA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h</w:t>
            </w:r>
          </w:p>
        </w:tc>
        <w:tc>
          <w:tcPr>
            <w:tcW w:w="900" w:type="dxa"/>
            <w:vAlign w:val="center"/>
          </w:tcPr>
          <w:p w14:paraId="2A4D9141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h</w:t>
            </w:r>
          </w:p>
        </w:tc>
        <w:tc>
          <w:tcPr>
            <w:tcW w:w="1190" w:type="dxa"/>
            <w:vAlign w:val="center"/>
          </w:tcPr>
          <w:p w14:paraId="7CCA3BC2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1556" w:type="dxa"/>
            <w:vAlign w:val="center"/>
          </w:tcPr>
          <w:p w14:paraId="756376D0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</w:t>
            </w:r>
          </w:p>
        </w:tc>
        <w:tc>
          <w:tcPr>
            <w:tcW w:w="1299" w:type="dxa"/>
            <w:vAlign w:val="center"/>
          </w:tcPr>
          <w:p w14:paraId="03D1F4CA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Effect</w:t>
            </w:r>
          </w:p>
        </w:tc>
      </w:tr>
      <w:tr w:rsidR="000C0323" w14:paraId="427E33C2" w14:textId="77777777" w:rsidTr="00B80F25">
        <w:tc>
          <w:tcPr>
            <w:tcW w:w="1435" w:type="dxa"/>
            <w:vAlign w:val="center"/>
          </w:tcPr>
          <w:p w14:paraId="672EFA3F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AEGL-1 (discomfort)</w:t>
            </w:r>
          </w:p>
        </w:tc>
        <w:tc>
          <w:tcPr>
            <w:tcW w:w="941" w:type="dxa"/>
            <w:vAlign w:val="center"/>
          </w:tcPr>
          <w:p w14:paraId="10433D8C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0.75</w:t>
            </w:r>
          </w:p>
        </w:tc>
        <w:tc>
          <w:tcPr>
            <w:tcW w:w="949" w:type="dxa"/>
            <w:vAlign w:val="center"/>
          </w:tcPr>
          <w:p w14:paraId="7E9CE498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0.60</w:t>
            </w:r>
          </w:p>
        </w:tc>
        <w:tc>
          <w:tcPr>
            <w:tcW w:w="900" w:type="dxa"/>
            <w:vAlign w:val="center"/>
          </w:tcPr>
          <w:p w14:paraId="63FA9906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0.51</w:t>
            </w:r>
          </w:p>
        </w:tc>
        <w:tc>
          <w:tcPr>
            <w:tcW w:w="900" w:type="dxa"/>
            <w:vAlign w:val="center"/>
          </w:tcPr>
          <w:p w14:paraId="1FCD541F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0.36</w:t>
            </w:r>
          </w:p>
        </w:tc>
        <w:tc>
          <w:tcPr>
            <w:tcW w:w="900" w:type="dxa"/>
            <w:vAlign w:val="center"/>
          </w:tcPr>
          <w:p w14:paraId="2320F40B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0.33</w:t>
            </w:r>
          </w:p>
        </w:tc>
        <w:tc>
          <w:tcPr>
            <w:tcW w:w="1190" w:type="dxa"/>
            <w:vAlign w:val="center"/>
          </w:tcPr>
          <w:p w14:paraId="423F081D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</w:t>
            </w:r>
            <w:r>
              <w:rPr>
                <w:vertAlign w:val="subscript"/>
              </w:rPr>
              <w:t>modifying</w:t>
            </w:r>
          </w:p>
        </w:tc>
        <w:tc>
          <w:tcPr>
            <w:tcW w:w="1556" w:type="dxa"/>
            <w:vAlign w:val="center"/>
          </w:tcPr>
          <w:p w14:paraId="07270A45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2 ppm, 30 min</w:t>
            </w:r>
          </w:p>
        </w:tc>
        <w:tc>
          <w:tcPr>
            <w:tcW w:w="1299" w:type="dxa"/>
            <w:vAlign w:val="center"/>
          </w:tcPr>
          <w:p w14:paraId="7FC1A259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Headache</w:t>
            </w:r>
          </w:p>
        </w:tc>
      </w:tr>
      <w:tr w:rsidR="000C0323" w14:paraId="17824B19" w14:textId="77777777" w:rsidTr="00B80F25">
        <w:tc>
          <w:tcPr>
            <w:tcW w:w="1435" w:type="dxa"/>
            <w:vAlign w:val="center"/>
          </w:tcPr>
          <w:p w14:paraId="7E946407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AEGL-2 (disabling)</w:t>
            </w:r>
          </w:p>
        </w:tc>
        <w:tc>
          <w:tcPr>
            <w:tcW w:w="941" w:type="dxa"/>
            <w:vAlign w:val="center"/>
          </w:tcPr>
          <w:p w14:paraId="1DCE567C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41</w:t>
            </w:r>
          </w:p>
        </w:tc>
        <w:tc>
          <w:tcPr>
            <w:tcW w:w="949" w:type="dxa"/>
            <w:vAlign w:val="center"/>
          </w:tcPr>
          <w:p w14:paraId="0FD882EE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32</w:t>
            </w:r>
          </w:p>
        </w:tc>
        <w:tc>
          <w:tcPr>
            <w:tcW w:w="900" w:type="dxa"/>
            <w:vAlign w:val="center"/>
          </w:tcPr>
          <w:p w14:paraId="00239A90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27</w:t>
            </w:r>
          </w:p>
        </w:tc>
        <w:tc>
          <w:tcPr>
            <w:tcW w:w="900" w:type="dxa"/>
            <w:vAlign w:val="center"/>
          </w:tcPr>
          <w:p w14:paraId="70ED3F55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20</w:t>
            </w:r>
          </w:p>
        </w:tc>
        <w:tc>
          <w:tcPr>
            <w:tcW w:w="900" w:type="dxa"/>
            <w:vAlign w:val="center"/>
          </w:tcPr>
          <w:p w14:paraId="58A3827C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17</w:t>
            </w:r>
          </w:p>
        </w:tc>
        <w:tc>
          <w:tcPr>
            <w:tcW w:w="1190" w:type="dxa"/>
            <w:vAlign w:val="center"/>
          </w:tcPr>
          <w:p w14:paraId="13D1B8C6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</w:t>
            </w:r>
            <w:r w:rsidRPr="00763390">
              <w:rPr>
                <w:vertAlign w:val="subscript"/>
              </w:rPr>
              <w:t>inter</w:t>
            </w:r>
            <w:r w:rsidRPr="00763390">
              <w:t xml:space="preserve"> x 3</w:t>
            </w:r>
            <w:r w:rsidRPr="00763390">
              <w:rPr>
                <w:vertAlign w:val="subscript"/>
              </w:rPr>
              <w:t>intra</w:t>
            </w:r>
          </w:p>
        </w:tc>
        <w:tc>
          <w:tcPr>
            <w:tcW w:w="1556" w:type="dxa"/>
            <w:vAlign w:val="center"/>
          </w:tcPr>
          <w:p w14:paraId="6FAA42B8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200 ppm, 4 h</w:t>
            </w:r>
          </w:p>
        </w:tc>
        <w:tc>
          <w:tcPr>
            <w:tcW w:w="1299" w:type="dxa"/>
            <w:vAlign w:val="center"/>
          </w:tcPr>
          <w:p w14:paraId="71CE6EEC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Perivascular edema</w:t>
            </w:r>
          </w:p>
        </w:tc>
      </w:tr>
      <w:tr w:rsidR="000C0323" w14:paraId="7988F17D" w14:textId="77777777" w:rsidTr="00B80F25">
        <w:tc>
          <w:tcPr>
            <w:tcW w:w="1435" w:type="dxa"/>
            <w:vAlign w:val="center"/>
          </w:tcPr>
          <w:p w14:paraId="7C87BF31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AEGL-3 (lethal)</w:t>
            </w:r>
          </w:p>
        </w:tc>
        <w:tc>
          <w:tcPr>
            <w:tcW w:w="941" w:type="dxa"/>
            <w:vAlign w:val="center"/>
          </w:tcPr>
          <w:p w14:paraId="7EBEB515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76</w:t>
            </w:r>
          </w:p>
        </w:tc>
        <w:tc>
          <w:tcPr>
            <w:tcW w:w="949" w:type="dxa"/>
            <w:vAlign w:val="center"/>
          </w:tcPr>
          <w:p w14:paraId="7535D140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59</w:t>
            </w:r>
          </w:p>
        </w:tc>
        <w:tc>
          <w:tcPr>
            <w:tcW w:w="900" w:type="dxa"/>
            <w:vAlign w:val="center"/>
          </w:tcPr>
          <w:p w14:paraId="2CA9705F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50</w:t>
            </w:r>
          </w:p>
        </w:tc>
        <w:tc>
          <w:tcPr>
            <w:tcW w:w="900" w:type="dxa"/>
            <w:vAlign w:val="center"/>
          </w:tcPr>
          <w:p w14:paraId="7B48CA8B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37</w:t>
            </w:r>
          </w:p>
        </w:tc>
        <w:tc>
          <w:tcPr>
            <w:tcW w:w="900" w:type="dxa"/>
            <w:vAlign w:val="center"/>
          </w:tcPr>
          <w:p w14:paraId="328F3520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31</w:t>
            </w:r>
          </w:p>
        </w:tc>
        <w:tc>
          <w:tcPr>
            <w:tcW w:w="1190" w:type="dxa"/>
            <w:vAlign w:val="center"/>
          </w:tcPr>
          <w:p w14:paraId="3AF5E591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</w:t>
            </w:r>
            <w:r w:rsidRPr="00763390">
              <w:rPr>
                <w:vertAlign w:val="subscript"/>
              </w:rPr>
              <w:t>inter</w:t>
            </w:r>
            <w:r w:rsidRPr="00763390">
              <w:t xml:space="preserve"> x 3</w:t>
            </w:r>
            <w:r w:rsidRPr="00763390">
              <w:rPr>
                <w:vertAlign w:val="subscript"/>
              </w:rPr>
              <w:t>intra</w:t>
            </w:r>
          </w:p>
        </w:tc>
        <w:tc>
          <w:tcPr>
            <w:tcW w:w="1556" w:type="dxa"/>
            <w:vAlign w:val="center"/>
          </w:tcPr>
          <w:p w14:paraId="0674B675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504 ppm, 1 h</w:t>
            </w:r>
          </w:p>
        </w:tc>
        <w:tc>
          <w:tcPr>
            <w:tcW w:w="1299" w:type="dxa"/>
            <w:vAlign w:val="center"/>
          </w:tcPr>
          <w:p w14:paraId="4688649F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No mortality</w:t>
            </w:r>
          </w:p>
        </w:tc>
      </w:tr>
    </w:tbl>
    <w:p w14:paraId="06670D36" w14:textId="6CB44002" w:rsidR="006445BD" w:rsidRDefault="006445BD" w:rsidP="006445BD">
      <w:r>
        <w:t>Source: adapted from NRC (2010).</w:t>
      </w:r>
    </w:p>
    <w:p w14:paraId="13F3F3E9" w14:textId="4D7378AB" w:rsidR="000C0323" w:rsidRDefault="000C0323" w:rsidP="000C0323">
      <w:pPr>
        <w:rPr>
          <w:b/>
        </w:rPr>
      </w:pPr>
    </w:p>
    <w:p w14:paraId="22E8112C" w14:textId="77777777" w:rsidR="000C0323" w:rsidRDefault="000C0323" w:rsidP="000C0323">
      <w:pPr>
        <w:rPr>
          <w:b/>
        </w:rPr>
      </w:pPr>
    </w:p>
    <w:p w14:paraId="79C877AD" w14:textId="77777777" w:rsidR="000C0323" w:rsidRDefault="000C0323" w:rsidP="000C0323">
      <w:pPr>
        <w:rPr>
          <w:b/>
        </w:rPr>
      </w:pPr>
    </w:p>
    <w:p w14:paraId="7F58925E" w14:textId="472B7BF0" w:rsidR="000C0323" w:rsidRPr="004C1C6F" w:rsidRDefault="00A64F51" w:rsidP="0083544D">
      <w:pPr>
        <w:spacing w:after="0"/>
      </w:pPr>
      <w:r>
        <w:rPr>
          <w:b/>
        </w:rPr>
        <w:t>S</w:t>
      </w:r>
      <w:r w:rsidR="00A2595A">
        <w:rPr>
          <w:b/>
        </w:rPr>
        <w:t>11</w:t>
      </w:r>
      <w:r w:rsidR="000C0323" w:rsidRPr="005E31B4">
        <w:t>. AEGL</w:t>
      </w:r>
      <w:r w:rsidR="000C0323">
        <w:t xml:space="preserve"> v</w:t>
      </w:r>
      <w:r w:rsidR="000C0323" w:rsidRPr="004C1C6F">
        <w:t xml:space="preserve">alues for </w:t>
      </w:r>
      <w:r w:rsidR="000C0323">
        <w:t>m</w:t>
      </w:r>
      <w:r w:rsidR="000C0323" w:rsidRPr="004C1C6F">
        <w:t xml:space="preserve">ethyl </w:t>
      </w:r>
      <w:r w:rsidR="000C0323">
        <w:t>m</w:t>
      </w:r>
      <w:r w:rsidR="000C0323" w:rsidRPr="004C1C6F">
        <w:t>ercaptan (ppm).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41"/>
        <w:gridCol w:w="949"/>
        <w:gridCol w:w="900"/>
        <w:gridCol w:w="900"/>
        <w:gridCol w:w="900"/>
        <w:gridCol w:w="1190"/>
        <w:gridCol w:w="1870"/>
        <w:gridCol w:w="985"/>
      </w:tblGrid>
      <w:tr w:rsidR="000C0323" w14:paraId="1D9A1A7F" w14:textId="77777777" w:rsidTr="00B80F25">
        <w:tc>
          <w:tcPr>
            <w:tcW w:w="1435" w:type="dxa"/>
            <w:vAlign w:val="center"/>
          </w:tcPr>
          <w:p w14:paraId="03F417E3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Severity Tier</w:t>
            </w:r>
          </w:p>
        </w:tc>
        <w:tc>
          <w:tcPr>
            <w:tcW w:w="941" w:type="dxa"/>
            <w:vAlign w:val="center"/>
          </w:tcPr>
          <w:p w14:paraId="46451D21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949" w:type="dxa"/>
            <w:vAlign w:val="center"/>
          </w:tcPr>
          <w:p w14:paraId="647B67A2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min</w:t>
            </w:r>
          </w:p>
        </w:tc>
        <w:tc>
          <w:tcPr>
            <w:tcW w:w="900" w:type="dxa"/>
            <w:vAlign w:val="center"/>
          </w:tcPr>
          <w:p w14:paraId="6D439A39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900" w:type="dxa"/>
            <w:vAlign w:val="center"/>
          </w:tcPr>
          <w:p w14:paraId="55807DE2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h</w:t>
            </w:r>
          </w:p>
        </w:tc>
        <w:tc>
          <w:tcPr>
            <w:tcW w:w="900" w:type="dxa"/>
            <w:vAlign w:val="center"/>
          </w:tcPr>
          <w:p w14:paraId="3D6A26A3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h</w:t>
            </w:r>
          </w:p>
        </w:tc>
        <w:tc>
          <w:tcPr>
            <w:tcW w:w="1190" w:type="dxa"/>
            <w:vAlign w:val="center"/>
          </w:tcPr>
          <w:p w14:paraId="2C590565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1870" w:type="dxa"/>
            <w:vAlign w:val="center"/>
          </w:tcPr>
          <w:p w14:paraId="6E30C6C9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</w:t>
            </w:r>
          </w:p>
        </w:tc>
        <w:tc>
          <w:tcPr>
            <w:tcW w:w="985" w:type="dxa"/>
            <w:vAlign w:val="center"/>
          </w:tcPr>
          <w:p w14:paraId="6046F7B7" w14:textId="77777777" w:rsidR="000C0323" w:rsidRDefault="000C0323" w:rsidP="00B80F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Effect</w:t>
            </w:r>
          </w:p>
        </w:tc>
      </w:tr>
      <w:tr w:rsidR="000C0323" w:rsidRPr="00763390" w14:paraId="592A97CF" w14:textId="77777777" w:rsidTr="00B80F25">
        <w:tc>
          <w:tcPr>
            <w:tcW w:w="1435" w:type="dxa"/>
            <w:vAlign w:val="center"/>
          </w:tcPr>
          <w:p w14:paraId="3BF74D02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AEGL-1 (discomfort)</w:t>
            </w:r>
          </w:p>
        </w:tc>
        <w:tc>
          <w:tcPr>
            <w:tcW w:w="941" w:type="dxa"/>
            <w:vAlign w:val="center"/>
          </w:tcPr>
          <w:p w14:paraId="19521B86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NR</w:t>
            </w:r>
          </w:p>
        </w:tc>
        <w:tc>
          <w:tcPr>
            <w:tcW w:w="949" w:type="dxa"/>
            <w:vAlign w:val="center"/>
          </w:tcPr>
          <w:p w14:paraId="7DF69654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NR</w:t>
            </w:r>
          </w:p>
        </w:tc>
        <w:tc>
          <w:tcPr>
            <w:tcW w:w="900" w:type="dxa"/>
            <w:vAlign w:val="center"/>
          </w:tcPr>
          <w:p w14:paraId="77F20C9F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NR</w:t>
            </w:r>
          </w:p>
        </w:tc>
        <w:tc>
          <w:tcPr>
            <w:tcW w:w="900" w:type="dxa"/>
            <w:vAlign w:val="center"/>
          </w:tcPr>
          <w:p w14:paraId="1BDB368F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NR</w:t>
            </w:r>
          </w:p>
        </w:tc>
        <w:tc>
          <w:tcPr>
            <w:tcW w:w="900" w:type="dxa"/>
            <w:vAlign w:val="center"/>
          </w:tcPr>
          <w:p w14:paraId="43C8DD19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NR</w:t>
            </w:r>
          </w:p>
        </w:tc>
        <w:tc>
          <w:tcPr>
            <w:tcW w:w="1190" w:type="dxa"/>
            <w:vAlign w:val="center"/>
          </w:tcPr>
          <w:p w14:paraId="0BD6D70F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N/A</w:t>
            </w:r>
          </w:p>
        </w:tc>
        <w:tc>
          <w:tcPr>
            <w:tcW w:w="1870" w:type="dxa"/>
            <w:vAlign w:val="center"/>
          </w:tcPr>
          <w:p w14:paraId="4C051F28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Insufficient data</w:t>
            </w:r>
          </w:p>
        </w:tc>
        <w:tc>
          <w:tcPr>
            <w:tcW w:w="985" w:type="dxa"/>
            <w:vAlign w:val="center"/>
          </w:tcPr>
          <w:p w14:paraId="7B893105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N/A</w:t>
            </w:r>
          </w:p>
        </w:tc>
      </w:tr>
      <w:tr w:rsidR="000C0323" w:rsidRPr="00763390" w14:paraId="51A8BE3F" w14:textId="77777777" w:rsidTr="00B80F25">
        <w:tc>
          <w:tcPr>
            <w:tcW w:w="1435" w:type="dxa"/>
            <w:vAlign w:val="center"/>
          </w:tcPr>
          <w:p w14:paraId="520EB7F1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AEGL-2 (disabling)</w:t>
            </w:r>
          </w:p>
        </w:tc>
        <w:tc>
          <w:tcPr>
            <w:tcW w:w="941" w:type="dxa"/>
            <w:vAlign w:val="center"/>
          </w:tcPr>
          <w:p w14:paraId="19B366EE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49" w:type="dxa"/>
            <w:vAlign w:val="center"/>
          </w:tcPr>
          <w:p w14:paraId="12806BCA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900" w:type="dxa"/>
            <w:vAlign w:val="center"/>
          </w:tcPr>
          <w:p w14:paraId="63B3E81E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900" w:type="dxa"/>
            <w:vAlign w:val="center"/>
          </w:tcPr>
          <w:p w14:paraId="07DCA889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14:paraId="373A36E2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7</w:t>
            </w:r>
            <w:r>
              <w:t>.3</w:t>
            </w:r>
          </w:p>
        </w:tc>
        <w:tc>
          <w:tcPr>
            <w:tcW w:w="1190" w:type="dxa"/>
            <w:vAlign w:val="center"/>
          </w:tcPr>
          <w:p w14:paraId="4F584EE6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</w:t>
            </w:r>
            <w:r>
              <w:rPr>
                <w:vertAlign w:val="subscript"/>
              </w:rPr>
              <w:t>scaling</w:t>
            </w:r>
          </w:p>
        </w:tc>
        <w:tc>
          <w:tcPr>
            <w:tcW w:w="1870" w:type="dxa"/>
            <w:vAlign w:val="center"/>
          </w:tcPr>
          <w:p w14:paraId="09D79C62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AEGL-3</w:t>
            </w:r>
          </w:p>
        </w:tc>
        <w:tc>
          <w:tcPr>
            <w:tcW w:w="985" w:type="dxa"/>
            <w:vAlign w:val="center"/>
          </w:tcPr>
          <w:p w14:paraId="2F971260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N/A</w:t>
            </w:r>
          </w:p>
        </w:tc>
      </w:tr>
      <w:tr w:rsidR="000C0323" w:rsidRPr="00763390" w14:paraId="0F7A3734" w14:textId="77777777" w:rsidTr="00B80F25">
        <w:tc>
          <w:tcPr>
            <w:tcW w:w="1435" w:type="dxa"/>
            <w:vAlign w:val="center"/>
          </w:tcPr>
          <w:p w14:paraId="51975AC4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AEGL-3 (lethal)</w:t>
            </w:r>
          </w:p>
        </w:tc>
        <w:tc>
          <w:tcPr>
            <w:tcW w:w="941" w:type="dxa"/>
            <w:vAlign w:val="center"/>
          </w:tcPr>
          <w:p w14:paraId="3681EFEA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949" w:type="dxa"/>
            <w:vAlign w:val="center"/>
          </w:tcPr>
          <w:p w14:paraId="31DDAE43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900" w:type="dxa"/>
            <w:vAlign w:val="center"/>
          </w:tcPr>
          <w:p w14:paraId="20731A68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00" w:type="dxa"/>
            <w:vAlign w:val="center"/>
          </w:tcPr>
          <w:p w14:paraId="7AC8C7FE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900" w:type="dxa"/>
            <w:vAlign w:val="center"/>
          </w:tcPr>
          <w:p w14:paraId="03AD4EAB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90" w:type="dxa"/>
            <w:vAlign w:val="center"/>
          </w:tcPr>
          <w:p w14:paraId="2AAF9F1C" w14:textId="77777777" w:rsidR="000C0323" w:rsidRPr="00763390" w:rsidRDefault="000C0323" w:rsidP="00B80F25">
            <w:pPr>
              <w:spacing w:line="276" w:lineRule="auto"/>
              <w:jc w:val="center"/>
            </w:pPr>
            <w:r w:rsidRPr="00763390">
              <w:t>3</w:t>
            </w:r>
            <w:r w:rsidRPr="00763390">
              <w:rPr>
                <w:vertAlign w:val="subscript"/>
              </w:rPr>
              <w:t>inter</w:t>
            </w:r>
            <w:r w:rsidRPr="00763390">
              <w:t xml:space="preserve"> x 3</w:t>
            </w:r>
            <w:r w:rsidRPr="00763390">
              <w:rPr>
                <w:vertAlign w:val="subscript"/>
              </w:rPr>
              <w:t>intra</w:t>
            </w:r>
          </w:p>
        </w:tc>
        <w:tc>
          <w:tcPr>
            <w:tcW w:w="1870" w:type="dxa"/>
            <w:vAlign w:val="center"/>
          </w:tcPr>
          <w:p w14:paraId="2E77B65C" w14:textId="77777777" w:rsidR="000C0323" w:rsidRPr="00763390" w:rsidRDefault="000C0323" w:rsidP="00B80F25">
            <w:pPr>
              <w:spacing w:line="276" w:lineRule="auto"/>
              <w:jc w:val="center"/>
            </w:pPr>
            <w:r>
              <w:t>430 ppm, 4</w:t>
            </w:r>
            <w:r w:rsidRPr="00763390">
              <w:t xml:space="preserve"> h</w:t>
            </w:r>
          </w:p>
        </w:tc>
        <w:tc>
          <w:tcPr>
            <w:tcW w:w="985" w:type="dxa"/>
            <w:vAlign w:val="center"/>
          </w:tcPr>
          <w:p w14:paraId="419BC24F" w14:textId="77777777" w:rsidR="000C0323" w:rsidRPr="00F1371A" w:rsidRDefault="000C0323" w:rsidP="00B80F25">
            <w:pPr>
              <w:spacing w:line="276" w:lineRule="auto"/>
              <w:jc w:val="center"/>
            </w:pPr>
            <w:r>
              <w:t>LC</w:t>
            </w:r>
            <w:r>
              <w:rPr>
                <w:vertAlign w:val="subscript"/>
              </w:rPr>
              <w:t>01</w:t>
            </w:r>
          </w:p>
        </w:tc>
      </w:tr>
    </w:tbl>
    <w:p w14:paraId="722B030D" w14:textId="641E7765" w:rsidR="006445BD" w:rsidRDefault="006445BD" w:rsidP="006445BD">
      <w:r>
        <w:t>Source: adapted from NRC (2013).</w:t>
      </w:r>
    </w:p>
    <w:p w14:paraId="3915087F" w14:textId="77777777" w:rsidR="007407AC" w:rsidRDefault="007407AC" w:rsidP="007407AC">
      <w:pPr>
        <w:rPr>
          <w:color w:val="000000" w:themeColor="text1"/>
        </w:rPr>
      </w:pPr>
    </w:p>
    <w:p w14:paraId="76F3C3FA" w14:textId="28E14DF4" w:rsidR="007407AC" w:rsidRDefault="007407AC" w:rsidP="007407AC">
      <w:pPr>
        <w:rPr>
          <w:color w:val="000000" w:themeColor="text1"/>
        </w:rPr>
      </w:pPr>
    </w:p>
    <w:p w14:paraId="667847C1" w14:textId="77777777" w:rsidR="007407AC" w:rsidRDefault="007407AC" w:rsidP="007407AC">
      <w:pPr>
        <w:rPr>
          <w:color w:val="000000" w:themeColor="text1"/>
        </w:rPr>
      </w:pPr>
    </w:p>
    <w:p w14:paraId="00B257D8" w14:textId="3BFFFECC" w:rsidR="007407AC" w:rsidRDefault="007407AC" w:rsidP="007407AC">
      <w:pPr>
        <w:rPr>
          <w:color w:val="000000" w:themeColor="text1"/>
        </w:rPr>
      </w:pPr>
    </w:p>
    <w:p w14:paraId="66DE9DF1" w14:textId="0BC99FBD" w:rsidR="00483190" w:rsidRDefault="00483190" w:rsidP="007407AC">
      <w:pPr>
        <w:rPr>
          <w:color w:val="000000" w:themeColor="text1"/>
        </w:rPr>
      </w:pPr>
    </w:p>
    <w:p w14:paraId="5101E010" w14:textId="1DCE7ECA" w:rsidR="00483190" w:rsidRDefault="00483190" w:rsidP="007407AC">
      <w:pPr>
        <w:rPr>
          <w:color w:val="000000" w:themeColor="text1"/>
        </w:rPr>
      </w:pPr>
    </w:p>
    <w:p w14:paraId="15E2D33E" w14:textId="77777777" w:rsidR="00483190" w:rsidRDefault="00483190" w:rsidP="007407AC">
      <w:pPr>
        <w:rPr>
          <w:color w:val="000000" w:themeColor="text1"/>
        </w:rPr>
      </w:pPr>
    </w:p>
    <w:p w14:paraId="54E09D0F" w14:textId="3196F47F" w:rsidR="007407AC" w:rsidRDefault="00A64F51" w:rsidP="007407AC">
      <w:pPr>
        <w:rPr>
          <w:color w:val="000000" w:themeColor="text1"/>
        </w:rPr>
      </w:pPr>
      <w:r>
        <w:rPr>
          <w:b/>
        </w:rPr>
        <w:t>S1</w:t>
      </w:r>
      <w:r w:rsidR="00A2595A">
        <w:rPr>
          <w:b/>
        </w:rPr>
        <w:t>2</w:t>
      </w:r>
      <w:r w:rsidR="007407AC">
        <w:t xml:space="preserve">. </w:t>
      </w:r>
      <w:r w:rsidR="006C4A13">
        <w:rPr>
          <w:color w:val="000000" w:themeColor="text1"/>
        </w:rPr>
        <w:t>Computation</w:t>
      </w:r>
      <w:r w:rsidR="006C4A13" w:rsidRPr="007B40A7">
        <w:rPr>
          <w:color w:val="000000" w:themeColor="text1"/>
        </w:rPr>
        <w:t xml:space="preserve"> </w:t>
      </w:r>
      <w:r w:rsidR="007407AC" w:rsidRPr="007B40A7">
        <w:rPr>
          <w:color w:val="000000" w:themeColor="text1"/>
        </w:rPr>
        <w:t xml:space="preserve">of </w:t>
      </w:r>
      <w:r w:rsidR="007407AC">
        <w:rPr>
          <w:color w:val="000000" w:themeColor="text1"/>
        </w:rPr>
        <w:t>a</w:t>
      </w:r>
      <w:r w:rsidR="007407AC" w:rsidRPr="00033A4C">
        <w:rPr>
          <w:color w:val="000000" w:themeColor="text1"/>
        </w:rPr>
        <w:t xml:space="preserve">lternative </w:t>
      </w:r>
      <w:r w:rsidR="007407AC">
        <w:t>short-term inhalation</w:t>
      </w:r>
      <w:r w:rsidR="007407AC" w:rsidRPr="008C21A6">
        <w:t xml:space="preserve"> exposure </w:t>
      </w:r>
      <w:r w:rsidR="007407AC">
        <w:t>levels</w:t>
      </w:r>
      <w:r w:rsidR="007407AC" w:rsidRPr="008C21A6">
        <w:t xml:space="preserve"> </w:t>
      </w:r>
      <w:r w:rsidR="007407AC" w:rsidRPr="00033A4C">
        <w:rPr>
          <w:color w:val="000000" w:themeColor="text1"/>
        </w:rPr>
        <w:t>for DMS</w:t>
      </w:r>
      <w:r w:rsidR="007407AC">
        <w:rPr>
          <w:color w:val="000000" w:themeColor="text1"/>
        </w:rPr>
        <w:t>.</w:t>
      </w:r>
    </w:p>
    <w:p w14:paraId="47F62D01" w14:textId="5BD529AE" w:rsidR="007407AC" w:rsidRDefault="00081352" w:rsidP="007407AC">
      <w:pPr>
        <w:spacing w:after="0"/>
        <w:jc w:val="both"/>
        <w:rPr>
          <w:b/>
          <w:color w:val="0070C0"/>
        </w:rPr>
      </w:pPr>
      <w:r>
        <w:t>Following the National Academy of Sciences</w:t>
      </w:r>
      <w:r w:rsidR="007407AC" w:rsidRPr="00A62DD3">
        <w:t xml:space="preserve"> guidelines</w:t>
      </w:r>
      <w:r w:rsidR="00D300B8">
        <w:t xml:space="preserve"> (NRC</w:t>
      </w:r>
      <w:r w:rsidR="007407AC">
        <w:t xml:space="preserve"> 2001)</w:t>
      </w:r>
      <w:r w:rsidR="007407AC" w:rsidRPr="00A62DD3">
        <w:t xml:space="preserve">, </w:t>
      </w:r>
      <w:r w:rsidR="007407AC">
        <w:t>tier</w:t>
      </w:r>
      <w:r w:rsidR="007407AC" w:rsidRPr="00A62DD3">
        <w:t xml:space="preserve">-2 </w:t>
      </w:r>
      <w:r w:rsidR="007407AC">
        <w:t>short-term inhalation</w:t>
      </w:r>
      <w:r w:rsidR="007407AC" w:rsidRPr="008C21A6">
        <w:t xml:space="preserve"> exposure </w:t>
      </w:r>
      <w:r w:rsidR="007407AC">
        <w:t>levels</w:t>
      </w:r>
      <w:r w:rsidR="007407AC" w:rsidRPr="008C21A6">
        <w:t xml:space="preserve"> </w:t>
      </w:r>
      <w:r w:rsidR="007407AC">
        <w:t xml:space="preserve">can be derived by scaling down tier-3 </w:t>
      </w:r>
      <w:r w:rsidR="00000FA0">
        <w:t xml:space="preserve">values </w:t>
      </w:r>
      <w:r w:rsidR="007407AC">
        <w:t>by a factor of three</w:t>
      </w:r>
      <w:r w:rsidR="007407AC" w:rsidRPr="00A62DD3">
        <w:t>.</w:t>
      </w:r>
      <w:r w:rsidR="007407AC">
        <w:t xml:space="preserve"> These calculations provide surrogate threshold levels for inability to escape or permanent injury. They are especially appropriate when the </w:t>
      </w:r>
      <w:r w:rsidR="009E2D4F">
        <w:t>mortality</w:t>
      </w:r>
      <w:r w:rsidR="007407AC">
        <w:t xml:space="preserve"> concentration-response relationship is steep, as in the case of DMS.</w:t>
      </w:r>
    </w:p>
    <w:p w14:paraId="4A295B86" w14:textId="77777777" w:rsidR="007407AC" w:rsidRPr="004C55AA" w:rsidRDefault="007407AC" w:rsidP="007407AC">
      <w:pPr>
        <w:spacing w:after="0"/>
      </w:pPr>
    </w:p>
    <w:p w14:paraId="0379CD51" w14:textId="6B187478" w:rsidR="007407AC" w:rsidRPr="002371E2" w:rsidRDefault="007407AC" w:rsidP="007407AC">
      <w:pPr>
        <w:rPr>
          <w:rFonts w:ascii="Calibri" w:eastAsia="Times New Roman" w:hAnsi="Calibri" w:cs="Times New Roman"/>
          <w:color w:val="000000"/>
        </w:rPr>
      </w:pPr>
      <w:r w:rsidRPr="00927A30">
        <w:rPr>
          <w:u w:val="single"/>
        </w:rPr>
        <w:t>Calculations</w:t>
      </w:r>
      <w:r w:rsidRPr="00927A30">
        <w:t>:</w:t>
      </w:r>
      <w:r w:rsidR="00EE442D">
        <w:t xml:space="preserve"> </w:t>
      </w:r>
      <w:r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 xml:space="preserve">2 </w:t>
      </w:r>
      <w:r>
        <w:t>= C</w:t>
      </w:r>
      <w:r w:rsidR="00461AB2">
        <w:rPr>
          <w:vertAlign w:val="subscript"/>
        </w:rPr>
        <w:t>tier-</w:t>
      </w:r>
      <w:r>
        <w:rPr>
          <w:vertAlign w:val="subscript"/>
        </w:rPr>
        <w:t>3</w:t>
      </w:r>
      <w:r>
        <w:t xml:space="preserve"> / 3</w:t>
      </w:r>
    </w:p>
    <w:p w14:paraId="72C64FE6" w14:textId="4114191E" w:rsidR="007407AC" w:rsidRDefault="007407AC" w:rsidP="007407AC">
      <w:pPr>
        <w:spacing w:after="0"/>
      </w:pPr>
      <w:r>
        <w:t xml:space="preserve">10-minute </w:t>
      </w:r>
      <w:r w:rsidR="00CD45E3">
        <w:t>tier-2 value</w:t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3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4,584.770 </w:t>
      </w:r>
      <w:r>
        <w:t>ppm</w:t>
      </w:r>
    </w:p>
    <w:p w14:paraId="3CF42297" w14:textId="1B57BBB8" w:rsidR="007407AC" w:rsidRDefault="007407AC" w:rsidP="007407AC">
      <w:pPr>
        <w:spacing w:after="0"/>
      </w:pPr>
      <w:r>
        <w:tab/>
      </w:r>
      <w:r>
        <w:tab/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2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4,584.770 </w:t>
      </w:r>
      <w:r>
        <w:t>ppm / 3</w:t>
      </w:r>
    </w:p>
    <w:p w14:paraId="7CDFD464" w14:textId="4B2C6A57" w:rsidR="007407AC" w:rsidRDefault="007407AC" w:rsidP="007407AC">
      <w:pPr>
        <w:spacing w:after="0"/>
        <w:ind w:left="1440" w:firstLine="720"/>
      </w:pPr>
      <w:r>
        <w:t xml:space="preserve">C = </w:t>
      </w:r>
      <w:r w:rsidR="00483190">
        <w:t xml:space="preserve">1,528.257 </w:t>
      </w:r>
      <w:r>
        <w:t>ppm</w:t>
      </w:r>
    </w:p>
    <w:p w14:paraId="31E402DB" w14:textId="5CDC10AA" w:rsidR="007407AC" w:rsidRDefault="007407AC" w:rsidP="007407AC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30-minute </w:t>
      </w:r>
      <w:r w:rsidR="00CD45E3">
        <w:t>tier-2 value</w:t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3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4,584.770 </w:t>
      </w:r>
      <w:r>
        <w:t>ppm</w:t>
      </w:r>
    </w:p>
    <w:p w14:paraId="134E4F39" w14:textId="0E74C47D" w:rsidR="007407AC" w:rsidRDefault="007407AC" w:rsidP="007407AC">
      <w:pPr>
        <w:spacing w:after="0"/>
      </w:pPr>
      <w:r>
        <w:tab/>
      </w:r>
      <w:r>
        <w:tab/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2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4,584.770 </w:t>
      </w:r>
      <w:r>
        <w:t>ppm / 3</w:t>
      </w:r>
    </w:p>
    <w:p w14:paraId="3E41F202" w14:textId="1A4D11E6" w:rsidR="007407AC" w:rsidRDefault="007407AC" w:rsidP="007407AC">
      <w:pPr>
        <w:spacing w:after="0"/>
        <w:ind w:left="1440" w:firstLine="720"/>
      </w:pPr>
      <w:r>
        <w:t xml:space="preserve">C = </w:t>
      </w:r>
      <w:r w:rsidR="00483190">
        <w:t xml:space="preserve">1,528.257 </w:t>
      </w:r>
      <w:r>
        <w:t>ppm</w:t>
      </w:r>
    </w:p>
    <w:p w14:paraId="02EE0854" w14:textId="1BAB3C61" w:rsidR="007407AC" w:rsidRPr="00815360" w:rsidRDefault="007407AC" w:rsidP="007407AC">
      <w:pPr>
        <w:spacing w:after="0"/>
        <w:rPr>
          <w:rFonts w:ascii="Calibri" w:eastAsia="Times New Roman" w:hAnsi="Calibri" w:cs="Times New Roman"/>
          <w:color w:val="000000"/>
        </w:rPr>
      </w:pPr>
      <w:r>
        <w:t xml:space="preserve">1-hour </w:t>
      </w:r>
      <w:r w:rsidR="00CD45E3">
        <w:t>tier-2 value</w:t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3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3,789.806 </w:t>
      </w:r>
      <w:r>
        <w:t>ppm</w:t>
      </w:r>
    </w:p>
    <w:p w14:paraId="00C22A94" w14:textId="33DB1993" w:rsidR="007407AC" w:rsidRDefault="007407AC" w:rsidP="007407AC">
      <w:pPr>
        <w:spacing w:after="0"/>
      </w:pPr>
      <w:r>
        <w:tab/>
      </w:r>
      <w:r>
        <w:tab/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2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3,789.806 </w:t>
      </w:r>
      <w:r>
        <w:t>ppm / 3</w:t>
      </w:r>
    </w:p>
    <w:p w14:paraId="33E81BC0" w14:textId="1A17AFB7" w:rsidR="007407AC" w:rsidRDefault="007407AC" w:rsidP="007407AC">
      <w:pPr>
        <w:spacing w:after="0"/>
        <w:ind w:left="1440" w:firstLine="720"/>
      </w:pPr>
      <w:r>
        <w:t xml:space="preserve">C = </w:t>
      </w:r>
      <w:r w:rsidR="00483190">
        <w:t xml:space="preserve">1,263.269 </w:t>
      </w:r>
      <w:r>
        <w:t>ppm</w:t>
      </w:r>
    </w:p>
    <w:p w14:paraId="6A7D771F" w14:textId="10D6A173" w:rsidR="007407AC" w:rsidRPr="00815360" w:rsidRDefault="007407AC" w:rsidP="007407AC">
      <w:pPr>
        <w:spacing w:after="0"/>
        <w:rPr>
          <w:rFonts w:ascii="Calibri" w:eastAsia="Times New Roman" w:hAnsi="Calibri" w:cs="Times New Roman"/>
          <w:color w:val="000000"/>
        </w:rPr>
      </w:pPr>
      <w:r>
        <w:t>4-hour</w:t>
      </w:r>
      <w:r w:rsidR="00CD45E3">
        <w:t xml:space="preserve"> tier-2 value</w:t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3</w:t>
      </w:r>
      <w:r>
        <w:t xml:space="preserve"> = </w:t>
      </w:r>
      <w:r w:rsidR="00483190" w:rsidRPr="00483190">
        <w:rPr>
          <w:rFonts w:ascii="Calibri" w:eastAsia="Times New Roman" w:hAnsi="Calibri" w:cs="Times New Roman"/>
          <w:color w:val="000000"/>
        </w:rPr>
        <w:t>2</w:t>
      </w:r>
      <w:r w:rsidR="00483190">
        <w:rPr>
          <w:rFonts w:ascii="Calibri" w:eastAsia="Times New Roman" w:hAnsi="Calibri" w:cs="Times New Roman"/>
          <w:color w:val="000000"/>
        </w:rPr>
        <w:t>,</w:t>
      </w:r>
      <w:r w:rsidR="00483190" w:rsidRPr="00483190">
        <w:rPr>
          <w:rFonts w:ascii="Calibri" w:eastAsia="Times New Roman" w:hAnsi="Calibri" w:cs="Times New Roman"/>
          <w:color w:val="000000"/>
        </w:rPr>
        <w:t>589.5</w:t>
      </w:r>
      <w:r w:rsidR="00483190">
        <w:rPr>
          <w:rFonts w:ascii="Calibri" w:eastAsia="Times New Roman" w:hAnsi="Calibri" w:cs="Times New Roman"/>
          <w:color w:val="000000"/>
        </w:rPr>
        <w:t xml:space="preserve"> </w:t>
      </w:r>
      <w:r>
        <w:t>ppm</w:t>
      </w:r>
    </w:p>
    <w:p w14:paraId="6A4FE046" w14:textId="3852F520" w:rsidR="007407AC" w:rsidRDefault="007407AC" w:rsidP="007407AC">
      <w:pPr>
        <w:spacing w:after="0"/>
      </w:pPr>
      <w:r>
        <w:tab/>
      </w:r>
      <w:r>
        <w:tab/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2</w:t>
      </w:r>
      <w:r>
        <w:t xml:space="preserve"> = </w:t>
      </w:r>
      <w:r w:rsidR="00483190" w:rsidRPr="00483190">
        <w:rPr>
          <w:rFonts w:ascii="Calibri" w:eastAsia="Times New Roman" w:hAnsi="Calibri" w:cs="Times New Roman"/>
          <w:color w:val="000000"/>
        </w:rPr>
        <w:t>2</w:t>
      </w:r>
      <w:r w:rsidR="00483190">
        <w:rPr>
          <w:rFonts w:ascii="Calibri" w:eastAsia="Times New Roman" w:hAnsi="Calibri" w:cs="Times New Roman"/>
          <w:color w:val="000000"/>
        </w:rPr>
        <w:t>,</w:t>
      </w:r>
      <w:r w:rsidR="00483190" w:rsidRPr="00483190">
        <w:rPr>
          <w:rFonts w:ascii="Calibri" w:eastAsia="Times New Roman" w:hAnsi="Calibri" w:cs="Times New Roman"/>
          <w:color w:val="000000"/>
        </w:rPr>
        <w:t>589.5</w:t>
      </w:r>
      <w:r w:rsidR="00483190">
        <w:rPr>
          <w:rFonts w:ascii="Calibri" w:eastAsia="Times New Roman" w:hAnsi="Calibri" w:cs="Times New Roman"/>
          <w:color w:val="000000"/>
        </w:rPr>
        <w:t xml:space="preserve"> </w:t>
      </w:r>
      <w:r>
        <w:t>ppm / 3</w:t>
      </w:r>
    </w:p>
    <w:p w14:paraId="155BD744" w14:textId="46E4CD15" w:rsidR="007407AC" w:rsidRDefault="007407AC" w:rsidP="007407AC">
      <w:pPr>
        <w:spacing w:after="0"/>
        <w:ind w:left="1440" w:firstLine="720"/>
      </w:pPr>
      <w:r>
        <w:t xml:space="preserve">C = </w:t>
      </w:r>
      <w:r w:rsidR="00483190">
        <w:t>863.16</w:t>
      </w:r>
      <w:r w:rsidR="00483190" w:rsidRPr="00483190">
        <w:t>7</w:t>
      </w:r>
      <w:r w:rsidR="00483190">
        <w:t xml:space="preserve"> </w:t>
      </w:r>
      <w:r>
        <w:t>ppm</w:t>
      </w:r>
    </w:p>
    <w:p w14:paraId="7F5E0C83" w14:textId="27D2340D" w:rsidR="007407AC" w:rsidRPr="00815360" w:rsidRDefault="007407AC" w:rsidP="007407AC">
      <w:pPr>
        <w:spacing w:after="0"/>
        <w:rPr>
          <w:rFonts w:ascii="Calibri" w:eastAsia="Times New Roman" w:hAnsi="Calibri" w:cs="Times New Roman"/>
          <w:color w:val="000000"/>
        </w:rPr>
      </w:pPr>
      <w:r>
        <w:t>8-hour</w:t>
      </w:r>
      <w:r w:rsidR="00CD45E3">
        <w:t xml:space="preserve"> tier-2 value</w:t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3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2,037.292 </w:t>
      </w:r>
      <w:r>
        <w:t>ppm</w:t>
      </w:r>
    </w:p>
    <w:p w14:paraId="5613025D" w14:textId="6DC50B47" w:rsidR="007407AC" w:rsidRDefault="007407AC" w:rsidP="007407AC">
      <w:pPr>
        <w:spacing w:after="0"/>
      </w:pPr>
      <w:r>
        <w:tab/>
      </w:r>
      <w:r>
        <w:tab/>
      </w:r>
      <w:r>
        <w:tab/>
        <w:t>C</w:t>
      </w:r>
      <w:r w:rsidR="00461AB2">
        <w:rPr>
          <w:vertAlign w:val="subscript"/>
        </w:rPr>
        <w:t>tier-</w:t>
      </w:r>
      <w:r>
        <w:rPr>
          <w:vertAlign w:val="subscript"/>
        </w:rPr>
        <w:t>2</w:t>
      </w:r>
      <w:r>
        <w:t xml:space="preserve"> = </w:t>
      </w:r>
      <w:r w:rsidR="00483190">
        <w:rPr>
          <w:rFonts w:ascii="Calibri" w:eastAsia="Times New Roman" w:hAnsi="Calibri" w:cs="Times New Roman"/>
          <w:color w:val="000000"/>
        </w:rPr>
        <w:t xml:space="preserve">2,037.292 </w:t>
      </w:r>
      <w:r>
        <w:t>ppm / 3</w:t>
      </w:r>
    </w:p>
    <w:p w14:paraId="324E7E88" w14:textId="278B7EF0" w:rsidR="007407AC" w:rsidRDefault="007407AC" w:rsidP="007407AC">
      <w:pPr>
        <w:spacing w:after="0"/>
        <w:ind w:left="1440" w:firstLine="720"/>
      </w:pPr>
      <w:r>
        <w:t xml:space="preserve">C = </w:t>
      </w:r>
      <w:r w:rsidR="00483190">
        <w:t xml:space="preserve">679.097 </w:t>
      </w:r>
      <w:r>
        <w:t>ppm</w:t>
      </w:r>
    </w:p>
    <w:p w14:paraId="39C9C473" w14:textId="77777777" w:rsidR="008D1518" w:rsidRDefault="008D1518" w:rsidP="002371E2">
      <w:pPr>
        <w:rPr>
          <w:b/>
        </w:rPr>
      </w:pPr>
    </w:p>
    <w:p w14:paraId="51AD490F" w14:textId="77777777" w:rsidR="008D1518" w:rsidRDefault="008D1518" w:rsidP="002371E2">
      <w:pPr>
        <w:rPr>
          <w:b/>
        </w:rPr>
      </w:pPr>
    </w:p>
    <w:p w14:paraId="43245420" w14:textId="1FCF85B2" w:rsidR="008D1518" w:rsidRDefault="008D1518" w:rsidP="002371E2">
      <w:pPr>
        <w:rPr>
          <w:b/>
        </w:rPr>
      </w:pPr>
    </w:p>
    <w:p w14:paraId="7748BC3A" w14:textId="4D8D7ADE" w:rsidR="007407AC" w:rsidRDefault="007407AC" w:rsidP="002371E2">
      <w:pPr>
        <w:rPr>
          <w:b/>
        </w:rPr>
      </w:pPr>
    </w:p>
    <w:p w14:paraId="47AF7EE0" w14:textId="0DEFC10A" w:rsidR="007407AC" w:rsidRDefault="007407AC" w:rsidP="002371E2">
      <w:pPr>
        <w:rPr>
          <w:b/>
        </w:rPr>
      </w:pPr>
    </w:p>
    <w:p w14:paraId="41CD5581" w14:textId="2D945E38" w:rsidR="007407AC" w:rsidRDefault="007407AC" w:rsidP="002371E2">
      <w:pPr>
        <w:rPr>
          <w:b/>
        </w:rPr>
      </w:pPr>
    </w:p>
    <w:p w14:paraId="2FEF666F" w14:textId="67B0E3A3" w:rsidR="007407AC" w:rsidRDefault="007407AC" w:rsidP="002371E2">
      <w:pPr>
        <w:rPr>
          <w:b/>
        </w:rPr>
      </w:pPr>
    </w:p>
    <w:p w14:paraId="0819CB65" w14:textId="4A03515D" w:rsidR="007407AC" w:rsidRDefault="007407AC" w:rsidP="002371E2">
      <w:pPr>
        <w:rPr>
          <w:b/>
        </w:rPr>
      </w:pPr>
    </w:p>
    <w:p w14:paraId="7C553BB7" w14:textId="59F47429" w:rsidR="007407AC" w:rsidRDefault="007407AC" w:rsidP="002371E2">
      <w:pPr>
        <w:rPr>
          <w:b/>
        </w:rPr>
      </w:pPr>
    </w:p>
    <w:p w14:paraId="12191F71" w14:textId="77777777" w:rsidR="007407AC" w:rsidRDefault="007407AC" w:rsidP="002371E2">
      <w:pPr>
        <w:rPr>
          <w:b/>
        </w:rPr>
      </w:pPr>
    </w:p>
    <w:p w14:paraId="53F2BED2" w14:textId="6B24AA2D" w:rsidR="008D1518" w:rsidRDefault="008D1518" w:rsidP="002371E2">
      <w:pPr>
        <w:rPr>
          <w:b/>
        </w:rPr>
      </w:pPr>
    </w:p>
    <w:p w14:paraId="78A161E7" w14:textId="77777777" w:rsidR="00483190" w:rsidRDefault="00483190" w:rsidP="002371E2">
      <w:pPr>
        <w:rPr>
          <w:b/>
        </w:rPr>
      </w:pPr>
    </w:p>
    <w:p w14:paraId="733C17F5" w14:textId="7ECB2D13" w:rsidR="005868F6" w:rsidRPr="008D1518" w:rsidRDefault="00A2595A" w:rsidP="00702876">
      <w:pPr>
        <w:spacing w:after="0"/>
        <w:ind w:left="1080" w:right="810"/>
        <w:rPr>
          <w:b/>
        </w:rPr>
      </w:pPr>
      <w:r>
        <w:rPr>
          <w:b/>
        </w:rPr>
        <w:t>S13</w:t>
      </w:r>
      <w:r w:rsidR="004C55AA" w:rsidRPr="004C1C6F">
        <w:t xml:space="preserve">. </w:t>
      </w:r>
      <w:r w:rsidR="00576EBB">
        <w:t>Laboratory d</w:t>
      </w:r>
      <w:r w:rsidR="005868F6" w:rsidRPr="004C1C6F">
        <w:t xml:space="preserve">ata </w:t>
      </w:r>
      <w:r w:rsidR="00576EBB">
        <w:t>mapped on</w:t>
      </w:r>
      <w:r w:rsidR="004C55AA" w:rsidRPr="004C1C6F">
        <w:t xml:space="preserve"> </w:t>
      </w:r>
      <w:r w:rsidR="008D1518">
        <w:t xml:space="preserve">the LTE </w:t>
      </w:r>
      <w:r w:rsidR="004C55AA" w:rsidRPr="004C1C6F">
        <w:t xml:space="preserve">plot </w:t>
      </w:r>
      <w:r w:rsidR="008D1518">
        <w:t xml:space="preserve">of </w:t>
      </w:r>
      <w:r w:rsidR="009543E6">
        <w:t>tier-</w:t>
      </w:r>
      <w:r w:rsidR="004C55AA" w:rsidRPr="004C1C6F">
        <w:t>3 effects</w:t>
      </w:r>
      <w:r w:rsidR="008D1518">
        <w:t xml:space="preserve"> caused by DMS exposures</w:t>
      </w:r>
      <w:r w:rsidR="004C1C6F" w:rsidRPr="004C1C6F"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1170"/>
        <w:gridCol w:w="1530"/>
        <w:gridCol w:w="900"/>
        <w:gridCol w:w="2520"/>
      </w:tblGrid>
      <w:tr w:rsidR="00E75CC8" w14:paraId="554D9215" w14:textId="77777777" w:rsidTr="00186EF3">
        <w:trPr>
          <w:jc w:val="center"/>
        </w:trPr>
        <w:tc>
          <w:tcPr>
            <w:tcW w:w="1705" w:type="dxa"/>
            <w:vAlign w:val="center"/>
          </w:tcPr>
          <w:p w14:paraId="63700012" w14:textId="77777777" w:rsidR="00E75CC8" w:rsidRDefault="00E75CC8" w:rsidP="002371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900" w:type="dxa"/>
            <w:vAlign w:val="center"/>
          </w:tcPr>
          <w:p w14:paraId="5ABFAC4C" w14:textId="77777777" w:rsidR="00E75CC8" w:rsidRDefault="00E75CC8" w:rsidP="002371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170" w:type="dxa"/>
            <w:vAlign w:val="center"/>
          </w:tcPr>
          <w:p w14:paraId="0641BFD2" w14:textId="77777777" w:rsidR="00E75CC8" w:rsidRDefault="00E75CC8" w:rsidP="002371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Duration (min)</w:t>
            </w:r>
          </w:p>
        </w:tc>
        <w:tc>
          <w:tcPr>
            <w:tcW w:w="1530" w:type="dxa"/>
            <w:vAlign w:val="center"/>
          </w:tcPr>
          <w:p w14:paraId="23689775" w14:textId="77777777" w:rsidR="00E75CC8" w:rsidRDefault="00E75CC8" w:rsidP="002371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Concentration (ppm)</w:t>
            </w:r>
          </w:p>
        </w:tc>
        <w:tc>
          <w:tcPr>
            <w:tcW w:w="900" w:type="dxa"/>
            <w:vAlign w:val="center"/>
          </w:tcPr>
          <w:p w14:paraId="77D4CB7E" w14:textId="77777777" w:rsidR="00E75CC8" w:rsidRDefault="00E75CC8" w:rsidP="002371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NOEL?</w:t>
            </w:r>
          </w:p>
        </w:tc>
        <w:tc>
          <w:tcPr>
            <w:tcW w:w="2520" w:type="dxa"/>
            <w:vAlign w:val="center"/>
          </w:tcPr>
          <w:p w14:paraId="398F9B82" w14:textId="3BEAFFF3" w:rsidR="00E75CC8" w:rsidRDefault="00E75CC8" w:rsidP="002371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05302" w14:paraId="7CEADC8D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2D37FFB7" w14:textId="783159D2" w:rsidR="00505302" w:rsidRPr="000802E2" w:rsidRDefault="00505302" w:rsidP="00505302">
            <w:pPr>
              <w:spacing w:line="276" w:lineRule="auto"/>
              <w:jc w:val="center"/>
            </w:pPr>
            <w:r w:rsidRPr="000802E2">
              <w:rPr>
                <w:rFonts w:ascii="Calibri" w:hAnsi="Calibri"/>
                <w:color w:val="000000"/>
              </w:rPr>
              <w:t>Tansy et al.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300B8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1981</w:t>
            </w:r>
            <w:r w:rsidR="00D300B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5859DF47" w14:textId="5B18C45B" w:rsidR="00505302" w:rsidRPr="000802E2" w:rsidRDefault="00505302" w:rsidP="00505302">
            <w:pPr>
              <w:spacing w:line="276" w:lineRule="auto"/>
              <w:jc w:val="center"/>
            </w:pPr>
            <w:r>
              <w:t>rat</w:t>
            </w:r>
          </w:p>
        </w:tc>
        <w:tc>
          <w:tcPr>
            <w:tcW w:w="1170" w:type="dxa"/>
          </w:tcPr>
          <w:p w14:paraId="0AD791CB" w14:textId="7A534BE3" w:rsidR="00505302" w:rsidRPr="000802E2" w:rsidRDefault="00505302" w:rsidP="00505302">
            <w:pPr>
              <w:spacing w:line="276" w:lineRule="auto"/>
              <w:jc w:val="center"/>
            </w:pPr>
            <w:r w:rsidRPr="00A8326A">
              <w:t>240</w:t>
            </w:r>
          </w:p>
        </w:tc>
        <w:tc>
          <w:tcPr>
            <w:tcW w:w="1530" w:type="dxa"/>
          </w:tcPr>
          <w:p w14:paraId="0B00DAE9" w14:textId="68934191" w:rsidR="00505302" w:rsidRPr="000802E2" w:rsidRDefault="00505302" w:rsidP="00505302">
            <w:pPr>
              <w:spacing w:line="276" w:lineRule="auto"/>
              <w:jc w:val="center"/>
            </w:pPr>
            <w:r w:rsidRPr="00A8326A">
              <w:t>36,000</w:t>
            </w:r>
          </w:p>
        </w:tc>
        <w:tc>
          <w:tcPr>
            <w:tcW w:w="900" w:type="dxa"/>
          </w:tcPr>
          <w:p w14:paraId="79AB0D32" w14:textId="74474C7C" w:rsidR="00505302" w:rsidRPr="000802E2" w:rsidRDefault="00505302" w:rsidP="00505302">
            <w:pPr>
              <w:spacing w:line="276" w:lineRule="auto"/>
              <w:jc w:val="center"/>
            </w:pPr>
            <w:r w:rsidRPr="00A8326A">
              <w:t>N</w:t>
            </w:r>
          </w:p>
        </w:tc>
        <w:tc>
          <w:tcPr>
            <w:tcW w:w="2520" w:type="dxa"/>
          </w:tcPr>
          <w:p w14:paraId="32262875" w14:textId="6E4E3811" w:rsidR="00505302" w:rsidRPr="000802E2" w:rsidRDefault="00505302" w:rsidP="00505302">
            <w:pPr>
              <w:spacing w:line="276" w:lineRule="auto"/>
              <w:jc w:val="center"/>
            </w:pPr>
            <w:r w:rsidRPr="00A8326A">
              <w:t>2/10 mortality</w:t>
            </w:r>
          </w:p>
        </w:tc>
      </w:tr>
      <w:tr w:rsidR="00505302" w14:paraId="477EBB47" w14:textId="77777777" w:rsidTr="00186EF3">
        <w:trPr>
          <w:jc w:val="center"/>
        </w:trPr>
        <w:tc>
          <w:tcPr>
            <w:tcW w:w="1705" w:type="dxa"/>
            <w:vMerge/>
          </w:tcPr>
          <w:p w14:paraId="591C1B6F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2655683D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358CA9C1" w14:textId="48EF8CC5" w:rsidR="00505302" w:rsidRPr="000802E2" w:rsidRDefault="00505302" w:rsidP="0050530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530" w:type="dxa"/>
          </w:tcPr>
          <w:p w14:paraId="7059106D" w14:textId="28F82B5F" w:rsidR="00505302" w:rsidRPr="000802E2" w:rsidRDefault="00505302" w:rsidP="00505302">
            <w:pPr>
              <w:spacing w:line="276" w:lineRule="auto"/>
              <w:jc w:val="center"/>
            </w:pPr>
            <w:r>
              <w:t>24,000</w:t>
            </w:r>
          </w:p>
        </w:tc>
        <w:tc>
          <w:tcPr>
            <w:tcW w:w="900" w:type="dxa"/>
          </w:tcPr>
          <w:p w14:paraId="333AFD29" w14:textId="53A4B221" w:rsidR="00505302" w:rsidRPr="000802E2" w:rsidRDefault="00505302" w:rsidP="00505302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2520" w:type="dxa"/>
          </w:tcPr>
          <w:p w14:paraId="790ECA95" w14:textId="705274ED" w:rsidR="00505302" w:rsidRPr="000802E2" w:rsidRDefault="00505302" w:rsidP="00505302">
            <w:pPr>
              <w:spacing w:line="276" w:lineRule="auto"/>
              <w:jc w:val="center"/>
            </w:pPr>
            <w:r>
              <w:t>0/10 mortality</w:t>
            </w:r>
          </w:p>
        </w:tc>
      </w:tr>
      <w:tr w:rsidR="00505302" w14:paraId="10231377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63E36417" w14:textId="1D076183" w:rsidR="00505302" w:rsidRPr="000802E2" w:rsidRDefault="00505302" w:rsidP="00505302">
            <w:pPr>
              <w:spacing w:line="276" w:lineRule="auto"/>
              <w:jc w:val="center"/>
            </w:pPr>
            <w:r w:rsidRPr="00557CEE">
              <w:t>Schoenig</w:t>
            </w:r>
            <w:r w:rsidRPr="00A169A5">
              <w:t xml:space="preserve"> </w:t>
            </w:r>
            <w:r w:rsidR="00D300B8">
              <w:t>(</w:t>
            </w:r>
            <w:r w:rsidRPr="00A169A5">
              <w:t>196</w:t>
            </w:r>
            <w:r>
              <w:t>7b</w:t>
            </w:r>
            <w:r w:rsidR="00D300B8"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2583A345" w14:textId="345E3088" w:rsidR="00505302" w:rsidRPr="000802E2" w:rsidRDefault="00505302" w:rsidP="00505302">
            <w:pPr>
              <w:spacing w:line="276" w:lineRule="auto"/>
              <w:jc w:val="center"/>
            </w:pPr>
            <w:r>
              <w:t>rat</w:t>
            </w:r>
          </w:p>
        </w:tc>
        <w:tc>
          <w:tcPr>
            <w:tcW w:w="1170" w:type="dxa"/>
          </w:tcPr>
          <w:p w14:paraId="461B4A89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30" w:type="dxa"/>
          </w:tcPr>
          <w:p w14:paraId="200733A7" w14:textId="78B6948E" w:rsidR="00505302" w:rsidRPr="000802E2" w:rsidRDefault="00505302" w:rsidP="00505302">
            <w:pPr>
              <w:spacing w:line="276" w:lineRule="auto"/>
              <w:jc w:val="center"/>
            </w:pPr>
            <w:r>
              <w:t>195,000</w:t>
            </w:r>
          </w:p>
        </w:tc>
        <w:tc>
          <w:tcPr>
            <w:tcW w:w="900" w:type="dxa"/>
            <w:vMerge w:val="restart"/>
            <w:vAlign w:val="center"/>
          </w:tcPr>
          <w:p w14:paraId="1540B3A6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vAlign w:val="center"/>
          </w:tcPr>
          <w:p w14:paraId="6E38B275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10/10 mortality</w:t>
            </w:r>
          </w:p>
        </w:tc>
      </w:tr>
      <w:tr w:rsidR="00505302" w14:paraId="39B06869" w14:textId="77777777" w:rsidTr="00186EF3">
        <w:trPr>
          <w:jc w:val="center"/>
        </w:trPr>
        <w:tc>
          <w:tcPr>
            <w:tcW w:w="1705" w:type="dxa"/>
            <w:vMerge/>
          </w:tcPr>
          <w:p w14:paraId="2CAE7182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3B454153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6AE7D05C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30" w:type="dxa"/>
          </w:tcPr>
          <w:p w14:paraId="5A315700" w14:textId="54049684" w:rsidR="00505302" w:rsidRPr="000802E2" w:rsidRDefault="00505302" w:rsidP="00505302">
            <w:pPr>
              <w:spacing w:line="276" w:lineRule="auto"/>
              <w:jc w:val="center"/>
            </w:pPr>
            <w:r>
              <w:t>81,500</w:t>
            </w:r>
          </w:p>
        </w:tc>
        <w:tc>
          <w:tcPr>
            <w:tcW w:w="900" w:type="dxa"/>
            <w:vMerge/>
          </w:tcPr>
          <w:p w14:paraId="007E9154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</w:tcPr>
          <w:p w14:paraId="129A04A2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</w:tr>
      <w:tr w:rsidR="00505302" w14:paraId="5CDA3A29" w14:textId="77777777" w:rsidTr="00186EF3">
        <w:trPr>
          <w:jc w:val="center"/>
        </w:trPr>
        <w:tc>
          <w:tcPr>
            <w:tcW w:w="1705" w:type="dxa"/>
            <w:vMerge/>
          </w:tcPr>
          <w:p w14:paraId="74E8D2DF" w14:textId="77777777" w:rsidR="00505302" w:rsidRPr="000802E2" w:rsidRDefault="00505302" w:rsidP="00505302">
            <w:pPr>
              <w:jc w:val="center"/>
            </w:pPr>
          </w:p>
        </w:tc>
        <w:tc>
          <w:tcPr>
            <w:tcW w:w="900" w:type="dxa"/>
            <w:vMerge/>
          </w:tcPr>
          <w:p w14:paraId="22EEB9F0" w14:textId="77777777" w:rsidR="00505302" w:rsidRPr="000802E2" w:rsidRDefault="00505302" w:rsidP="00505302">
            <w:pPr>
              <w:jc w:val="center"/>
            </w:pPr>
          </w:p>
        </w:tc>
        <w:tc>
          <w:tcPr>
            <w:tcW w:w="1170" w:type="dxa"/>
          </w:tcPr>
          <w:p w14:paraId="3B5FE8A8" w14:textId="44EC4531" w:rsidR="00505302" w:rsidRPr="00E75CC8" w:rsidRDefault="00505302" w:rsidP="00505302">
            <w:pPr>
              <w:jc w:val="center"/>
            </w:pPr>
            <w:r w:rsidRPr="00E75CC8">
              <w:t>240</w:t>
            </w:r>
          </w:p>
        </w:tc>
        <w:tc>
          <w:tcPr>
            <w:tcW w:w="1530" w:type="dxa"/>
          </w:tcPr>
          <w:p w14:paraId="696D3EE9" w14:textId="2F06688F" w:rsidR="00505302" w:rsidRPr="00E75CC8" w:rsidRDefault="00505302" w:rsidP="00505302">
            <w:pPr>
              <w:jc w:val="center"/>
            </w:pPr>
            <w:r w:rsidRPr="00E75CC8">
              <w:t>42</w:t>
            </w:r>
            <w:r>
              <w:t>,</w:t>
            </w:r>
            <w:r w:rsidRPr="00E75CC8">
              <w:t>100</w:t>
            </w:r>
          </w:p>
        </w:tc>
        <w:tc>
          <w:tcPr>
            <w:tcW w:w="900" w:type="dxa"/>
            <w:vMerge/>
          </w:tcPr>
          <w:p w14:paraId="42AD0241" w14:textId="77777777" w:rsidR="00505302" w:rsidRPr="00E75CC8" w:rsidRDefault="00505302" w:rsidP="00505302">
            <w:pPr>
              <w:jc w:val="center"/>
            </w:pPr>
          </w:p>
        </w:tc>
        <w:tc>
          <w:tcPr>
            <w:tcW w:w="2520" w:type="dxa"/>
          </w:tcPr>
          <w:p w14:paraId="023C42C5" w14:textId="7DAFFCA4" w:rsidR="00505302" w:rsidRPr="00E75CC8" w:rsidRDefault="00505302" w:rsidP="00505302">
            <w:pPr>
              <w:jc w:val="center"/>
            </w:pPr>
            <w:r w:rsidRPr="00E75CC8">
              <w:t>4/10 mortality</w:t>
            </w:r>
          </w:p>
        </w:tc>
      </w:tr>
      <w:tr w:rsidR="00505302" w14:paraId="035716E4" w14:textId="77777777" w:rsidTr="00186EF3">
        <w:trPr>
          <w:jc w:val="center"/>
        </w:trPr>
        <w:tc>
          <w:tcPr>
            <w:tcW w:w="1705" w:type="dxa"/>
            <w:vMerge/>
          </w:tcPr>
          <w:p w14:paraId="3FA253E8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5179BFA6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46BA3160" w14:textId="77777777" w:rsidR="00505302" w:rsidRPr="00E75CC8" w:rsidRDefault="00505302" w:rsidP="00505302">
            <w:pPr>
              <w:spacing w:line="276" w:lineRule="auto"/>
              <w:jc w:val="center"/>
            </w:pPr>
            <w:r w:rsidRPr="00E75CC8">
              <w:t>180</w:t>
            </w:r>
          </w:p>
        </w:tc>
        <w:tc>
          <w:tcPr>
            <w:tcW w:w="1530" w:type="dxa"/>
          </w:tcPr>
          <w:p w14:paraId="70050331" w14:textId="0BFE8F3D" w:rsidR="00505302" w:rsidRPr="00E75CC8" w:rsidRDefault="00505302" w:rsidP="00505302">
            <w:pPr>
              <w:spacing w:line="276" w:lineRule="auto"/>
              <w:jc w:val="center"/>
            </w:pPr>
            <w:r w:rsidRPr="00E75CC8">
              <w:t>18</w:t>
            </w:r>
            <w:r>
              <w:t>,</w:t>
            </w:r>
            <w:r w:rsidRPr="00E75CC8">
              <w:t>500</w:t>
            </w:r>
          </w:p>
        </w:tc>
        <w:tc>
          <w:tcPr>
            <w:tcW w:w="900" w:type="dxa"/>
          </w:tcPr>
          <w:p w14:paraId="5A904C25" w14:textId="77777777" w:rsidR="00505302" w:rsidRPr="00E75CC8" w:rsidRDefault="00505302" w:rsidP="00505302">
            <w:pPr>
              <w:spacing w:line="276" w:lineRule="auto"/>
              <w:jc w:val="center"/>
            </w:pPr>
            <w:r w:rsidRPr="00E75CC8">
              <w:t>Y</w:t>
            </w:r>
          </w:p>
        </w:tc>
        <w:tc>
          <w:tcPr>
            <w:tcW w:w="2520" w:type="dxa"/>
          </w:tcPr>
          <w:p w14:paraId="6CC60267" w14:textId="3BFECF13" w:rsidR="00505302" w:rsidRPr="00E75CC8" w:rsidRDefault="00505302" w:rsidP="00505302">
            <w:pPr>
              <w:spacing w:line="276" w:lineRule="auto"/>
              <w:jc w:val="center"/>
            </w:pPr>
            <w:r w:rsidRPr="00E75CC8">
              <w:t>0/10 mortality</w:t>
            </w:r>
          </w:p>
        </w:tc>
      </w:tr>
      <w:tr w:rsidR="00505302" w14:paraId="5336BD08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3F15EAD7" w14:textId="32FE01CB" w:rsidR="00505302" w:rsidRPr="009F2248" w:rsidRDefault="00505302" w:rsidP="0050530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Ljunggren </w:t>
            </w:r>
            <w:r>
              <w:t>&amp; Norberg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300B8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1943</w:t>
            </w:r>
            <w:r w:rsidR="00D300B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46DF14EB" w14:textId="24148C44" w:rsidR="00505302" w:rsidRPr="000802E2" w:rsidRDefault="00505302" w:rsidP="00505302">
            <w:pPr>
              <w:spacing w:line="276" w:lineRule="auto"/>
              <w:jc w:val="center"/>
            </w:pPr>
            <w:r>
              <w:t>rat</w:t>
            </w:r>
          </w:p>
        </w:tc>
        <w:tc>
          <w:tcPr>
            <w:tcW w:w="1170" w:type="dxa"/>
          </w:tcPr>
          <w:p w14:paraId="77325AE7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30" w:type="dxa"/>
          </w:tcPr>
          <w:p w14:paraId="61D64075" w14:textId="443A3972" w:rsidR="00505302" w:rsidRPr="000802E2" w:rsidRDefault="00505302" w:rsidP="00505302">
            <w:pPr>
              <w:spacing w:line="276" w:lineRule="auto"/>
              <w:jc w:val="center"/>
            </w:pPr>
            <w:r>
              <w:t>54,000</w:t>
            </w:r>
          </w:p>
        </w:tc>
        <w:tc>
          <w:tcPr>
            <w:tcW w:w="900" w:type="dxa"/>
          </w:tcPr>
          <w:p w14:paraId="3AEAA4CF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</w:tcPr>
          <w:p w14:paraId="56C15DC2" w14:textId="77777777" w:rsidR="00505302" w:rsidRPr="009F2248" w:rsidRDefault="00505302" w:rsidP="0050530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t>1/1 mortality</w:t>
            </w:r>
          </w:p>
        </w:tc>
      </w:tr>
      <w:tr w:rsidR="00505302" w14:paraId="11F8998C" w14:textId="77777777" w:rsidTr="00186EF3">
        <w:trPr>
          <w:jc w:val="center"/>
        </w:trPr>
        <w:tc>
          <w:tcPr>
            <w:tcW w:w="1705" w:type="dxa"/>
            <w:vMerge/>
          </w:tcPr>
          <w:p w14:paraId="75FEC8C6" w14:textId="77777777" w:rsidR="00505302" w:rsidRPr="009F2248" w:rsidRDefault="00505302" w:rsidP="0050530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4A695136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455D5311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30" w:type="dxa"/>
            <w:vAlign w:val="center"/>
          </w:tcPr>
          <w:p w14:paraId="284893D6" w14:textId="020D6160" w:rsidR="00505302" w:rsidRPr="000802E2" w:rsidRDefault="00505302" w:rsidP="00505302">
            <w:pPr>
              <w:spacing w:line="276" w:lineRule="auto"/>
              <w:jc w:val="center"/>
            </w:pPr>
            <w:r>
              <w:t>31,000</w:t>
            </w:r>
          </w:p>
        </w:tc>
        <w:tc>
          <w:tcPr>
            <w:tcW w:w="900" w:type="dxa"/>
          </w:tcPr>
          <w:p w14:paraId="03EADD12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14:paraId="642F9F21" w14:textId="4E2790C1" w:rsidR="00505302" w:rsidRPr="00186EF3" w:rsidRDefault="00505302" w:rsidP="005053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recovered</w:t>
            </w:r>
          </w:p>
        </w:tc>
      </w:tr>
      <w:tr w:rsidR="00505302" w14:paraId="6377D4D7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09273A33" w14:textId="3C067448" w:rsidR="00505302" w:rsidRPr="00C87225" w:rsidRDefault="00D300B8" w:rsidP="0050530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</w:t>
            </w:r>
            <w:r w:rsidR="0050530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505302">
              <w:rPr>
                <w:rFonts w:ascii="Calibri" w:hAnsi="Calibri"/>
                <w:color w:val="000000"/>
              </w:rPr>
              <w:t>1957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40F05BB1" w14:textId="4B6E432B" w:rsidR="00505302" w:rsidRPr="000802E2" w:rsidRDefault="00505302" w:rsidP="00505302">
            <w:pPr>
              <w:spacing w:line="276" w:lineRule="auto"/>
              <w:jc w:val="center"/>
            </w:pPr>
            <w:r>
              <w:t>rat</w:t>
            </w:r>
          </w:p>
        </w:tc>
        <w:tc>
          <w:tcPr>
            <w:tcW w:w="1170" w:type="dxa"/>
            <w:vAlign w:val="center"/>
          </w:tcPr>
          <w:p w14:paraId="5FFA72BC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0" w:type="dxa"/>
            <w:vMerge w:val="restart"/>
            <w:vAlign w:val="center"/>
          </w:tcPr>
          <w:p w14:paraId="2610838B" w14:textId="41D73FA1" w:rsidR="00505302" w:rsidRPr="000802E2" w:rsidRDefault="00505302" w:rsidP="00505302">
            <w:pPr>
              <w:spacing w:line="276" w:lineRule="auto"/>
              <w:jc w:val="center"/>
            </w:pPr>
            <w:r>
              <w:t>218,500</w:t>
            </w:r>
          </w:p>
        </w:tc>
        <w:tc>
          <w:tcPr>
            <w:tcW w:w="900" w:type="dxa"/>
            <w:vAlign w:val="center"/>
          </w:tcPr>
          <w:p w14:paraId="45E09109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2520" w:type="dxa"/>
          </w:tcPr>
          <w:p w14:paraId="5328E8CD" w14:textId="03279F2D" w:rsidR="00505302" w:rsidRPr="000802E2" w:rsidRDefault="00505302" w:rsidP="00505302">
            <w:pPr>
              <w:spacing w:line="276" w:lineRule="auto"/>
              <w:jc w:val="center"/>
            </w:pPr>
            <w:r>
              <w:t>recovered</w:t>
            </w:r>
          </w:p>
        </w:tc>
      </w:tr>
      <w:tr w:rsidR="00505302" w14:paraId="3FF1097F" w14:textId="77777777" w:rsidTr="00186EF3">
        <w:trPr>
          <w:jc w:val="center"/>
        </w:trPr>
        <w:tc>
          <w:tcPr>
            <w:tcW w:w="1705" w:type="dxa"/>
            <w:vMerge/>
          </w:tcPr>
          <w:p w14:paraId="072D2A2E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6AB7D3AA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2940205D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30" w:type="dxa"/>
            <w:vMerge/>
          </w:tcPr>
          <w:p w14:paraId="1C265013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14:paraId="568D8EC8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</w:tcPr>
          <w:p w14:paraId="0FAB7696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2/4 mortality</w:t>
            </w:r>
          </w:p>
        </w:tc>
      </w:tr>
      <w:tr w:rsidR="00505302" w14:paraId="1A938C79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1D061F09" w14:textId="31330519" w:rsidR="00505302" w:rsidRPr="00902446" w:rsidRDefault="00D300B8" w:rsidP="0050530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Terazawa et al.</w:t>
            </w:r>
            <w:r w:rsidR="0050530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505302">
              <w:rPr>
                <w:rFonts w:ascii="Calibri" w:hAnsi="Calibri"/>
                <w:color w:val="000000"/>
              </w:rPr>
              <w:t>1991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0EE16434" w14:textId="180B1FE5" w:rsidR="00505302" w:rsidRPr="000802E2" w:rsidRDefault="00505302" w:rsidP="00505302">
            <w:pPr>
              <w:spacing w:line="276" w:lineRule="auto"/>
              <w:jc w:val="center"/>
            </w:pPr>
            <w:r>
              <w:t>mouse</w:t>
            </w:r>
          </w:p>
        </w:tc>
        <w:tc>
          <w:tcPr>
            <w:tcW w:w="1170" w:type="dxa"/>
          </w:tcPr>
          <w:p w14:paraId="77CDE0C0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0.67</w:t>
            </w:r>
          </w:p>
        </w:tc>
        <w:tc>
          <w:tcPr>
            <w:tcW w:w="1530" w:type="dxa"/>
          </w:tcPr>
          <w:p w14:paraId="303418FE" w14:textId="09B31274" w:rsidR="00505302" w:rsidRPr="000802E2" w:rsidRDefault="00505302" w:rsidP="00505302">
            <w:pPr>
              <w:spacing w:line="276" w:lineRule="auto"/>
              <w:jc w:val="center"/>
            </w:pPr>
            <w:r>
              <w:t>506,000</w:t>
            </w:r>
          </w:p>
        </w:tc>
        <w:tc>
          <w:tcPr>
            <w:tcW w:w="900" w:type="dxa"/>
            <w:vMerge w:val="restart"/>
            <w:vAlign w:val="center"/>
          </w:tcPr>
          <w:p w14:paraId="3E47AE1C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vAlign w:val="center"/>
          </w:tcPr>
          <w:p w14:paraId="5EEF3A11" w14:textId="288E33E5" w:rsidR="00505302" w:rsidRPr="000802E2" w:rsidRDefault="00505302" w:rsidP="00505302">
            <w:pPr>
              <w:spacing w:line="276" w:lineRule="auto"/>
              <w:jc w:val="center"/>
            </w:pPr>
            <w:r>
              <w:t>1/5 mortality</w:t>
            </w:r>
          </w:p>
        </w:tc>
      </w:tr>
      <w:tr w:rsidR="00505302" w14:paraId="4281ADBF" w14:textId="77777777" w:rsidTr="00186EF3">
        <w:trPr>
          <w:jc w:val="center"/>
        </w:trPr>
        <w:tc>
          <w:tcPr>
            <w:tcW w:w="1705" w:type="dxa"/>
            <w:vMerge/>
          </w:tcPr>
          <w:p w14:paraId="2980BFD2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4B4BA82A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307F3B09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0.8</w:t>
            </w:r>
          </w:p>
        </w:tc>
        <w:tc>
          <w:tcPr>
            <w:tcW w:w="1530" w:type="dxa"/>
          </w:tcPr>
          <w:p w14:paraId="1C0891B4" w14:textId="7CE6D179" w:rsidR="00505302" w:rsidRPr="000802E2" w:rsidRDefault="00505302" w:rsidP="00505302">
            <w:pPr>
              <w:spacing w:line="276" w:lineRule="auto"/>
              <w:jc w:val="center"/>
            </w:pPr>
            <w:r>
              <w:t>236,000</w:t>
            </w:r>
          </w:p>
        </w:tc>
        <w:tc>
          <w:tcPr>
            <w:tcW w:w="900" w:type="dxa"/>
            <w:vMerge/>
          </w:tcPr>
          <w:p w14:paraId="60F1EACD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</w:tcPr>
          <w:p w14:paraId="3BC9A9BE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</w:tr>
      <w:tr w:rsidR="00505302" w14:paraId="0A99AFB6" w14:textId="77777777" w:rsidTr="00186EF3">
        <w:trPr>
          <w:jc w:val="center"/>
        </w:trPr>
        <w:tc>
          <w:tcPr>
            <w:tcW w:w="1705" w:type="dxa"/>
            <w:vMerge/>
          </w:tcPr>
          <w:p w14:paraId="03F35C6C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2A2D3B28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24432F8C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1.07</w:t>
            </w:r>
          </w:p>
        </w:tc>
        <w:tc>
          <w:tcPr>
            <w:tcW w:w="1530" w:type="dxa"/>
          </w:tcPr>
          <w:p w14:paraId="4083C24F" w14:textId="037CB68E" w:rsidR="00505302" w:rsidRPr="000802E2" w:rsidRDefault="00505302" w:rsidP="00505302">
            <w:pPr>
              <w:spacing w:line="276" w:lineRule="auto"/>
              <w:jc w:val="center"/>
            </w:pPr>
            <w:r>
              <w:t>340,000</w:t>
            </w:r>
          </w:p>
        </w:tc>
        <w:tc>
          <w:tcPr>
            <w:tcW w:w="900" w:type="dxa"/>
            <w:vMerge/>
          </w:tcPr>
          <w:p w14:paraId="49C137FA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</w:tcPr>
          <w:p w14:paraId="148D44EB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</w:tr>
      <w:tr w:rsidR="00505302" w14:paraId="20C5BB69" w14:textId="77777777" w:rsidTr="00186EF3">
        <w:trPr>
          <w:jc w:val="center"/>
        </w:trPr>
        <w:tc>
          <w:tcPr>
            <w:tcW w:w="1705" w:type="dxa"/>
            <w:vMerge/>
          </w:tcPr>
          <w:p w14:paraId="44F67F68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3F828BA7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0E345B77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1.57</w:t>
            </w:r>
          </w:p>
        </w:tc>
        <w:tc>
          <w:tcPr>
            <w:tcW w:w="1530" w:type="dxa"/>
          </w:tcPr>
          <w:p w14:paraId="09A596E3" w14:textId="16EE8365" w:rsidR="00505302" w:rsidRPr="000802E2" w:rsidRDefault="00505302" w:rsidP="00505302">
            <w:pPr>
              <w:spacing w:line="276" w:lineRule="auto"/>
              <w:jc w:val="center"/>
            </w:pPr>
            <w:r>
              <w:t>116,000</w:t>
            </w:r>
          </w:p>
        </w:tc>
        <w:tc>
          <w:tcPr>
            <w:tcW w:w="900" w:type="dxa"/>
            <w:vMerge/>
          </w:tcPr>
          <w:p w14:paraId="25DDBE31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</w:tcPr>
          <w:p w14:paraId="46D627E8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</w:tr>
      <w:tr w:rsidR="00505302" w14:paraId="351FFB4A" w14:textId="77777777" w:rsidTr="00186EF3">
        <w:trPr>
          <w:jc w:val="center"/>
        </w:trPr>
        <w:tc>
          <w:tcPr>
            <w:tcW w:w="1705" w:type="dxa"/>
            <w:vMerge/>
          </w:tcPr>
          <w:p w14:paraId="5CB37399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14:paraId="6B66A738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14:paraId="5C2A0C19" w14:textId="77777777" w:rsidR="00505302" w:rsidRPr="000802E2" w:rsidRDefault="00505302" w:rsidP="00505302">
            <w:pPr>
              <w:spacing w:line="276" w:lineRule="auto"/>
              <w:jc w:val="center"/>
            </w:pPr>
            <w:r>
              <w:t>3.42</w:t>
            </w:r>
          </w:p>
        </w:tc>
        <w:tc>
          <w:tcPr>
            <w:tcW w:w="1530" w:type="dxa"/>
          </w:tcPr>
          <w:p w14:paraId="541F058E" w14:textId="63401CAB" w:rsidR="00505302" w:rsidRPr="000802E2" w:rsidRDefault="00505302" w:rsidP="00505302">
            <w:pPr>
              <w:spacing w:line="276" w:lineRule="auto"/>
              <w:jc w:val="center"/>
            </w:pPr>
            <w:r>
              <w:t>68,000</w:t>
            </w:r>
          </w:p>
        </w:tc>
        <w:tc>
          <w:tcPr>
            <w:tcW w:w="900" w:type="dxa"/>
            <w:vMerge/>
          </w:tcPr>
          <w:p w14:paraId="3618E9E6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</w:tcPr>
          <w:p w14:paraId="74D1F139" w14:textId="77777777" w:rsidR="00505302" w:rsidRPr="000802E2" w:rsidRDefault="00505302" w:rsidP="00505302">
            <w:pPr>
              <w:spacing w:line="276" w:lineRule="auto"/>
              <w:jc w:val="center"/>
            </w:pPr>
          </w:p>
        </w:tc>
      </w:tr>
      <w:tr w:rsidR="00505302" w14:paraId="62D82C1C" w14:textId="77777777" w:rsidTr="00186EF3">
        <w:trPr>
          <w:jc w:val="center"/>
        </w:trPr>
        <w:tc>
          <w:tcPr>
            <w:tcW w:w="1705" w:type="dxa"/>
          </w:tcPr>
          <w:p w14:paraId="26F808CC" w14:textId="5C7AA687" w:rsidR="00505302" w:rsidRPr="000802E2" w:rsidRDefault="00D300B8" w:rsidP="00505302">
            <w:pPr>
              <w:spacing w:line="276" w:lineRule="auto"/>
              <w:jc w:val="center"/>
            </w:pPr>
            <w:r>
              <w:t>AIHA</w:t>
            </w:r>
            <w:r w:rsidR="00A02AD6">
              <w:t xml:space="preserve"> </w:t>
            </w:r>
            <w:r>
              <w:t>(</w:t>
            </w:r>
            <w:r w:rsidR="00A02AD6">
              <w:t>2016</w:t>
            </w:r>
            <w:r w:rsidR="00505302">
              <w:t xml:space="preserve"> </w:t>
            </w:r>
            <w:r>
              <w:t>)</w:t>
            </w:r>
          </w:p>
        </w:tc>
        <w:tc>
          <w:tcPr>
            <w:tcW w:w="900" w:type="dxa"/>
          </w:tcPr>
          <w:p w14:paraId="14763575" w14:textId="1FCC843D" w:rsidR="00505302" w:rsidRPr="000802E2" w:rsidRDefault="00505302" w:rsidP="00505302">
            <w:pPr>
              <w:spacing w:line="276" w:lineRule="auto"/>
              <w:jc w:val="center"/>
            </w:pPr>
            <w:r>
              <w:t>human</w:t>
            </w:r>
          </w:p>
        </w:tc>
        <w:tc>
          <w:tcPr>
            <w:tcW w:w="1170" w:type="dxa"/>
          </w:tcPr>
          <w:p w14:paraId="15ED7796" w14:textId="77777777" w:rsidR="00505302" w:rsidRDefault="00505302" w:rsidP="0050530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530" w:type="dxa"/>
          </w:tcPr>
          <w:p w14:paraId="5211842B" w14:textId="70E66050" w:rsidR="00505302" w:rsidRPr="00897EA1" w:rsidRDefault="00505302" w:rsidP="00505302">
            <w:pPr>
              <w:spacing w:line="276" w:lineRule="auto"/>
              <w:jc w:val="center"/>
            </w:pPr>
            <w:r>
              <w:t>5,000</w:t>
            </w:r>
          </w:p>
        </w:tc>
        <w:tc>
          <w:tcPr>
            <w:tcW w:w="900" w:type="dxa"/>
          </w:tcPr>
          <w:p w14:paraId="26DF35E8" w14:textId="771814F5" w:rsidR="00505302" w:rsidRPr="000802E2" w:rsidRDefault="00505302" w:rsidP="00505302">
            <w:pPr>
              <w:spacing w:line="276" w:lineRule="auto"/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5C23C20C" w14:textId="292994AF" w:rsidR="00505302" w:rsidRPr="000802E2" w:rsidRDefault="00505302" w:rsidP="00505302">
            <w:pPr>
              <w:spacing w:line="276" w:lineRule="auto"/>
              <w:jc w:val="center"/>
            </w:pPr>
            <w:r>
              <w:t>ERPG-3</w:t>
            </w:r>
          </w:p>
        </w:tc>
      </w:tr>
    </w:tbl>
    <w:p w14:paraId="1A2121A4" w14:textId="1A1EDAFE" w:rsidR="00066779" w:rsidRPr="00066779" w:rsidRDefault="00066779" w:rsidP="002371E2">
      <w:pPr>
        <w:rPr>
          <w:b/>
        </w:rPr>
      </w:pPr>
    </w:p>
    <w:p w14:paraId="343FA684" w14:textId="483A4018" w:rsidR="00B00BAD" w:rsidRPr="004C1C6F" w:rsidRDefault="004A7D75" w:rsidP="00576EBB">
      <w:pPr>
        <w:spacing w:after="240"/>
        <w:rPr>
          <w:strike/>
        </w:rPr>
      </w:pPr>
      <w:r>
        <w:rPr>
          <w:b/>
        </w:rPr>
        <w:br w:type="page"/>
      </w:r>
    </w:p>
    <w:p w14:paraId="76C2C7AB" w14:textId="46B03D77" w:rsidR="00942976" w:rsidRPr="004C1C6F" w:rsidRDefault="00A2595A" w:rsidP="00702876">
      <w:pPr>
        <w:spacing w:after="0"/>
        <w:ind w:left="1530" w:right="900" w:hanging="450"/>
        <w:jc w:val="both"/>
      </w:pPr>
      <w:r>
        <w:rPr>
          <w:b/>
        </w:rPr>
        <w:lastRenderedPageBreak/>
        <w:t>S14</w:t>
      </w:r>
      <w:r w:rsidR="00942976" w:rsidRPr="004C1C6F">
        <w:t>.</w:t>
      </w:r>
      <w:r w:rsidR="00702876">
        <w:tab/>
      </w:r>
      <w:r w:rsidR="00942976">
        <w:t>Laboratory d</w:t>
      </w:r>
      <w:r w:rsidR="00942976" w:rsidRPr="004C1C6F">
        <w:t xml:space="preserve">ata </w:t>
      </w:r>
      <w:r w:rsidR="00942976">
        <w:t>mapped on</w:t>
      </w:r>
      <w:r w:rsidR="00942976" w:rsidRPr="004C1C6F">
        <w:t xml:space="preserve"> </w:t>
      </w:r>
      <w:r w:rsidR="00942976">
        <w:t xml:space="preserve">the LTE </w:t>
      </w:r>
      <w:r w:rsidR="00942976" w:rsidRPr="004C1C6F">
        <w:t xml:space="preserve">plot </w:t>
      </w:r>
      <w:r w:rsidR="00942976">
        <w:t xml:space="preserve">of tier-2 </w:t>
      </w:r>
      <w:r w:rsidR="00942976" w:rsidRPr="004C1C6F">
        <w:t>effects</w:t>
      </w:r>
      <w:r w:rsidR="00942976">
        <w:t xml:space="preserve"> caused by DMS exposures</w:t>
      </w:r>
      <w:r w:rsidR="00942976" w:rsidRPr="004C1C6F"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1170"/>
        <w:gridCol w:w="1530"/>
        <w:gridCol w:w="900"/>
        <w:gridCol w:w="2520"/>
      </w:tblGrid>
      <w:tr w:rsidR="00702876" w14:paraId="789AD43C" w14:textId="77777777" w:rsidTr="00186EF3">
        <w:trPr>
          <w:jc w:val="center"/>
        </w:trPr>
        <w:tc>
          <w:tcPr>
            <w:tcW w:w="1705" w:type="dxa"/>
            <w:vAlign w:val="center"/>
          </w:tcPr>
          <w:p w14:paraId="2972DCA4" w14:textId="77777777" w:rsidR="00702876" w:rsidRDefault="00702876" w:rsidP="0018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900" w:type="dxa"/>
            <w:vAlign w:val="center"/>
          </w:tcPr>
          <w:p w14:paraId="36873A3F" w14:textId="77777777" w:rsidR="00702876" w:rsidRDefault="00702876" w:rsidP="0018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170" w:type="dxa"/>
            <w:vAlign w:val="center"/>
          </w:tcPr>
          <w:p w14:paraId="7CD26557" w14:textId="77777777" w:rsidR="00702876" w:rsidRDefault="00702876" w:rsidP="0018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Duration (min)</w:t>
            </w:r>
          </w:p>
        </w:tc>
        <w:tc>
          <w:tcPr>
            <w:tcW w:w="1530" w:type="dxa"/>
            <w:vAlign w:val="center"/>
          </w:tcPr>
          <w:p w14:paraId="2E86AE5F" w14:textId="77777777" w:rsidR="00702876" w:rsidRDefault="00702876" w:rsidP="0018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Concentration (ppm)</w:t>
            </w:r>
          </w:p>
        </w:tc>
        <w:tc>
          <w:tcPr>
            <w:tcW w:w="900" w:type="dxa"/>
            <w:vAlign w:val="center"/>
          </w:tcPr>
          <w:p w14:paraId="7D4A5FB0" w14:textId="77777777" w:rsidR="00702876" w:rsidRDefault="00702876" w:rsidP="0018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NOEL?</w:t>
            </w:r>
          </w:p>
        </w:tc>
        <w:tc>
          <w:tcPr>
            <w:tcW w:w="2520" w:type="dxa"/>
            <w:vAlign w:val="center"/>
          </w:tcPr>
          <w:p w14:paraId="2945DF78" w14:textId="77777777" w:rsidR="00702876" w:rsidRDefault="00702876" w:rsidP="00186E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6EF3" w14:paraId="3F78C5DD" w14:textId="77777777" w:rsidTr="00186EF3">
        <w:trPr>
          <w:jc w:val="center"/>
        </w:trPr>
        <w:tc>
          <w:tcPr>
            <w:tcW w:w="1705" w:type="dxa"/>
            <w:tcMar>
              <w:left w:w="14" w:type="dxa"/>
              <w:right w:w="14" w:type="dxa"/>
            </w:tcMar>
            <w:vAlign w:val="center"/>
          </w:tcPr>
          <w:p w14:paraId="66CCF33C" w14:textId="70471C18" w:rsidR="00186EF3" w:rsidRPr="00897EA1" w:rsidRDefault="00186EF3" w:rsidP="00186EF3">
            <w:pPr>
              <w:spacing w:line="276" w:lineRule="auto"/>
              <w:jc w:val="center"/>
            </w:pPr>
            <w:r w:rsidRPr="000802E2">
              <w:rPr>
                <w:rFonts w:ascii="Calibri" w:hAnsi="Calibri"/>
                <w:color w:val="000000"/>
              </w:rPr>
              <w:t>Tansy et al.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300B8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1981</w:t>
            </w:r>
            <w:r w:rsidR="00D300B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Align w:val="center"/>
          </w:tcPr>
          <w:p w14:paraId="5F9C454C" w14:textId="483CFA4E" w:rsidR="00186EF3" w:rsidRPr="00897EA1" w:rsidRDefault="00186EF3" w:rsidP="00186EF3">
            <w:pPr>
              <w:spacing w:line="276" w:lineRule="auto"/>
              <w:jc w:val="center"/>
            </w:pPr>
            <w:r w:rsidRPr="00323F68">
              <w:t>rat</w:t>
            </w:r>
          </w:p>
        </w:tc>
        <w:tc>
          <w:tcPr>
            <w:tcW w:w="1170" w:type="dxa"/>
            <w:vAlign w:val="center"/>
          </w:tcPr>
          <w:p w14:paraId="091B6229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14:paraId="7A91616F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36,000</w:t>
            </w:r>
          </w:p>
        </w:tc>
        <w:tc>
          <w:tcPr>
            <w:tcW w:w="900" w:type="dxa"/>
            <w:vAlign w:val="center"/>
          </w:tcPr>
          <w:p w14:paraId="492F012C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Align w:val="center"/>
          </w:tcPr>
          <w:p w14:paraId="2B4CE1A2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2/10 mortality</w:t>
            </w:r>
          </w:p>
        </w:tc>
      </w:tr>
      <w:tr w:rsidR="00186EF3" w14:paraId="03D1CF21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174B8A1A" w14:textId="232CFBFA" w:rsidR="00186EF3" w:rsidRPr="00897EA1" w:rsidRDefault="00186EF3" w:rsidP="00186EF3">
            <w:pPr>
              <w:jc w:val="center"/>
            </w:pPr>
            <w:r w:rsidRPr="00557CEE">
              <w:t>Schoenig</w:t>
            </w:r>
            <w:r>
              <w:t xml:space="preserve"> </w:t>
            </w:r>
            <w:r w:rsidR="00D300B8">
              <w:t>(</w:t>
            </w:r>
            <w:r>
              <w:t>1967b</w:t>
            </w:r>
            <w:r w:rsidR="00D300B8"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47FDC09E" w14:textId="58F7A703" w:rsidR="00186EF3" w:rsidRPr="00897EA1" w:rsidRDefault="00186EF3" w:rsidP="00186EF3">
            <w:pPr>
              <w:spacing w:line="276" w:lineRule="auto"/>
              <w:jc w:val="center"/>
            </w:pPr>
            <w:r w:rsidRPr="00323F68">
              <w:t>rat</w:t>
            </w:r>
          </w:p>
        </w:tc>
        <w:tc>
          <w:tcPr>
            <w:tcW w:w="1170" w:type="dxa"/>
            <w:vAlign w:val="center"/>
          </w:tcPr>
          <w:p w14:paraId="6CD33793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1</w:t>
            </w:r>
          </w:p>
        </w:tc>
        <w:tc>
          <w:tcPr>
            <w:tcW w:w="1530" w:type="dxa"/>
            <w:vAlign w:val="center"/>
          </w:tcPr>
          <w:p w14:paraId="7E07FBDC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195</w:t>
            </w:r>
            <w:r>
              <w:t>,</w:t>
            </w:r>
            <w:r w:rsidRPr="00E62D14">
              <w:t>000</w:t>
            </w:r>
          </w:p>
        </w:tc>
        <w:tc>
          <w:tcPr>
            <w:tcW w:w="900" w:type="dxa"/>
            <w:vMerge w:val="restart"/>
            <w:vAlign w:val="center"/>
          </w:tcPr>
          <w:p w14:paraId="67F1AD5B" w14:textId="77777777" w:rsidR="00186EF3" w:rsidRPr="00E62D14" w:rsidRDefault="00186EF3" w:rsidP="00186EF3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tcMar>
              <w:left w:w="14" w:type="dxa"/>
              <w:right w:w="14" w:type="dxa"/>
            </w:tcMar>
            <w:vAlign w:val="center"/>
          </w:tcPr>
          <w:p w14:paraId="3D947824" w14:textId="5DF33E7A" w:rsidR="00186EF3" w:rsidRPr="00E62D14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onset of unconsciousness</w:t>
            </w:r>
          </w:p>
        </w:tc>
      </w:tr>
      <w:tr w:rsidR="00186EF3" w14:paraId="294EDB3F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2303D47F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4FBC5C1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29DE711B" w14:textId="77777777" w:rsidR="00186EF3" w:rsidRPr="00E62D14" w:rsidRDefault="00186EF3" w:rsidP="00186EF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14:paraId="55A5D32D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81</w:t>
            </w:r>
            <w:r>
              <w:t>,</w:t>
            </w:r>
            <w:r w:rsidRPr="00E62D14">
              <w:t>500</w:t>
            </w:r>
          </w:p>
        </w:tc>
        <w:tc>
          <w:tcPr>
            <w:tcW w:w="900" w:type="dxa"/>
            <w:vMerge/>
            <w:vAlign w:val="center"/>
          </w:tcPr>
          <w:p w14:paraId="7598E521" w14:textId="77777777" w:rsidR="00186EF3" w:rsidRPr="00E62D14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059B13AF" w14:textId="77777777" w:rsidR="00186EF3" w:rsidRPr="00E62D14" w:rsidRDefault="00186EF3" w:rsidP="00186EF3">
            <w:pPr>
              <w:spacing w:line="276" w:lineRule="auto"/>
              <w:jc w:val="center"/>
            </w:pPr>
          </w:p>
        </w:tc>
      </w:tr>
      <w:tr w:rsidR="00186EF3" w14:paraId="59E44531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513DBBFA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48615996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59B69B52" w14:textId="77777777" w:rsidR="00186EF3" w:rsidRPr="00E62D14" w:rsidRDefault="00186EF3" w:rsidP="00186EF3">
            <w:pPr>
              <w:spacing w:line="276" w:lineRule="auto"/>
              <w:jc w:val="center"/>
            </w:pPr>
            <w:r>
              <w:t>2</w:t>
            </w:r>
            <w:r w:rsidRPr="00E62D14">
              <w:t>0</w:t>
            </w:r>
          </w:p>
        </w:tc>
        <w:tc>
          <w:tcPr>
            <w:tcW w:w="1530" w:type="dxa"/>
            <w:vAlign w:val="center"/>
          </w:tcPr>
          <w:p w14:paraId="4D716BBC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42</w:t>
            </w:r>
            <w:r>
              <w:t>,</w:t>
            </w:r>
            <w:r w:rsidRPr="00E62D14">
              <w:t>100</w:t>
            </w:r>
          </w:p>
        </w:tc>
        <w:tc>
          <w:tcPr>
            <w:tcW w:w="900" w:type="dxa"/>
            <w:vMerge/>
            <w:vAlign w:val="center"/>
          </w:tcPr>
          <w:p w14:paraId="6F595C57" w14:textId="77777777" w:rsidR="00186EF3" w:rsidRPr="00E62D14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52386E17" w14:textId="77777777" w:rsidR="00186EF3" w:rsidRPr="00E62D14" w:rsidRDefault="00186EF3" w:rsidP="00186EF3">
            <w:pPr>
              <w:spacing w:line="276" w:lineRule="auto"/>
              <w:jc w:val="center"/>
            </w:pPr>
          </w:p>
        </w:tc>
      </w:tr>
      <w:tr w:rsidR="00186EF3" w14:paraId="4AE55190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253F44AA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0739FBC3" w14:textId="77777777" w:rsidR="00186EF3" w:rsidRPr="00897EA1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67C1EB0" w14:textId="77777777" w:rsidR="00186EF3" w:rsidRPr="00E62D14" w:rsidRDefault="00186EF3" w:rsidP="00186EF3">
            <w:pPr>
              <w:jc w:val="center"/>
            </w:pPr>
            <w:r>
              <w:t>6</w:t>
            </w:r>
            <w:r w:rsidRPr="00E62D14">
              <w:t>0</w:t>
            </w:r>
          </w:p>
        </w:tc>
        <w:tc>
          <w:tcPr>
            <w:tcW w:w="1530" w:type="dxa"/>
            <w:vAlign w:val="center"/>
          </w:tcPr>
          <w:p w14:paraId="72B21E46" w14:textId="77777777" w:rsidR="00186EF3" w:rsidRPr="00E62D14" w:rsidRDefault="00186EF3" w:rsidP="00186EF3">
            <w:pPr>
              <w:jc w:val="center"/>
            </w:pPr>
            <w:r w:rsidRPr="00E62D14">
              <w:t>18</w:t>
            </w:r>
            <w:r>
              <w:t>,</w:t>
            </w:r>
            <w:r w:rsidRPr="00E62D14">
              <w:t>500</w:t>
            </w:r>
          </w:p>
        </w:tc>
        <w:tc>
          <w:tcPr>
            <w:tcW w:w="900" w:type="dxa"/>
            <w:vMerge/>
            <w:vAlign w:val="center"/>
          </w:tcPr>
          <w:p w14:paraId="601E2574" w14:textId="77777777" w:rsidR="00186EF3" w:rsidRPr="00E62D14" w:rsidRDefault="00186EF3" w:rsidP="00186EF3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7F8FCE2B" w14:textId="77777777" w:rsidR="00186EF3" w:rsidRPr="00E62D14" w:rsidRDefault="00186EF3" w:rsidP="00186EF3">
            <w:pPr>
              <w:jc w:val="center"/>
            </w:pPr>
          </w:p>
        </w:tc>
      </w:tr>
      <w:tr w:rsidR="00186EF3" w14:paraId="0A7DB175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51E0795D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2B9CCF2F" w14:textId="77777777" w:rsidR="00186EF3" w:rsidRPr="00897EA1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9C51537" w14:textId="0A0C517A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30" w:type="dxa"/>
            <w:vAlign w:val="center"/>
          </w:tcPr>
          <w:p w14:paraId="58CBC256" w14:textId="04DC988E" w:rsidR="00186EF3" w:rsidRPr="00E62D14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81,500</w:t>
            </w:r>
          </w:p>
        </w:tc>
        <w:tc>
          <w:tcPr>
            <w:tcW w:w="900" w:type="dxa"/>
            <w:vMerge w:val="restart"/>
            <w:vAlign w:val="center"/>
          </w:tcPr>
          <w:p w14:paraId="1BEB318A" w14:textId="0A943CB9" w:rsidR="00186EF3" w:rsidRPr="00E62D14" w:rsidRDefault="00186EF3" w:rsidP="00186EF3">
            <w:pPr>
              <w:jc w:val="center"/>
            </w:pPr>
            <w:r>
              <w:t>Y</w:t>
            </w:r>
          </w:p>
        </w:tc>
        <w:tc>
          <w:tcPr>
            <w:tcW w:w="2520" w:type="dxa"/>
            <w:vAlign w:val="center"/>
          </w:tcPr>
          <w:p w14:paraId="28D83BDF" w14:textId="75679321" w:rsidR="00186EF3" w:rsidRPr="00AB543E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onset of hyperpnea</w:t>
            </w:r>
          </w:p>
        </w:tc>
      </w:tr>
      <w:tr w:rsidR="00186EF3" w14:paraId="7019BAE4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78884686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1F068642" w14:textId="77777777" w:rsidR="00186EF3" w:rsidRPr="00897EA1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85943F4" w14:textId="2518A9F3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30" w:type="dxa"/>
            <w:vAlign w:val="center"/>
          </w:tcPr>
          <w:p w14:paraId="7390C765" w14:textId="3E3C9530" w:rsidR="00186EF3" w:rsidRPr="00E62D14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42,100</w:t>
            </w:r>
          </w:p>
        </w:tc>
        <w:tc>
          <w:tcPr>
            <w:tcW w:w="900" w:type="dxa"/>
            <w:vMerge/>
            <w:vAlign w:val="center"/>
          </w:tcPr>
          <w:p w14:paraId="143E7324" w14:textId="77777777" w:rsidR="00186EF3" w:rsidRPr="00E62D14" w:rsidRDefault="00186EF3" w:rsidP="00186EF3">
            <w:pPr>
              <w:jc w:val="center"/>
            </w:pP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3AD3F2E3" w14:textId="412AD4A5" w:rsidR="00186EF3" w:rsidRPr="00AB543E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last onset of hyperpnea</w:t>
            </w:r>
          </w:p>
        </w:tc>
      </w:tr>
      <w:tr w:rsidR="00186EF3" w14:paraId="2C6E56C4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5A76EA96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1F125E33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1EB49EF9" w14:textId="77777777" w:rsidR="00186EF3" w:rsidRPr="00E62D14" w:rsidRDefault="00186EF3" w:rsidP="00186EF3">
            <w:pPr>
              <w:spacing w:line="276" w:lineRule="auto"/>
              <w:jc w:val="center"/>
            </w:pPr>
            <w:r>
              <w:t>3</w:t>
            </w:r>
            <w:r w:rsidRPr="00E62D14">
              <w:t>0</w:t>
            </w:r>
          </w:p>
        </w:tc>
        <w:tc>
          <w:tcPr>
            <w:tcW w:w="1530" w:type="dxa"/>
            <w:vAlign w:val="center"/>
          </w:tcPr>
          <w:p w14:paraId="12438523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18</w:t>
            </w:r>
            <w:r>
              <w:t>,</w:t>
            </w:r>
            <w:r w:rsidRPr="00E62D14">
              <w:t>500</w:t>
            </w:r>
          </w:p>
        </w:tc>
        <w:tc>
          <w:tcPr>
            <w:tcW w:w="900" w:type="dxa"/>
            <w:vMerge/>
            <w:vAlign w:val="center"/>
          </w:tcPr>
          <w:p w14:paraId="042152D7" w14:textId="73E29B79" w:rsidR="00186EF3" w:rsidRPr="00E62D14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14:paraId="0D73BEE0" w14:textId="73FBFE81" w:rsidR="00186EF3" w:rsidRPr="00E62D14" w:rsidRDefault="00186EF3" w:rsidP="00186EF3">
            <w:pPr>
              <w:spacing w:line="276" w:lineRule="auto"/>
              <w:jc w:val="center"/>
            </w:pPr>
            <w:r>
              <w:t xml:space="preserve">last onset of </w:t>
            </w:r>
            <w:r w:rsidRPr="00E62D14">
              <w:t>tremors</w:t>
            </w:r>
          </w:p>
        </w:tc>
      </w:tr>
      <w:tr w:rsidR="00186EF3" w14:paraId="7C0C8161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20036A4E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3E1208A7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54E2D219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18</w:t>
            </w:r>
          </w:p>
        </w:tc>
        <w:tc>
          <w:tcPr>
            <w:tcW w:w="1530" w:type="dxa"/>
            <w:vAlign w:val="center"/>
          </w:tcPr>
          <w:p w14:paraId="1CA2E459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195</w:t>
            </w:r>
            <w:r>
              <w:t>,</w:t>
            </w:r>
            <w:r w:rsidRPr="00E62D14">
              <w:t>000</w:t>
            </w:r>
          </w:p>
        </w:tc>
        <w:tc>
          <w:tcPr>
            <w:tcW w:w="900" w:type="dxa"/>
            <w:vMerge w:val="restart"/>
            <w:vAlign w:val="center"/>
          </w:tcPr>
          <w:p w14:paraId="2C8ED018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N</w:t>
            </w:r>
          </w:p>
        </w:tc>
        <w:tc>
          <w:tcPr>
            <w:tcW w:w="2520" w:type="dxa"/>
            <w:vMerge w:val="restart"/>
            <w:vAlign w:val="center"/>
          </w:tcPr>
          <w:p w14:paraId="7DD1FE0F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10/10 mortality</w:t>
            </w:r>
          </w:p>
        </w:tc>
      </w:tr>
      <w:tr w:rsidR="00186EF3" w14:paraId="5743A9FA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06CC50DD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746F40B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280D27F5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70</w:t>
            </w:r>
          </w:p>
        </w:tc>
        <w:tc>
          <w:tcPr>
            <w:tcW w:w="1530" w:type="dxa"/>
            <w:vAlign w:val="center"/>
          </w:tcPr>
          <w:p w14:paraId="1BC2B34E" w14:textId="77777777" w:rsidR="00186EF3" w:rsidRPr="00E62D14" w:rsidRDefault="00186EF3" w:rsidP="00186EF3">
            <w:pPr>
              <w:spacing w:line="276" w:lineRule="auto"/>
              <w:jc w:val="center"/>
            </w:pPr>
            <w:r w:rsidRPr="00E62D14">
              <w:t>81</w:t>
            </w:r>
            <w:r>
              <w:t>,</w:t>
            </w:r>
            <w:r w:rsidRPr="00E62D14">
              <w:t>500</w:t>
            </w:r>
          </w:p>
        </w:tc>
        <w:tc>
          <w:tcPr>
            <w:tcW w:w="900" w:type="dxa"/>
            <w:vMerge/>
            <w:vAlign w:val="center"/>
          </w:tcPr>
          <w:p w14:paraId="293559EF" w14:textId="77777777" w:rsidR="00186EF3" w:rsidRPr="00E62D14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7EC7EFB3" w14:textId="77777777" w:rsidR="00186EF3" w:rsidRPr="00E62D14" w:rsidRDefault="00186EF3" w:rsidP="00186EF3">
            <w:pPr>
              <w:spacing w:line="276" w:lineRule="auto"/>
              <w:jc w:val="center"/>
            </w:pPr>
          </w:p>
        </w:tc>
      </w:tr>
      <w:tr w:rsidR="00186EF3" w14:paraId="5516B477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59DCB0B6" w14:textId="77777777" w:rsidR="00186EF3" w:rsidRPr="00897EA1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02742E9B" w14:textId="77777777" w:rsidR="00186EF3" w:rsidRPr="00897EA1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E2CA6C8" w14:textId="77777777" w:rsidR="00186EF3" w:rsidRPr="00E62D14" w:rsidRDefault="00186EF3" w:rsidP="00186EF3">
            <w:pPr>
              <w:jc w:val="center"/>
            </w:pPr>
            <w:r w:rsidRPr="00E62D14">
              <w:t>240</w:t>
            </w:r>
          </w:p>
        </w:tc>
        <w:tc>
          <w:tcPr>
            <w:tcW w:w="1530" w:type="dxa"/>
            <w:vAlign w:val="center"/>
          </w:tcPr>
          <w:p w14:paraId="52072285" w14:textId="77777777" w:rsidR="00186EF3" w:rsidRPr="00E62D14" w:rsidRDefault="00186EF3" w:rsidP="00186EF3">
            <w:pPr>
              <w:jc w:val="center"/>
            </w:pPr>
            <w:r w:rsidRPr="00E62D14">
              <w:t>42</w:t>
            </w:r>
            <w:r>
              <w:t>,</w:t>
            </w:r>
            <w:r w:rsidRPr="00E62D14">
              <w:t>100</w:t>
            </w:r>
          </w:p>
        </w:tc>
        <w:tc>
          <w:tcPr>
            <w:tcW w:w="900" w:type="dxa"/>
            <w:vMerge/>
            <w:vAlign w:val="center"/>
          </w:tcPr>
          <w:p w14:paraId="5F0B76EF" w14:textId="77777777" w:rsidR="00186EF3" w:rsidRPr="00E62D14" w:rsidRDefault="00186EF3" w:rsidP="00186EF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5DE8810" w14:textId="77777777" w:rsidR="00186EF3" w:rsidRPr="00E62D14" w:rsidRDefault="00186EF3" w:rsidP="00186EF3">
            <w:pPr>
              <w:jc w:val="center"/>
            </w:pPr>
            <w:r w:rsidRPr="00E62D14">
              <w:t>4/10 mortality</w:t>
            </w:r>
          </w:p>
        </w:tc>
      </w:tr>
      <w:tr w:rsidR="00186EF3" w14:paraId="48F6E93E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41F7EE84" w14:textId="1542D046" w:rsidR="00186EF3" w:rsidRPr="009F2248" w:rsidRDefault="00D300B8" w:rsidP="00186E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Ljunggren and Norberg</w:t>
            </w:r>
            <w:r w:rsidR="00186EF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186EF3">
              <w:rPr>
                <w:rFonts w:ascii="Calibri" w:hAnsi="Calibri"/>
                <w:color w:val="000000"/>
              </w:rPr>
              <w:t>1943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5F860762" w14:textId="32B98F3F" w:rsidR="00186EF3" w:rsidRPr="000802E2" w:rsidRDefault="00186EF3" w:rsidP="00186EF3">
            <w:pPr>
              <w:jc w:val="center"/>
            </w:pPr>
            <w:r w:rsidRPr="00323F68">
              <w:t>rat</w:t>
            </w:r>
          </w:p>
        </w:tc>
        <w:tc>
          <w:tcPr>
            <w:tcW w:w="1170" w:type="dxa"/>
            <w:vAlign w:val="center"/>
          </w:tcPr>
          <w:p w14:paraId="33D614BE" w14:textId="77777777" w:rsidR="00186EF3" w:rsidRDefault="00186EF3" w:rsidP="00186EF3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36E68435" w14:textId="77777777" w:rsidR="00186EF3" w:rsidRDefault="00186EF3" w:rsidP="00186EF3">
            <w:pPr>
              <w:jc w:val="center"/>
            </w:pPr>
            <w:r>
              <w:t>54,000</w:t>
            </w:r>
          </w:p>
        </w:tc>
        <w:tc>
          <w:tcPr>
            <w:tcW w:w="900" w:type="dxa"/>
            <w:vMerge w:val="restart"/>
            <w:vAlign w:val="center"/>
          </w:tcPr>
          <w:p w14:paraId="4BA82A9E" w14:textId="541D05D1" w:rsidR="00186EF3" w:rsidRPr="00897EA1" w:rsidRDefault="00186EF3" w:rsidP="00186EF3">
            <w:pPr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vAlign w:val="center"/>
          </w:tcPr>
          <w:p w14:paraId="0D77D36E" w14:textId="7A33B7FC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1/1 unconsciousness</w:t>
            </w:r>
          </w:p>
        </w:tc>
      </w:tr>
      <w:tr w:rsidR="00186EF3" w14:paraId="163B701F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435ED7E6" w14:textId="77777777" w:rsidR="00186EF3" w:rsidRPr="009F2248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288D6D5F" w14:textId="77777777" w:rsidR="00186EF3" w:rsidRPr="000802E2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4A98EAE" w14:textId="77777777" w:rsidR="00186EF3" w:rsidRDefault="00186EF3" w:rsidP="00186EF3">
            <w:pPr>
              <w:jc w:val="center"/>
            </w:pPr>
            <w:r>
              <w:t>20</w:t>
            </w:r>
          </w:p>
        </w:tc>
        <w:tc>
          <w:tcPr>
            <w:tcW w:w="1530" w:type="dxa"/>
            <w:vAlign w:val="center"/>
          </w:tcPr>
          <w:p w14:paraId="07D399C2" w14:textId="77777777" w:rsidR="00186EF3" w:rsidRDefault="00186EF3" w:rsidP="00186EF3">
            <w:pPr>
              <w:jc w:val="center"/>
            </w:pPr>
            <w:r>
              <w:t>31,000</w:t>
            </w:r>
          </w:p>
        </w:tc>
        <w:tc>
          <w:tcPr>
            <w:tcW w:w="900" w:type="dxa"/>
            <w:vMerge/>
            <w:vAlign w:val="center"/>
          </w:tcPr>
          <w:p w14:paraId="2FB15FF4" w14:textId="77777777" w:rsidR="00186EF3" w:rsidRPr="00897EA1" w:rsidRDefault="00186EF3" w:rsidP="00186EF3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42BAE04B" w14:textId="77777777" w:rsidR="00186EF3" w:rsidRDefault="00186EF3" w:rsidP="00186EF3">
            <w:pPr>
              <w:jc w:val="center"/>
            </w:pPr>
          </w:p>
        </w:tc>
      </w:tr>
      <w:tr w:rsidR="00186EF3" w14:paraId="42F27585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014904B2" w14:textId="77777777" w:rsidR="00186EF3" w:rsidRPr="009F2248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6945D350" w14:textId="77777777" w:rsidR="00186EF3" w:rsidRPr="000802E2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6C89C2D" w14:textId="77777777" w:rsidR="00186EF3" w:rsidRDefault="00186EF3" w:rsidP="00186EF3">
            <w:pPr>
              <w:jc w:val="center"/>
            </w:pPr>
            <w:r>
              <w:t>30</w:t>
            </w:r>
          </w:p>
        </w:tc>
        <w:tc>
          <w:tcPr>
            <w:tcW w:w="1530" w:type="dxa"/>
            <w:vAlign w:val="center"/>
          </w:tcPr>
          <w:p w14:paraId="491C2FCE" w14:textId="77777777" w:rsidR="00186EF3" w:rsidRDefault="00186EF3" w:rsidP="00186EF3">
            <w:pPr>
              <w:jc w:val="center"/>
            </w:pPr>
            <w:r>
              <w:t>29,000</w:t>
            </w:r>
          </w:p>
        </w:tc>
        <w:tc>
          <w:tcPr>
            <w:tcW w:w="900" w:type="dxa"/>
            <w:vMerge/>
            <w:vAlign w:val="center"/>
          </w:tcPr>
          <w:p w14:paraId="405D044D" w14:textId="77777777" w:rsidR="00186EF3" w:rsidRPr="00897EA1" w:rsidRDefault="00186EF3" w:rsidP="00186EF3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4B7AD963" w14:textId="77777777" w:rsidR="00186EF3" w:rsidRDefault="00186EF3" w:rsidP="00186EF3">
            <w:pPr>
              <w:jc w:val="center"/>
            </w:pPr>
          </w:p>
        </w:tc>
      </w:tr>
      <w:tr w:rsidR="00186EF3" w14:paraId="760F1677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471551B4" w14:textId="77777777" w:rsidR="00186EF3" w:rsidRPr="009F2248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17EC4C5F" w14:textId="77777777" w:rsidR="00186EF3" w:rsidRPr="000802E2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F3A9427" w14:textId="33AF48C0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vAlign w:val="center"/>
          </w:tcPr>
          <w:p w14:paraId="65528C7C" w14:textId="6686AF89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31,000</w:t>
            </w:r>
          </w:p>
        </w:tc>
        <w:tc>
          <w:tcPr>
            <w:tcW w:w="900" w:type="dxa"/>
            <w:vMerge w:val="restart"/>
            <w:vAlign w:val="center"/>
          </w:tcPr>
          <w:p w14:paraId="2AE4559A" w14:textId="161414A7" w:rsidR="00186EF3" w:rsidRPr="00897EA1" w:rsidRDefault="00186EF3" w:rsidP="00186EF3">
            <w:pPr>
              <w:jc w:val="center"/>
            </w:pPr>
            <w:r>
              <w:t>Y</w:t>
            </w:r>
          </w:p>
        </w:tc>
        <w:tc>
          <w:tcPr>
            <w:tcW w:w="2520" w:type="dxa"/>
            <w:vMerge w:val="restart"/>
            <w:vAlign w:val="center"/>
          </w:tcPr>
          <w:p w14:paraId="14B4C5A5" w14:textId="030638D5" w:rsidR="00186EF3" w:rsidRPr="00186EF3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staggered in attempt to rise</w:t>
            </w:r>
          </w:p>
        </w:tc>
      </w:tr>
      <w:tr w:rsidR="00186EF3" w14:paraId="34E38E99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032B900A" w14:textId="77777777" w:rsidR="00186EF3" w:rsidRPr="009F2248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39417C5E" w14:textId="77777777" w:rsidR="00186EF3" w:rsidRPr="000802E2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04CE67D" w14:textId="45E14830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30" w:type="dxa"/>
            <w:vAlign w:val="center"/>
          </w:tcPr>
          <w:p w14:paraId="413306B4" w14:textId="441B110A" w:rsidR="00186EF3" w:rsidRDefault="00186EF3" w:rsidP="00186EF3">
            <w:pPr>
              <w:jc w:val="center"/>
            </w:pPr>
            <w:r>
              <w:rPr>
                <w:rFonts w:ascii="Calibri" w:hAnsi="Calibri"/>
                <w:color w:val="000000"/>
              </w:rPr>
              <w:t>29,000</w:t>
            </w:r>
          </w:p>
        </w:tc>
        <w:tc>
          <w:tcPr>
            <w:tcW w:w="900" w:type="dxa"/>
            <w:vMerge/>
            <w:vAlign w:val="center"/>
          </w:tcPr>
          <w:p w14:paraId="5D94F132" w14:textId="77777777" w:rsidR="00186EF3" w:rsidRPr="00897EA1" w:rsidRDefault="00186EF3" w:rsidP="00186EF3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35F5E1C8" w14:textId="77777777" w:rsidR="00186EF3" w:rsidRDefault="00186EF3" w:rsidP="00186EF3">
            <w:pPr>
              <w:jc w:val="center"/>
            </w:pPr>
          </w:p>
        </w:tc>
      </w:tr>
      <w:tr w:rsidR="00186EF3" w14:paraId="5C34FB38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6A933EE3" w14:textId="77777777" w:rsidR="00186EF3" w:rsidRPr="009F2248" w:rsidRDefault="00186EF3" w:rsidP="00186EF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2DE086EC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19A4DA43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30" w:type="dxa"/>
            <w:vAlign w:val="center"/>
          </w:tcPr>
          <w:p w14:paraId="6455FD9A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13,000</w:t>
            </w:r>
          </w:p>
        </w:tc>
        <w:tc>
          <w:tcPr>
            <w:tcW w:w="900" w:type="dxa"/>
            <w:vMerge/>
            <w:vAlign w:val="center"/>
          </w:tcPr>
          <w:p w14:paraId="53E640DA" w14:textId="6C416171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4352D7FE" w14:textId="77777777" w:rsidR="00186EF3" w:rsidRPr="00AB543E" w:rsidRDefault="00186EF3" w:rsidP="00186E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43E">
              <w:rPr>
                <w:sz w:val="18"/>
                <w:szCs w:val="18"/>
              </w:rPr>
              <w:t>immediately alert upon release</w:t>
            </w:r>
          </w:p>
        </w:tc>
      </w:tr>
      <w:tr w:rsidR="00186EF3" w14:paraId="49FC4751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7AD82D24" w14:textId="77777777" w:rsidR="00186EF3" w:rsidRPr="009F2248" w:rsidRDefault="00186EF3" w:rsidP="00186EF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5248A986" w14:textId="77777777" w:rsidR="00186EF3" w:rsidRPr="000802E2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89C65CD" w14:textId="345EB524" w:rsidR="00186EF3" w:rsidRDefault="00186EF3" w:rsidP="00186EF3">
            <w:pPr>
              <w:jc w:val="center"/>
            </w:pPr>
            <w:r>
              <w:t>15</w:t>
            </w:r>
          </w:p>
        </w:tc>
        <w:tc>
          <w:tcPr>
            <w:tcW w:w="1530" w:type="dxa"/>
            <w:vAlign w:val="center"/>
          </w:tcPr>
          <w:p w14:paraId="32FA476F" w14:textId="3057EA57" w:rsidR="00186EF3" w:rsidRDefault="00186EF3" w:rsidP="00186EF3">
            <w:pPr>
              <w:jc w:val="center"/>
            </w:pPr>
            <w:r>
              <w:t>54,000</w:t>
            </w:r>
          </w:p>
        </w:tc>
        <w:tc>
          <w:tcPr>
            <w:tcW w:w="900" w:type="dxa"/>
            <w:vAlign w:val="center"/>
          </w:tcPr>
          <w:p w14:paraId="46933E9F" w14:textId="37C5D14A" w:rsidR="00186EF3" w:rsidRDefault="00186EF3" w:rsidP="00186EF3">
            <w:pPr>
              <w:jc w:val="center"/>
            </w:pPr>
            <w:r>
              <w:t>N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19D636AD" w14:textId="3AFADAE0" w:rsidR="00186EF3" w:rsidRPr="00AB543E" w:rsidRDefault="00186EF3" w:rsidP="00186EF3">
            <w:pPr>
              <w:jc w:val="center"/>
              <w:rPr>
                <w:sz w:val="18"/>
                <w:szCs w:val="18"/>
              </w:rPr>
            </w:pPr>
            <w:r>
              <w:t>1/1</w:t>
            </w:r>
            <w:r w:rsidRPr="00A979ED">
              <w:t xml:space="preserve"> mortality</w:t>
            </w:r>
          </w:p>
        </w:tc>
      </w:tr>
      <w:tr w:rsidR="00186EF3" w14:paraId="2A483942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77968C46" w14:textId="777C4F80" w:rsidR="00186EF3" w:rsidRPr="00897EA1" w:rsidRDefault="00186EF3" w:rsidP="00186EF3">
            <w:pPr>
              <w:spacing w:line="276" w:lineRule="auto"/>
              <w:jc w:val="center"/>
            </w:pPr>
            <w:r w:rsidRPr="001F158C">
              <w:t>Zieve et al.</w:t>
            </w:r>
            <w:r>
              <w:t xml:space="preserve"> </w:t>
            </w:r>
            <w:r w:rsidR="00D300B8">
              <w:t>(</w:t>
            </w:r>
            <w:r>
              <w:t>1974</w:t>
            </w:r>
            <w:r w:rsidR="00D300B8"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65906013" w14:textId="41431F9E" w:rsidR="00186EF3" w:rsidRPr="00897EA1" w:rsidRDefault="00186EF3" w:rsidP="00186EF3">
            <w:pPr>
              <w:spacing w:line="276" w:lineRule="auto"/>
              <w:jc w:val="center"/>
            </w:pPr>
            <w:r w:rsidRPr="00323F68">
              <w:t>rat</w:t>
            </w:r>
          </w:p>
        </w:tc>
        <w:tc>
          <w:tcPr>
            <w:tcW w:w="1170" w:type="dxa"/>
            <w:vMerge w:val="restart"/>
            <w:vAlign w:val="center"/>
          </w:tcPr>
          <w:p w14:paraId="6EC2A279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30" w:type="dxa"/>
            <w:vAlign w:val="center"/>
          </w:tcPr>
          <w:p w14:paraId="3BDFF98A" w14:textId="77777777" w:rsidR="00186EF3" w:rsidRPr="00897EA1" w:rsidRDefault="00186EF3" w:rsidP="00186EF3">
            <w:pPr>
              <w:spacing w:line="276" w:lineRule="auto"/>
              <w:jc w:val="center"/>
            </w:pPr>
            <w:r w:rsidRPr="003407DF">
              <w:t>74,643</w:t>
            </w:r>
          </w:p>
        </w:tc>
        <w:tc>
          <w:tcPr>
            <w:tcW w:w="900" w:type="dxa"/>
            <w:vAlign w:val="center"/>
          </w:tcPr>
          <w:p w14:paraId="11D253E5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Align w:val="center"/>
          </w:tcPr>
          <w:p w14:paraId="4CE9394E" w14:textId="77777777" w:rsidR="00186EF3" w:rsidRPr="00897EA1" w:rsidRDefault="00186EF3" w:rsidP="00186EF3">
            <w:pPr>
              <w:spacing w:line="276" w:lineRule="auto"/>
              <w:jc w:val="center"/>
            </w:pPr>
            <w:r w:rsidRPr="001F158C">
              <w:t>2/12 coma</w:t>
            </w:r>
          </w:p>
        </w:tc>
      </w:tr>
      <w:tr w:rsidR="00186EF3" w14:paraId="5FC28DB2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2FC95D3D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5B0AB2D8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447BDF76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530" w:type="dxa"/>
            <w:vAlign w:val="center"/>
          </w:tcPr>
          <w:p w14:paraId="5F388749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74,400</w:t>
            </w:r>
          </w:p>
        </w:tc>
        <w:tc>
          <w:tcPr>
            <w:tcW w:w="900" w:type="dxa"/>
            <w:vAlign w:val="center"/>
          </w:tcPr>
          <w:p w14:paraId="332F7770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2520" w:type="dxa"/>
            <w:vAlign w:val="center"/>
          </w:tcPr>
          <w:p w14:paraId="3F05E22C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no</w:t>
            </w:r>
            <w:r w:rsidRPr="001F158C">
              <w:t xml:space="preserve"> coma</w:t>
            </w:r>
          </w:p>
        </w:tc>
      </w:tr>
      <w:tr w:rsidR="00186EF3" w14:paraId="57CC2D11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45C2CC17" w14:textId="0FF4358E" w:rsidR="00186EF3" w:rsidRPr="00C87225" w:rsidRDefault="00D300B8" w:rsidP="00186EF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</w:t>
            </w:r>
            <w:r w:rsidR="00186EF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186EF3">
              <w:rPr>
                <w:rFonts w:ascii="Calibri" w:hAnsi="Calibri"/>
                <w:color w:val="000000"/>
              </w:rPr>
              <w:t>1957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5D1C73CF" w14:textId="502C35A2" w:rsidR="00186EF3" w:rsidRPr="000802E2" w:rsidRDefault="00186EF3" w:rsidP="00186EF3">
            <w:pPr>
              <w:spacing w:line="276" w:lineRule="auto"/>
              <w:jc w:val="center"/>
            </w:pPr>
            <w:r w:rsidRPr="00323F68">
              <w:t>rat</w:t>
            </w:r>
          </w:p>
        </w:tc>
        <w:tc>
          <w:tcPr>
            <w:tcW w:w="1170" w:type="dxa"/>
            <w:vAlign w:val="center"/>
          </w:tcPr>
          <w:p w14:paraId="2793A3CB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0" w:type="dxa"/>
            <w:vMerge w:val="restart"/>
            <w:vAlign w:val="center"/>
          </w:tcPr>
          <w:p w14:paraId="65FF632F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218,500</w:t>
            </w:r>
          </w:p>
        </w:tc>
        <w:tc>
          <w:tcPr>
            <w:tcW w:w="900" w:type="dxa"/>
            <w:vMerge w:val="restart"/>
            <w:vAlign w:val="center"/>
          </w:tcPr>
          <w:p w14:paraId="6513E3B6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Align w:val="center"/>
          </w:tcPr>
          <w:p w14:paraId="4713A5CB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unconsciousness</w:t>
            </w:r>
          </w:p>
        </w:tc>
      </w:tr>
      <w:tr w:rsidR="00186EF3" w14:paraId="0B84D016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4EE9DA96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7C739E88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7A95B2C6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30" w:type="dxa"/>
            <w:vMerge/>
            <w:vAlign w:val="center"/>
          </w:tcPr>
          <w:p w14:paraId="5BF8615F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E0A3309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Align w:val="center"/>
          </w:tcPr>
          <w:p w14:paraId="1854E293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2/4 mortality</w:t>
            </w:r>
          </w:p>
        </w:tc>
      </w:tr>
      <w:tr w:rsidR="00186EF3" w14:paraId="1AC6631B" w14:textId="77777777" w:rsidTr="00186EF3">
        <w:trPr>
          <w:jc w:val="center"/>
        </w:trPr>
        <w:tc>
          <w:tcPr>
            <w:tcW w:w="1705" w:type="dxa"/>
            <w:vMerge w:val="restart"/>
            <w:vAlign w:val="center"/>
          </w:tcPr>
          <w:p w14:paraId="012F95B1" w14:textId="446B0D6B" w:rsidR="00186EF3" w:rsidRPr="00902446" w:rsidRDefault="00D300B8" w:rsidP="00186EF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Terazawa et al.</w:t>
            </w:r>
            <w:r w:rsidR="00186EF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186EF3">
              <w:rPr>
                <w:rFonts w:ascii="Calibri" w:hAnsi="Calibri"/>
                <w:color w:val="000000"/>
              </w:rPr>
              <w:t>1991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198E5589" w14:textId="08F0F731" w:rsidR="00186EF3" w:rsidRPr="000802E2" w:rsidRDefault="00186EF3" w:rsidP="00186EF3">
            <w:pPr>
              <w:spacing w:line="276" w:lineRule="auto"/>
              <w:jc w:val="center"/>
            </w:pPr>
            <w:r>
              <w:t>mouse</w:t>
            </w:r>
          </w:p>
        </w:tc>
        <w:tc>
          <w:tcPr>
            <w:tcW w:w="1170" w:type="dxa"/>
            <w:vAlign w:val="center"/>
          </w:tcPr>
          <w:p w14:paraId="04741F06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0.13</w:t>
            </w:r>
          </w:p>
        </w:tc>
        <w:tc>
          <w:tcPr>
            <w:tcW w:w="1530" w:type="dxa"/>
            <w:vAlign w:val="center"/>
          </w:tcPr>
          <w:p w14:paraId="75D6D546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506,000</w:t>
            </w:r>
          </w:p>
        </w:tc>
        <w:tc>
          <w:tcPr>
            <w:tcW w:w="900" w:type="dxa"/>
            <w:vMerge w:val="restart"/>
            <w:vAlign w:val="center"/>
          </w:tcPr>
          <w:p w14:paraId="77B01696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N</w:t>
            </w:r>
          </w:p>
        </w:tc>
        <w:tc>
          <w:tcPr>
            <w:tcW w:w="2520" w:type="dxa"/>
            <w:vMerge w:val="restart"/>
            <w:vAlign w:val="center"/>
          </w:tcPr>
          <w:p w14:paraId="395F5ED8" w14:textId="498E6FEA" w:rsidR="00186EF3" w:rsidRPr="00897EA1" w:rsidRDefault="00186EF3" w:rsidP="00186EF3">
            <w:pPr>
              <w:spacing w:line="276" w:lineRule="auto"/>
              <w:jc w:val="center"/>
            </w:pPr>
            <w:r>
              <w:t>1/5 coma</w:t>
            </w:r>
          </w:p>
        </w:tc>
      </w:tr>
      <w:tr w:rsidR="00186EF3" w14:paraId="160F2F2C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47D4C618" w14:textId="77777777" w:rsidR="00186EF3" w:rsidRDefault="00186EF3" w:rsidP="00186EF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48C064E7" w14:textId="77777777" w:rsidR="00186EF3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17EBD81F" w14:textId="77777777" w:rsidR="00186EF3" w:rsidRDefault="00186EF3" w:rsidP="00186EF3">
            <w:pPr>
              <w:spacing w:line="276" w:lineRule="auto"/>
              <w:jc w:val="center"/>
            </w:pPr>
            <w:r>
              <w:t>0.27</w:t>
            </w:r>
          </w:p>
        </w:tc>
        <w:tc>
          <w:tcPr>
            <w:tcW w:w="1530" w:type="dxa"/>
            <w:vAlign w:val="center"/>
          </w:tcPr>
          <w:p w14:paraId="4DCEEDCF" w14:textId="77777777" w:rsidR="00186EF3" w:rsidRDefault="00186EF3" w:rsidP="00186EF3">
            <w:pPr>
              <w:spacing w:line="276" w:lineRule="auto"/>
              <w:jc w:val="center"/>
            </w:pPr>
            <w:r>
              <w:t>340,000</w:t>
            </w:r>
          </w:p>
        </w:tc>
        <w:tc>
          <w:tcPr>
            <w:tcW w:w="900" w:type="dxa"/>
            <w:vMerge/>
            <w:vAlign w:val="center"/>
          </w:tcPr>
          <w:p w14:paraId="2E0D77D9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55BB85F7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41DD7C92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5F9167AD" w14:textId="77777777" w:rsidR="00186EF3" w:rsidRDefault="00186EF3" w:rsidP="00186EF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684336A1" w14:textId="77777777" w:rsidR="00186EF3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7593B612" w14:textId="77777777" w:rsidR="00186EF3" w:rsidRDefault="00186EF3" w:rsidP="00186EF3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530" w:type="dxa"/>
            <w:vAlign w:val="center"/>
          </w:tcPr>
          <w:p w14:paraId="3EBCCCD8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</w:rPr>
              <w:t>236,000</w:t>
            </w:r>
          </w:p>
        </w:tc>
        <w:tc>
          <w:tcPr>
            <w:tcW w:w="900" w:type="dxa"/>
            <w:vMerge/>
            <w:vAlign w:val="center"/>
          </w:tcPr>
          <w:p w14:paraId="0BA8159D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4A51DECF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7814708E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6900D0EB" w14:textId="77777777" w:rsidR="00186EF3" w:rsidRPr="000802E2" w:rsidRDefault="00186EF3" w:rsidP="00186EF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5F5BA614" w14:textId="77777777" w:rsidR="00186EF3" w:rsidRPr="000802E2" w:rsidRDefault="00186EF3" w:rsidP="00186E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9FF3DE2" w14:textId="77777777" w:rsidR="00186EF3" w:rsidRDefault="00186EF3" w:rsidP="00186EF3">
            <w:pPr>
              <w:jc w:val="center"/>
            </w:pPr>
            <w:r>
              <w:t>0.33</w:t>
            </w:r>
          </w:p>
        </w:tc>
        <w:tc>
          <w:tcPr>
            <w:tcW w:w="1530" w:type="dxa"/>
            <w:vAlign w:val="center"/>
          </w:tcPr>
          <w:p w14:paraId="2FF5E12B" w14:textId="77777777" w:rsidR="00186EF3" w:rsidRDefault="00186EF3" w:rsidP="00186EF3">
            <w:pPr>
              <w:jc w:val="center"/>
            </w:pPr>
            <w:r>
              <w:t>116,000</w:t>
            </w:r>
          </w:p>
        </w:tc>
        <w:tc>
          <w:tcPr>
            <w:tcW w:w="900" w:type="dxa"/>
            <w:vMerge/>
            <w:vAlign w:val="center"/>
          </w:tcPr>
          <w:p w14:paraId="589654C4" w14:textId="77777777" w:rsidR="00186EF3" w:rsidRPr="00897EA1" w:rsidRDefault="00186EF3" w:rsidP="00186EF3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1A3ED8EB" w14:textId="77777777" w:rsidR="00186EF3" w:rsidRPr="00897EA1" w:rsidRDefault="00186EF3" w:rsidP="00186EF3">
            <w:pPr>
              <w:jc w:val="center"/>
            </w:pPr>
          </w:p>
        </w:tc>
      </w:tr>
      <w:tr w:rsidR="00186EF3" w14:paraId="30320C0E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432EF8D6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7C0D1051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1C37E6D1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0.67</w:t>
            </w:r>
          </w:p>
        </w:tc>
        <w:tc>
          <w:tcPr>
            <w:tcW w:w="1530" w:type="dxa"/>
            <w:vAlign w:val="center"/>
          </w:tcPr>
          <w:p w14:paraId="279EAF47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68,000</w:t>
            </w:r>
          </w:p>
        </w:tc>
        <w:tc>
          <w:tcPr>
            <w:tcW w:w="900" w:type="dxa"/>
            <w:vMerge/>
            <w:vAlign w:val="center"/>
          </w:tcPr>
          <w:p w14:paraId="3F543312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1C38200B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64065F62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0B05488F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4BD56C3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4EB65540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0.67</w:t>
            </w:r>
          </w:p>
        </w:tc>
        <w:tc>
          <w:tcPr>
            <w:tcW w:w="1530" w:type="dxa"/>
            <w:vAlign w:val="center"/>
          </w:tcPr>
          <w:p w14:paraId="43F14CFE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506,000</w:t>
            </w:r>
          </w:p>
        </w:tc>
        <w:tc>
          <w:tcPr>
            <w:tcW w:w="900" w:type="dxa"/>
            <w:vMerge/>
            <w:vAlign w:val="center"/>
          </w:tcPr>
          <w:p w14:paraId="3F5DDB5E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 w:val="restart"/>
            <w:vAlign w:val="center"/>
          </w:tcPr>
          <w:p w14:paraId="0EB58044" w14:textId="77777777" w:rsidR="00186EF3" w:rsidRPr="00897EA1" w:rsidRDefault="00186EF3" w:rsidP="00186EF3">
            <w:pPr>
              <w:spacing w:line="276" w:lineRule="auto"/>
              <w:jc w:val="center"/>
            </w:pPr>
            <w:r>
              <w:t>1/5 mortality</w:t>
            </w:r>
          </w:p>
        </w:tc>
      </w:tr>
      <w:tr w:rsidR="00186EF3" w14:paraId="095B224C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638612A8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2986B1FE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2F671386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530" w:type="dxa"/>
            <w:vAlign w:val="center"/>
          </w:tcPr>
          <w:p w14:paraId="2064C2A4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</w:rPr>
              <w:t>340,000</w:t>
            </w:r>
          </w:p>
        </w:tc>
        <w:tc>
          <w:tcPr>
            <w:tcW w:w="900" w:type="dxa"/>
            <w:vMerge/>
            <w:vAlign w:val="center"/>
          </w:tcPr>
          <w:p w14:paraId="108E26DB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38755C1A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34BEBD77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083F70B7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04D3CB51" w14:textId="77777777" w:rsidR="00186EF3" w:rsidRPr="000802E2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4C2B83B2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0.8</w:t>
            </w:r>
          </w:p>
        </w:tc>
        <w:tc>
          <w:tcPr>
            <w:tcW w:w="1530" w:type="dxa"/>
            <w:vAlign w:val="center"/>
          </w:tcPr>
          <w:p w14:paraId="3C681004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236,000</w:t>
            </w:r>
          </w:p>
        </w:tc>
        <w:tc>
          <w:tcPr>
            <w:tcW w:w="900" w:type="dxa"/>
            <w:vMerge/>
            <w:vAlign w:val="center"/>
          </w:tcPr>
          <w:p w14:paraId="20187FD8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66ED32B2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7184E8A6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1477602A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42B0EE3E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18B0A933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1.57</w:t>
            </w:r>
          </w:p>
        </w:tc>
        <w:tc>
          <w:tcPr>
            <w:tcW w:w="1530" w:type="dxa"/>
            <w:vAlign w:val="center"/>
          </w:tcPr>
          <w:p w14:paraId="4C57D9DA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116,000</w:t>
            </w:r>
          </w:p>
        </w:tc>
        <w:tc>
          <w:tcPr>
            <w:tcW w:w="900" w:type="dxa"/>
            <w:vMerge/>
            <w:vAlign w:val="center"/>
          </w:tcPr>
          <w:p w14:paraId="6DE5EF90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292452B0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6D829C48" w14:textId="77777777" w:rsidTr="00186EF3">
        <w:trPr>
          <w:jc w:val="center"/>
        </w:trPr>
        <w:tc>
          <w:tcPr>
            <w:tcW w:w="1705" w:type="dxa"/>
            <w:vMerge/>
            <w:vAlign w:val="center"/>
          </w:tcPr>
          <w:p w14:paraId="12DE29C9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FF5B2B2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3FD55D16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3.42</w:t>
            </w:r>
          </w:p>
        </w:tc>
        <w:tc>
          <w:tcPr>
            <w:tcW w:w="1530" w:type="dxa"/>
            <w:vAlign w:val="center"/>
          </w:tcPr>
          <w:p w14:paraId="7760E9BC" w14:textId="77777777" w:rsidR="00186EF3" w:rsidRPr="000802E2" w:rsidRDefault="00186EF3" w:rsidP="00186EF3">
            <w:pPr>
              <w:spacing w:line="276" w:lineRule="auto"/>
              <w:jc w:val="center"/>
            </w:pPr>
            <w:r>
              <w:t>68,000</w:t>
            </w:r>
          </w:p>
        </w:tc>
        <w:tc>
          <w:tcPr>
            <w:tcW w:w="900" w:type="dxa"/>
            <w:vMerge/>
            <w:vAlign w:val="center"/>
          </w:tcPr>
          <w:p w14:paraId="307A32B3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5AF7BFB6" w14:textId="77777777" w:rsidR="00186EF3" w:rsidRPr="00897EA1" w:rsidRDefault="00186EF3" w:rsidP="00186EF3">
            <w:pPr>
              <w:spacing w:line="276" w:lineRule="auto"/>
              <w:jc w:val="center"/>
            </w:pPr>
          </w:p>
        </w:tc>
      </w:tr>
      <w:tr w:rsidR="00186EF3" w14:paraId="2535AB61" w14:textId="77777777" w:rsidTr="00186EF3">
        <w:trPr>
          <w:jc w:val="center"/>
        </w:trPr>
        <w:tc>
          <w:tcPr>
            <w:tcW w:w="1705" w:type="dxa"/>
            <w:vAlign w:val="center"/>
          </w:tcPr>
          <w:p w14:paraId="53A5BAEC" w14:textId="03868EB6" w:rsidR="00186EF3" w:rsidRPr="00897EA1" w:rsidRDefault="00D300B8" w:rsidP="00186EF3">
            <w:pPr>
              <w:jc w:val="center"/>
            </w:pPr>
            <w:r>
              <w:t>AIHA</w:t>
            </w:r>
            <w:r w:rsidR="00A02AD6">
              <w:t xml:space="preserve"> </w:t>
            </w:r>
            <w:r>
              <w:t>(</w:t>
            </w:r>
            <w:r w:rsidR="00A02AD6">
              <w:t>2016</w:t>
            </w:r>
            <w:r>
              <w:t>)</w:t>
            </w:r>
          </w:p>
        </w:tc>
        <w:tc>
          <w:tcPr>
            <w:tcW w:w="900" w:type="dxa"/>
            <w:vAlign w:val="center"/>
          </w:tcPr>
          <w:p w14:paraId="1800DABC" w14:textId="791BACE1" w:rsidR="00186EF3" w:rsidRPr="00897EA1" w:rsidRDefault="00186EF3" w:rsidP="00186EF3">
            <w:pPr>
              <w:jc w:val="center"/>
            </w:pPr>
            <w:r>
              <w:t>h</w:t>
            </w:r>
            <w:r w:rsidRPr="00942976">
              <w:t>uman</w:t>
            </w:r>
          </w:p>
        </w:tc>
        <w:tc>
          <w:tcPr>
            <w:tcW w:w="1170" w:type="dxa"/>
            <w:vAlign w:val="center"/>
          </w:tcPr>
          <w:p w14:paraId="73D42075" w14:textId="2CD11B73" w:rsidR="00186EF3" w:rsidRDefault="00186EF3" w:rsidP="00186EF3">
            <w:pPr>
              <w:jc w:val="center"/>
            </w:pPr>
            <w:r w:rsidRPr="00942976">
              <w:t>60</w:t>
            </w:r>
          </w:p>
        </w:tc>
        <w:tc>
          <w:tcPr>
            <w:tcW w:w="1530" w:type="dxa"/>
            <w:vAlign w:val="center"/>
          </w:tcPr>
          <w:p w14:paraId="2BEE1141" w14:textId="6D16CD63" w:rsidR="00186EF3" w:rsidRDefault="00186EF3" w:rsidP="00186EF3">
            <w:pPr>
              <w:jc w:val="center"/>
            </w:pPr>
            <w:r w:rsidRPr="00942976">
              <w:t>1,000</w:t>
            </w:r>
          </w:p>
        </w:tc>
        <w:tc>
          <w:tcPr>
            <w:tcW w:w="900" w:type="dxa"/>
            <w:vAlign w:val="center"/>
          </w:tcPr>
          <w:p w14:paraId="3BD96BF4" w14:textId="023478D4" w:rsidR="00186EF3" w:rsidRPr="00897EA1" w:rsidRDefault="00186EF3" w:rsidP="00186EF3">
            <w:pPr>
              <w:jc w:val="center"/>
            </w:pPr>
            <w:r w:rsidRPr="00942976">
              <w:t>N/A</w:t>
            </w:r>
          </w:p>
        </w:tc>
        <w:tc>
          <w:tcPr>
            <w:tcW w:w="2520" w:type="dxa"/>
            <w:vAlign w:val="center"/>
          </w:tcPr>
          <w:p w14:paraId="1F0F3374" w14:textId="7FDDE4BA" w:rsidR="00186EF3" w:rsidRPr="00897EA1" w:rsidRDefault="00186EF3" w:rsidP="00186EF3">
            <w:pPr>
              <w:jc w:val="center"/>
            </w:pPr>
            <w:r w:rsidRPr="00942976">
              <w:t>ERPG</w:t>
            </w:r>
            <w:r>
              <w:t>-2</w:t>
            </w:r>
          </w:p>
        </w:tc>
      </w:tr>
    </w:tbl>
    <w:p w14:paraId="39E21A9E" w14:textId="77777777" w:rsidR="00942976" w:rsidRDefault="00942976" w:rsidP="00942976">
      <w:pPr>
        <w:rPr>
          <w:b/>
        </w:rPr>
      </w:pPr>
    </w:p>
    <w:p w14:paraId="3223EC5A" w14:textId="77777777" w:rsidR="00942976" w:rsidRDefault="00942976" w:rsidP="00942976">
      <w:pPr>
        <w:rPr>
          <w:b/>
        </w:rPr>
      </w:pPr>
    </w:p>
    <w:p w14:paraId="272F0114" w14:textId="77777777" w:rsidR="00942976" w:rsidRDefault="00942976" w:rsidP="00942976">
      <w:pPr>
        <w:rPr>
          <w:b/>
        </w:rPr>
      </w:pPr>
    </w:p>
    <w:p w14:paraId="59EC6CA1" w14:textId="58F2428A" w:rsidR="00942976" w:rsidRDefault="00942976" w:rsidP="00942976">
      <w:pPr>
        <w:spacing w:after="0"/>
        <w:rPr>
          <w:b/>
        </w:rPr>
      </w:pPr>
    </w:p>
    <w:p w14:paraId="60EF7AA1" w14:textId="4441AA79" w:rsidR="00702876" w:rsidRDefault="00702876" w:rsidP="00942976">
      <w:pPr>
        <w:spacing w:after="0"/>
        <w:rPr>
          <w:b/>
        </w:rPr>
      </w:pPr>
    </w:p>
    <w:p w14:paraId="7DD4C09C" w14:textId="2FF16804" w:rsidR="00942976" w:rsidRPr="004C1C6F" w:rsidRDefault="00A64F51" w:rsidP="00942976">
      <w:pPr>
        <w:spacing w:after="0"/>
      </w:pPr>
      <w:r>
        <w:rPr>
          <w:b/>
        </w:rPr>
        <w:lastRenderedPageBreak/>
        <w:t xml:space="preserve">     </w:t>
      </w:r>
      <w:r w:rsidR="00A2595A">
        <w:rPr>
          <w:b/>
        </w:rPr>
        <w:t>S15</w:t>
      </w:r>
      <w:r w:rsidR="00942976" w:rsidRPr="004C1C6F">
        <w:t xml:space="preserve">. </w:t>
      </w:r>
      <w:r w:rsidR="00942976">
        <w:t>Laboratory d</w:t>
      </w:r>
      <w:r w:rsidR="00942976" w:rsidRPr="004C1C6F">
        <w:t xml:space="preserve">ata </w:t>
      </w:r>
      <w:r w:rsidR="00942976">
        <w:t>mapped on</w:t>
      </w:r>
      <w:r w:rsidR="00942976" w:rsidRPr="004C1C6F">
        <w:t xml:space="preserve"> </w:t>
      </w:r>
      <w:r w:rsidR="00942976">
        <w:t xml:space="preserve">the LTE </w:t>
      </w:r>
      <w:r w:rsidR="00942976" w:rsidRPr="004C1C6F">
        <w:t xml:space="preserve">plot </w:t>
      </w:r>
      <w:r w:rsidR="00702876">
        <w:t>of</w:t>
      </w:r>
      <w:r w:rsidR="00942976">
        <w:t xml:space="preserve"> tier-1</w:t>
      </w:r>
      <w:r w:rsidR="00942976" w:rsidRPr="004C1C6F">
        <w:t xml:space="preserve"> effects</w:t>
      </w:r>
      <w:r w:rsidR="00942976">
        <w:t xml:space="preserve"> caused by DMS exposures</w:t>
      </w:r>
      <w:r w:rsidR="00942976" w:rsidRPr="004C1C6F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1170"/>
        <w:gridCol w:w="1530"/>
        <w:gridCol w:w="1710"/>
        <w:gridCol w:w="900"/>
        <w:gridCol w:w="2155"/>
      </w:tblGrid>
      <w:tr w:rsidR="00942976" w14:paraId="19DF5BD3" w14:textId="77777777" w:rsidTr="00FB2CD8">
        <w:tc>
          <w:tcPr>
            <w:tcW w:w="1705" w:type="dxa"/>
            <w:vAlign w:val="center"/>
          </w:tcPr>
          <w:p w14:paraId="65EE0BAB" w14:textId="77777777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900" w:type="dxa"/>
            <w:vAlign w:val="center"/>
          </w:tcPr>
          <w:p w14:paraId="784287A5" w14:textId="77777777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170" w:type="dxa"/>
            <w:vAlign w:val="center"/>
          </w:tcPr>
          <w:p w14:paraId="2B5AADB1" w14:textId="77777777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Duration (min)</w:t>
            </w:r>
          </w:p>
        </w:tc>
        <w:tc>
          <w:tcPr>
            <w:tcW w:w="1530" w:type="dxa"/>
            <w:vAlign w:val="center"/>
          </w:tcPr>
          <w:p w14:paraId="50C636BE" w14:textId="77777777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Concentration (ppm)</w:t>
            </w:r>
          </w:p>
        </w:tc>
        <w:tc>
          <w:tcPr>
            <w:tcW w:w="1710" w:type="dxa"/>
            <w:vAlign w:val="center"/>
          </w:tcPr>
          <w:p w14:paraId="5F2EEFE3" w14:textId="77777777" w:rsidR="00942976" w:rsidRDefault="00942976" w:rsidP="00FB2CD8">
            <w:pPr>
              <w:jc w:val="center"/>
              <w:rPr>
                <w:b/>
              </w:rPr>
            </w:pPr>
            <w:r>
              <w:rPr>
                <w:b/>
              </w:rPr>
              <w:t>Graph Effect</w:t>
            </w:r>
          </w:p>
          <w:p w14:paraId="158B8549" w14:textId="23A063FB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2484EE54" w14:textId="77777777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NOEL?</w:t>
            </w:r>
          </w:p>
        </w:tc>
        <w:tc>
          <w:tcPr>
            <w:tcW w:w="2155" w:type="dxa"/>
            <w:vAlign w:val="center"/>
          </w:tcPr>
          <w:p w14:paraId="1AB7D7D2" w14:textId="77777777" w:rsidR="00942976" w:rsidRDefault="00942976" w:rsidP="00FB2C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B2CD8" w14:paraId="54741861" w14:textId="77777777" w:rsidTr="00FB2CD8">
        <w:trPr>
          <w:trHeight w:val="576"/>
        </w:trPr>
        <w:tc>
          <w:tcPr>
            <w:tcW w:w="1705" w:type="dxa"/>
            <w:vMerge w:val="restart"/>
            <w:vAlign w:val="center"/>
          </w:tcPr>
          <w:p w14:paraId="0D619461" w14:textId="52DA66B9" w:rsidR="00FB2CD8" w:rsidRDefault="00D300B8" w:rsidP="00FB2C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Ljunggren and Norberg</w:t>
            </w:r>
            <w:r w:rsidR="00FB2CD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FB2CD8">
              <w:rPr>
                <w:rFonts w:ascii="Calibri" w:hAnsi="Calibri"/>
                <w:color w:val="000000"/>
              </w:rPr>
              <w:t>1943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7385F3D3" w14:textId="6F67A1A9" w:rsidR="00FB2CD8" w:rsidRDefault="00FB2CD8" w:rsidP="00FB2C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</w:t>
            </w:r>
          </w:p>
        </w:tc>
        <w:tc>
          <w:tcPr>
            <w:tcW w:w="1170" w:type="dxa"/>
            <w:vAlign w:val="center"/>
          </w:tcPr>
          <w:p w14:paraId="74E7D465" w14:textId="360BA8A5" w:rsidR="00FB2CD8" w:rsidRDefault="00FB2CD8" w:rsidP="00FB2C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30" w:type="dxa"/>
            <w:vAlign w:val="center"/>
          </w:tcPr>
          <w:p w14:paraId="7CCC1283" w14:textId="234CC7AD" w:rsidR="00FB2CD8" w:rsidRDefault="00FB2CD8" w:rsidP="00FB2C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1,100</w:t>
            </w:r>
          </w:p>
        </w:tc>
        <w:tc>
          <w:tcPr>
            <w:tcW w:w="1710" w:type="dxa"/>
            <w:vMerge w:val="restart"/>
            <w:vAlign w:val="center"/>
          </w:tcPr>
          <w:p w14:paraId="3BEF141E" w14:textId="07392E99" w:rsidR="00FB2CD8" w:rsidRDefault="00FB2CD8" w:rsidP="00FB2CD8">
            <w:pPr>
              <w:jc w:val="center"/>
            </w:pPr>
            <w:r>
              <w:t>tier-1</w:t>
            </w:r>
          </w:p>
        </w:tc>
        <w:tc>
          <w:tcPr>
            <w:tcW w:w="900" w:type="dxa"/>
            <w:vAlign w:val="center"/>
          </w:tcPr>
          <w:p w14:paraId="5DE3855C" w14:textId="1C219DFF" w:rsidR="00FB2CD8" w:rsidRDefault="00FB2CD8" w:rsidP="00FB2CD8">
            <w:pPr>
              <w:jc w:val="center"/>
            </w:pPr>
            <w:r>
              <w:t>Y</w:t>
            </w:r>
          </w:p>
        </w:tc>
        <w:tc>
          <w:tcPr>
            <w:tcW w:w="2155" w:type="dxa"/>
            <w:vAlign w:val="center"/>
          </w:tcPr>
          <w:p w14:paraId="7C7FF8AE" w14:textId="32CB6F85" w:rsidR="00FB2CD8" w:rsidRPr="00FB2CD8" w:rsidRDefault="007D1744" w:rsidP="00FB2CD8">
            <w:pPr>
              <w:jc w:val="center"/>
            </w:pPr>
            <w:r>
              <w:t xml:space="preserve">1/1 shows </w:t>
            </w:r>
            <w:r w:rsidR="00FB2CD8">
              <w:t>no effect</w:t>
            </w:r>
          </w:p>
        </w:tc>
      </w:tr>
      <w:tr w:rsidR="00FB2CD8" w14:paraId="28E4951B" w14:textId="77777777" w:rsidTr="00FB2CD8">
        <w:tc>
          <w:tcPr>
            <w:tcW w:w="1705" w:type="dxa"/>
            <w:vMerge/>
            <w:vAlign w:val="center"/>
          </w:tcPr>
          <w:p w14:paraId="2D89D931" w14:textId="4F6F8916" w:rsidR="00FB2CD8" w:rsidRPr="00942976" w:rsidRDefault="00FB2CD8" w:rsidP="00FB2CD8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1C5DFE2D" w14:textId="0FA49E0F" w:rsidR="00FB2CD8" w:rsidRPr="00942976" w:rsidRDefault="00FB2CD8" w:rsidP="00FB2CD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CECC1DD" w14:textId="774DEFDF" w:rsidR="00FB2CD8" w:rsidRPr="00942976" w:rsidRDefault="00FB2CD8" w:rsidP="00FB2CD8">
            <w:pPr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30" w:type="dxa"/>
            <w:vAlign w:val="center"/>
          </w:tcPr>
          <w:p w14:paraId="01D61A00" w14:textId="0414DCCC" w:rsidR="00FB2CD8" w:rsidRPr="00942976" w:rsidRDefault="00FB2CD8" w:rsidP="00FB2CD8">
            <w:pPr>
              <w:jc w:val="center"/>
            </w:pPr>
            <w:r>
              <w:rPr>
                <w:rFonts w:ascii="Calibri" w:hAnsi="Calibri"/>
                <w:color w:val="000000"/>
              </w:rPr>
              <w:t>5,600</w:t>
            </w:r>
          </w:p>
        </w:tc>
        <w:tc>
          <w:tcPr>
            <w:tcW w:w="1710" w:type="dxa"/>
            <w:vMerge/>
            <w:vAlign w:val="center"/>
          </w:tcPr>
          <w:p w14:paraId="0DB015E5" w14:textId="04F0AFD3" w:rsidR="00FB2CD8" w:rsidRPr="00942976" w:rsidRDefault="00FB2CD8" w:rsidP="00FB2CD8">
            <w:pPr>
              <w:jc w:val="center"/>
            </w:pPr>
          </w:p>
        </w:tc>
        <w:tc>
          <w:tcPr>
            <w:tcW w:w="900" w:type="dxa"/>
            <w:vAlign w:val="center"/>
          </w:tcPr>
          <w:p w14:paraId="3744A5E5" w14:textId="14878683" w:rsidR="00FB2CD8" w:rsidRPr="00942976" w:rsidRDefault="00FB2CD8" w:rsidP="00FB2CD8">
            <w:pPr>
              <w:jc w:val="center"/>
            </w:pPr>
            <w:r>
              <w:t>N</w:t>
            </w:r>
          </w:p>
        </w:tc>
        <w:tc>
          <w:tcPr>
            <w:tcW w:w="2155" w:type="dxa"/>
            <w:vAlign w:val="center"/>
          </w:tcPr>
          <w:p w14:paraId="5F9D1968" w14:textId="68519350" w:rsidR="00FB2CD8" w:rsidRPr="00942976" w:rsidRDefault="007D1744" w:rsidP="00FB2CD8">
            <w:pPr>
              <w:jc w:val="center"/>
            </w:pPr>
            <w:r>
              <w:t xml:space="preserve">1/1 </w:t>
            </w:r>
            <w:r w:rsidR="00FB2CD8" w:rsidRPr="00FB2CD8">
              <w:t>shuts eyes because of irritation</w:t>
            </w:r>
          </w:p>
        </w:tc>
      </w:tr>
      <w:tr w:rsidR="00942976" w14:paraId="47D000E6" w14:textId="77777777" w:rsidTr="00FB2CD8">
        <w:tc>
          <w:tcPr>
            <w:tcW w:w="1705" w:type="dxa"/>
            <w:vAlign w:val="center"/>
          </w:tcPr>
          <w:p w14:paraId="4081CDC6" w14:textId="61D0B66B" w:rsidR="00942976" w:rsidRPr="00942976" w:rsidRDefault="00D300B8" w:rsidP="00FB2CD8">
            <w:pPr>
              <w:spacing w:line="276" w:lineRule="auto"/>
              <w:jc w:val="center"/>
            </w:pPr>
            <w:r>
              <w:t>Katz and Talbert</w:t>
            </w:r>
            <w:r w:rsidR="0052553E" w:rsidRPr="0052553E">
              <w:t xml:space="preserve"> </w:t>
            </w:r>
            <w:r>
              <w:t>(</w:t>
            </w:r>
            <w:r w:rsidR="0052553E" w:rsidRPr="0052553E">
              <w:t>1930</w:t>
            </w:r>
            <w:r>
              <w:t>)</w:t>
            </w:r>
          </w:p>
        </w:tc>
        <w:tc>
          <w:tcPr>
            <w:tcW w:w="900" w:type="dxa"/>
            <w:vAlign w:val="center"/>
          </w:tcPr>
          <w:p w14:paraId="4EC0025D" w14:textId="20E4612A" w:rsidR="00942976" w:rsidRPr="00942976" w:rsidRDefault="00FB2CD8" w:rsidP="00FB2CD8">
            <w:pPr>
              <w:spacing w:line="276" w:lineRule="auto"/>
              <w:jc w:val="center"/>
            </w:pPr>
            <w:r>
              <w:t>h</w:t>
            </w:r>
            <w:r w:rsidR="00942976" w:rsidRPr="00942976">
              <w:t>uman</w:t>
            </w:r>
          </w:p>
        </w:tc>
        <w:tc>
          <w:tcPr>
            <w:tcW w:w="1170" w:type="dxa"/>
            <w:vAlign w:val="center"/>
          </w:tcPr>
          <w:p w14:paraId="37279708" w14:textId="74A4A301" w:rsidR="00942976" w:rsidRPr="00942976" w:rsidRDefault="0036741F" w:rsidP="00FB2CD8">
            <w:pPr>
              <w:spacing w:line="276" w:lineRule="auto"/>
              <w:jc w:val="center"/>
            </w:pPr>
            <w:r>
              <w:t>0.1</w:t>
            </w:r>
            <w:r w:rsidR="00942976" w:rsidRPr="00942976">
              <w:t>67</w:t>
            </w:r>
          </w:p>
        </w:tc>
        <w:tc>
          <w:tcPr>
            <w:tcW w:w="1530" w:type="dxa"/>
            <w:vAlign w:val="center"/>
          </w:tcPr>
          <w:p w14:paraId="04D9E14E" w14:textId="4349572A" w:rsidR="00942976" w:rsidRPr="00942976" w:rsidRDefault="00942976" w:rsidP="00FB2CD8">
            <w:pPr>
              <w:spacing w:line="276" w:lineRule="auto"/>
              <w:jc w:val="center"/>
            </w:pPr>
            <w:r w:rsidRPr="00942976">
              <w:t>6</w:t>
            </w:r>
            <w:r w:rsidR="00FB2CD8">
              <w:t>,</w:t>
            </w:r>
            <w:r w:rsidRPr="00942976">
              <w:t>200</w:t>
            </w:r>
          </w:p>
        </w:tc>
        <w:tc>
          <w:tcPr>
            <w:tcW w:w="1710" w:type="dxa"/>
            <w:vAlign w:val="center"/>
          </w:tcPr>
          <w:p w14:paraId="35A5272E" w14:textId="72290542" w:rsidR="00942976" w:rsidRPr="00942976" w:rsidRDefault="00FB2CD8" w:rsidP="00FB2CD8">
            <w:pPr>
              <w:spacing w:line="276" w:lineRule="auto"/>
              <w:jc w:val="center"/>
            </w:pPr>
            <w:r>
              <w:t>tier-1</w:t>
            </w:r>
          </w:p>
        </w:tc>
        <w:tc>
          <w:tcPr>
            <w:tcW w:w="900" w:type="dxa"/>
            <w:vAlign w:val="center"/>
          </w:tcPr>
          <w:p w14:paraId="1BDCF23F" w14:textId="77777777" w:rsidR="00942976" w:rsidRPr="00942976" w:rsidRDefault="00942976" w:rsidP="00FB2CD8">
            <w:pPr>
              <w:spacing w:line="276" w:lineRule="auto"/>
              <w:jc w:val="center"/>
            </w:pPr>
            <w:r w:rsidRPr="00942976">
              <w:t>N</w:t>
            </w:r>
          </w:p>
        </w:tc>
        <w:tc>
          <w:tcPr>
            <w:tcW w:w="2155" w:type="dxa"/>
            <w:vAlign w:val="center"/>
          </w:tcPr>
          <w:p w14:paraId="064608E6" w14:textId="546C6329" w:rsidR="00942976" w:rsidRPr="00942976" w:rsidRDefault="00FB2CD8" w:rsidP="00095163">
            <w:pPr>
              <w:spacing w:line="276" w:lineRule="auto"/>
              <w:jc w:val="center"/>
            </w:pPr>
            <w:r>
              <w:t>f</w:t>
            </w:r>
            <w:r w:rsidR="00942976" w:rsidRPr="00942976">
              <w:t>aint eye irritation</w:t>
            </w:r>
            <w:r w:rsidR="00095163">
              <w:t>,</w:t>
            </w:r>
            <w:r w:rsidR="00942976" w:rsidRPr="00942976">
              <w:t xml:space="preserve"> </w:t>
            </w:r>
            <w:r w:rsidR="00095163">
              <w:t>(level 1/4)</w:t>
            </w:r>
            <w:r w:rsidR="00095163" w:rsidRPr="00942976">
              <w:t xml:space="preserve"> </w:t>
            </w:r>
            <w:r w:rsidR="00095163">
              <w:t>reported by 4/6 observers</w:t>
            </w:r>
            <w:r w:rsidR="00095163">
              <w:rPr>
                <w:vertAlign w:val="superscript"/>
              </w:rPr>
              <w:t>1</w:t>
            </w:r>
          </w:p>
        </w:tc>
      </w:tr>
      <w:tr w:rsidR="00FB2CD8" w14:paraId="432DF01E" w14:textId="77777777" w:rsidTr="00FB2CD8">
        <w:trPr>
          <w:trHeight w:val="576"/>
        </w:trPr>
        <w:tc>
          <w:tcPr>
            <w:tcW w:w="1705" w:type="dxa"/>
            <w:vAlign w:val="center"/>
          </w:tcPr>
          <w:p w14:paraId="11BF4AE1" w14:textId="7AD7603F" w:rsidR="00FB2CD8" w:rsidRPr="00942976" w:rsidRDefault="00D300B8" w:rsidP="00FB2CD8">
            <w:pPr>
              <w:spacing w:line="276" w:lineRule="auto"/>
              <w:jc w:val="center"/>
            </w:pPr>
            <w:r>
              <w:t>AIHA</w:t>
            </w:r>
            <w:r w:rsidR="00A02AD6">
              <w:t xml:space="preserve"> </w:t>
            </w:r>
            <w:r>
              <w:t>(</w:t>
            </w:r>
            <w:r w:rsidR="00A02AD6">
              <w:t>2016</w:t>
            </w:r>
            <w:r>
              <w:t>)</w:t>
            </w:r>
          </w:p>
        </w:tc>
        <w:tc>
          <w:tcPr>
            <w:tcW w:w="900" w:type="dxa"/>
            <w:vAlign w:val="center"/>
          </w:tcPr>
          <w:p w14:paraId="72A84C9D" w14:textId="20A33E8A" w:rsidR="00FB2CD8" w:rsidRPr="00942976" w:rsidRDefault="00FB2CD8" w:rsidP="00FB2CD8">
            <w:pPr>
              <w:spacing w:line="276" w:lineRule="auto"/>
              <w:jc w:val="center"/>
            </w:pPr>
            <w:r w:rsidRPr="008C0236">
              <w:t>human</w:t>
            </w:r>
          </w:p>
        </w:tc>
        <w:tc>
          <w:tcPr>
            <w:tcW w:w="1170" w:type="dxa"/>
            <w:vAlign w:val="center"/>
          </w:tcPr>
          <w:p w14:paraId="3D9009B0" w14:textId="77777777" w:rsidR="00FB2CD8" w:rsidRPr="00942976" w:rsidRDefault="00FB2CD8" w:rsidP="00FB2CD8">
            <w:pPr>
              <w:spacing w:line="276" w:lineRule="auto"/>
              <w:jc w:val="center"/>
            </w:pPr>
            <w:r w:rsidRPr="00942976">
              <w:t>60</w:t>
            </w:r>
          </w:p>
        </w:tc>
        <w:tc>
          <w:tcPr>
            <w:tcW w:w="1530" w:type="dxa"/>
            <w:vAlign w:val="center"/>
          </w:tcPr>
          <w:p w14:paraId="59D07915" w14:textId="0DD34283" w:rsidR="00FB2CD8" w:rsidRPr="00942976" w:rsidRDefault="00FB2CD8" w:rsidP="00FB2CD8">
            <w:pPr>
              <w:spacing w:line="276" w:lineRule="auto"/>
              <w:jc w:val="center"/>
            </w:pPr>
            <w:r w:rsidRPr="00942976">
              <w:t>0.5</w:t>
            </w:r>
          </w:p>
        </w:tc>
        <w:tc>
          <w:tcPr>
            <w:tcW w:w="1710" w:type="dxa"/>
            <w:vAlign w:val="center"/>
          </w:tcPr>
          <w:p w14:paraId="2DC1F3CC" w14:textId="53894AE6" w:rsidR="00FB2CD8" w:rsidRPr="00942976" w:rsidRDefault="00FB2CD8" w:rsidP="00FB2CD8">
            <w:pPr>
              <w:spacing w:line="276" w:lineRule="auto"/>
              <w:jc w:val="center"/>
            </w:pPr>
            <w:r w:rsidRPr="00942976">
              <w:t>ERPG-1</w:t>
            </w:r>
          </w:p>
        </w:tc>
        <w:tc>
          <w:tcPr>
            <w:tcW w:w="900" w:type="dxa"/>
            <w:vAlign w:val="center"/>
          </w:tcPr>
          <w:p w14:paraId="04B2926F" w14:textId="77777777" w:rsidR="00FB2CD8" w:rsidRPr="00942976" w:rsidRDefault="00FB2CD8" w:rsidP="00FB2CD8">
            <w:pPr>
              <w:spacing w:line="276" w:lineRule="auto"/>
              <w:jc w:val="center"/>
            </w:pPr>
            <w:r w:rsidRPr="00942976">
              <w:t>N/A</w:t>
            </w:r>
          </w:p>
        </w:tc>
        <w:tc>
          <w:tcPr>
            <w:tcW w:w="2155" w:type="dxa"/>
            <w:vAlign w:val="center"/>
          </w:tcPr>
          <w:p w14:paraId="51A85E13" w14:textId="7A945CCC" w:rsidR="00FB2CD8" w:rsidRPr="00942976" w:rsidRDefault="00FB2CD8" w:rsidP="00FB2CD8">
            <w:pPr>
              <w:spacing w:line="276" w:lineRule="auto"/>
              <w:jc w:val="center"/>
            </w:pPr>
            <w:r w:rsidRPr="00942976">
              <w:t>ERPG</w:t>
            </w:r>
            <w:r>
              <w:t>-1</w:t>
            </w:r>
          </w:p>
        </w:tc>
      </w:tr>
      <w:tr w:rsidR="00FB2CD8" w14:paraId="12FB7B6C" w14:textId="77777777" w:rsidTr="00FB2CD8">
        <w:tc>
          <w:tcPr>
            <w:tcW w:w="1705" w:type="dxa"/>
            <w:vAlign w:val="center"/>
          </w:tcPr>
          <w:p w14:paraId="14BD2DC8" w14:textId="7CCD768D" w:rsidR="00FB2CD8" w:rsidRPr="00F54FA7" w:rsidRDefault="00FB2CD8" w:rsidP="00FB2CD8">
            <w:pPr>
              <w:spacing w:line="276" w:lineRule="auto"/>
              <w:jc w:val="center"/>
            </w:pPr>
            <w:r w:rsidRPr="00166784">
              <w:rPr>
                <w:sz w:val="20"/>
              </w:rPr>
              <w:t xml:space="preserve">ACGIH </w:t>
            </w:r>
            <w:r w:rsidR="00081352">
              <w:rPr>
                <w:sz w:val="20"/>
              </w:rPr>
              <w:t>(</w:t>
            </w:r>
            <w:r>
              <w:rPr>
                <w:sz w:val="20"/>
              </w:rPr>
              <w:t>2004</w:t>
            </w:r>
            <w:r w:rsidR="00081352">
              <w:rPr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389204AF" w14:textId="55D503B8" w:rsidR="00FB2CD8" w:rsidRPr="00897EA1" w:rsidRDefault="00FB2CD8" w:rsidP="00FB2CD8">
            <w:pPr>
              <w:spacing w:line="276" w:lineRule="auto"/>
              <w:jc w:val="center"/>
            </w:pPr>
            <w:r w:rsidRPr="008C0236">
              <w:t>human</w:t>
            </w:r>
          </w:p>
        </w:tc>
        <w:tc>
          <w:tcPr>
            <w:tcW w:w="1170" w:type="dxa"/>
            <w:vAlign w:val="center"/>
          </w:tcPr>
          <w:p w14:paraId="54CA7BCC" w14:textId="77777777" w:rsidR="00FB2CD8" w:rsidRPr="00897EA1" w:rsidRDefault="00FB2CD8" w:rsidP="00FB2CD8">
            <w:pPr>
              <w:spacing w:line="276" w:lineRule="auto"/>
              <w:jc w:val="center"/>
            </w:pPr>
            <w:r>
              <w:t>480</w:t>
            </w:r>
          </w:p>
        </w:tc>
        <w:tc>
          <w:tcPr>
            <w:tcW w:w="1530" w:type="dxa"/>
            <w:vAlign w:val="center"/>
          </w:tcPr>
          <w:p w14:paraId="76FC3339" w14:textId="77777777" w:rsidR="00FB2CD8" w:rsidRPr="00897EA1" w:rsidRDefault="00FB2CD8" w:rsidP="00FB2CD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14:paraId="4446040C" w14:textId="54ADA25F" w:rsidR="00FB2CD8" w:rsidRPr="00897EA1" w:rsidRDefault="00FB2CD8" w:rsidP="00FB2CD8">
            <w:pPr>
              <w:spacing w:line="276" w:lineRule="auto"/>
              <w:jc w:val="center"/>
            </w:pPr>
            <w:r w:rsidRPr="003D1E3A">
              <w:t>TLV-TWA</w:t>
            </w:r>
            <w:r w:rsidR="0037145D"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14:paraId="4D162164" w14:textId="1C5B35C0" w:rsidR="00FB2CD8" w:rsidRPr="00897EA1" w:rsidRDefault="00FB2CD8" w:rsidP="00FB2CD8">
            <w:pPr>
              <w:spacing w:line="276" w:lineRule="auto"/>
              <w:jc w:val="center"/>
            </w:pPr>
            <w:r w:rsidRPr="00701C4D">
              <w:t>N/A</w:t>
            </w:r>
          </w:p>
        </w:tc>
        <w:tc>
          <w:tcPr>
            <w:tcW w:w="2155" w:type="dxa"/>
            <w:vAlign w:val="center"/>
          </w:tcPr>
          <w:p w14:paraId="650BDBC8" w14:textId="689DDC89" w:rsidR="00FB2CD8" w:rsidRPr="00897EA1" w:rsidRDefault="00FB2CD8" w:rsidP="00FB2CD8">
            <w:pPr>
              <w:spacing w:line="276" w:lineRule="auto"/>
              <w:jc w:val="center"/>
            </w:pPr>
            <w:r>
              <w:t>ACGIH threshold limit value</w:t>
            </w:r>
          </w:p>
        </w:tc>
      </w:tr>
      <w:tr w:rsidR="00FB2CD8" w14:paraId="2C1BD37F" w14:textId="77777777" w:rsidTr="00FB2CD8">
        <w:tc>
          <w:tcPr>
            <w:tcW w:w="1705" w:type="dxa"/>
            <w:vAlign w:val="center"/>
          </w:tcPr>
          <w:p w14:paraId="54BAAA10" w14:textId="0F9193E9" w:rsidR="00FB2CD8" w:rsidRPr="00897EA1" w:rsidRDefault="0037145D" w:rsidP="00FB2CD8">
            <w:pPr>
              <w:spacing w:line="276" w:lineRule="auto"/>
              <w:jc w:val="center"/>
            </w:pPr>
            <w:r>
              <w:rPr>
                <w:sz w:val="20"/>
              </w:rPr>
              <w:t>Footnote</w:t>
            </w:r>
            <w:r>
              <w:rPr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181AFAC3" w14:textId="5F686A52" w:rsidR="00FB2CD8" w:rsidRPr="00897EA1" w:rsidRDefault="00FB2CD8" w:rsidP="00FB2CD8">
            <w:pPr>
              <w:spacing w:line="276" w:lineRule="auto"/>
              <w:jc w:val="center"/>
            </w:pPr>
            <w:r w:rsidRPr="008C0236">
              <w:t>human</w:t>
            </w:r>
          </w:p>
        </w:tc>
        <w:tc>
          <w:tcPr>
            <w:tcW w:w="1170" w:type="dxa"/>
            <w:vAlign w:val="center"/>
          </w:tcPr>
          <w:p w14:paraId="5E12C13C" w14:textId="77777777" w:rsidR="00FB2CD8" w:rsidRPr="00897EA1" w:rsidRDefault="00FB2CD8" w:rsidP="00FB2CD8">
            <w:pPr>
              <w:spacing w:line="276" w:lineRule="auto"/>
              <w:jc w:val="center"/>
            </w:pPr>
            <w:r>
              <w:t>480</w:t>
            </w:r>
          </w:p>
        </w:tc>
        <w:tc>
          <w:tcPr>
            <w:tcW w:w="1530" w:type="dxa"/>
            <w:vAlign w:val="center"/>
          </w:tcPr>
          <w:p w14:paraId="108C160F" w14:textId="77777777" w:rsidR="00FB2CD8" w:rsidRPr="00897EA1" w:rsidRDefault="00FB2CD8" w:rsidP="00FB2C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14:paraId="6936E935" w14:textId="2AB7B243" w:rsidR="00FB2CD8" w:rsidRPr="00897EA1" w:rsidRDefault="00FB2CD8" w:rsidP="00FB2CD8">
            <w:pPr>
              <w:spacing w:line="276" w:lineRule="auto"/>
              <w:jc w:val="center"/>
            </w:pPr>
            <w:r>
              <w:t>NGV</w:t>
            </w:r>
            <w:r w:rsidR="0037145D">
              <w:rPr>
                <w:vertAlign w:val="superscript"/>
              </w:rPr>
              <w:t>3</w:t>
            </w:r>
            <w:r>
              <w:t xml:space="preserve"> (TWA)</w:t>
            </w:r>
          </w:p>
        </w:tc>
        <w:tc>
          <w:tcPr>
            <w:tcW w:w="900" w:type="dxa"/>
            <w:vAlign w:val="center"/>
          </w:tcPr>
          <w:p w14:paraId="7A9D7316" w14:textId="7229CBD5" w:rsidR="00FB2CD8" w:rsidRPr="00897EA1" w:rsidRDefault="00FB2CD8" w:rsidP="00FB2CD8">
            <w:pPr>
              <w:spacing w:line="276" w:lineRule="auto"/>
              <w:jc w:val="center"/>
            </w:pPr>
            <w:r w:rsidRPr="00701C4D">
              <w:t>N/A</w:t>
            </w:r>
          </w:p>
        </w:tc>
        <w:tc>
          <w:tcPr>
            <w:tcW w:w="2155" w:type="dxa"/>
            <w:vAlign w:val="center"/>
          </w:tcPr>
          <w:p w14:paraId="05551539" w14:textId="36786058" w:rsidR="00FB2CD8" w:rsidRPr="00897EA1" w:rsidRDefault="00FB2CD8" w:rsidP="00FB2CD8">
            <w:pPr>
              <w:spacing w:line="276" w:lineRule="auto"/>
              <w:jc w:val="center"/>
            </w:pPr>
            <w:r>
              <w:t>o</w:t>
            </w:r>
            <w:r w:rsidRPr="003D1E3A">
              <w:t>ccupati</w:t>
            </w:r>
            <w:r>
              <w:t>onal exposure limit –Sweden</w:t>
            </w:r>
          </w:p>
        </w:tc>
      </w:tr>
      <w:tr w:rsidR="00FB2CD8" w14:paraId="1F9CC086" w14:textId="77777777" w:rsidTr="00FB2CD8">
        <w:tc>
          <w:tcPr>
            <w:tcW w:w="1705" w:type="dxa"/>
            <w:vAlign w:val="center"/>
          </w:tcPr>
          <w:p w14:paraId="428D73EC" w14:textId="1A027C57" w:rsidR="00FB2CD8" w:rsidRPr="00897EA1" w:rsidRDefault="00081352" w:rsidP="00FB2CD8">
            <w:pPr>
              <w:spacing w:line="276" w:lineRule="auto"/>
              <w:jc w:val="center"/>
            </w:pPr>
            <w:r>
              <w:rPr>
                <w:sz w:val="20"/>
              </w:rPr>
              <w:t>Pohanish</w:t>
            </w:r>
            <w:r w:rsidR="00FB2CD8" w:rsidRPr="00941AA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B2CD8" w:rsidRPr="00941AA3">
              <w:rPr>
                <w:sz w:val="20"/>
              </w:rPr>
              <w:t>2012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47A4F4D5" w14:textId="445F7B88" w:rsidR="00FB2CD8" w:rsidRPr="00897EA1" w:rsidRDefault="00FB2CD8" w:rsidP="00FB2CD8">
            <w:pPr>
              <w:spacing w:line="276" w:lineRule="auto"/>
              <w:jc w:val="center"/>
            </w:pPr>
            <w:r w:rsidRPr="008C0236">
              <w:t>human</w:t>
            </w:r>
          </w:p>
        </w:tc>
        <w:tc>
          <w:tcPr>
            <w:tcW w:w="1170" w:type="dxa"/>
            <w:vAlign w:val="center"/>
          </w:tcPr>
          <w:p w14:paraId="1E516FE4" w14:textId="77777777" w:rsidR="00FB2CD8" w:rsidRPr="00897EA1" w:rsidRDefault="00FB2CD8" w:rsidP="00FB2CD8">
            <w:pPr>
              <w:spacing w:line="276" w:lineRule="auto"/>
              <w:jc w:val="center"/>
            </w:pPr>
            <w:r>
              <w:t>480</w:t>
            </w:r>
          </w:p>
        </w:tc>
        <w:tc>
          <w:tcPr>
            <w:tcW w:w="1530" w:type="dxa"/>
            <w:vAlign w:val="center"/>
          </w:tcPr>
          <w:p w14:paraId="353E2F82" w14:textId="77777777" w:rsidR="00FB2CD8" w:rsidRPr="00897EA1" w:rsidRDefault="00FB2CD8" w:rsidP="00FB2CD8">
            <w:pPr>
              <w:spacing w:line="276" w:lineRule="auto"/>
              <w:jc w:val="center"/>
            </w:pPr>
            <w:r>
              <w:t>0.39</w:t>
            </w:r>
          </w:p>
        </w:tc>
        <w:tc>
          <w:tcPr>
            <w:tcW w:w="1710" w:type="dxa"/>
            <w:vAlign w:val="center"/>
          </w:tcPr>
          <w:p w14:paraId="2DB1521D" w14:textId="3E637D6D" w:rsidR="00FB2CD8" w:rsidRPr="00897EA1" w:rsidRDefault="00FB2CD8" w:rsidP="00FB2CD8">
            <w:pPr>
              <w:spacing w:line="276" w:lineRule="auto"/>
              <w:jc w:val="center"/>
            </w:pPr>
            <w:r>
              <w:t>NDS</w:t>
            </w:r>
            <w:r w:rsidR="0037145D">
              <w:rPr>
                <w:vertAlign w:val="superscript"/>
              </w:rPr>
              <w:t>4</w:t>
            </w:r>
            <w:r>
              <w:t xml:space="preserve"> (TWA)</w:t>
            </w:r>
          </w:p>
        </w:tc>
        <w:tc>
          <w:tcPr>
            <w:tcW w:w="900" w:type="dxa"/>
            <w:vAlign w:val="center"/>
          </w:tcPr>
          <w:p w14:paraId="06A7EBBE" w14:textId="487D965A" w:rsidR="00FB2CD8" w:rsidRPr="00897EA1" w:rsidRDefault="00FB2CD8" w:rsidP="00FB2CD8">
            <w:pPr>
              <w:spacing w:line="276" w:lineRule="auto"/>
              <w:jc w:val="center"/>
            </w:pPr>
            <w:r w:rsidRPr="00701C4D">
              <w:t>N/A</w:t>
            </w:r>
          </w:p>
        </w:tc>
        <w:tc>
          <w:tcPr>
            <w:tcW w:w="2155" w:type="dxa"/>
            <w:vAlign w:val="center"/>
          </w:tcPr>
          <w:p w14:paraId="730B9D41" w14:textId="6FFB68B8" w:rsidR="00FB2CD8" w:rsidRPr="00897EA1" w:rsidRDefault="00FB2CD8" w:rsidP="00FB2CD8">
            <w:pPr>
              <w:spacing w:line="276" w:lineRule="auto"/>
              <w:jc w:val="center"/>
            </w:pPr>
            <w:r>
              <w:t>o</w:t>
            </w:r>
            <w:r w:rsidRPr="003D1E3A">
              <w:t>ccupati</w:t>
            </w:r>
            <w:r>
              <w:t>onal exposure limit –Poland (</w:t>
            </w:r>
            <w:r w:rsidRPr="003D1E3A">
              <w:t>converted from 1 mg/m</w:t>
            </w:r>
            <w:r w:rsidRPr="00E635FD">
              <w:rPr>
                <w:vertAlign w:val="superscript"/>
              </w:rPr>
              <w:t>3</w:t>
            </w:r>
            <w:r>
              <w:t>)</w:t>
            </w:r>
          </w:p>
        </w:tc>
      </w:tr>
      <w:tr w:rsidR="00FB2CD8" w14:paraId="51A16BC5" w14:textId="77777777" w:rsidTr="00FB2CD8">
        <w:tc>
          <w:tcPr>
            <w:tcW w:w="1705" w:type="dxa"/>
            <w:vAlign w:val="center"/>
          </w:tcPr>
          <w:p w14:paraId="5B929C89" w14:textId="32764B15" w:rsidR="00FB2CD8" w:rsidRPr="00941AA3" w:rsidRDefault="0037145D" w:rsidP="00FB2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Footnote</w:t>
            </w:r>
            <w:r>
              <w:rPr>
                <w:vertAlign w:val="superscript"/>
              </w:rPr>
              <w:t>5</w:t>
            </w:r>
          </w:p>
        </w:tc>
        <w:tc>
          <w:tcPr>
            <w:tcW w:w="900" w:type="dxa"/>
            <w:vAlign w:val="center"/>
          </w:tcPr>
          <w:p w14:paraId="228C1507" w14:textId="54AEBBB5" w:rsidR="00FB2CD8" w:rsidRPr="003D1E3A" w:rsidRDefault="00FB2CD8" w:rsidP="00FB2CD8">
            <w:pPr>
              <w:jc w:val="center"/>
            </w:pPr>
            <w:r w:rsidRPr="008C0236">
              <w:t>human</w:t>
            </w:r>
          </w:p>
        </w:tc>
        <w:tc>
          <w:tcPr>
            <w:tcW w:w="1170" w:type="dxa"/>
            <w:vAlign w:val="center"/>
          </w:tcPr>
          <w:p w14:paraId="730F7E8A" w14:textId="77777777" w:rsidR="00FB2CD8" w:rsidRDefault="00FB2CD8" w:rsidP="00FB2CD8">
            <w:pPr>
              <w:jc w:val="center"/>
            </w:pPr>
            <w:r>
              <w:t>30</w:t>
            </w:r>
          </w:p>
        </w:tc>
        <w:tc>
          <w:tcPr>
            <w:tcW w:w="1530" w:type="dxa"/>
            <w:vAlign w:val="center"/>
          </w:tcPr>
          <w:p w14:paraId="34765B89" w14:textId="77777777" w:rsidR="00FB2CD8" w:rsidRDefault="00FB2CD8" w:rsidP="00FB2CD8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14:paraId="3BA263B9" w14:textId="0F701232" w:rsidR="00FB2CD8" w:rsidRDefault="00FB2CD8" w:rsidP="00FB2CD8">
            <w:pPr>
              <w:jc w:val="center"/>
            </w:pPr>
            <w:r>
              <w:t>PDK</w:t>
            </w:r>
            <w:r w:rsidR="0037145D">
              <w:rPr>
                <w:vertAlign w:val="superscript"/>
              </w:rPr>
              <w:t>5</w:t>
            </w:r>
          </w:p>
        </w:tc>
        <w:tc>
          <w:tcPr>
            <w:tcW w:w="900" w:type="dxa"/>
            <w:vAlign w:val="center"/>
          </w:tcPr>
          <w:p w14:paraId="5FD87896" w14:textId="14FDCACC" w:rsidR="00FB2CD8" w:rsidRPr="00897EA1" w:rsidRDefault="00FB2CD8" w:rsidP="00FB2CD8">
            <w:pPr>
              <w:jc w:val="center"/>
            </w:pPr>
            <w:r w:rsidRPr="00701C4D">
              <w:t>N/A</w:t>
            </w:r>
          </w:p>
        </w:tc>
        <w:tc>
          <w:tcPr>
            <w:tcW w:w="2155" w:type="dxa"/>
            <w:vAlign w:val="center"/>
          </w:tcPr>
          <w:p w14:paraId="0E96FE2B" w14:textId="4A731E8F" w:rsidR="00FB2CD8" w:rsidRPr="003D1E3A" w:rsidRDefault="00FB2CD8" w:rsidP="00FB2CD8">
            <w:pPr>
              <w:jc w:val="center"/>
            </w:pPr>
            <w:r>
              <w:t>o</w:t>
            </w:r>
            <w:r w:rsidRPr="003D1E3A">
              <w:t>ccupati</w:t>
            </w:r>
            <w:r>
              <w:t>onal exposure limit – Russia (converted from 50</w:t>
            </w:r>
            <w:r w:rsidRPr="003D1E3A">
              <w:t xml:space="preserve"> mg/m</w:t>
            </w:r>
            <w:r w:rsidRPr="00E635FD">
              <w:rPr>
                <w:vertAlign w:val="superscript"/>
              </w:rPr>
              <w:t>3</w:t>
            </w:r>
            <w:r>
              <w:t>)</w:t>
            </w:r>
          </w:p>
        </w:tc>
      </w:tr>
      <w:tr w:rsidR="00FB2CD8" w14:paraId="14E14B55" w14:textId="77777777" w:rsidTr="00FB2CD8">
        <w:tc>
          <w:tcPr>
            <w:tcW w:w="1705" w:type="dxa"/>
            <w:vAlign w:val="center"/>
          </w:tcPr>
          <w:p w14:paraId="38B04E97" w14:textId="1A0CB0FA" w:rsidR="00FB2CD8" w:rsidRPr="00941AA3" w:rsidRDefault="0037145D" w:rsidP="00FB2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Footnote</w:t>
            </w:r>
            <w:r>
              <w:rPr>
                <w:vertAlign w:val="superscript"/>
              </w:rPr>
              <w:t>6</w:t>
            </w:r>
          </w:p>
        </w:tc>
        <w:tc>
          <w:tcPr>
            <w:tcW w:w="900" w:type="dxa"/>
            <w:vAlign w:val="center"/>
          </w:tcPr>
          <w:p w14:paraId="5EC3D184" w14:textId="6B1DF288" w:rsidR="00FB2CD8" w:rsidRPr="003D1E3A" w:rsidRDefault="00FB2CD8" w:rsidP="00FB2CD8">
            <w:pPr>
              <w:jc w:val="center"/>
            </w:pPr>
            <w:r w:rsidRPr="008C0236">
              <w:t>human</w:t>
            </w:r>
          </w:p>
        </w:tc>
        <w:tc>
          <w:tcPr>
            <w:tcW w:w="1170" w:type="dxa"/>
            <w:vAlign w:val="center"/>
          </w:tcPr>
          <w:p w14:paraId="1949ACEA" w14:textId="77777777" w:rsidR="00FB2CD8" w:rsidRDefault="00FB2CD8" w:rsidP="00FB2CD8">
            <w:pPr>
              <w:jc w:val="center"/>
            </w:pPr>
            <w:r>
              <w:t>30</w:t>
            </w:r>
          </w:p>
        </w:tc>
        <w:tc>
          <w:tcPr>
            <w:tcW w:w="1530" w:type="dxa"/>
            <w:vAlign w:val="center"/>
          </w:tcPr>
          <w:p w14:paraId="3A7B5F6E" w14:textId="77777777" w:rsidR="00FB2CD8" w:rsidRDefault="00FB2CD8" w:rsidP="00FB2CD8">
            <w:pPr>
              <w:jc w:val="center"/>
            </w:pPr>
            <w:r>
              <w:t>0.03</w:t>
            </w:r>
          </w:p>
        </w:tc>
        <w:tc>
          <w:tcPr>
            <w:tcW w:w="1710" w:type="dxa"/>
            <w:vAlign w:val="center"/>
          </w:tcPr>
          <w:p w14:paraId="2A08D14F" w14:textId="6CBDC196" w:rsidR="00FB2CD8" w:rsidRDefault="00FB2CD8" w:rsidP="00FB2CD8">
            <w:pPr>
              <w:jc w:val="center"/>
            </w:pPr>
            <w:r>
              <w:t>PDK</w:t>
            </w:r>
            <w:r w:rsidR="0037145D">
              <w:rPr>
                <w:vertAlign w:val="superscript"/>
              </w:rPr>
              <w:t>6</w:t>
            </w:r>
          </w:p>
        </w:tc>
        <w:tc>
          <w:tcPr>
            <w:tcW w:w="900" w:type="dxa"/>
            <w:vAlign w:val="center"/>
          </w:tcPr>
          <w:p w14:paraId="2F528F14" w14:textId="6759AE40" w:rsidR="00FB2CD8" w:rsidRPr="00897EA1" w:rsidRDefault="00FB2CD8" w:rsidP="00FB2CD8">
            <w:pPr>
              <w:jc w:val="center"/>
            </w:pPr>
            <w:r w:rsidRPr="00701C4D">
              <w:t>N/A</w:t>
            </w:r>
          </w:p>
        </w:tc>
        <w:tc>
          <w:tcPr>
            <w:tcW w:w="2155" w:type="dxa"/>
            <w:vAlign w:val="center"/>
          </w:tcPr>
          <w:p w14:paraId="0D47C1C5" w14:textId="232E5A74" w:rsidR="00FB2CD8" w:rsidRPr="003D1E3A" w:rsidRDefault="00FB2CD8" w:rsidP="00FB2CD8">
            <w:pPr>
              <w:jc w:val="center"/>
            </w:pPr>
            <w:r>
              <w:t>residential exposure limit – Russia (converted from 0.08</w:t>
            </w:r>
            <w:r w:rsidRPr="003D1E3A">
              <w:t xml:space="preserve"> mg/m</w:t>
            </w:r>
            <w:r w:rsidRPr="00E635FD">
              <w:rPr>
                <w:vertAlign w:val="superscript"/>
              </w:rPr>
              <w:t>3</w:t>
            </w:r>
            <w:r>
              <w:t>)</w:t>
            </w:r>
          </w:p>
        </w:tc>
      </w:tr>
    </w:tbl>
    <w:p w14:paraId="2213A82A" w14:textId="48E7E809" w:rsidR="00942976" w:rsidRPr="009E10C4" w:rsidRDefault="00095163" w:rsidP="0037145D">
      <w:pPr>
        <w:spacing w:after="100"/>
        <w:rPr>
          <w:sz w:val="20"/>
          <w:szCs w:val="20"/>
        </w:rPr>
      </w:pPr>
      <w:r w:rsidRPr="009E10C4">
        <w:rPr>
          <w:sz w:val="20"/>
          <w:szCs w:val="20"/>
          <w:vertAlign w:val="superscript"/>
        </w:rPr>
        <w:t>1</w:t>
      </w:r>
      <w:r w:rsidRPr="009E10C4">
        <w:rPr>
          <w:sz w:val="20"/>
          <w:szCs w:val="20"/>
        </w:rPr>
        <w:t xml:space="preserve"> HS &amp; MM do not show effect at this </w:t>
      </w:r>
      <w:r w:rsidR="0036741F" w:rsidRPr="009E10C4">
        <w:rPr>
          <w:sz w:val="20"/>
          <w:szCs w:val="20"/>
        </w:rPr>
        <w:t>concentration</w:t>
      </w:r>
      <w:r w:rsidR="00D300B8">
        <w:rPr>
          <w:sz w:val="20"/>
          <w:szCs w:val="20"/>
        </w:rPr>
        <w:t xml:space="preserve"> (Katz and Talbert</w:t>
      </w:r>
      <w:r w:rsidR="0036741F">
        <w:rPr>
          <w:sz w:val="20"/>
          <w:szCs w:val="20"/>
        </w:rPr>
        <w:t xml:space="preserve"> 1930</w:t>
      </w:r>
      <w:r w:rsidR="0036741F" w:rsidRPr="00FC03D4">
        <w:rPr>
          <w:sz w:val="20"/>
          <w:szCs w:val="20"/>
        </w:rPr>
        <w:t>)</w:t>
      </w:r>
      <w:r w:rsidR="0036741F">
        <w:rPr>
          <w:sz w:val="20"/>
          <w:szCs w:val="20"/>
        </w:rPr>
        <w:t>.</w:t>
      </w:r>
    </w:p>
    <w:p w14:paraId="39ABD01E" w14:textId="406BBDF3" w:rsidR="009E10C4" w:rsidRPr="00166784" w:rsidRDefault="0072012A" w:rsidP="0037145D">
      <w:pPr>
        <w:spacing w:after="100"/>
        <w:jc w:val="both"/>
        <w:rPr>
          <w:sz w:val="20"/>
        </w:rPr>
      </w:pPr>
      <w:r>
        <w:rPr>
          <w:vertAlign w:val="superscript"/>
        </w:rPr>
        <w:t>2</w:t>
      </w:r>
      <w:r w:rsidR="009E10C4">
        <w:rPr>
          <w:vertAlign w:val="superscript"/>
        </w:rPr>
        <w:t xml:space="preserve"> </w:t>
      </w:r>
      <w:r w:rsidR="009E10C4" w:rsidRPr="00166784">
        <w:rPr>
          <w:sz w:val="20"/>
        </w:rPr>
        <w:t xml:space="preserve">TLV-TWA </w:t>
      </w:r>
      <w:r w:rsidR="009E10C4">
        <w:rPr>
          <w:sz w:val="20"/>
        </w:rPr>
        <w:t xml:space="preserve">is the </w:t>
      </w:r>
      <w:r w:rsidR="009E10C4" w:rsidRPr="00166784">
        <w:rPr>
          <w:sz w:val="20"/>
        </w:rPr>
        <w:t xml:space="preserve">threshold limit value – time weighted average, </w:t>
      </w:r>
      <w:r w:rsidR="009E10C4">
        <w:rPr>
          <w:sz w:val="20"/>
        </w:rPr>
        <w:t xml:space="preserve">as given by the </w:t>
      </w:r>
      <w:r w:rsidR="009E10C4" w:rsidRPr="00166784">
        <w:rPr>
          <w:sz w:val="20"/>
        </w:rPr>
        <w:t>American Conference of Gove</w:t>
      </w:r>
      <w:r w:rsidR="009E10C4">
        <w:rPr>
          <w:sz w:val="20"/>
        </w:rPr>
        <w:t>rnmental Industrial Hygienists (</w:t>
      </w:r>
      <w:r w:rsidR="009E10C4" w:rsidRPr="00166784">
        <w:rPr>
          <w:sz w:val="20"/>
        </w:rPr>
        <w:t xml:space="preserve">ACGIH </w:t>
      </w:r>
      <w:r w:rsidR="009E10C4">
        <w:rPr>
          <w:sz w:val="20"/>
        </w:rPr>
        <w:t>2004</w:t>
      </w:r>
      <w:r w:rsidR="009E10C4" w:rsidRPr="00166784">
        <w:rPr>
          <w:sz w:val="20"/>
        </w:rPr>
        <w:t>)</w:t>
      </w:r>
      <w:r w:rsidR="009E10C4">
        <w:rPr>
          <w:sz w:val="20"/>
        </w:rPr>
        <w:t>. It</w:t>
      </w:r>
      <w:r w:rsidR="009E10C4" w:rsidRPr="00166784">
        <w:rPr>
          <w:sz w:val="20"/>
        </w:rPr>
        <w:t xml:space="preserve"> is the time-weighted average concentration for a normal 8</w:t>
      </w:r>
      <w:r w:rsidR="009E10C4">
        <w:rPr>
          <w:sz w:val="20"/>
        </w:rPr>
        <w:t>-hour</w:t>
      </w:r>
      <w:r w:rsidR="009E10C4" w:rsidRPr="00166784">
        <w:rPr>
          <w:sz w:val="20"/>
        </w:rPr>
        <w:t xml:space="preserve"> workday and a 40</w:t>
      </w:r>
      <w:r w:rsidR="009E10C4">
        <w:rPr>
          <w:sz w:val="20"/>
        </w:rPr>
        <w:t>-hour</w:t>
      </w:r>
      <w:r w:rsidR="009E10C4" w:rsidRPr="00166784">
        <w:rPr>
          <w:sz w:val="20"/>
        </w:rPr>
        <w:t xml:space="preserve"> workweek, to which nearly all workers may be repeatedly exposed, day after day, without adverse effect</w:t>
      </w:r>
      <w:r w:rsidR="009E10C4">
        <w:rPr>
          <w:sz w:val="20"/>
        </w:rPr>
        <w:t>s</w:t>
      </w:r>
      <w:r w:rsidR="009E10C4" w:rsidRPr="00166784">
        <w:rPr>
          <w:sz w:val="20"/>
        </w:rPr>
        <w:t>.</w:t>
      </w:r>
    </w:p>
    <w:p w14:paraId="0F5BEE6F" w14:textId="4367E2DC" w:rsidR="009E10C4" w:rsidRPr="0037145D" w:rsidRDefault="0072012A" w:rsidP="0037145D">
      <w:pPr>
        <w:spacing w:after="100"/>
        <w:jc w:val="both"/>
        <w:rPr>
          <w:sz w:val="20"/>
          <w:szCs w:val="20"/>
        </w:rPr>
      </w:pPr>
      <w:r>
        <w:rPr>
          <w:vertAlign w:val="superscript"/>
        </w:rPr>
        <w:t>3</w:t>
      </w:r>
      <w:r w:rsidR="009E10C4">
        <w:rPr>
          <w:vertAlign w:val="superscript"/>
        </w:rPr>
        <w:t xml:space="preserve"> </w:t>
      </w:r>
      <w:r w:rsidR="009E10C4">
        <w:rPr>
          <w:sz w:val="20"/>
        </w:rPr>
        <w:t>NGV (</w:t>
      </w:r>
      <w:r w:rsidR="0037145D" w:rsidRPr="0037145D">
        <w:rPr>
          <w:sz w:val="20"/>
          <w:szCs w:val="20"/>
        </w:rPr>
        <w:t>nivågränsvärde</w:t>
      </w:r>
      <w:r w:rsidR="005A7641">
        <w:rPr>
          <w:sz w:val="20"/>
          <w:szCs w:val="20"/>
        </w:rPr>
        <w:t xml:space="preserve"> [level threshold</w:t>
      </w:r>
      <w:r w:rsidR="0037145D">
        <w:rPr>
          <w:sz w:val="20"/>
          <w:szCs w:val="20"/>
        </w:rPr>
        <w:t>]</w:t>
      </w:r>
      <w:r w:rsidR="009E10C4" w:rsidRPr="0037145D">
        <w:rPr>
          <w:sz w:val="20"/>
          <w:szCs w:val="20"/>
        </w:rPr>
        <w:t xml:space="preserve">) by the Swedish Work Environment Authority is defined </w:t>
      </w:r>
      <w:r w:rsidR="0037145D">
        <w:rPr>
          <w:sz w:val="20"/>
          <w:szCs w:val="20"/>
        </w:rPr>
        <w:t>analogous to the ACGIH TLV-TWA</w:t>
      </w:r>
      <w:r w:rsidR="00D65D27">
        <w:rPr>
          <w:sz w:val="20"/>
          <w:szCs w:val="20"/>
        </w:rPr>
        <w:t>. Source</w:t>
      </w:r>
      <w:r w:rsidR="0037145D">
        <w:rPr>
          <w:sz w:val="20"/>
          <w:szCs w:val="20"/>
        </w:rPr>
        <w:t xml:space="preserve"> – </w:t>
      </w:r>
      <w:r w:rsidR="00D65D27">
        <w:rPr>
          <w:sz w:val="20"/>
          <w:szCs w:val="20"/>
        </w:rPr>
        <w:t>Arbetsmiljöverket. 2015.</w:t>
      </w:r>
      <w:r w:rsidR="0037145D" w:rsidRPr="0037145D">
        <w:rPr>
          <w:sz w:val="20"/>
          <w:szCs w:val="20"/>
        </w:rPr>
        <w:t xml:space="preserve"> </w:t>
      </w:r>
      <w:r w:rsidR="0070463A" w:rsidRPr="0070463A">
        <w:rPr>
          <w:sz w:val="20"/>
          <w:szCs w:val="20"/>
        </w:rPr>
        <w:t>Hygieniska gränsvärden</w:t>
      </w:r>
      <w:r w:rsidR="0070463A">
        <w:rPr>
          <w:sz w:val="20"/>
          <w:szCs w:val="20"/>
        </w:rPr>
        <w:t xml:space="preserve">, </w:t>
      </w:r>
      <w:r w:rsidR="0070463A" w:rsidRPr="0070463A">
        <w:rPr>
          <w:sz w:val="20"/>
          <w:szCs w:val="20"/>
        </w:rPr>
        <w:t>AFS</w:t>
      </w:r>
      <w:r w:rsidR="0070463A">
        <w:rPr>
          <w:sz w:val="20"/>
          <w:szCs w:val="20"/>
        </w:rPr>
        <w:t xml:space="preserve"> 2015:</w:t>
      </w:r>
      <w:r w:rsidR="0070463A" w:rsidRPr="0037145D">
        <w:rPr>
          <w:sz w:val="20"/>
          <w:szCs w:val="20"/>
        </w:rPr>
        <w:t>7</w:t>
      </w:r>
      <w:r w:rsidR="0070463A">
        <w:rPr>
          <w:sz w:val="20"/>
          <w:szCs w:val="20"/>
        </w:rPr>
        <w:t xml:space="preserve"> [</w:t>
      </w:r>
      <w:r w:rsidR="0037145D" w:rsidRPr="0070463A">
        <w:rPr>
          <w:sz w:val="20"/>
          <w:szCs w:val="20"/>
        </w:rPr>
        <w:t>Occupational exposure limit values</w:t>
      </w:r>
      <w:r w:rsidR="0070463A" w:rsidRPr="0070463A">
        <w:rPr>
          <w:sz w:val="20"/>
          <w:szCs w:val="20"/>
        </w:rPr>
        <w:t>, AFS</w:t>
      </w:r>
      <w:r w:rsidR="0070463A">
        <w:rPr>
          <w:sz w:val="20"/>
          <w:szCs w:val="20"/>
        </w:rPr>
        <w:t xml:space="preserve"> 2015:</w:t>
      </w:r>
      <w:r w:rsidR="0037145D" w:rsidRPr="0037145D">
        <w:rPr>
          <w:sz w:val="20"/>
          <w:szCs w:val="20"/>
        </w:rPr>
        <w:t>7</w:t>
      </w:r>
      <w:r w:rsidR="0070463A">
        <w:rPr>
          <w:sz w:val="20"/>
          <w:szCs w:val="20"/>
        </w:rPr>
        <w:t>].</w:t>
      </w:r>
      <w:r w:rsidR="0037145D">
        <w:rPr>
          <w:sz w:val="20"/>
          <w:szCs w:val="20"/>
        </w:rPr>
        <w:t xml:space="preserve"> </w:t>
      </w:r>
      <w:r w:rsidR="001F60A9">
        <w:rPr>
          <w:sz w:val="20"/>
          <w:szCs w:val="20"/>
        </w:rPr>
        <w:t>Stockholm (</w:t>
      </w:r>
      <w:r w:rsidR="0037145D" w:rsidRPr="0037145D">
        <w:rPr>
          <w:sz w:val="20"/>
          <w:szCs w:val="20"/>
        </w:rPr>
        <w:t>Sweden</w:t>
      </w:r>
      <w:r w:rsidR="001F60A9">
        <w:rPr>
          <w:sz w:val="20"/>
          <w:szCs w:val="20"/>
        </w:rPr>
        <w:t>): Elanders</w:t>
      </w:r>
      <w:r w:rsidR="009E10C4" w:rsidRPr="0037145D">
        <w:rPr>
          <w:sz w:val="20"/>
          <w:szCs w:val="20"/>
        </w:rPr>
        <w:t>.</w:t>
      </w:r>
      <w:r w:rsidR="001F60A9">
        <w:rPr>
          <w:sz w:val="20"/>
          <w:szCs w:val="20"/>
        </w:rPr>
        <w:t xml:space="preserve"> Swedish.</w:t>
      </w:r>
    </w:p>
    <w:p w14:paraId="54D6E281" w14:textId="4C181114" w:rsidR="009E10C4" w:rsidRDefault="0072012A" w:rsidP="0037145D">
      <w:pPr>
        <w:spacing w:after="100"/>
        <w:jc w:val="both"/>
        <w:rPr>
          <w:sz w:val="20"/>
        </w:rPr>
      </w:pPr>
      <w:r>
        <w:rPr>
          <w:vertAlign w:val="superscript"/>
        </w:rPr>
        <w:t>4</w:t>
      </w:r>
      <w:r w:rsidR="009E10C4">
        <w:rPr>
          <w:vertAlign w:val="superscript"/>
        </w:rPr>
        <w:t xml:space="preserve"> </w:t>
      </w:r>
      <w:r w:rsidR="009E10C4">
        <w:rPr>
          <w:sz w:val="20"/>
        </w:rPr>
        <w:t>NDS (</w:t>
      </w:r>
      <w:r w:rsidR="0037145D">
        <w:rPr>
          <w:sz w:val="20"/>
        </w:rPr>
        <w:t>najwyższe dopuszczalne s</w:t>
      </w:r>
      <w:r w:rsidR="0037145D" w:rsidRPr="00050768">
        <w:rPr>
          <w:sz w:val="20"/>
        </w:rPr>
        <w:t>tężenie</w:t>
      </w:r>
      <w:r w:rsidR="005A7641">
        <w:rPr>
          <w:sz w:val="20"/>
        </w:rPr>
        <w:t xml:space="preserve"> [maximum allowable concentration]</w:t>
      </w:r>
      <w:r w:rsidR="009E10C4">
        <w:rPr>
          <w:sz w:val="20"/>
        </w:rPr>
        <w:t xml:space="preserve">) by the </w:t>
      </w:r>
      <w:r w:rsidR="009E10C4" w:rsidRPr="00941AA3">
        <w:rPr>
          <w:sz w:val="20"/>
        </w:rPr>
        <w:t xml:space="preserve">Interdepartmental Commission for Maximum Admissible Concentrations and Intensities for Agents Harmful to Health in the Working Environment </w:t>
      </w:r>
      <w:r w:rsidR="009E10C4">
        <w:rPr>
          <w:sz w:val="20"/>
        </w:rPr>
        <w:t xml:space="preserve">at the </w:t>
      </w:r>
      <w:r w:rsidR="009E10C4" w:rsidRPr="00941AA3">
        <w:rPr>
          <w:sz w:val="20"/>
        </w:rPr>
        <w:t>P</w:t>
      </w:r>
      <w:r w:rsidR="009E10C4">
        <w:rPr>
          <w:sz w:val="20"/>
        </w:rPr>
        <w:t xml:space="preserve">olish </w:t>
      </w:r>
      <w:r w:rsidR="009E10C4" w:rsidRPr="00EF1440">
        <w:rPr>
          <w:sz w:val="20"/>
        </w:rPr>
        <w:t>Central Institute for Labor Protection</w:t>
      </w:r>
      <w:r w:rsidR="009E10C4">
        <w:rPr>
          <w:sz w:val="20"/>
        </w:rPr>
        <w:t xml:space="preserve"> is defined analogous to the ACGIH TLV-TWA (</w:t>
      </w:r>
      <w:r w:rsidR="00D300B8">
        <w:rPr>
          <w:sz w:val="20"/>
        </w:rPr>
        <w:t>Pohanish</w:t>
      </w:r>
      <w:r w:rsidR="009E10C4" w:rsidRPr="00941AA3">
        <w:rPr>
          <w:sz w:val="20"/>
        </w:rPr>
        <w:t xml:space="preserve"> 2012</w:t>
      </w:r>
      <w:r w:rsidR="009E10C4">
        <w:rPr>
          <w:sz w:val="20"/>
        </w:rPr>
        <w:t>).</w:t>
      </w:r>
    </w:p>
    <w:p w14:paraId="52BC41F5" w14:textId="7CDB342A" w:rsidR="009E10C4" w:rsidRPr="0037145D" w:rsidRDefault="0072012A" w:rsidP="001F60A9">
      <w:pPr>
        <w:spacing w:after="100"/>
        <w:jc w:val="both"/>
        <w:rPr>
          <w:sz w:val="20"/>
          <w:szCs w:val="20"/>
        </w:rPr>
      </w:pPr>
      <w:r>
        <w:rPr>
          <w:vertAlign w:val="superscript"/>
        </w:rPr>
        <w:t>5</w:t>
      </w:r>
      <w:r w:rsidR="009E10C4" w:rsidRPr="00E92D81">
        <w:rPr>
          <w:vertAlign w:val="superscript"/>
        </w:rPr>
        <w:t xml:space="preserve"> </w:t>
      </w:r>
      <w:r w:rsidR="009E10C4" w:rsidRPr="00E92D81">
        <w:rPr>
          <w:sz w:val="20"/>
        </w:rPr>
        <w:t>PDK (</w:t>
      </w:r>
      <w:r w:rsidR="0037145D" w:rsidRPr="00E92D81">
        <w:rPr>
          <w:sz w:val="20"/>
        </w:rPr>
        <w:t>predelno dopustimaia koncentracia</w:t>
      </w:r>
      <w:r w:rsidR="005A7641">
        <w:rPr>
          <w:sz w:val="20"/>
        </w:rPr>
        <w:t xml:space="preserve"> [maximum allowable concentration</w:t>
      </w:r>
      <w:r w:rsidR="0037145D">
        <w:rPr>
          <w:sz w:val="20"/>
        </w:rPr>
        <w:t>]</w:t>
      </w:r>
      <w:r w:rsidR="009E10C4">
        <w:rPr>
          <w:sz w:val="20"/>
        </w:rPr>
        <w:t>) in the</w:t>
      </w:r>
      <w:r w:rsidR="009E10C4" w:rsidRPr="00A01277">
        <w:rPr>
          <w:sz w:val="20"/>
        </w:rPr>
        <w:t xml:space="preserve"> </w:t>
      </w:r>
      <w:r w:rsidR="009E10C4">
        <w:rPr>
          <w:sz w:val="20"/>
        </w:rPr>
        <w:t xml:space="preserve">workplace air </w:t>
      </w:r>
      <w:r w:rsidR="009E10C4" w:rsidRPr="00E92D81">
        <w:rPr>
          <w:sz w:val="20"/>
        </w:rPr>
        <w:t xml:space="preserve">(with skin and eye protection) established </w:t>
      </w:r>
      <w:r w:rsidR="009E10C4">
        <w:rPr>
          <w:sz w:val="20"/>
        </w:rPr>
        <w:t xml:space="preserve">for a short-term exposure (20–30 min, i.e. similar to the </w:t>
      </w:r>
      <w:r w:rsidR="009E10C4" w:rsidRPr="004C45D3">
        <w:rPr>
          <w:sz w:val="20"/>
        </w:rPr>
        <w:t>ACGIH short-term exposure limit</w:t>
      </w:r>
      <w:r w:rsidR="00463BF6">
        <w:rPr>
          <w:sz w:val="20"/>
        </w:rPr>
        <w:t>, TLV-STEL).</w:t>
      </w:r>
      <w:r w:rsidR="009E10C4">
        <w:rPr>
          <w:sz w:val="20"/>
        </w:rPr>
        <w:t xml:space="preserve"> </w:t>
      </w:r>
      <w:r w:rsidR="00463BF6">
        <w:rPr>
          <w:sz w:val="20"/>
          <w:szCs w:val="20"/>
        </w:rPr>
        <w:t>Source – Onischenko GG, chief approving public health officer. 2003. Gigienicheskie n</w:t>
      </w:r>
      <w:r w:rsidR="00463BF6" w:rsidRPr="0037145D">
        <w:rPr>
          <w:sz w:val="20"/>
          <w:szCs w:val="20"/>
        </w:rPr>
        <w:t>ormativy</w:t>
      </w:r>
      <w:r w:rsidR="00463BF6">
        <w:rPr>
          <w:sz w:val="20"/>
          <w:szCs w:val="20"/>
        </w:rPr>
        <w:t xml:space="preserve"> </w:t>
      </w:r>
      <w:r w:rsidR="00463BF6" w:rsidRPr="0037145D">
        <w:rPr>
          <w:sz w:val="20"/>
          <w:szCs w:val="20"/>
        </w:rPr>
        <w:t>GN-</w:t>
      </w:r>
      <w:r w:rsidR="00D65D27">
        <w:rPr>
          <w:sz w:val="20"/>
          <w:szCs w:val="20"/>
        </w:rPr>
        <w:t>2.2.5.1313-03</w:t>
      </w:r>
      <w:r w:rsidR="00463BF6">
        <w:rPr>
          <w:sz w:val="20"/>
          <w:szCs w:val="20"/>
        </w:rPr>
        <w:t xml:space="preserve">: Predelno </w:t>
      </w:r>
      <w:r w:rsidR="00463BF6">
        <w:rPr>
          <w:sz w:val="20"/>
          <w:szCs w:val="20"/>
        </w:rPr>
        <w:lastRenderedPageBreak/>
        <w:t xml:space="preserve">dopustimye koncentracii (PDK) </w:t>
      </w:r>
      <w:r w:rsidR="00D65D27">
        <w:rPr>
          <w:sz w:val="20"/>
          <w:szCs w:val="20"/>
        </w:rPr>
        <w:t>vrednyh</w:t>
      </w:r>
      <w:r w:rsidR="00463BF6">
        <w:rPr>
          <w:sz w:val="20"/>
          <w:szCs w:val="20"/>
        </w:rPr>
        <w:t xml:space="preserve"> veschestv v vozduhe </w:t>
      </w:r>
      <w:r w:rsidR="00D65D27">
        <w:rPr>
          <w:sz w:val="20"/>
          <w:szCs w:val="20"/>
        </w:rPr>
        <w:t>rabochei zony</w:t>
      </w:r>
      <w:r w:rsidR="00463BF6">
        <w:rPr>
          <w:sz w:val="20"/>
          <w:szCs w:val="20"/>
        </w:rPr>
        <w:t xml:space="preserve"> [Hygienic standards </w:t>
      </w:r>
      <w:r w:rsidR="00D65D27" w:rsidRPr="0037145D">
        <w:rPr>
          <w:sz w:val="20"/>
          <w:szCs w:val="20"/>
        </w:rPr>
        <w:t>GN-</w:t>
      </w:r>
      <w:r w:rsidR="00D65D27">
        <w:rPr>
          <w:sz w:val="20"/>
          <w:szCs w:val="20"/>
        </w:rPr>
        <w:t>2.2.5.1313-03</w:t>
      </w:r>
      <w:r w:rsidR="00463BF6" w:rsidRPr="00463BF6">
        <w:rPr>
          <w:sz w:val="20"/>
          <w:szCs w:val="20"/>
        </w:rPr>
        <w:t xml:space="preserve">: Maximum allowable concentrations (MACs) of hazardous substances in occupational air]. </w:t>
      </w:r>
      <w:r w:rsidR="00463BF6">
        <w:rPr>
          <w:sz w:val="20"/>
          <w:szCs w:val="20"/>
        </w:rPr>
        <w:t>Moscow (</w:t>
      </w:r>
      <w:r w:rsidR="005A7641">
        <w:rPr>
          <w:sz w:val="20"/>
          <w:szCs w:val="20"/>
        </w:rPr>
        <w:t>RF</w:t>
      </w:r>
      <w:r w:rsidR="00463BF6">
        <w:rPr>
          <w:sz w:val="20"/>
          <w:szCs w:val="20"/>
        </w:rPr>
        <w:t xml:space="preserve">): RF Health Department. </w:t>
      </w:r>
      <w:r w:rsidR="00463BF6" w:rsidRPr="0037145D">
        <w:rPr>
          <w:sz w:val="20"/>
          <w:szCs w:val="20"/>
        </w:rPr>
        <w:t>Russian</w:t>
      </w:r>
      <w:r w:rsidR="00463BF6">
        <w:rPr>
          <w:sz w:val="20"/>
          <w:szCs w:val="20"/>
        </w:rPr>
        <w:t>.</w:t>
      </w:r>
    </w:p>
    <w:p w14:paraId="406B5B4A" w14:textId="16BA07E2" w:rsidR="00990772" w:rsidRDefault="0072012A" w:rsidP="00463BF6">
      <w:pPr>
        <w:spacing w:after="100"/>
        <w:jc w:val="both"/>
        <w:rPr>
          <w:sz w:val="20"/>
          <w:szCs w:val="20"/>
        </w:rPr>
      </w:pPr>
      <w:r>
        <w:rPr>
          <w:vertAlign w:val="superscript"/>
        </w:rPr>
        <w:t>6</w:t>
      </w:r>
      <w:r w:rsidR="009E10C4">
        <w:rPr>
          <w:vertAlign w:val="superscript"/>
        </w:rPr>
        <w:t xml:space="preserve"> </w:t>
      </w:r>
      <w:r w:rsidR="009E10C4">
        <w:rPr>
          <w:sz w:val="20"/>
        </w:rPr>
        <w:t>PDK (</w:t>
      </w:r>
      <w:r w:rsidR="005A7641" w:rsidRPr="00E92D81">
        <w:rPr>
          <w:sz w:val="20"/>
        </w:rPr>
        <w:t>predelno dopustimaia koncentracia</w:t>
      </w:r>
      <w:r w:rsidR="005A7641">
        <w:rPr>
          <w:sz w:val="20"/>
        </w:rPr>
        <w:t xml:space="preserve"> [maximum allowable concentration</w:t>
      </w:r>
      <w:r w:rsidR="0037145D">
        <w:rPr>
          <w:sz w:val="20"/>
        </w:rPr>
        <w:t>]</w:t>
      </w:r>
      <w:r w:rsidR="009E10C4">
        <w:rPr>
          <w:sz w:val="20"/>
        </w:rPr>
        <w:t xml:space="preserve">) in ambient air of residential areas established for a short-term exposure (20–30 min, i.e. similar to the </w:t>
      </w:r>
      <w:r w:rsidR="009E10C4" w:rsidRPr="004C45D3">
        <w:rPr>
          <w:sz w:val="20"/>
        </w:rPr>
        <w:t>ACGIH short-term exposure limit</w:t>
      </w:r>
      <w:r w:rsidR="009E10C4">
        <w:rPr>
          <w:sz w:val="20"/>
        </w:rPr>
        <w:t>, TLV-STEL</w:t>
      </w:r>
      <w:r w:rsidR="009E10C4" w:rsidRPr="004C45D3">
        <w:rPr>
          <w:sz w:val="20"/>
        </w:rPr>
        <w:t>)</w:t>
      </w:r>
      <w:r w:rsidR="009E10C4">
        <w:rPr>
          <w:sz w:val="20"/>
        </w:rPr>
        <w:t xml:space="preserve"> approved</w:t>
      </w:r>
      <w:r w:rsidR="009E10C4" w:rsidRPr="00E92D81">
        <w:rPr>
          <w:sz w:val="20"/>
        </w:rPr>
        <w:t xml:space="preserve"> by the Chief Public Health Officer of the Russian </w:t>
      </w:r>
      <w:r w:rsidR="009E10C4" w:rsidRPr="0037145D">
        <w:rPr>
          <w:sz w:val="20"/>
          <w:szCs w:val="20"/>
        </w:rPr>
        <w:t>Federation</w:t>
      </w:r>
      <w:r w:rsidR="0037145D">
        <w:rPr>
          <w:sz w:val="20"/>
          <w:szCs w:val="20"/>
        </w:rPr>
        <w:t xml:space="preserve">. </w:t>
      </w:r>
      <w:r w:rsidR="0037145D" w:rsidRPr="0037145D">
        <w:rPr>
          <w:sz w:val="20"/>
          <w:szCs w:val="20"/>
        </w:rPr>
        <w:t>This PDK</w:t>
      </w:r>
      <w:r w:rsidR="0037145D">
        <w:rPr>
          <w:sz w:val="20"/>
        </w:rPr>
        <w:t xml:space="preserve"> is established for a reflex MOA, i.e. when </w:t>
      </w:r>
      <w:r w:rsidR="0037145D" w:rsidRPr="004C45D3">
        <w:rPr>
          <w:sz w:val="20"/>
        </w:rPr>
        <w:t xml:space="preserve">involvement of the </w:t>
      </w:r>
      <w:r w:rsidR="0037145D">
        <w:rPr>
          <w:sz w:val="20"/>
        </w:rPr>
        <w:t xml:space="preserve">CNS is minimal following receptor stimulation in the </w:t>
      </w:r>
      <w:r w:rsidR="0037145D" w:rsidRPr="004C45D3">
        <w:rPr>
          <w:sz w:val="20"/>
        </w:rPr>
        <w:t>upper respiratory tract</w:t>
      </w:r>
      <w:r w:rsidR="0037145D">
        <w:rPr>
          <w:sz w:val="20"/>
        </w:rPr>
        <w:t>, including the perception of smell, mucosa irritation, and holding of breath</w:t>
      </w:r>
      <w:r w:rsidR="00463BF6">
        <w:rPr>
          <w:sz w:val="20"/>
          <w:szCs w:val="20"/>
        </w:rPr>
        <w:t>. Source –</w:t>
      </w:r>
      <w:r w:rsidR="001F60A9">
        <w:rPr>
          <w:sz w:val="20"/>
          <w:szCs w:val="20"/>
        </w:rPr>
        <w:t xml:space="preserve"> </w:t>
      </w:r>
      <w:r w:rsidR="00463BF6">
        <w:rPr>
          <w:sz w:val="20"/>
          <w:szCs w:val="20"/>
        </w:rPr>
        <w:t xml:space="preserve">Onischenko GG, chief approving public health officer. 2003. </w:t>
      </w:r>
      <w:r w:rsidR="001F60A9">
        <w:rPr>
          <w:sz w:val="20"/>
          <w:szCs w:val="20"/>
        </w:rPr>
        <w:t>Gigienicheskie n</w:t>
      </w:r>
      <w:r w:rsidR="0037145D" w:rsidRPr="0037145D">
        <w:rPr>
          <w:sz w:val="20"/>
          <w:szCs w:val="20"/>
        </w:rPr>
        <w:t>ormativy</w:t>
      </w:r>
      <w:r w:rsidR="001F60A9">
        <w:rPr>
          <w:sz w:val="20"/>
          <w:szCs w:val="20"/>
        </w:rPr>
        <w:t xml:space="preserve"> </w:t>
      </w:r>
      <w:r w:rsidR="000F203D" w:rsidRPr="0037145D">
        <w:rPr>
          <w:sz w:val="20"/>
          <w:szCs w:val="20"/>
        </w:rPr>
        <w:t>GN-2.1.6.1338-03</w:t>
      </w:r>
      <w:r w:rsidR="000F203D">
        <w:rPr>
          <w:sz w:val="20"/>
          <w:szCs w:val="20"/>
        </w:rPr>
        <w:t xml:space="preserve">: Predelno dopustimye koncentracii (PDK) zagriazniaiuschih veschestv v atmosfernom vozduhe naselionnyh mest </w:t>
      </w:r>
      <w:r w:rsidR="001F60A9">
        <w:rPr>
          <w:sz w:val="20"/>
          <w:szCs w:val="20"/>
        </w:rPr>
        <w:t>[Hygienic standards</w:t>
      </w:r>
      <w:r w:rsidR="000F203D">
        <w:rPr>
          <w:sz w:val="20"/>
          <w:szCs w:val="20"/>
        </w:rPr>
        <w:t xml:space="preserve"> </w:t>
      </w:r>
      <w:r w:rsidR="000F203D" w:rsidRPr="0037145D">
        <w:rPr>
          <w:sz w:val="20"/>
          <w:szCs w:val="20"/>
        </w:rPr>
        <w:t>GN-2.1.6</w:t>
      </w:r>
      <w:r w:rsidR="000F203D" w:rsidRPr="00463BF6">
        <w:rPr>
          <w:sz w:val="20"/>
          <w:szCs w:val="20"/>
        </w:rPr>
        <w:t xml:space="preserve">.1338-03: </w:t>
      </w:r>
      <w:r w:rsidR="00463BF6" w:rsidRPr="00463BF6">
        <w:rPr>
          <w:sz w:val="20"/>
          <w:szCs w:val="20"/>
        </w:rPr>
        <w:t>Maximum allowable concentrations (MACs) of pollutants in the air of residential areas</w:t>
      </w:r>
      <w:r w:rsidR="001F60A9" w:rsidRPr="00463BF6">
        <w:rPr>
          <w:sz w:val="20"/>
          <w:szCs w:val="20"/>
        </w:rPr>
        <w:t>]</w:t>
      </w:r>
      <w:r w:rsidR="000F203D" w:rsidRPr="00463BF6">
        <w:rPr>
          <w:sz w:val="20"/>
          <w:szCs w:val="20"/>
        </w:rPr>
        <w:t xml:space="preserve">. </w:t>
      </w:r>
      <w:r w:rsidR="001F60A9">
        <w:rPr>
          <w:sz w:val="20"/>
          <w:szCs w:val="20"/>
        </w:rPr>
        <w:t>Moscow (</w:t>
      </w:r>
      <w:r w:rsidR="005A7641">
        <w:rPr>
          <w:sz w:val="20"/>
          <w:szCs w:val="20"/>
        </w:rPr>
        <w:t>RF</w:t>
      </w:r>
      <w:r w:rsidR="001F60A9">
        <w:rPr>
          <w:sz w:val="20"/>
          <w:szCs w:val="20"/>
        </w:rPr>
        <w:t xml:space="preserve">): RF Health Department. </w:t>
      </w:r>
      <w:r w:rsidR="001F60A9" w:rsidRPr="0037145D">
        <w:rPr>
          <w:sz w:val="20"/>
          <w:szCs w:val="20"/>
        </w:rPr>
        <w:t>Russian</w:t>
      </w:r>
      <w:r w:rsidR="001F60A9">
        <w:rPr>
          <w:sz w:val="20"/>
          <w:szCs w:val="20"/>
        </w:rPr>
        <w:t>.</w:t>
      </w:r>
    </w:p>
    <w:sectPr w:rsidR="00990772" w:rsidSect="00990772">
      <w:head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4498" w14:textId="77777777" w:rsidR="0084204E" w:rsidRDefault="0084204E" w:rsidP="008B5D54">
      <w:pPr>
        <w:spacing w:after="0" w:line="240" w:lineRule="auto"/>
      </w:pPr>
      <w:r>
        <w:separator/>
      </w:r>
    </w:p>
  </w:endnote>
  <w:endnote w:type="continuationSeparator" w:id="0">
    <w:p w14:paraId="17B0F423" w14:textId="77777777" w:rsidR="0084204E" w:rsidRDefault="0084204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1387" w14:textId="77777777" w:rsidR="0084204E" w:rsidRDefault="0084204E" w:rsidP="008B5D54">
      <w:pPr>
        <w:spacing w:after="0" w:line="240" w:lineRule="auto"/>
      </w:pPr>
      <w:r>
        <w:separator/>
      </w:r>
    </w:p>
  </w:footnote>
  <w:footnote w:type="continuationSeparator" w:id="0">
    <w:p w14:paraId="12FCC817" w14:textId="77777777" w:rsidR="0084204E" w:rsidRDefault="0084204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763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C58502" w14:textId="01C9CE55" w:rsidR="0064193A" w:rsidRDefault="0064193A">
        <w:pPr>
          <w:pStyle w:val="Header"/>
          <w:jc w:val="right"/>
          <w:rPr>
            <w:noProof/>
          </w:rPr>
        </w:pPr>
        <w:r w:rsidRPr="007407AC">
          <w:t>Supplement</w:t>
        </w:r>
        <w:r>
          <w:t xml:space="preserve"> to </w:t>
        </w:r>
        <w:r w:rsidRPr="00C1209E">
          <w:t>Concentration-Time Extrapolation</w:t>
        </w:r>
        <w:r w:rsidR="001364C9">
          <w:t xml:space="preserve">: </w:t>
        </w:r>
        <w:r w:rsidR="001364C9" w:rsidRPr="001364C9">
          <w:t>Dimethyl Sulfide</w:t>
        </w:r>
        <w:r>
          <w:tab/>
          <w:t>S-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EBF61B" w14:textId="1A25614E" w:rsidR="0064193A" w:rsidRDefault="0064193A">
    <w:pPr>
      <w:pStyle w:val="Header"/>
      <w:jc w:val="right"/>
    </w:pPr>
  </w:p>
  <w:p w14:paraId="2712A1E6" w14:textId="77777777" w:rsidR="0064193A" w:rsidRDefault="006419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68B"/>
    <w:multiLevelType w:val="hybridMultilevel"/>
    <w:tmpl w:val="C73A7D8E"/>
    <w:lvl w:ilvl="0" w:tplc="8C148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5F7"/>
    <w:multiLevelType w:val="hybridMultilevel"/>
    <w:tmpl w:val="94506E8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71B29E5"/>
    <w:multiLevelType w:val="multilevel"/>
    <w:tmpl w:val="D794E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5188D"/>
    <w:multiLevelType w:val="multilevel"/>
    <w:tmpl w:val="99A4D8AA"/>
    <w:styleLink w:val="ERPG"/>
    <w:lvl w:ilvl="0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BDB2C2B"/>
    <w:multiLevelType w:val="hybridMultilevel"/>
    <w:tmpl w:val="F45E3C1C"/>
    <w:lvl w:ilvl="0" w:tplc="755E3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0FC4"/>
    <w:multiLevelType w:val="multilevel"/>
    <w:tmpl w:val="5AD03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8620F1"/>
    <w:multiLevelType w:val="hybridMultilevel"/>
    <w:tmpl w:val="2FA068D8"/>
    <w:lvl w:ilvl="0" w:tplc="0C6CEED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D30FBB"/>
    <w:multiLevelType w:val="multilevel"/>
    <w:tmpl w:val="076ACFDC"/>
    <w:lvl w:ilvl="0">
      <w:start w:val="1"/>
      <w:numFmt w:val="decimal"/>
      <w:lvlText w:val="ERPG-%1:"/>
      <w:lvlJc w:val="left"/>
      <w:pPr>
        <w:ind w:left="19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37A15673"/>
    <w:multiLevelType w:val="hybridMultilevel"/>
    <w:tmpl w:val="7FCC1EB2"/>
    <w:lvl w:ilvl="0" w:tplc="DC9E4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1186"/>
    <w:multiLevelType w:val="multilevel"/>
    <w:tmpl w:val="0F4C2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6F0BEB"/>
    <w:multiLevelType w:val="hybridMultilevel"/>
    <w:tmpl w:val="E5BC11C0"/>
    <w:lvl w:ilvl="0" w:tplc="294CB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B08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5927CA"/>
    <w:multiLevelType w:val="multilevel"/>
    <w:tmpl w:val="076ACFDC"/>
    <w:lvl w:ilvl="0">
      <w:start w:val="1"/>
      <w:numFmt w:val="decimal"/>
      <w:lvlText w:val="ERPG-%1:"/>
      <w:lvlJc w:val="left"/>
      <w:pPr>
        <w:ind w:left="19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3" w15:restartNumberingAfterBreak="0">
    <w:nsid w:val="5F981B95"/>
    <w:multiLevelType w:val="multilevel"/>
    <w:tmpl w:val="74E4C7EA"/>
    <w:lvl w:ilvl="0">
      <w:start w:val="1"/>
      <w:numFmt w:val="decimal"/>
      <w:lvlText w:val="for ERPG-%1:"/>
      <w:lvlJc w:val="left"/>
      <w:pPr>
        <w:ind w:left="19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" w15:restartNumberingAfterBreak="0">
    <w:nsid w:val="6D7455B4"/>
    <w:multiLevelType w:val="multilevel"/>
    <w:tmpl w:val="23C0F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13A6"/>
    <w:multiLevelType w:val="hybridMultilevel"/>
    <w:tmpl w:val="7510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72A01"/>
    <w:multiLevelType w:val="multilevel"/>
    <w:tmpl w:val="2DFA1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5F1EF0"/>
    <w:multiLevelType w:val="hybridMultilevel"/>
    <w:tmpl w:val="1D26844A"/>
    <w:lvl w:ilvl="0" w:tplc="AC025A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D143D4"/>
    <w:multiLevelType w:val="multilevel"/>
    <w:tmpl w:val="D5665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7F"/>
    <w:rsid w:val="00000455"/>
    <w:rsid w:val="000007CF"/>
    <w:rsid w:val="00000BE6"/>
    <w:rsid w:val="00000FA0"/>
    <w:rsid w:val="000012D1"/>
    <w:rsid w:val="00001986"/>
    <w:rsid w:val="00001AAF"/>
    <w:rsid w:val="00001C7F"/>
    <w:rsid w:val="0000478A"/>
    <w:rsid w:val="00004C95"/>
    <w:rsid w:val="00005A64"/>
    <w:rsid w:val="00006CDE"/>
    <w:rsid w:val="000074D6"/>
    <w:rsid w:val="00011AA6"/>
    <w:rsid w:val="0001331D"/>
    <w:rsid w:val="0001438F"/>
    <w:rsid w:val="00014C21"/>
    <w:rsid w:val="0001551F"/>
    <w:rsid w:val="00017B4C"/>
    <w:rsid w:val="00020C21"/>
    <w:rsid w:val="00024743"/>
    <w:rsid w:val="000262B5"/>
    <w:rsid w:val="00033A4C"/>
    <w:rsid w:val="000356BC"/>
    <w:rsid w:val="00040243"/>
    <w:rsid w:val="00040ED7"/>
    <w:rsid w:val="00042B02"/>
    <w:rsid w:val="00042DD3"/>
    <w:rsid w:val="00042EBD"/>
    <w:rsid w:val="000430D1"/>
    <w:rsid w:val="0004545D"/>
    <w:rsid w:val="00045C9F"/>
    <w:rsid w:val="000461C8"/>
    <w:rsid w:val="00047DA8"/>
    <w:rsid w:val="000601B1"/>
    <w:rsid w:val="00060771"/>
    <w:rsid w:val="00063302"/>
    <w:rsid w:val="00064101"/>
    <w:rsid w:val="00066779"/>
    <w:rsid w:val="00072070"/>
    <w:rsid w:val="00072FC7"/>
    <w:rsid w:val="00076F74"/>
    <w:rsid w:val="00077E04"/>
    <w:rsid w:val="000802E2"/>
    <w:rsid w:val="00081086"/>
    <w:rsid w:val="00081352"/>
    <w:rsid w:val="00082145"/>
    <w:rsid w:val="00082783"/>
    <w:rsid w:val="0008687C"/>
    <w:rsid w:val="000870E2"/>
    <w:rsid w:val="0009093E"/>
    <w:rsid w:val="00091F74"/>
    <w:rsid w:val="00095163"/>
    <w:rsid w:val="00096946"/>
    <w:rsid w:val="00097C87"/>
    <w:rsid w:val="000A2347"/>
    <w:rsid w:val="000A318D"/>
    <w:rsid w:val="000A55B5"/>
    <w:rsid w:val="000B0C04"/>
    <w:rsid w:val="000B26B2"/>
    <w:rsid w:val="000B2DC7"/>
    <w:rsid w:val="000B6E22"/>
    <w:rsid w:val="000C0323"/>
    <w:rsid w:val="000C0ABB"/>
    <w:rsid w:val="000C19E5"/>
    <w:rsid w:val="000C63DA"/>
    <w:rsid w:val="000C6B94"/>
    <w:rsid w:val="000D055D"/>
    <w:rsid w:val="000D0D2B"/>
    <w:rsid w:val="000D2F4C"/>
    <w:rsid w:val="000D58A4"/>
    <w:rsid w:val="000D60E7"/>
    <w:rsid w:val="000E01FE"/>
    <w:rsid w:val="000E043E"/>
    <w:rsid w:val="000E24CD"/>
    <w:rsid w:val="000E2F03"/>
    <w:rsid w:val="000E4FC7"/>
    <w:rsid w:val="000E67A4"/>
    <w:rsid w:val="000F203D"/>
    <w:rsid w:val="000F23C7"/>
    <w:rsid w:val="000F4139"/>
    <w:rsid w:val="000F4EE7"/>
    <w:rsid w:val="000F6245"/>
    <w:rsid w:val="000F679F"/>
    <w:rsid w:val="000F68EA"/>
    <w:rsid w:val="000F769D"/>
    <w:rsid w:val="000F7802"/>
    <w:rsid w:val="00102C10"/>
    <w:rsid w:val="00103E3E"/>
    <w:rsid w:val="0010516F"/>
    <w:rsid w:val="001053A5"/>
    <w:rsid w:val="0010719A"/>
    <w:rsid w:val="001137C7"/>
    <w:rsid w:val="00116D4F"/>
    <w:rsid w:val="0012051D"/>
    <w:rsid w:val="001229D6"/>
    <w:rsid w:val="00122C57"/>
    <w:rsid w:val="001252A0"/>
    <w:rsid w:val="001264FF"/>
    <w:rsid w:val="00126E24"/>
    <w:rsid w:val="001271DE"/>
    <w:rsid w:val="00127B40"/>
    <w:rsid w:val="00127FE2"/>
    <w:rsid w:val="001306A8"/>
    <w:rsid w:val="001308F0"/>
    <w:rsid w:val="001318AA"/>
    <w:rsid w:val="00131F27"/>
    <w:rsid w:val="001324D8"/>
    <w:rsid w:val="001337DF"/>
    <w:rsid w:val="0013400F"/>
    <w:rsid w:val="0013447E"/>
    <w:rsid w:val="00135828"/>
    <w:rsid w:val="00135C2B"/>
    <w:rsid w:val="001364C9"/>
    <w:rsid w:val="001365A2"/>
    <w:rsid w:val="00137F5D"/>
    <w:rsid w:val="001417D2"/>
    <w:rsid w:val="00142A10"/>
    <w:rsid w:val="0014328F"/>
    <w:rsid w:val="00145262"/>
    <w:rsid w:val="0014570D"/>
    <w:rsid w:val="001458C0"/>
    <w:rsid w:val="00146815"/>
    <w:rsid w:val="00147058"/>
    <w:rsid w:val="00150890"/>
    <w:rsid w:val="001525AD"/>
    <w:rsid w:val="00152B04"/>
    <w:rsid w:val="00153059"/>
    <w:rsid w:val="0015423C"/>
    <w:rsid w:val="00155C22"/>
    <w:rsid w:val="00155D96"/>
    <w:rsid w:val="001562E9"/>
    <w:rsid w:val="00156B44"/>
    <w:rsid w:val="00157DFD"/>
    <w:rsid w:val="0016157A"/>
    <w:rsid w:val="001647F1"/>
    <w:rsid w:val="00165712"/>
    <w:rsid w:val="0016665C"/>
    <w:rsid w:val="00171C79"/>
    <w:rsid w:val="00173582"/>
    <w:rsid w:val="0017359A"/>
    <w:rsid w:val="0017543F"/>
    <w:rsid w:val="001770D9"/>
    <w:rsid w:val="00177175"/>
    <w:rsid w:val="00177A77"/>
    <w:rsid w:val="001819FC"/>
    <w:rsid w:val="001848EE"/>
    <w:rsid w:val="00184C80"/>
    <w:rsid w:val="00184E2F"/>
    <w:rsid w:val="00184FF9"/>
    <w:rsid w:val="001862DD"/>
    <w:rsid w:val="00186369"/>
    <w:rsid w:val="00186620"/>
    <w:rsid w:val="00186EF3"/>
    <w:rsid w:val="0018783C"/>
    <w:rsid w:val="00187D52"/>
    <w:rsid w:val="001904CB"/>
    <w:rsid w:val="001909A5"/>
    <w:rsid w:val="001956E6"/>
    <w:rsid w:val="00196509"/>
    <w:rsid w:val="00197330"/>
    <w:rsid w:val="00197562"/>
    <w:rsid w:val="001A01D6"/>
    <w:rsid w:val="001A1252"/>
    <w:rsid w:val="001A1946"/>
    <w:rsid w:val="001A20BD"/>
    <w:rsid w:val="001A397E"/>
    <w:rsid w:val="001A4B15"/>
    <w:rsid w:val="001A7889"/>
    <w:rsid w:val="001B383F"/>
    <w:rsid w:val="001B56F0"/>
    <w:rsid w:val="001B5A26"/>
    <w:rsid w:val="001C071E"/>
    <w:rsid w:val="001C1327"/>
    <w:rsid w:val="001C1535"/>
    <w:rsid w:val="001C2A9E"/>
    <w:rsid w:val="001C3205"/>
    <w:rsid w:val="001C3B8A"/>
    <w:rsid w:val="001C46EA"/>
    <w:rsid w:val="001C5234"/>
    <w:rsid w:val="001C7B6A"/>
    <w:rsid w:val="001D0494"/>
    <w:rsid w:val="001D07A8"/>
    <w:rsid w:val="001D43CB"/>
    <w:rsid w:val="001D579D"/>
    <w:rsid w:val="001D6F84"/>
    <w:rsid w:val="001D7965"/>
    <w:rsid w:val="001E1A51"/>
    <w:rsid w:val="001E22ED"/>
    <w:rsid w:val="001E6150"/>
    <w:rsid w:val="001F049A"/>
    <w:rsid w:val="001F158C"/>
    <w:rsid w:val="001F371B"/>
    <w:rsid w:val="001F60A9"/>
    <w:rsid w:val="001F6707"/>
    <w:rsid w:val="001F70B2"/>
    <w:rsid w:val="00201C5D"/>
    <w:rsid w:val="00202233"/>
    <w:rsid w:val="00203C71"/>
    <w:rsid w:val="00204314"/>
    <w:rsid w:val="002049C3"/>
    <w:rsid w:val="00204EF3"/>
    <w:rsid w:val="002076FB"/>
    <w:rsid w:val="00210644"/>
    <w:rsid w:val="00210E1C"/>
    <w:rsid w:val="002129F0"/>
    <w:rsid w:val="00214774"/>
    <w:rsid w:val="00222D44"/>
    <w:rsid w:val="002230A3"/>
    <w:rsid w:val="002232D4"/>
    <w:rsid w:val="00224FDC"/>
    <w:rsid w:val="00225212"/>
    <w:rsid w:val="0022548B"/>
    <w:rsid w:val="00226526"/>
    <w:rsid w:val="00231D3E"/>
    <w:rsid w:val="00232C4C"/>
    <w:rsid w:val="00233963"/>
    <w:rsid w:val="002346CC"/>
    <w:rsid w:val="00235B6F"/>
    <w:rsid w:val="00236B36"/>
    <w:rsid w:val="002371E2"/>
    <w:rsid w:val="002378ED"/>
    <w:rsid w:val="00241F39"/>
    <w:rsid w:val="00242DED"/>
    <w:rsid w:val="00243F8A"/>
    <w:rsid w:val="00244462"/>
    <w:rsid w:val="00244A48"/>
    <w:rsid w:val="00245645"/>
    <w:rsid w:val="00246325"/>
    <w:rsid w:val="00247E1C"/>
    <w:rsid w:val="00251AB4"/>
    <w:rsid w:val="00253DD6"/>
    <w:rsid w:val="002541C8"/>
    <w:rsid w:val="00257C6F"/>
    <w:rsid w:val="0026268E"/>
    <w:rsid w:val="00265FCA"/>
    <w:rsid w:val="00266039"/>
    <w:rsid w:val="002725F6"/>
    <w:rsid w:val="002758F2"/>
    <w:rsid w:val="002820B0"/>
    <w:rsid w:val="00284234"/>
    <w:rsid w:val="0028432F"/>
    <w:rsid w:val="00286BA9"/>
    <w:rsid w:val="00290FC5"/>
    <w:rsid w:val="00291F33"/>
    <w:rsid w:val="00292044"/>
    <w:rsid w:val="00292405"/>
    <w:rsid w:val="0029413B"/>
    <w:rsid w:val="00294339"/>
    <w:rsid w:val="0029587E"/>
    <w:rsid w:val="00296ED6"/>
    <w:rsid w:val="00296F9D"/>
    <w:rsid w:val="002A123A"/>
    <w:rsid w:val="002A1CAC"/>
    <w:rsid w:val="002A2410"/>
    <w:rsid w:val="002A255E"/>
    <w:rsid w:val="002A630A"/>
    <w:rsid w:val="002A7480"/>
    <w:rsid w:val="002B0063"/>
    <w:rsid w:val="002B05D8"/>
    <w:rsid w:val="002B0EC0"/>
    <w:rsid w:val="002B1B36"/>
    <w:rsid w:val="002B2751"/>
    <w:rsid w:val="002B35D9"/>
    <w:rsid w:val="002B5E9C"/>
    <w:rsid w:val="002B6F7C"/>
    <w:rsid w:val="002C1139"/>
    <w:rsid w:val="002C3B82"/>
    <w:rsid w:val="002C49A5"/>
    <w:rsid w:val="002D098F"/>
    <w:rsid w:val="002D27EC"/>
    <w:rsid w:val="002D2EEF"/>
    <w:rsid w:val="002D3D20"/>
    <w:rsid w:val="002D509B"/>
    <w:rsid w:val="002D5142"/>
    <w:rsid w:val="002D621B"/>
    <w:rsid w:val="002D7079"/>
    <w:rsid w:val="002D7E4B"/>
    <w:rsid w:val="002D7FE2"/>
    <w:rsid w:val="002E0540"/>
    <w:rsid w:val="002E14ED"/>
    <w:rsid w:val="002E207F"/>
    <w:rsid w:val="002E6465"/>
    <w:rsid w:val="002E70EE"/>
    <w:rsid w:val="002E7C8E"/>
    <w:rsid w:val="002E7CA4"/>
    <w:rsid w:val="002F005F"/>
    <w:rsid w:val="002F5AA9"/>
    <w:rsid w:val="002F5DC8"/>
    <w:rsid w:val="002F70B2"/>
    <w:rsid w:val="002F7860"/>
    <w:rsid w:val="002F7BC8"/>
    <w:rsid w:val="002F7D93"/>
    <w:rsid w:val="0030059B"/>
    <w:rsid w:val="00300E8C"/>
    <w:rsid w:val="003034EE"/>
    <w:rsid w:val="00304D63"/>
    <w:rsid w:val="00305074"/>
    <w:rsid w:val="00307677"/>
    <w:rsid w:val="0030786D"/>
    <w:rsid w:val="00307903"/>
    <w:rsid w:val="00310EE3"/>
    <w:rsid w:val="00311402"/>
    <w:rsid w:val="003115E7"/>
    <w:rsid w:val="00314710"/>
    <w:rsid w:val="00317124"/>
    <w:rsid w:val="00317A97"/>
    <w:rsid w:val="00324876"/>
    <w:rsid w:val="0032537C"/>
    <w:rsid w:val="00326F85"/>
    <w:rsid w:val="00330746"/>
    <w:rsid w:val="003341CB"/>
    <w:rsid w:val="00335BBD"/>
    <w:rsid w:val="00336A42"/>
    <w:rsid w:val="003407DF"/>
    <w:rsid w:val="00341166"/>
    <w:rsid w:val="00341363"/>
    <w:rsid w:val="00344004"/>
    <w:rsid w:val="0034417E"/>
    <w:rsid w:val="0034662E"/>
    <w:rsid w:val="00346BE5"/>
    <w:rsid w:val="00347A81"/>
    <w:rsid w:val="0035083F"/>
    <w:rsid w:val="0035105C"/>
    <w:rsid w:val="003517F2"/>
    <w:rsid w:val="00353C90"/>
    <w:rsid w:val="00353F30"/>
    <w:rsid w:val="003546BA"/>
    <w:rsid w:val="00354FB6"/>
    <w:rsid w:val="00355C49"/>
    <w:rsid w:val="00356608"/>
    <w:rsid w:val="003569C4"/>
    <w:rsid w:val="00356F12"/>
    <w:rsid w:val="00357EB3"/>
    <w:rsid w:val="0036002B"/>
    <w:rsid w:val="00361407"/>
    <w:rsid w:val="00362A87"/>
    <w:rsid w:val="003634E4"/>
    <w:rsid w:val="003634F7"/>
    <w:rsid w:val="00364247"/>
    <w:rsid w:val="00364DC0"/>
    <w:rsid w:val="0036625B"/>
    <w:rsid w:val="0036741F"/>
    <w:rsid w:val="00367454"/>
    <w:rsid w:val="0037145D"/>
    <w:rsid w:val="00371B46"/>
    <w:rsid w:val="00373BC7"/>
    <w:rsid w:val="003752FB"/>
    <w:rsid w:val="0037571C"/>
    <w:rsid w:val="00376A1D"/>
    <w:rsid w:val="003777B6"/>
    <w:rsid w:val="003821D8"/>
    <w:rsid w:val="0038225B"/>
    <w:rsid w:val="00382D33"/>
    <w:rsid w:val="00382F4C"/>
    <w:rsid w:val="00383722"/>
    <w:rsid w:val="0038735E"/>
    <w:rsid w:val="00392BD4"/>
    <w:rsid w:val="00393887"/>
    <w:rsid w:val="00394CF7"/>
    <w:rsid w:val="0039548D"/>
    <w:rsid w:val="00395DD5"/>
    <w:rsid w:val="003A1001"/>
    <w:rsid w:val="003A245B"/>
    <w:rsid w:val="003A5485"/>
    <w:rsid w:val="003A5BC4"/>
    <w:rsid w:val="003A7DBD"/>
    <w:rsid w:val="003B1094"/>
    <w:rsid w:val="003B1C39"/>
    <w:rsid w:val="003B32AD"/>
    <w:rsid w:val="003B4559"/>
    <w:rsid w:val="003B5632"/>
    <w:rsid w:val="003B7FF7"/>
    <w:rsid w:val="003C02DD"/>
    <w:rsid w:val="003C0994"/>
    <w:rsid w:val="003C1B29"/>
    <w:rsid w:val="003C212E"/>
    <w:rsid w:val="003C2E17"/>
    <w:rsid w:val="003C3814"/>
    <w:rsid w:val="003C49BE"/>
    <w:rsid w:val="003C4F86"/>
    <w:rsid w:val="003C5931"/>
    <w:rsid w:val="003C7C11"/>
    <w:rsid w:val="003D1E3A"/>
    <w:rsid w:val="003D4E2C"/>
    <w:rsid w:val="003D5D9C"/>
    <w:rsid w:val="003D6286"/>
    <w:rsid w:val="003D7D44"/>
    <w:rsid w:val="003E034C"/>
    <w:rsid w:val="003E2F05"/>
    <w:rsid w:val="003E7A68"/>
    <w:rsid w:val="003E7E2F"/>
    <w:rsid w:val="003F0EB0"/>
    <w:rsid w:val="003F549D"/>
    <w:rsid w:val="003F5A6F"/>
    <w:rsid w:val="00400CA9"/>
    <w:rsid w:val="004022F6"/>
    <w:rsid w:val="00404D6E"/>
    <w:rsid w:val="00405367"/>
    <w:rsid w:val="00405528"/>
    <w:rsid w:val="004064A9"/>
    <w:rsid w:val="004066A2"/>
    <w:rsid w:val="00407500"/>
    <w:rsid w:val="0040776E"/>
    <w:rsid w:val="00411CC3"/>
    <w:rsid w:val="00412714"/>
    <w:rsid w:val="004129E8"/>
    <w:rsid w:val="0041350B"/>
    <w:rsid w:val="00414B8B"/>
    <w:rsid w:val="00416767"/>
    <w:rsid w:val="0041694D"/>
    <w:rsid w:val="00417370"/>
    <w:rsid w:val="00417890"/>
    <w:rsid w:val="00424434"/>
    <w:rsid w:val="00424BDA"/>
    <w:rsid w:val="00425C83"/>
    <w:rsid w:val="0042608C"/>
    <w:rsid w:val="00427CFA"/>
    <w:rsid w:val="00430D12"/>
    <w:rsid w:val="00431A30"/>
    <w:rsid w:val="00432FE2"/>
    <w:rsid w:val="00433D7D"/>
    <w:rsid w:val="00434210"/>
    <w:rsid w:val="00434F31"/>
    <w:rsid w:val="0043609F"/>
    <w:rsid w:val="00436EBA"/>
    <w:rsid w:val="004414C8"/>
    <w:rsid w:val="0044339E"/>
    <w:rsid w:val="00443F9B"/>
    <w:rsid w:val="00444AE7"/>
    <w:rsid w:val="004455D0"/>
    <w:rsid w:val="00447493"/>
    <w:rsid w:val="004478BB"/>
    <w:rsid w:val="0044796C"/>
    <w:rsid w:val="00450C4F"/>
    <w:rsid w:val="00452291"/>
    <w:rsid w:val="00453FFA"/>
    <w:rsid w:val="00456478"/>
    <w:rsid w:val="00461813"/>
    <w:rsid w:val="00461AB2"/>
    <w:rsid w:val="00463758"/>
    <w:rsid w:val="00463BF6"/>
    <w:rsid w:val="004656C7"/>
    <w:rsid w:val="00470893"/>
    <w:rsid w:val="00470C95"/>
    <w:rsid w:val="004714C1"/>
    <w:rsid w:val="004734B7"/>
    <w:rsid w:val="00474050"/>
    <w:rsid w:val="004746B2"/>
    <w:rsid w:val="00475538"/>
    <w:rsid w:val="00476D7C"/>
    <w:rsid w:val="00480BE9"/>
    <w:rsid w:val="00482E47"/>
    <w:rsid w:val="00483190"/>
    <w:rsid w:val="00483CCE"/>
    <w:rsid w:val="0048500F"/>
    <w:rsid w:val="00485453"/>
    <w:rsid w:val="00486ABE"/>
    <w:rsid w:val="00490FE8"/>
    <w:rsid w:val="00491746"/>
    <w:rsid w:val="00492A72"/>
    <w:rsid w:val="00493980"/>
    <w:rsid w:val="00495621"/>
    <w:rsid w:val="00496633"/>
    <w:rsid w:val="00496A68"/>
    <w:rsid w:val="00497F50"/>
    <w:rsid w:val="004A0526"/>
    <w:rsid w:val="004A1BDE"/>
    <w:rsid w:val="004A2FE4"/>
    <w:rsid w:val="004A5427"/>
    <w:rsid w:val="004A544B"/>
    <w:rsid w:val="004A612F"/>
    <w:rsid w:val="004A68DF"/>
    <w:rsid w:val="004A7D75"/>
    <w:rsid w:val="004A7F8D"/>
    <w:rsid w:val="004B1051"/>
    <w:rsid w:val="004B62E7"/>
    <w:rsid w:val="004B77FE"/>
    <w:rsid w:val="004B7E39"/>
    <w:rsid w:val="004C0F1F"/>
    <w:rsid w:val="004C1C6F"/>
    <w:rsid w:val="004C29F9"/>
    <w:rsid w:val="004C4427"/>
    <w:rsid w:val="004C45D3"/>
    <w:rsid w:val="004C55AA"/>
    <w:rsid w:val="004C653D"/>
    <w:rsid w:val="004C7AAD"/>
    <w:rsid w:val="004D0614"/>
    <w:rsid w:val="004D09A2"/>
    <w:rsid w:val="004D0BE6"/>
    <w:rsid w:val="004D3618"/>
    <w:rsid w:val="004D3B6B"/>
    <w:rsid w:val="004D6603"/>
    <w:rsid w:val="004D6C20"/>
    <w:rsid w:val="004D7116"/>
    <w:rsid w:val="004D714A"/>
    <w:rsid w:val="004D7F19"/>
    <w:rsid w:val="004D7F22"/>
    <w:rsid w:val="004E07D4"/>
    <w:rsid w:val="004E12EE"/>
    <w:rsid w:val="004E1CA4"/>
    <w:rsid w:val="004E2812"/>
    <w:rsid w:val="004E2DB1"/>
    <w:rsid w:val="004E56B4"/>
    <w:rsid w:val="004E57B1"/>
    <w:rsid w:val="004E7ABC"/>
    <w:rsid w:val="004F10B4"/>
    <w:rsid w:val="004F154A"/>
    <w:rsid w:val="004F209C"/>
    <w:rsid w:val="004F3E0B"/>
    <w:rsid w:val="004F62AF"/>
    <w:rsid w:val="004F7696"/>
    <w:rsid w:val="0050046B"/>
    <w:rsid w:val="00502C49"/>
    <w:rsid w:val="00503A2E"/>
    <w:rsid w:val="00505302"/>
    <w:rsid w:val="00505883"/>
    <w:rsid w:val="00506BEF"/>
    <w:rsid w:val="00511D48"/>
    <w:rsid w:val="00513DA2"/>
    <w:rsid w:val="00516567"/>
    <w:rsid w:val="00517A48"/>
    <w:rsid w:val="00520B2D"/>
    <w:rsid w:val="00522E60"/>
    <w:rsid w:val="005236CB"/>
    <w:rsid w:val="00524E38"/>
    <w:rsid w:val="0052553E"/>
    <w:rsid w:val="00525FD9"/>
    <w:rsid w:val="00526721"/>
    <w:rsid w:val="00526F0E"/>
    <w:rsid w:val="00531CE5"/>
    <w:rsid w:val="00533F63"/>
    <w:rsid w:val="005340D7"/>
    <w:rsid w:val="00535DED"/>
    <w:rsid w:val="00537AEA"/>
    <w:rsid w:val="00537C48"/>
    <w:rsid w:val="0054041A"/>
    <w:rsid w:val="005415A5"/>
    <w:rsid w:val="0054308E"/>
    <w:rsid w:val="00543391"/>
    <w:rsid w:val="0054613B"/>
    <w:rsid w:val="00546C37"/>
    <w:rsid w:val="005476C1"/>
    <w:rsid w:val="00550A6A"/>
    <w:rsid w:val="0055182E"/>
    <w:rsid w:val="00557CEE"/>
    <w:rsid w:val="00560A4E"/>
    <w:rsid w:val="00560D6B"/>
    <w:rsid w:val="005613E0"/>
    <w:rsid w:val="0056149C"/>
    <w:rsid w:val="00562556"/>
    <w:rsid w:val="00567383"/>
    <w:rsid w:val="005678F0"/>
    <w:rsid w:val="0057067F"/>
    <w:rsid w:val="00571C24"/>
    <w:rsid w:val="00571F27"/>
    <w:rsid w:val="00572E85"/>
    <w:rsid w:val="00575C61"/>
    <w:rsid w:val="00576EBB"/>
    <w:rsid w:val="00577095"/>
    <w:rsid w:val="00577F61"/>
    <w:rsid w:val="00580648"/>
    <w:rsid w:val="00580A86"/>
    <w:rsid w:val="0058568D"/>
    <w:rsid w:val="005868F6"/>
    <w:rsid w:val="00586A44"/>
    <w:rsid w:val="0058703A"/>
    <w:rsid w:val="005871DD"/>
    <w:rsid w:val="005900C7"/>
    <w:rsid w:val="00590841"/>
    <w:rsid w:val="005914BA"/>
    <w:rsid w:val="00592566"/>
    <w:rsid w:val="005934B1"/>
    <w:rsid w:val="00595C7D"/>
    <w:rsid w:val="00596B9D"/>
    <w:rsid w:val="005A1CC7"/>
    <w:rsid w:val="005A4B8B"/>
    <w:rsid w:val="005A4C05"/>
    <w:rsid w:val="005A5438"/>
    <w:rsid w:val="005A5E2D"/>
    <w:rsid w:val="005A651C"/>
    <w:rsid w:val="005A7641"/>
    <w:rsid w:val="005A76B1"/>
    <w:rsid w:val="005B0634"/>
    <w:rsid w:val="005B13C8"/>
    <w:rsid w:val="005B45E6"/>
    <w:rsid w:val="005B545C"/>
    <w:rsid w:val="005B7B5E"/>
    <w:rsid w:val="005C2AB4"/>
    <w:rsid w:val="005C3CB8"/>
    <w:rsid w:val="005C4867"/>
    <w:rsid w:val="005C4E4B"/>
    <w:rsid w:val="005C4F93"/>
    <w:rsid w:val="005D14BD"/>
    <w:rsid w:val="005D1C6C"/>
    <w:rsid w:val="005D2367"/>
    <w:rsid w:val="005D2D57"/>
    <w:rsid w:val="005D338B"/>
    <w:rsid w:val="005D3F27"/>
    <w:rsid w:val="005D4439"/>
    <w:rsid w:val="005D6105"/>
    <w:rsid w:val="005D64E9"/>
    <w:rsid w:val="005D7179"/>
    <w:rsid w:val="005D71F6"/>
    <w:rsid w:val="005E0349"/>
    <w:rsid w:val="005E04AA"/>
    <w:rsid w:val="005E120B"/>
    <w:rsid w:val="005E16E0"/>
    <w:rsid w:val="005E31B4"/>
    <w:rsid w:val="005E5B85"/>
    <w:rsid w:val="005F03A3"/>
    <w:rsid w:val="005F074A"/>
    <w:rsid w:val="005F0A9C"/>
    <w:rsid w:val="005F2269"/>
    <w:rsid w:val="005F3709"/>
    <w:rsid w:val="005F3E1D"/>
    <w:rsid w:val="005F3FE4"/>
    <w:rsid w:val="005F46CD"/>
    <w:rsid w:val="005F592F"/>
    <w:rsid w:val="005F5DD7"/>
    <w:rsid w:val="005F7F46"/>
    <w:rsid w:val="00600691"/>
    <w:rsid w:val="0060247C"/>
    <w:rsid w:val="0060383B"/>
    <w:rsid w:val="006038E7"/>
    <w:rsid w:val="00603FE0"/>
    <w:rsid w:val="0060516D"/>
    <w:rsid w:val="00605F69"/>
    <w:rsid w:val="006064E0"/>
    <w:rsid w:val="00606E4A"/>
    <w:rsid w:val="00607E56"/>
    <w:rsid w:val="0061083F"/>
    <w:rsid w:val="00611A6C"/>
    <w:rsid w:val="00611C18"/>
    <w:rsid w:val="00612246"/>
    <w:rsid w:val="0061267E"/>
    <w:rsid w:val="00613965"/>
    <w:rsid w:val="00613FE8"/>
    <w:rsid w:val="00614666"/>
    <w:rsid w:val="0061579D"/>
    <w:rsid w:val="006168E2"/>
    <w:rsid w:val="006179D6"/>
    <w:rsid w:val="00617F64"/>
    <w:rsid w:val="0062244B"/>
    <w:rsid w:val="00623293"/>
    <w:rsid w:val="00623ACE"/>
    <w:rsid w:val="0062509F"/>
    <w:rsid w:val="0062668B"/>
    <w:rsid w:val="00627DE5"/>
    <w:rsid w:val="00631058"/>
    <w:rsid w:val="006313DD"/>
    <w:rsid w:val="00634B7D"/>
    <w:rsid w:val="0063597B"/>
    <w:rsid w:val="00635DF1"/>
    <w:rsid w:val="0063699D"/>
    <w:rsid w:val="006372F9"/>
    <w:rsid w:val="0064171D"/>
    <w:rsid w:val="0064193A"/>
    <w:rsid w:val="006419B9"/>
    <w:rsid w:val="0064371A"/>
    <w:rsid w:val="00643C31"/>
    <w:rsid w:val="006445BD"/>
    <w:rsid w:val="006468B8"/>
    <w:rsid w:val="0065009C"/>
    <w:rsid w:val="00651020"/>
    <w:rsid w:val="00651675"/>
    <w:rsid w:val="00651748"/>
    <w:rsid w:val="0065394B"/>
    <w:rsid w:val="006540D0"/>
    <w:rsid w:val="00654C56"/>
    <w:rsid w:val="00655170"/>
    <w:rsid w:val="00655327"/>
    <w:rsid w:val="00660486"/>
    <w:rsid w:val="0066135E"/>
    <w:rsid w:val="00661CAD"/>
    <w:rsid w:val="0066480D"/>
    <w:rsid w:val="00664B0E"/>
    <w:rsid w:val="00665825"/>
    <w:rsid w:val="00670B7E"/>
    <w:rsid w:val="00670B7F"/>
    <w:rsid w:val="00673FEE"/>
    <w:rsid w:val="006756AF"/>
    <w:rsid w:val="006772CB"/>
    <w:rsid w:val="006773CD"/>
    <w:rsid w:val="00680353"/>
    <w:rsid w:val="00681606"/>
    <w:rsid w:val="006850D9"/>
    <w:rsid w:val="00685270"/>
    <w:rsid w:val="00685CA9"/>
    <w:rsid w:val="00686084"/>
    <w:rsid w:val="00686866"/>
    <w:rsid w:val="00695127"/>
    <w:rsid w:val="00695194"/>
    <w:rsid w:val="00695E2D"/>
    <w:rsid w:val="006965F9"/>
    <w:rsid w:val="00696759"/>
    <w:rsid w:val="00697182"/>
    <w:rsid w:val="006971A0"/>
    <w:rsid w:val="00697EBA"/>
    <w:rsid w:val="006A1448"/>
    <w:rsid w:val="006A2A0E"/>
    <w:rsid w:val="006A511D"/>
    <w:rsid w:val="006A633F"/>
    <w:rsid w:val="006B12C7"/>
    <w:rsid w:val="006B2532"/>
    <w:rsid w:val="006B3CA8"/>
    <w:rsid w:val="006B4808"/>
    <w:rsid w:val="006B49EC"/>
    <w:rsid w:val="006B5DDF"/>
    <w:rsid w:val="006B7E00"/>
    <w:rsid w:val="006C2566"/>
    <w:rsid w:val="006C2BAC"/>
    <w:rsid w:val="006C4A13"/>
    <w:rsid w:val="006C52CD"/>
    <w:rsid w:val="006C6578"/>
    <w:rsid w:val="006D14B0"/>
    <w:rsid w:val="006D2C42"/>
    <w:rsid w:val="006D33DA"/>
    <w:rsid w:val="006D46CE"/>
    <w:rsid w:val="006D630B"/>
    <w:rsid w:val="006D68EE"/>
    <w:rsid w:val="006E0E6B"/>
    <w:rsid w:val="006E19F7"/>
    <w:rsid w:val="006E1FDE"/>
    <w:rsid w:val="006E29AD"/>
    <w:rsid w:val="006E2A70"/>
    <w:rsid w:val="006E3D2D"/>
    <w:rsid w:val="006E474F"/>
    <w:rsid w:val="006E766E"/>
    <w:rsid w:val="006E7B99"/>
    <w:rsid w:val="006F21C2"/>
    <w:rsid w:val="006F3393"/>
    <w:rsid w:val="006F35D6"/>
    <w:rsid w:val="006F5C96"/>
    <w:rsid w:val="007002CB"/>
    <w:rsid w:val="00701792"/>
    <w:rsid w:val="00702876"/>
    <w:rsid w:val="00702C95"/>
    <w:rsid w:val="00703102"/>
    <w:rsid w:val="007037DE"/>
    <w:rsid w:val="0070463A"/>
    <w:rsid w:val="007063F8"/>
    <w:rsid w:val="00706E5D"/>
    <w:rsid w:val="007076D3"/>
    <w:rsid w:val="00707ADC"/>
    <w:rsid w:val="00707B26"/>
    <w:rsid w:val="007104B0"/>
    <w:rsid w:val="00716EF8"/>
    <w:rsid w:val="0071781F"/>
    <w:rsid w:val="0072012A"/>
    <w:rsid w:val="007218BE"/>
    <w:rsid w:val="00723539"/>
    <w:rsid w:val="00723B96"/>
    <w:rsid w:val="0072452D"/>
    <w:rsid w:val="007252BB"/>
    <w:rsid w:val="007276DE"/>
    <w:rsid w:val="00727A47"/>
    <w:rsid w:val="0073116E"/>
    <w:rsid w:val="00731ABE"/>
    <w:rsid w:val="00733BA6"/>
    <w:rsid w:val="00735528"/>
    <w:rsid w:val="00736BB1"/>
    <w:rsid w:val="007407AC"/>
    <w:rsid w:val="00740BA0"/>
    <w:rsid w:val="007443B9"/>
    <w:rsid w:val="007453EF"/>
    <w:rsid w:val="00745E55"/>
    <w:rsid w:val="00746367"/>
    <w:rsid w:val="00750522"/>
    <w:rsid w:val="00750E0A"/>
    <w:rsid w:val="00755DDF"/>
    <w:rsid w:val="00755EBE"/>
    <w:rsid w:val="00756D1E"/>
    <w:rsid w:val="0075725B"/>
    <w:rsid w:val="007574F8"/>
    <w:rsid w:val="00757691"/>
    <w:rsid w:val="00763390"/>
    <w:rsid w:val="00763D2E"/>
    <w:rsid w:val="00764455"/>
    <w:rsid w:val="00764C66"/>
    <w:rsid w:val="00765DC6"/>
    <w:rsid w:val="0076670B"/>
    <w:rsid w:val="00767D79"/>
    <w:rsid w:val="007712EE"/>
    <w:rsid w:val="00771322"/>
    <w:rsid w:val="00771906"/>
    <w:rsid w:val="00775332"/>
    <w:rsid w:val="00775B9E"/>
    <w:rsid w:val="007774CE"/>
    <w:rsid w:val="00777BE2"/>
    <w:rsid w:val="0078052E"/>
    <w:rsid w:val="00780BEC"/>
    <w:rsid w:val="00781E4A"/>
    <w:rsid w:val="007845B7"/>
    <w:rsid w:val="0078648E"/>
    <w:rsid w:val="00787B76"/>
    <w:rsid w:val="00792AE9"/>
    <w:rsid w:val="00796514"/>
    <w:rsid w:val="007A1F5F"/>
    <w:rsid w:val="007A3934"/>
    <w:rsid w:val="007A460A"/>
    <w:rsid w:val="007A48B2"/>
    <w:rsid w:val="007A50ED"/>
    <w:rsid w:val="007A5BB8"/>
    <w:rsid w:val="007A5EF6"/>
    <w:rsid w:val="007A68C8"/>
    <w:rsid w:val="007A6984"/>
    <w:rsid w:val="007B10CE"/>
    <w:rsid w:val="007B2EB9"/>
    <w:rsid w:val="007B2F87"/>
    <w:rsid w:val="007B40D4"/>
    <w:rsid w:val="007B421F"/>
    <w:rsid w:val="007B5459"/>
    <w:rsid w:val="007B5472"/>
    <w:rsid w:val="007B5BF5"/>
    <w:rsid w:val="007B606C"/>
    <w:rsid w:val="007B7418"/>
    <w:rsid w:val="007C2096"/>
    <w:rsid w:val="007C2DF5"/>
    <w:rsid w:val="007C38E2"/>
    <w:rsid w:val="007C4511"/>
    <w:rsid w:val="007C7E44"/>
    <w:rsid w:val="007D02DD"/>
    <w:rsid w:val="007D11C3"/>
    <w:rsid w:val="007D16CE"/>
    <w:rsid w:val="007D1744"/>
    <w:rsid w:val="007D2511"/>
    <w:rsid w:val="007D61D3"/>
    <w:rsid w:val="007D713E"/>
    <w:rsid w:val="007D784B"/>
    <w:rsid w:val="007E28E5"/>
    <w:rsid w:val="007E4155"/>
    <w:rsid w:val="007E5315"/>
    <w:rsid w:val="007E6E4E"/>
    <w:rsid w:val="007F0AD7"/>
    <w:rsid w:val="007F1470"/>
    <w:rsid w:val="007F19D0"/>
    <w:rsid w:val="007F204F"/>
    <w:rsid w:val="007F3A50"/>
    <w:rsid w:val="007F4922"/>
    <w:rsid w:val="007F5F5A"/>
    <w:rsid w:val="007F69AE"/>
    <w:rsid w:val="00800206"/>
    <w:rsid w:val="008003C4"/>
    <w:rsid w:val="008004D8"/>
    <w:rsid w:val="0080186D"/>
    <w:rsid w:val="00803FED"/>
    <w:rsid w:val="00804DEA"/>
    <w:rsid w:val="00806404"/>
    <w:rsid w:val="008065EC"/>
    <w:rsid w:val="00806E7D"/>
    <w:rsid w:val="00807382"/>
    <w:rsid w:val="0080772C"/>
    <w:rsid w:val="00807928"/>
    <w:rsid w:val="00810085"/>
    <w:rsid w:val="00810997"/>
    <w:rsid w:val="00812EC6"/>
    <w:rsid w:val="0081360A"/>
    <w:rsid w:val="0081466B"/>
    <w:rsid w:val="008152B7"/>
    <w:rsid w:val="00816E0B"/>
    <w:rsid w:val="00817140"/>
    <w:rsid w:val="00821A0E"/>
    <w:rsid w:val="00821BF2"/>
    <w:rsid w:val="00821CE0"/>
    <w:rsid w:val="008265A7"/>
    <w:rsid w:val="00831C36"/>
    <w:rsid w:val="0083224D"/>
    <w:rsid w:val="00832DB1"/>
    <w:rsid w:val="00833C1F"/>
    <w:rsid w:val="0083544D"/>
    <w:rsid w:val="0084033D"/>
    <w:rsid w:val="00840921"/>
    <w:rsid w:val="00840BBA"/>
    <w:rsid w:val="008419B0"/>
    <w:rsid w:val="0084204E"/>
    <w:rsid w:val="00843718"/>
    <w:rsid w:val="00844629"/>
    <w:rsid w:val="00846A10"/>
    <w:rsid w:val="00850577"/>
    <w:rsid w:val="0085141C"/>
    <w:rsid w:val="008524F4"/>
    <w:rsid w:val="00852649"/>
    <w:rsid w:val="0085450E"/>
    <w:rsid w:val="008546B1"/>
    <w:rsid w:val="00854BA6"/>
    <w:rsid w:val="008555D9"/>
    <w:rsid w:val="0085601D"/>
    <w:rsid w:val="008570F9"/>
    <w:rsid w:val="00861AA8"/>
    <w:rsid w:val="00863720"/>
    <w:rsid w:val="00864114"/>
    <w:rsid w:val="0086537C"/>
    <w:rsid w:val="0086599F"/>
    <w:rsid w:val="00865D08"/>
    <w:rsid w:val="008661FF"/>
    <w:rsid w:val="00867426"/>
    <w:rsid w:val="00867A8E"/>
    <w:rsid w:val="00870673"/>
    <w:rsid w:val="00871818"/>
    <w:rsid w:val="00872E95"/>
    <w:rsid w:val="00873272"/>
    <w:rsid w:val="0087428D"/>
    <w:rsid w:val="0087524D"/>
    <w:rsid w:val="00875BC9"/>
    <w:rsid w:val="00876084"/>
    <w:rsid w:val="00880085"/>
    <w:rsid w:val="008803D1"/>
    <w:rsid w:val="00881CDE"/>
    <w:rsid w:val="00883DC5"/>
    <w:rsid w:val="00883F32"/>
    <w:rsid w:val="008847DA"/>
    <w:rsid w:val="00884D0F"/>
    <w:rsid w:val="008851AE"/>
    <w:rsid w:val="00886536"/>
    <w:rsid w:val="00890E7A"/>
    <w:rsid w:val="00890FDE"/>
    <w:rsid w:val="008910DD"/>
    <w:rsid w:val="00891B94"/>
    <w:rsid w:val="00894582"/>
    <w:rsid w:val="00897EA1"/>
    <w:rsid w:val="008A4E08"/>
    <w:rsid w:val="008A5294"/>
    <w:rsid w:val="008A6471"/>
    <w:rsid w:val="008A66D6"/>
    <w:rsid w:val="008B15B8"/>
    <w:rsid w:val="008B2108"/>
    <w:rsid w:val="008B52B5"/>
    <w:rsid w:val="008B5D54"/>
    <w:rsid w:val="008B5FAA"/>
    <w:rsid w:val="008B6437"/>
    <w:rsid w:val="008B6D27"/>
    <w:rsid w:val="008B72F7"/>
    <w:rsid w:val="008B7644"/>
    <w:rsid w:val="008B7A7A"/>
    <w:rsid w:val="008C092B"/>
    <w:rsid w:val="008C187B"/>
    <w:rsid w:val="008C21A6"/>
    <w:rsid w:val="008C32CF"/>
    <w:rsid w:val="008C5A13"/>
    <w:rsid w:val="008C6F9B"/>
    <w:rsid w:val="008D1518"/>
    <w:rsid w:val="008D3228"/>
    <w:rsid w:val="008D34C7"/>
    <w:rsid w:val="008D383D"/>
    <w:rsid w:val="008D4240"/>
    <w:rsid w:val="008D4D81"/>
    <w:rsid w:val="008D5AA0"/>
    <w:rsid w:val="008D731F"/>
    <w:rsid w:val="008D77C3"/>
    <w:rsid w:val="008E0F85"/>
    <w:rsid w:val="008E20CB"/>
    <w:rsid w:val="008E2F73"/>
    <w:rsid w:val="008E2F79"/>
    <w:rsid w:val="008E506D"/>
    <w:rsid w:val="008E7E2B"/>
    <w:rsid w:val="008E7E31"/>
    <w:rsid w:val="008F006B"/>
    <w:rsid w:val="008F1A61"/>
    <w:rsid w:val="008F1B9F"/>
    <w:rsid w:val="008F1CA2"/>
    <w:rsid w:val="008F2F83"/>
    <w:rsid w:val="008F3E7F"/>
    <w:rsid w:val="008F4E4B"/>
    <w:rsid w:val="008F5939"/>
    <w:rsid w:val="00901B16"/>
    <w:rsid w:val="00902446"/>
    <w:rsid w:val="0090500D"/>
    <w:rsid w:val="009118E4"/>
    <w:rsid w:val="009122F3"/>
    <w:rsid w:val="009147F9"/>
    <w:rsid w:val="00915C05"/>
    <w:rsid w:val="00915D07"/>
    <w:rsid w:val="00917013"/>
    <w:rsid w:val="00920ABA"/>
    <w:rsid w:val="0092254D"/>
    <w:rsid w:val="0092291A"/>
    <w:rsid w:val="00923E7F"/>
    <w:rsid w:val="0092588D"/>
    <w:rsid w:val="00926638"/>
    <w:rsid w:val="00927A26"/>
    <w:rsid w:val="00927A30"/>
    <w:rsid w:val="00930413"/>
    <w:rsid w:val="00930C35"/>
    <w:rsid w:val="009316B2"/>
    <w:rsid w:val="009325A9"/>
    <w:rsid w:val="00934B9F"/>
    <w:rsid w:val="00935AA9"/>
    <w:rsid w:val="009367A2"/>
    <w:rsid w:val="00936DC5"/>
    <w:rsid w:val="00937068"/>
    <w:rsid w:val="00941AA3"/>
    <w:rsid w:val="00941E1A"/>
    <w:rsid w:val="00942483"/>
    <w:rsid w:val="00942976"/>
    <w:rsid w:val="00942B7A"/>
    <w:rsid w:val="00943A80"/>
    <w:rsid w:val="00945A3E"/>
    <w:rsid w:val="00945D6A"/>
    <w:rsid w:val="00946156"/>
    <w:rsid w:val="00947232"/>
    <w:rsid w:val="009474B1"/>
    <w:rsid w:val="009531AA"/>
    <w:rsid w:val="009535B9"/>
    <w:rsid w:val="00953869"/>
    <w:rsid w:val="009543E6"/>
    <w:rsid w:val="00954572"/>
    <w:rsid w:val="0096156E"/>
    <w:rsid w:val="0096475E"/>
    <w:rsid w:val="0096510F"/>
    <w:rsid w:val="0096557F"/>
    <w:rsid w:val="00966BDC"/>
    <w:rsid w:val="0097233D"/>
    <w:rsid w:val="0097354F"/>
    <w:rsid w:val="00973DA6"/>
    <w:rsid w:val="0097704C"/>
    <w:rsid w:val="009774DF"/>
    <w:rsid w:val="009804F7"/>
    <w:rsid w:val="00981A65"/>
    <w:rsid w:val="00982E35"/>
    <w:rsid w:val="009835C4"/>
    <w:rsid w:val="009866F2"/>
    <w:rsid w:val="00986778"/>
    <w:rsid w:val="00986A18"/>
    <w:rsid w:val="0098779F"/>
    <w:rsid w:val="0099026D"/>
    <w:rsid w:val="00990772"/>
    <w:rsid w:val="00993BA9"/>
    <w:rsid w:val="00993E37"/>
    <w:rsid w:val="00993E6F"/>
    <w:rsid w:val="00994398"/>
    <w:rsid w:val="009958E7"/>
    <w:rsid w:val="00995C2B"/>
    <w:rsid w:val="009962D4"/>
    <w:rsid w:val="009968C7"/>
    <w:rsid w:val="00997AD2"/>
    <w:rsid w:val="009A2454"/>
    <w:rsid w:val="009A3686"/>
    <w:rsid w:val="009A476A"/>
    <w:rsid w:val="009A6F47"/>
    <w:rsid w:val="009A76C0"/>
    <w:rsid w:val="009B00F5"/>
    <w:rsid w:val="009B3F55"/>
    <w:rsid w:val="009B7B25"/>
    <w:rsid w:val="009C04AC"/>
    <w:rsid w:val="009C21B3"/>
    <w:rsid w:val="009C24A3"/>
    <w:rsid w:val="009C3848"/>
    <w:rsid w:val="009C5438"/>
    <w:rsid w:val="009C6734"/>
    <w:rsid w:val="009C7281"/>
    <w:rsid w:val="009D0C98"/>
    <w:rsid w:val="009D3A0D"/>
    <w:rsid w:val="009D4BB3"/>
    <w:rsid w:val="009D617A"/>
    <w:rsid w:val="009D66A1"/>
    <w:rsid w:val="009D7EAF"/>
    <w:rsid w:val="009E0087"/>
    <w:rsid w:val="009E01AD"/>
    <w:rsid w:val="009E0501"/>
    <w:rsid w:val="009E10C4"/>
    <w:rsid w:val="009E2D4F"/>
    <w:rsid w:val="009E6865"/>
    <w:rsid w:val="009E7B66"/>
    <w:rsid w:val="009F09F5"/>
    <w:rsid w:val="009F106A"/>
    <w:rsid w:val="009F1D03"/>
    <w:rsid w:val="009F2248"/>
    <w:rsid w:val="009F26C1"/>
    <w:rsid w:val="009F40E2"/>
    <w:rsid w:val="00A01277"/>
    <w:rsid w:val="00A02AD6"/>
    <w:rsid w:val="00A03FA3"/>
    <w:rsid w:val="00A047E8"/>
    <w:rsid w:val="00A06C93"/>
    <w:rsid w:val="00A07D1B"/>
    <w:rsid w:val="00A15C48"/>
    <w:rsid w:val="00A1646F"/>
    <w:rsid w:val="00A22AD4"/>
    <w:rsid w:val="00A23CF8"/>
    <w:rsid w:val="00A254A6"/>
    <w:rsid w:val="00A254E1"/>
    <w:rsid w:val="00A2595A"/>
    <w:rsid w:val="00A311F3"/>
    <w:rsid w:val="00A31878"/>
    <w:rsid w:val="00A31CAC"/>
    <w:rsid w:val="00A3201F"/>
    <w:rsid w:val="00A3213C"/>
    <w:rsid w:val="00A336EC"/>
    <w:rsid w:val="00A347BE"/>
    <w:rsid w:val="00A36730"/>
    <w:rsid w:val="00A37205"/>
    <w:rsid w:val="00A40CDA"/>
    <w:rsid w:val="00A41E94"/>
    <w:rsid w:val="00A44667"/>
    <w:rsid w:val="00A47E9B"/>
    <w:rsid w:val="00A528CD"/>
    <w:rsid w:val="00A52AAC"/>
    <w:rsid w:val="00A54225"/>
    <w:rsid w:val="00A5694C"/>
    <w:rsid w:val="00A601C6"/>
    <w:rsid w:val="00A6107C"/>
    <w:rsid w:val="00A6247F"/>
    <w:rsid w:val="00A62CAD"/>
    <w:rsid w:val="00A62DD3"/>
    <w:rsid w:val="00A64F51"/>
    <w:rsid w:val="00A65C44"/>
    <w:rsid w:val="00A65D49"/>
    <w:rsid w:val="00A705DE"/>
    <w:rsid w:val="00A737C2"/>
    <w:rsid w:val="00A75388"/>
    <w:rsid w:val="00A76A19"/>
    <w:rsid w:val="00A77844"/>
    <w:rsid w:val="00A802FD"/>
    <w:rsid w:val="00A8036D"/>
    <w:rsid w:val="00A80460"/>
    <w:rsid w:val="00A820E6"/>
    <w:rsid w:val="00A83438"/>
    <w:rsid w:val="00A85176"/>
    <w:rsid w:val="00A85686"/>
    <w:rsid w:val="00A922A2"/>
    <w:rsid w:val="00A92BA0"/>
    <w:rsid w:val="00A93C04"/>
    <w:rsid w:val="00A96FB1"/>
    <w:rsid w:val="00A97251"/>
    <w:rsid w:val="00A9750C"/>
    <w:rsid w:val="00A97576"/>
    <w:rsid w:val="00A97702"/>
    <w:rsid w:val="00A977A9"/>
    <w:rsid w:val="00A979ED"/>
    <w:rsid w:val="00AA007D"/>
    <w:rsid w:val="00AA0377"/>
    <w:rsid w:val="00AA03B0"/>
    <w:rsid w:val="00AA17EC"/>
    <w:rsid w:val="00AA3135"/>
    <w:rsid w:val="00AA4049"/>
    <w:rsid w:val="00AA4173"/>
    <w:rsid w:val="00AA44A5"/>
    <w:rsid w:val="00AA5F0C"/>
    <w:rsid w:val="00AA6345"/>
    <w:rsid w:val="00AA63A1"/>
    <w:rsid w:val="00AB023D"/>
    <w:rsid w:val="00AB1A28"/>
    <w:rsid w:val="00AB2547"/>
    <w:rsid w:val="00AB543E"/>
    <w:rsid w:val="00AB5B91"/>
    <w:rsid w:val="00AC200B"/>
    <w:rsid w:val="00AC3308"/>
    <w:rsid w:val="00AC38D0"/>
    <w:rsid w:val="00AC401C"/>
    <w:rsid w:val="00AC571F"/>
    <w:rsid w:val="00AC65EA"/>
    <w:rsid w:val="00AC7CFA"/>
    <w:rsid w:val="00AC7F93"/>
    <w:rsid w:val="00AD049B"/>
    <w:rsid w:val="00AD0D94"/>
    <w:rsid w:val="00AD1CA3"/>
    <w:rsid w:val="00AD1DDE"/>
    <w:rsid w:val="00AD1F68"/>
    <w:rsid w:val="00AE1A30"/>
    <w:rsid w:val="00AE22CB"/>
    <w:rsid w:val="00AE3057"/>
    <w:rsid w:val="00AE3781"/>
    <w:rsid w:val="00AE5F5F"/>
    <w:rsid w:val="00AE6C81"/>
    <w:rsid w:val="00AF16B1"/>
    <w:rsid w:val="00AF2294"/>
    <w:rsid w:val="00AF2C51"/>
    <w:rsid w:val="00AF3FD3"/>
    <w:rsid w:val="00B00BAD"/>
    <w:rsid w:val="00B015B3"/>
    <w:rsid w:val="00B04EFC"/>
    <w:rsid w:val="00B05F35"/>
    <w:rsid w:val="00B06381"/>
    <w:rsid w:val="00B064C9"/>
    <w:rsid w:val="00B12E52"/>
    <w:rsid w:val="00B17B0F"/>
    <w:rsid w:val="00B20C18"/>
    <w:rsid w:val="00B24937"/>
    <w:rsid w:val="00B26566"/>
    <w:rsid w:val="00B27DCD"/>
    <w:rsid w:val="00B27F26"/>
    <w:rsid w:val="00B3165C"/>
    <w:rsid w:val="00B31ADC"/>
    <w:rsid w:val="00B320BF"/>
    <w:rsid w:val="00B33F48"/>
    <w:rsid w:val="00B342B7"/>
    <w:rsid w:val="00B34FE3"/>
    <w:rsid w:val="00B35BAC"/>
    <w:rsid w:val="00B40067"/>
    <w:rsid w:val="00B40B0D"/>
    <w:rsid w:val="00B41267"/>
    <w:rsid w:val="00B4227F"/>
    <w:rsid w:val="00B44AEE"/>
    <w:rsid w:val="00B4591C"/>
    <w:rsid w:val="00B45A93"/>
    <w:rsid w:val="00B46EB5"/>
    <w:rsid w:val="00B5052C"/>
    <w:rsid w:val="00B509D0"/>
    <w:rsid w:val="00B50ABF"/>
    <w:rsid w:val="00B525AC"/>
    <w:rsid w:val="00B52EEB"/>
    <w:rsid w:val="00B55735"/>
    <w:rsid w:val="00B57750"/>
    <w:rsid w:val="00B60592"/>
    <w:rsid w:val="00B608AC"/>
    <w:rsid w:val="00B612FF"/>
    <w:rsid w:val="00B6312E"/>
    <w:rsid w:val="00B671C0"/>
    <w:rsid w:val="00B70F92"/>
    <w:rsid w:val="00B72543"/>
    <w:rsid w:val="00B75BAE"/>
    <w:rsid w:val="00B76AD3"/>
    <w:rsid w:val="00B80F25"/>
    <w:rsid w:val="00B8107D"/>
    <w:rsid w:val="00B820CA"/>
    <w:rsid w:val="00B83EAB"/>
    <w:rsid w:val="00B83F52"/>
    <w:rsid w:val="00B9026C"/>
    <w:rsid w:val="00B9056F"/>
    <w:rsid w:val="00B906B8"/>
    <w:rsid w:val="00B913B8"/>
    <w:rsid w:val="00B92963"/>
    <w:rsid w:val="00B94A50"/>
    <w:rsid w:val="00B94B6D"/>
    <w:rsid w:val="00B94F3A"/>
    <w:rsid w:val="00BA17B7"/>
    <w:rsid w:val="00BA5D56"/>
    <w:rsid w:val="00BA63F2"/>
    <w:rsid w:val="00BA6602"/>
    <w:rsid w:val="00BA7C21"/>
    <w:rsid w:val="00BB011C"/>
    <w:rsid w:val="00BB0520"/>
    <w:rsid w:val="00BB23C8"/>
    <w:rsid w:val="00BB2D87"/>
    <w:rsid w:val="00BB44D3"/>
    <w:rsid w:val="00BC0809"/>
    <w:rsid w:val="00BC0EB0"/>
    <w:rsid w:val="00BC11EC"/>
    <w:rsid w:val="00BC12B6"/>
    <w:rsid w:val="00BC1F1E"/>
    <w:rsid w:val="00BC4C9A"/>
    <w:rsid w:val="00BC5056"/>
    <w:rsid w:val="00BD18BD"/>
    <w:rsid w:val="00BD4732"/>
    <w:rsid w:val="00BD4CD4"/>
    <w:rsid w:val="00BD55DB"/>
    <w:rsid w:val="00BD653C"/>
    <w:rsid w:val="00BD7A6F"/>
    <w:rsid w:val="00BE034D"/>
    <w:rsid w:val="00BE0C9D"/>
    <w:rsid w:val="00BE5B69"/>
    <w:rsid w:val="00BE60F1"/>
    <w:rsid w:val="00BF0AE0"/>
    <w:rsid w:val="00BF0EE4"/>
    <w:rsid w:val="00BF3619"/>
    <w:rsid w:val="00BF3BD9"/>
    <w:rsid w:val="00BF449E"/>
    <w:rsid w:val="00BF5AA1"/>
    <w:rsid w:val="00BF64B1"/>
    <w:rsid w:val="00BF67D0"/>
    <w:rsid w:val="00C01763"/>
    <w:rsid w:val="00C05AB9"/>
    <w:rsid w:val="00C05F68"/>
    <w:rsid w:val="00C0725E"/>
    <w:rsid w:val="00C10134"/>
    <w:rsid w:val="00C1209E"/>
    <w:rsid w:val="00C127B5"/>
    <w:rsid w:val="00C14180"/>
    <w:rsid w:val="00C14AA3"/>
    <w:rsid w:val="00C160E1"/>
    <w:rsid w:val="00C21C0C"/>
    <w:rsid w:val="00C2257D"/>
    <w:rsid w:val="00C234E2"/>
    <w:rsid w:val="00C32593"/>
    <w:rsid w:val="00C3352C"/>
    <w:rsid w:val="00C33D30"/>
    <w:rsid w:val="00C3436D"/>
    <w:rsid w:val="00C34E6A"/>
    <w:rsid w:val="00C34EBB"/>
    <w:rsid w:val="00C363D8"/>
    <w:rsid w:val="00C37E76"/>
    <w:rsid w:val="00C43C6B"/>
    <w:rsid w:val="00C44927"/>
    <w:rsid w:val="00C44D35"/>
    <w:rsid w:val="00C44EA8"/>
    <w:rsid w:val="00C4503D"/>
    <w:rsid w:val="00C45CBB"/>
    <w:rsid w:val="00C46E69"/>
    <w:rsid w:val="00C523DE"/>
    <w:rsid w:val="00C53211"/>
    <w:rsid w:val="00C53538"/>
    <w:rsid w:val="00C5404E"/>
    <w:rsid w:val="00C554B5"/>
    <w:rsid w:val="00C570EE"/>
    <w:rsid w:val="00C57F60"/>
    <w:rsid w:val="00C60584"/>
    <w:rsid w:val="00C63830"/>
    <w:rsid w:val="00C63F44"/>
    <w:rsid w:val="00C644C8"/>
    <w:rsid w:val="00C64E68"/>
    <w:rsid w:val="00C66457"/>
    <w:rsid w:val="00C67627"/>
    <w:rsid w:val="00C67DDF"/>
    <w:rsid w:val="00C702A5"/>
    <w:rsid w:val="00C71620"/>
    <w:rsid w:val="00C7239E"/>
    <w:rsid w:val="00C72812"/>
    <w:rsid w:val="00C730AA"/>
    <w:rsid w:val="00C730BA"/>
    <w:rsid w:val="00C7460B"/>
    <w:rsid w:val="00C74D08"/>
    <w:rsid w:val="00C763DB"/>
    <w:rsid w:val="00C76BFE"/>
    <w:rsid w:val="00C81AC6"/>
    <w:rsid w:val="00C85EDD"/>
    <w:rsid w:val="00C86B1F"/>
    <w:rsid w:val="00C86D08"/>
    <w:rsid w:val="00C87225"/>
    <w:rsid w:val="00C96EB2"/>
    <w:rsid w:val="00C97956"/>
    <w:rsid w:val="00C97E66"/>
    <w:rsid w:val="00CA13C9"/>
    <w:rsid w:val="00CA1BF2"/>
    <w:rsid w:val="00CB03A3"/>
    <w:rsid w:val="00CB3FFF"/>
    <w:rsid w:val="00CB4491"/>
    <w:rsid w:val="00CB70EB"/>
    <w:rsid w:val="00CB738E"/>
    <w:rsid w:val="00CC0FD3"/>
    <w:rsid w:val="00CC1737"/>
    <w:rsid w:val="00CC2BA1"/>
    <w:rsid w:val="00CC332B"/>
    <w:rsid w:val="00CC3CCD"/>
    <w:rsid w:val="00CC4EFE"/>
    <w:rsid w:val="00CC62BB"/>
    <w:rsid w:val="00CC6DFB"/>
    <w:rsid w:val="00CD1BF5"/>
    <w:rsid w:val="00CD1E34"/>
    <w:rsid w:val="00CD2AE9"/>
    <w:rsid w:val="00CD2F8B"/>
    <w:rsid w:val="00CD3849"/>
    <w:rsid w:val="00CD45E3"/>
    <w:rsid w:val="00CD4BD5"/>
    <w:rsid w:val="00CD7AF7"/>
    <w:rsid w:val="00CD7D42"/>
    <w:rsid w:val="00CE1589"/>
    <w:rsid w:val="00CE173D"/>
    <w:rsid w:val="00CE17A7"/>
    <w:rsid w:val="00CE3EF7"/>
    <w:rsid w:val="00CE42DF"/>
    <w:rsid w:val="00CE4581"/>
    <w:rsid w:val="00CE4A58"/>
    <w:rsid w:val="00CE598D"/>
    <w:rsid w:val="00CE5E58"/>
    <w:rsid w:val="00CE7163"/>
    <w:rsid w:val="00CF000D"/>
    <w:rsid w:val="00CF1129"/>
    <w:rsid w:val="00CF13AB"/>
    <w:rsid w:val="00CF1F28"/>
    <w:rsid w:val="00CF2DAD"/>
    <w:rsid w:val="00CF37E8"/>
    <w:rsid w:val="00D00E3A"/>
    <w:rsid w:val="00D01818"/>
    <w:rsid w:val="00D022DE"/>
    <w:rsid w:val="00D07279"/>
    <w:rsid w:val="00D07C5C"/>
    <w:rsid w:val="00D127B0"/>
    <w:rsid w:val="00D12C70"/>
    <w:rsid w:val="00D13AEB"/>
    <w:rsid w:val="00D13B6D"/>
    <w:rsid w:val="00D14CFF"/>
    <w:rsid w:val="00D15D57"/>
    <w:rsid w:val="00D1661D"/>
    <w:rsid w:val="00D16F14"/>
    <w:rsid w:val="00D179C0"/>
    <w:rsid w:val="00D202E2"/>
    <w:rsid w:val="00D22C01"/>
    <w:rsid w:val="00D23CFF"/>
    <w:rsid w:val="00D2586E"/>
    <w:rsid w:val="00D264B7"/>
    <w:rsid w:val="00D265A0"/>
    <w:rsid w:val="00D300B8"/>
    <w:rsid w:val="00D30D9E"/>
    <w:rsid w:val="00D31415"/>
    <w:rsid w:val="00D31C11"/>
    <w:rsid w:val="00D32484"/>
    <w:rsid w:val="00D3440B"/>
    <w:rsid w:val="00D34ED8"/>
    <w:rsid w:val="00D35885"/>
    <w:rsid w:val="00D4216D"/>
    <w:rsid w:val="00D4277E"/>
    <w:rsid w:val="00D43E35"/>
    <w:rsid w:val="00D43EA8"/>
    <w:rsid w:val="00D45659"/>
    <w:rsid w:val="00D470B9"/>
    <w:rsid w:val="00D47E94"/>
    <w:rsid w:val="00D52027"/>
    <w:rsid w:val="00D5459A"/>
    <w:rsid w:val="00D5661B"/>
    <w:rsid w:val="00D60AFD"/>
    <w:rsid w:val="00D6149C"/>
    <w:rsid w:val="00D64320"/>
    <w:rsid w:val="00D64B00"/>
    <w:rsid w:val="00D65D27"/>
    <w:rsid w:val="00D65F0C"/>
    <w:rsid w:val="00D70B7D"/>
    <w:rsid w:val="00D72038"/>
    <w:rsid w:val="00D72FFB"/>
    <w:rsid w:val="00D7394C"/>
    <w:rsid w:val="00D73CB5"/>
    <w:rsid w:val="00D7720D"/>
    <w:rsid w:val="00D773BD"/>
    <w:rsid w:val="00D77C97"/>
    <w:rsid w:val="00D804A2"/>
    <w:rsid w:val="00D8110D"/>
    <w:rsid w:val="00D84751"/>
    <w:rsid w:val="00D862FF"/>
    <w:rsid w:val="00D863BC"/>
    <w:rsid w:val="00D87203"/>
    <w:rsid w:val="00D87BD2"/>
    <w:rsid w:val="00D91695"/>
    <w:rsid w:val="00D92AFF"/>
    <w:rsid w:val="00D93011"/>
    <w:rsid w:val="00D95A43"/>
    <w:rsid w:val="00DA175F"/>
    <w:rsid w:val="00DB0B40"/>
    <w:rsid w:val="00DB2F23"/>
    <w:rsid w:val="00DB5228"/>
    <w:rsid w:val="00DB6C72"/>
    <w:rsid w:val="00DB746F"/>
    <w:rsid w:val="00DB7C6F"/>
    <w:rsid w:val="00DC157E"/>
    <w:rsid w:val="00DC3DC3"/>
    <w:rsid w:val="00DC57CC"/>
    <w:rsid w:val="00DC7F16"/>
    <w:rsid w:val="00DD0BBC"/>
    <w:rsid w:val="00DE01FD"/>
    <w:rsid w:val="00DE2506"/>
    <w:rsid w:val="00DE2D5C"/>
    <w:rsid w:val="00DF1C02"/>
    <w:rsid w:val="00DF28E7"/>
    <w:rsid w:val="00DF6332"/>
    <w:rsid w:val="00DF66D6"/>
    <w:rsid w:val="00E00C92"/>
    <w:rsid w:val="00E011EE"/>
    <w:rsid w:val="00E012EE"/>
    <w:rsid w:val="00E01AFB"/>
    <w:rsid w:val="00E02684"/>
    <w:rsid w:val="00E02DF1"/>
    <w:rsid w:val="00E05D55"/>
    <w:rsid w:val="00E06262"/>
    <w:rsid w:val="00E113DC"/>
    <w:rsid w:val="00E12752"/>
    <w:rsid w:val="00E1342A"/>
    <w:rsid w:val="00E13AD5"/>
    <w:rsid w:val="00E1614C"/>
    <w:rsid w:val="00E17766"/>
    <w:rsid w:val="00E17D40"/>
    <w:rsid w:val="00E216D2"/>
    <w:rsid w:val="00E22315"/>
    <w:rsid w:val="00E22EB3"/>
    <w:rsid w:val="00E23538"/>
    <w:rsid w:val="00E3112C"/>
    <w:rsid w:val="00E32F5C"/>
    <w:rsid w:val="00E3332F"/>
    <w:rsid w:val="00E34B72"/>
    <w:rsid w:val="00E36ED3"/>
    <w:rsid w:val="00E37429"/>
    <w:rsid w:val="00E404D5"/>
    <w:rsid w:val="00E41D69"/>
    <w:rsid w:val="00E42683"/>
    <w:rsid w:val="00E439DA"/>
    <w:rsid w:val="00E46D4C"/>
    <w:rsid w:val="00E473B1"/>
    <w:rsid w:val="00E4787B"/>
    <w:rsid w:val="00E51BE7"/>
    <w:rsid w:val="00E51C67"/>
    <w:rsid w:val="00E53E43"/>
    <w:rsid w:val="00E566F8"/>
    <w:rsid w:val="00E57000"/>
    <w:rsid w:val="00E577F3"/>
    <w:rsid w:val="00E62D14"/>
    <w:rsid w:val="00E635FD"/>
    <w:rsid w:val="00E63803"/>
    <w:rsid w:val="00E65309"/>
    <w:rsid w:val="00E66099"/>
    <w:rsid w:val="00E675E0"/>
    <w:rsid w:val="00E72FB6"/>
    <w:rsid w:val="00E75CC8"/>
    <w:rsid w:val="00E77BE1"/>
    <w:rsid w:val="00E8025E"/>
    <w:rsid w:val="00E82E8D"/>
    <w:rsid w:val="00E8422A"/>
    <w:rsid w:val="00E86264"/>
    <w:rsid w:val="00E87079"/>
    <w:rsid w:val="00E91B24"/>
    <w:rsid w:val="00E923F1"/>
    <w:rsid w:val="00E92D7F"/>
    <w:rsid w:val="00E92D81"/>
    <w:rsid w:val="00E93073"/>
    <w:rsid w:val="00E94FF1"/>
    <w:rsid w:val="00E951FC"/>
    <w:rsid w:val="00E95BA7"/>
    <w:rsid w:val="00E96E22"/>
    <w:rsid w:val="00E97506"/>
    <w:rsid w:val="00E97913"/>
    <w:rsid w:val="00EA161A"/>
    <w:rsid w:val="00EA3110"/>
    <w:rsid w:val="00EA3644"/>
    <w:rsid w:val="00EA36EC"/>
    <w:rsid w:val="00EA45B4"/>
    <w:rsid w:val="00EA50BC"/>
    <w:rsid w:val="00EA7E79"/>
    <w:rsid w:val="00EB211A"/>
    <w:rsid w:val="00EB2390"/>
    <w:rsid w:val="00EB2E3C"/>
    <w:rsid w:val="00EB6B2E"/>
    <w:rsid w:val="00EB74BC"/>
    <w:rsid w:val="00EC0960"/>
    <w:rsid w:val="00EC4422"/>
    <w:rsid w:val="00EC4DB1"/>
    <w:rsid w:val="00EC59E9"/>
    <w:rsid w:val="00EC7438"/>
    <w:rsid w:val="00EC7557"/>
    <w:rsid w:val="00ED1397"/>
    <w:rsid w:val="00ED1EDC"/>
    <w:rsid w:val="00ED1FC3"/>
    <w:rsid w:val="00ED2B9F"/>
    <w:rsid w:val="00ED2D91"/>
    <w:rsid w:val="00ED6B3A"/>
    <w:rsid w:val="00ED6B7D"/>
    <w:rsid w:val="00ED7B9D"/>
    <w:rsid w:val="00EE442D"/>
    <w:rsid w:val="00EE45CF"/>
    <w:rsid w:val="00EE47B7"/>
    <w:rsid w:val="00EE4D4C"/>
    <w:rsid w:val="00EE5A0B"/>
    <w:rsid w:val="00EE5E93"/>
    <w:rsid w:val="00EF0223"/>
    <w:rsid w:val="00EF031A"/>
    <w:rsid w:val="00EF1440"/>
    <w:rsid w:val="00EF5F4E"/>
    <w:rsid w:val="00EF6AEE"/>
    <w:rsid w:val="00F00FB3"/>
    <w:rsid w:val="00F04E44"/>
    <w:rsid w:val="00F04FB6"/>
    <w:rsid w:val="00F058F1"/>
    <w:rsid w:val="00F05D90"/>
    <w:rsid w:val="00F101B5"/>
    <w:rsid w:val="00F130D3"/>
    <w:rsid w:val="00F1371A"/>
    <w:rsid w:val="00F154CD"/>
    <w:rsid w:val="00F157BD"/>
    <w:rsid w:val="00F176B9"/>
    <w:rsid w:val="00F20FEE"/>
    <w:rsid w:val="00F226DF"/>
    <w:rsid w:val="00F2398F"/>
    <w:rsid w:val="00F243A0"/>
    <w:rsid w:val="00F260DA"/>
    <w:rsid w:val="00F3023E"/>
    <w:rsid w:val="00F3431B"/>
    <w:rsid w:val="00F34C2A"/>
    <w:rsid w:val="00F40141"/>
    <w:rsid w:val="00F40C5A"/>
    <w:rsid w:val="00F42EA3"/>
    <w:rsid w:val="00F435E3"/>
    <w:rsid w:val="00F44021"/>
    <w:rsid w:val="00F466B1"/>
    <w:rsid w:val="00F46789"/>
    <w:rsid w:val="00F46E76"/>
    <w:rsid w:val="00F5245A"/>
    <w:rsid w:val="00F54FA7"/>
    <w:rsid w:val="00F5667D"/>
    <w:rsid w:val="00F6209E"/>
    <w:rsid w:val="00F64519"/>
    <w:rsid w:val="00F64C5C"/>
    <w:rsid w:val="00F6555C"/>
    <w:rsid w:val="00F65F03"/>
    <w:rsid w:val="00F662E0"/>
    <w:rsid w:val="00F670E5"/>
    <w:rsid w:val="00F6713C"/>
    <w:rsid w:val="00F67837"/>
    <w:rsid w:val="00F7086C"/>
    <w:rsid w:val="00F73780"/>
    <w:rsid w:val="00F73D51"/>
    <w:rsid w:val="00F74391"/>
    <w:rsid w:val="00F74BE4"/>
    <w:rsid w:val="00F81328"/>
    <w:rsid w:val="00F83FE0"/>
    <w:rsid w:val="00F84698"/>
    <w:rsid w:val="00F864EE"/>
    <w:rsid w:val="00F935BA"/>
    <w:rsid w:val="00F93B28"/>
    <w:rsid w:val="00F94E5F"/>
    <w:rsid w:val="00FA2E4A"/>
    <w:rsid w:val="00FA3B3A"/>
    <w:rsid w:val="00FA4526"/>
    <w:rsid w:val="00FA5D21"/>
    <w:rsid w:val="00FA74B7"/>
    <w:rsid w:val="00FB014D"/>
    <w:rsid w:val="00FB271E"/>
    <w:rsid w:val="00FB2CD8"/>
    <w:rsid w:val="00FB3DD0"/>
    <w:rsid w:val="00FB5FA9"/>
    <w:rsid w:val="00FC067E"/>
    <w:rsid w:val="00FC1FEB"/>
    <w:rsid w:val="00FC242A"/>
    <w:rsid w:val="00FC2721"/>
    <w:rsid w:val="00FC2D2F"/>
    <w:rsid w:val="00FC5697"/>
    <w:rsid w:val="00FC5AAC"/>
    <w:rsid w:val="00FC5F07"/>
    <w:rsid w:val="00FC6D25"/>
    <w:rsid w:val="00FC7FC0"/>
    <w:rsid w:val="00FD12B8"/>
    <w:rsid w:val="00FD1BB3"/>
    <w:rsid w:val="00FD276A"/>
    <w:rsid w:val="00FD4947"/>
    <w:rsid w:val="00FD498D"/>
    <w:rsid w:val="00FD4EDA"/>
    <w:rsid w:val="00FD50E6"/>
    <w:rsid w:val="00FD6DED"/>
    <w:rsid w:val="00FE1571"/>
    <w:rsid w:val="00FE4D98"/>
    <w:rsid w:val="00FE52A1"/>
    <w:rsid w:val="00FE682D"/>
    <w:rsid w:val="00FE6DF8"/>
    <w:rsid w:val="00FE70CE"/>
    <w:rsid w:val="00FF115D"/>
    <w:rsid w:val="00FF2EE4"/>
    <w:rsid w:val="00FF30C3"/>
    <w:rsid w:val="00FF711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0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7B7418"/>
    <w:pPr>
      <w:ind w:left="720"/>
      <w:contextualSpacing/>
    </w:pPr>
  </w:style>
  <w:style w:type="table" w:styleId="TableGrid">
    <w:name w:val="Table Grid"/>
    <w:basedOn w:val="TableNormal"/>
    <w:uiPriority w:val="59"/>
    <w:rsid w:val="003C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711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8847DA"/>
    <w:rPr>
      <w:b/>
      <w:bCs/>
    </w:rPr>
  </w:style>
  <w:style w:type="paragraph" w:styleId="Revision">
    <w:name w:val="Revision"/>
    <w:hidden/>
    <w:uiPriority w:val="99"/>
    <w:semiHidden/>
    <w:rsid w:val="00533F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6262"/>
    <w:rPr>
      <w:color w:val="0000FF" w:themeColor="hyperlink"/>
      <w:u w:val="single"/>
    </w:rPr>
  </w:style>
  <w:style w:type="character" w:customStyle="1" w:styleId="citationplaceofpublication">
    <w:name w:val="citation_place_of_publication"/>
    <w:basedOn w:val="DefaultParagraphFont"/>
    <w:rsid w:val="008E2F79"/>
  </w:style>
  <w:style w:type="character" w:customStyle="1" w:styleId="citationcontributor">
    <w:name w:val="citation_contributor"/>
    <w:basedOn w:val="DefaultParagraphFont"/>
    <w:rsid w:val="008E2F79"/>
  </w:style>
  <w:style w:type="character" w:styleId="FollowedHyperlink">
    <w:name w:val="FollowedHyperlink"/>
    <w:basedOn w:val="DefaultParagraphFont"/>
    <w:uiPriority w:val="99"/>
    <w:semiHidden/>
    <w:unhideWhenUsed/>
    <w:rsid w:val="0080186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01D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5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70D"/>
    <w:rPr>
      <w:vertAlign w:val="superscript"/>
    </w:rPr>
  </w:style>
  <w:style w:type="numbering" w:customStyle="1" w:styleId="ERPG">
    <w:name w:val="ERPG"/>
    <w:uiPriority w:val="99"/>
    <w:rsid w:val="00286BA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79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7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551BA7-F72E-4697-A37E-4A03CE840C0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F48F-AA33-4707-8DE4-B0A2416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2018-08-18T22:39:00Z</dcterms:created>
  <dcterms:modified xsi:type="dcterms:W3CDTF">2018-08-21T23:54:00Z</dcterms:modified>
</cp:coreProperties>
</file>