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b/>
          <w:color w:val="000000" w:themeColor="text1"/>
          <w:sz w:val="32"/>
        </w:rPr>
        <w:t>Association between greenhouse working exposure and bronchial asthma: a pilot, cross-sectional survey of 5420 greenhouse farmers from northeast China</w:t>
      </w:r>
      <w:r>
        <w:t xml:space="preserve"> </w:t>
      </w:r>
    </w:p>
    <w:p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>
      <w:pPr>
        <w:spacing w:line="48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Shuo</w:t>
      </w:r>
      <w:proofErr w:type="spellEnd"/>
      <w:r>
        <w:rPr>
          <w:b/>
          <w:color w:val="000000" w:themeColor="text1"/>
        </w:rPr>
        <w:t xml:space="preserve"> Liu, M.D.</w:t>
      </w:r>
      <w:r>
        <w:rPr>
          <w:b/>
          <w:color w:val="000000" w:themeColor="text1"/>
          <w:vertAlign w:val="superscript"/>
        </w:rPr>
        <w:t>1,2,3</w:t>
      </w:r>
      <w:r>
        <w:rPr>
          <w:b/>
          <w:color w:val="000000" w:themeColor="text1"/>
        </w:rPr>
        <w:t>, Paul J. Wolters, M.D.</w:t>
      </w:r>
      <w:r>
        <w:rPr>
          <w:b/>
          <w:color w:val="000000" w:themeColor="text1"/>
          <w:vertAlign w:val="superscript"/>
        </w:rPr>
        <w:t>3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Yibing</w:t>
      </w:r>
      <w:proofErr w:type="spellEnd"/>
      <w:r>
        <w:rPr>
          <w:b/>
          <w:color w:val="000000" w:themeColor="text1"/>
        </w:rPr>
        <w:t xml:space="preserve"> Zhang</w:t>
      </w:r>
      <w:r>
        <w:rPr>
          <w:b/>
          <w:color w:val="000000" w:themeColor="text1"/>
          <w:vertAlign w:val="superscript"/>
        </w:rPr>
        <w:t>4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Mingjing</w:t>
      </w:r>
      <w:proofErr w:type="spellEnd"/>
      <w:r>
        <w:rPr>
          <w:b/>
          <w:color w:val="000000" w:themeColor="text1"/>
        </w:rPr>
        <w:t xml:space="preserve"> Zhao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>, Dan Liu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Lingling</w:t>
      </w:r>
      <w:proofErr w:type="spellEnd"/>
      <w:r>
        <w:rPr>
          <w:b/>
          <w:color w:val="000000" w:themeColor="text1"/>
        </w:rPr>
        <w:t xml:space="preserve"> Wang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Guangdan</w:t>
      </w:r>
      <w:proofErr w:type="spellEnd"/>
      <w:r>
        <w:rPr>
          <w:b/>
          <w:color w:val="000000" w:themeColor="text1"/>
        </w:rPr>
        <w:t xml:space="preserve"> Zhao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Shitao</w:t>
      </w:r>
      <w:proofErr w:type="spellEnd"/>
      <w:r>
        <w:rPr>
          <w:b/>
          <w:color w:val="000000" w:themeColor="text1"/>
        </w:rPr>
        <w:t xml:space="preserve"> Mao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Lijian</w:t>
      </w:r>
      <w:proofErr w:type="spellEnd"/>
      <w:r>
        <w:rPr>
          <w:b/>
          <w:color w:val="000000" w:themeColor="text1"/>
        </w:rPr>
        <w:t xml:space="preserve"> Wu</w:t>
      </w:r>
      <w:r>
        <w:rPr>
          <w:b/>
          <w:color w:val="000000" w:themeColor="text1"/>
          <w:vertAlign w:val="superscript"/>
        </w:rPr>
        <w:t>2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Hongwen</w:t>
      </w:r>
      <w:proofErr w:type="spellEnd"/>
      <w:r>
        <w:rPr>
          <w:b/>
          <w:color w:val="000000" w:themeColor="text1"/>
        </w:rPr>
        <w:t xml:space="preserve"> Zhao, M.D.</w:t>
      </w:r>
      <w:r>
        <w:rPr>
          <w:b/>
          <w:color w:val="000000" w:themeColor="text1"/>
          <w:vertAlign w:val="superscript"/>
        </w:rPr>
        <w:t>1,*</w:t>
      </w:r>
      <w:r>
        <w:rPr>
          <w:b/>
          <w:color w:val="000000" w:themeColor="text1"/>
        </w:rPr>
        <w:t xml:space="preserve">, and </w:t>
      </w:r>
      <w:proofErr w:type="spellStart"/>
      <w:r>
        <w:rPr>
          <w:b/>
          <w:color w:val="000000" w:themeColor="text1"/>
        </w:rPr>
        <w:t>Xiaoge</w:t>
      </w:r>
      <w:proofErr w:type="spellEnd"/>
      <w:r>
        <w:rPr>
          <w:b/>
          <w:color w:val="000000" w:themeColor="text1"/>
        </w:rPr>
        <w:t xml:space="preserve"> Wang, M.D.</w:t>
      </w:r>
      <w:r>
        <w:rPr>
          <w:b/>
          <w:color w:val="000000" w:themeColor="text1"/>
          <w:vertAlign w:val="superscript"/>
        </w:rPr>
        <w:t>2,*</w:t>
      </w:r>
    </w:p>
    <w:p>
      <w:pPr>
        <w:autoSpaceDE w:val="0"/>
        <w:autoSpaceDN w:val="0"/>
        <w:adjustRightInd w:val="0"/>
        <w:rPr>
          <w:bCs/>
          <w:lang w:bidi="th-TH"/>
        </w:rPr>
      </w:pPr>
    </w:p>
    <w:p>
      <w:pPr>
        <w:autoSpaceDE w:val="0"/>
        <w:autoSpaceDN w:val="0"/>
        <w:adjustRightInd w:val="0"/>
        <w:rPr>
          <w:bCs/>
          <w:lang w:bidi="th-TH"/>
        </w:rPr>
      </w:pPr>
      <w:r>
        <w:rPr>
          <w:bCs/>
          <w:lang w:bidi="th-TH"/>
        </w:rPr>
        <w:t>Supplementary Table 1:   The occurrence (n) and frequency (%) of extra-pulmonary clinical manifestations of 1040 greenhouse workers with asthma, by cultivation type.</w:t>
      </w:r>
      <w:bookmarkStart w:id="0" w:name="_GoBack"/>
      <w:bookmarkEnd w:id="0"/>
    </w:p>
    <w:p>
      <w:pPr>
        <w:autoSpaceDE w:val="0"/>
        <w:autoSpaceDN w:val="0"/>
        <w:adjustRightInd w:val="0"/>
        <w:rPr>
          <w:bCs/>
          <w:lang w:bidi="th-TH"/>
        </w:rPr>
      </w:pPr>
    </w:p>
    <w:tbl>
      <w:tblPr>
        <w:tblStyle w:val="TableGrid"/>
        <w:tblW w:w="9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6"/>
        <w:gridCol w:w="1316"/>
        <w:gridCol w:w="1588"/>
      </w:tblGrid>
      <w:tr>
        <w:trPr>
          <w:trHeight w:val="8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Greenhouse 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 xml:space="preserve">Vegetable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proofErr w:type="gramStart"/>
            <w:r>
              <w:rPr>
                <w:bCs/>
                <w:lang w:bidi="th-TH"/>
              </w:rPr>
              <w:t>n</w:t>
            </w:r>
            <w:proofErr w:type="gramEnd"/>
            <w:r>
              <w:rPr>
                <w:bCs/>
                <w:lang w:bidi="th-TH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 xml:space="preserve">Poultry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proofErr w:type="gramStart"/>
            <w:r>
              <w:rPr>
                <w:bCs/>
                <w:lang w:bidi="th-TH"/>
              </w:rPr>
              <w:t>n</w:t>
            </w:r>
            <w:proofErr w:type="gramEnd"/>
            <w:r>
              <w:rPr>
                <w:bCs/>
                <w:lang w:bidi="th-TH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 xml:space="preserve">Mushroom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proofErr w:type="gramStart"/>
            <w:r>
              <w:rPr>
                <w:bCs/>
                <w:lang w:bidi="th-TH"/>
              </w:rPr>
              <w:t>n</w:t>
            </w:r>
            <w:proofErr w:type="gramEnd"/>
            <w:r>
              <w:rPr>
                <w:bCs/>
                <w:lang w:bidi="th-TH"/>
              </w:rPr>
              <w:t xml:space="preserve"> (%)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 xml:space="preserve">Flower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proofErr w:type="gramStart"/>
            <w:r>
              <w:rPr>
                <w:bCs/>
                <w:lang w:bidi="th-TH"/>
              </w:rPr>
              <w:t>n</w:t>
            </w:r>
            <w:proofErr w:type="gramEnd"/>
            <w:r>
              <w:rPr>
                <w:bCs/>
                <w:lang w:bidi="th-TH"/>
              </w:rPr>
              <w:t xml:space="preserve"> (%)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Total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Cs/>
                <w:lang w:bidi="th-TH"/>
              </w:rPr>
            </w:pPr>
            <w:proofErr w:type="gramStart"/>
            <w:r>
              <w:rPr>
                <w:bCs/>
                <w:lang w:bidi="th-TH"/>
              </w:rPr>
              <w:t>n</w:t>
            </w:r>
            <w:proofErr w:type="gramEnd"/>
            <w:r>
              <w:rPr>
                <w:bCs/>
                <w:lang w:bidi="th-TH"/>
              </w:rPr>
              <w:t xml:space="preserve"> (%)</w:t>
            </w:r>
          </w:p>
        </w:tc>
      </w:tr>
      <w:t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Total subjects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439 (42.2)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160 (15.4)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218 (21.0)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223 (21.4)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1040</w:t>
            </w:r>
          </w:p>
        </w:tc>
      </w:tr>
      <w:t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Arthritis or joint abnormalities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12 (2.7)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 (3.8)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10 (4.6)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12 (5.4)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ind w:left="118"/>
              <w:jc w:val="both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40 (3.8)</w:t>
            </w:r>
          </w:p>
        </w:tc>
      </w:tr>
      <w:t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Pain in the neck, loins, or knees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64 (14.6)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19 (11.9)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23 (10.6)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36 (16.1)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142 (13.7)</w:t>
            </w:r>
          </w:p>
        </w:tc>
      </w:tr>
      <w:t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Ocular diseases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3 (0.7)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 (1.3)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 (2.8)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4 (1.8)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15 (1.4)</w:t>
            </w:r>
          </w:p>
        </w:tc>
      </w:tr>
      <w:t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Allergic dermatosis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30 (6.8)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25 (15.6)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35 (16.1)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17 (7.6)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107 (10.3)</w:t>
            </w:r>
          </w:p>
        </w:tc>
      </w:tr>
      <w:t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Varicose vein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decimal" w:pos="509"/>
              </w:tabs>
              <w:autoSpaceDE w:val="0"/>
              <w:autoSpaceDN w:val="0"/>
              <w:adjustRightInd w:val="0"/>
              <w:ind w:left="-61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 (1.4)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decimal" w:pos="45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5 (3.1)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decimal" w:pos="292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 (0.5)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decimal" w:pos="426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5 (2.2)</w:t>
            </w:r>
          </w:p>
        </w:tc>
        <w:tc>
          <w:tcPr>
            <w:tcW w:w="1588" w:type="dxa"/>
            <w:vAlign w:val="center"/>
          </w:tcPr>
          <w:p>
            <w:pPr>
              <w:tabs>
                <w:tab w:val="decimal" w:pos="580"/>
              </w:tabs>
              <w:autoSpaceDE w:val="0"/>
              <w:autoSpaceDN w:val="0"/>
              <w:adjustRightInd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17 (1.6)</w:t>
            </w:r>
          </w:p>
        </w:tc>
      </w:tr>
    </w:tbl>
    <w:p>
      <w:pPr>
        <w:autoSpaceDE w:val="0"/>
        <w:autoSpaceDN w:val="0"/>
        <w:adjustRightInd w:val="0"/>
        <w:rPr>
          <w:rFonts w:asciiTheme="majorHAnsi" w:hAnsiTheme="majorHAnsi" w:cs="AdvPTimesB"/>
          <w:b/>
          <w:bCs/>
          <w:lang w:bidi="th-TH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PTime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Shuo</dc:creator>
  <cp:keywords/>
  <dc:description/>
  <cp:lastModifiedBy>EIC</cp:lastModifiedBy>
  <cp:revision>3</cp:revision>
  <dcterms:created xsi:type="dcterms:W3CDTF">2019-01-17T15:22:00Z</dcterms:created>
  <dcterms:modified xsi:type="dcterms:W3CDTF">2019-01-17T15:25:00Z</dcterms:modified>
</cp:coreProperties>
</file>