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9F" w:rsidRPr="00DC4C18" w:rsidRDefault="00E22F53" w:rsidP="00E22F53">
      <w:pPr>
        <w:jc w:val="center"/>
        <w:rPr>
          <w:b/>
          <w:sz w:val="28"/>
          <w:szCs w:val="28"/>
        </w:rPr>
      </w:pPr>
      <w:bookmarkStart w:id="0" w:name="_GoBack"/>
      <w:bookmarkEnd w:id="0"/>
      <w:r w:rsidRPr="00DC4C18">
        <w:rPr>
          <w:b/>
          <w:sz w:val="28"/>
          <w:szCs w:val="28"/>
        </w:rPr>
        <w:t>Supplementary Material</w:t>
      </w:r>
    </w:p>
    <w:p w:rsidR="00E22F53" w:rsidRPr="00DC4C18" w:rsidRDefault="00003318" w:rsidP="00003318">
      <w:pPr>
        <w:jc w:val="center"/>
        <w:rPr>
          <w:b/>
          <w:sz w:val="24"/>
          <w:szCs w:val="24"/>
        </w:rPr>
      </w:pPr>
      <w:r w:rsidRPr="00DC4C18">
        <w:rPr>
          <w:b/>
          <w:sz w:val="24"/>
          <w:szCs w:val="24"/>
        </w:rPr>
        <w:t>Davies-Colley et al. (</w:t>
      </w:r>
      <w:r w:rsidR="00D82420" w:rsidRPr="00DC4C18">
        <w:rPr>
          <w:b/>
          <w:sz w:val="24"/>
          <w:szCs w:val="24"/>
        </w:rPr>
        <w:t>NZJM-2018-0108</w:t>
      </w:r>
      <w:r w:rsidR="00E22F53" w:rsidRPr="00DC4C18">
        <w:rPr>
          <w:b/>
          <w:sz w:val="24"/>
          <w:szCs w:val="24"/>
        </w:rPr>
        <w:t>)</w:t>
      </w:r>
    </w:p>
    <w:p w:rsidR="00DC4C18" w:rsidRPr="00DC4C18" w:rsidRDefault="00DC4C18" w:rsidP="00003318">
      <w:pPr>
        <w:rPr>
          <w:b/>
          <w:sz w:val="24"/>
          <w:szCs w:val="24"/>
        </w:rPr>
      </w:pPr>
    </w:p>
    <w:p w:rsidR="00DC4C18" w:rsidRPr="00DC4C18" w:rsidRDefault="00003318" w:rsidP="00003318">
      <w:pPr>
        <w:rPr>
          <w:b/>
          <w:sz w:val="24"/>
          <w:szCs w:val="24"/>
        </w:rPr>
      </w:pPr>
      <w:r w:rsidRPr="00DC4C18">
        <w:rPr>
          <w:b/>
          <w:sz w:val="24"/>
          <w:szCs w:val="24"/>
        </w:rPr>
        <w:t>Further notes on</w:t>
      </w:r>
      <w:r w:rsidR="00BE7741" w:rsidRPr="00DC4C18">
        <w:rPr>
          <w:b/>
          <w:sz w:val="24"/>
          <w:szCs w:val="24"/>
        </w:rPr>
        <w:t xml:space="preserve"> analysis</w:t>
      </w:r>
      <w:r w:rsidR="00D82420" w:rsidRPr="00DC4C18">
        <w:rPr>
          <w:b/>
          <w:sz w:val="24"/>
          <w:szCs w:val="24"/>
        </w:rPr>
        <w:t xml:space="preserve"> of paired water quality data</w:t>
      </w:r>
      <w:r w:rsidR="00DC4C18" w:rsidRPr="00DC4C18">
        <w:rPr>
          <w:b/>
          <w:sz w:val="24"/>
          <w:szCs w:val="24"/>
        </w:rPr>
        <w:t xml:space="preserve"> </w:t>
      </w:r>
    </w:p>
    <w:p w:rsidR="00DC4C18" w:rsidRPr="00DC4C18" w:rsidRDefault="00DC4C18" w:rsidP="00003318">
      <w:pPr>
        <w:rPr>
          <w:b/>
          <w:sz w:val="24"/>
          <w:szCs w:val="24"/>
        </w:rPr>
      </w:pPr>
      <w:r w:rsidRPr="00DC4C18">
        <w:rPr>
          <w:sz w:val="24"/>
          <w:szCs w:val="24"/>
        </w:rPr>
        <w:t xml:space="preserve">(duplicate measurements of </w:t>
      </w:r>
      <w:r>
        <w:rPr>
          <w:sz w:val="24"/>
          <w:szCs w:val="24"/>
        </w:rPr>
        <w:t xml:space="preserve">river </w:t>
      </w:r>
      <w:r w:rsidRPr="00DC4C18">
        <w:rPr>
          <w:sz w:val="24"/>
          <w:szCs w:val="24"/>
        </w:rPr>
        <w:t>water quality in the Wellington Region)</w:t>
      </w:r>
      <w:r w:rsidRPr="00DC4C18">
        <w:rPr>
          <w:b/>
          <w:sz w:val="24"/>
          <w:szCs w:val="24"/>
        </w:rPr>
        <w:t xml:space="preserve">  </w:t>
      </w:r>
    </w:p>
    <w:p w:rsidR="00DC4C18" w:rsidRPr="00DC4C18" w:rsidRDefault="00DC4C18" w:rsidP="00DC4C18">
      <w:pPr>
        <w:rPr>
          <w:sz w:val="24"/>
          <w:szCs w:val="24"/>
        </w:rPr>
      </w:pPr>
      <w:r w:rsidRPr="00DC4C18">
        <w:rPr>
          <w:sz w:val="24"/>
          <w:szCs w:val="24"/>
        </w:rPr>
        <w:t>Measurements in the field by Greater Wellington Regional Council (GWRC), and analytical results by Hill Laboratories on water samples collected by GWRC, were paired with field or laboratory measurements by NIWA. Refer to the accompanying paper for details on sites and on statistics of agreement and their interpretation.</w:t>
      </w:r>
    </w:p>
    <w:p w:rsidR="00D82420" w:rsidRPr="00DC4C18" w:rsidRDefault="00D82420">
      <w:pPr>
        <w:rPr>
          <w:sz w:val="24"/>
          <w:szCs w:val="24"/>
        </w:rPr>
      </w:pPr>
      <w:r w:rsidRPr="00DC4C18">
        <w:rPr>
          <w:sz w:val="24"/>
          <w:szCs w:val="24"/>
        </w:rPr>
        <w:t xml:space="preserve">Logarithmic transformations were used to improve symmetry of water quality variables before calculating statistics of agreement </w:t>
      </w:r>
      <w:r w:rsidR="005A21A2" w:rsidRPr="00DC4C18">
        <w:rPr>
          <w:sz w:val="24"/>
          <w:szCs w:val="24"/>
        </w:rPr>
        <w:t>between</w:t>
      </w:r>
      <w:r w:rsidRPr="00DC4C18">
        <w:rPr>
          <w:sz w:val="24"/>
          <w:szCs w:val="24"/>
        </w:rPr>
        <w:t xml:space="preserve"> NIWA and GWRC measurements (Table 3)</w:t>
      </w:r>
      <w:r w:rsidR="00BE7741" w:rsidRPr="00DC4C18">
        <w:rPr>
          <w:sz w:val="24"/>
          <w:szCs w:val="24"/>
        </w:rPr>
        <w:t xml:space="preserve">. </w:t>
      </w:r>
      <w:r w:rsidRPr="00DC4C18">
        <w:rPr>
          <w:sz w:val="24"/>
          <w:szCs w:val="24"/>
        </w:rPr>
        <w:t xml:space="preserve">Logarithmic scales were </w:t>
      </w:r>
      <w:r w:rsidR="005A21A2" w:rsidRPr="00DC4C18">
        <w:rPr>
          <w:sz w:val="24"/>
          <w:szCs w:val="24"/>
        </w:rPr>
        <w:t xml:space="preserve">also </w:t>
      </w:r>
      <w:r w:rsidRPr="00DC4C18">
        <w:rPr>
          <w:sz w:val="24"/>
          <w:szCs w:val="24"/>
        </w:rPr>
        <w:t>used where appropriate in the X-Y plots (displayed below)</w:t>
      </w:r>
      <w:r w:rsidR="005A21A2" w:rsidRPr="00DC4C18">
        <w:rPr>
          <w:sz w:val="24"/>
          <w:szCs w:val="24"/>
        </w:rPr>
        <w:t xml:space="preserve"> comparing the paired measurements</w:t>
      </w:r>
      <w:r w:rsidRPr="00DC4C18">
        <w:rPr>
          <w:sz w:val="24"/>
          <w:szCs w:val="24"/>
        </w:rPr>
        <w:t xml:space="preserve">.  </w:t>
      </w:r>
      <w:r w:rsidR="00BE7741" w:rsidRPr="00DC4C18">
        <w:rPr>
          <w:sz w:val="24"/>
          <w:szCs w:val="24"/>
        </w:rPr>
        <w:t xml:space="preserve">Plotting of typically strongly right-skewed water quality data on linear scales often reduces low value points to an unresolved cluster.  Only water temperature, DO, and pH (which is already log-transformed) were sufficiently near-symmetrically distributed to be plotted on linear scales. </w:t>
      </w:r>
      <w:r w:rsidR="005A21A2" w:rsidRPr="00DC4C18">
        <w:rPr>
          <w:sz w:val="24"/>
          <w:szCs w:val="24"/>
        </w:rPr>
        <w:t xml:space="preserve"> Logarithmic statistics of agreement have the very desirable feature that they permit comparison between variables of very different untransformed scales.  This permits us to compare numerical agreement for a diverse range of variables.  We show, for example, that total nitrogen measurements are in closer numerical agreement than </w:t>
      </w:r>
      <w:r w:rsidR="005A21A2" w:rsidRPr="00DC4C18">
        <w:rPr>
          <w:i/>
          <w:sz w:val="24"/>
          <w:szCs w:val="24"/>
        </w:rPr>
        <w:t>E. coli</w:t>
      </w:r>
      <w:r w:rsidR="005A21A2" w:rsidRPr="00DC4C18">
        <w:rPr>
          <w:sz w:val="24"/>
          <w:szCs w:val="24"/>
        </w:rPr>
        <w:t>, despite completely different (incomparable) untransformed measurement scales for these quantities.</w:t>
      </w:r>
    </w:p>
    <w:p w:rsidR="00D82420" w:rsidRPr="00DC4C18" w:rsidRDefault="00D82420" w:rsidP="00D82420">
      <w:pPr>
        <w:pStyle w:val="BodyText"/>
        <w:rPr>
          <w:sz w:val="24"/>
          <w:szCs w:val="24"/>
        </w:rPr>
      </w:pPr>
      <w:r w:rsidRPr="00DC4C18">
        <w:rPr>
          <w:sz w:val="24"/>
          <w:szCs w:val="24"/>
        </w:rPr>
        <w:t xml:space="preserve">Correlation analysis is typically used to assess linear agreement of variables in X-Y plots.  For comparison of different methods for measuring the same attribute, Lin (1989) introduced concordance correlation which measures closeness to the 1:1 line of perfect agreement rather than the regression line (Lin’s coefficient is smaller than Pearson’s except in the special case that the data are perfectly symmetric about the 1:1 line).  However, Bland and Altman (1986) argue that numerical similarity is of greater interest than linear agreement in clinical applications, which we believe also applies in environmental applications.  One problem with correlations for assessing agreement is that correlation coefficients such as Pearson’s and Lin’s are </w:t>
      </w:r>
      <w:r w:rsidRPr="00DC4C18">
        <w:rPr>
          <w:i/>
          <w:sz w:val="24"/>
          <w:szCs w:val="24"/>
        </w:rPr>
        <w:t>range-dependent</w:t>
      </w:r>
      <w:r w:rsidRPr="00DC4C18">
        <w:rPr>
          <w:sz w:val="24"/>
          <w:szCs w:val="24"/>
        </w:rPr>
        <w:t xml:space="preserve">.  For example, it is possible to have a high correlation for measurements that range widely despite weak numerical agreement (e.g., for </w:t>
      </w:r>
      <w:r w:rsidRPr="00DC4C18">
        <w:rPr>
          <w:i/>
          <w:sz w:val="24"/>
          <w:szCs w:val="24"/>
        </w:rPr>
        <w:t>E. coli</w:t>
      </w:r>
      <w:r w:rsidRPr="00DC4C18">
        <w:rPr>
          <w:sz w:val="24"/>
          <w:szCs w:val="24"/>
        </w:rPr>
        <w:t xml:space="preserve">); conversely the correlation may be quite poor for variables that range only slightly even when measurements are numerically similar in magnitude (as is typical for DO in well-aerated waters). </w:t>
      </w:r>
    </w:p>
    <w:p w:rsidR="00003318" w:rsidRPr="00DC4C18" w:rsidRDefault="00D82420" w:rsidP="00D82420">
      <w:pPr>
        <w:rPr>
          <w:sz w:val="24"/>
          <w:szCs w:val="24"/>
        </w:rPr>
      </w:pPr>
      <w:r w:rsidRPr="00DC4C18">
        <w:rPr>
          <w:sz w:val="24"/>
          <w:szCs w:val="24"/>
        </w:rPr>
        <w:t xml:space="preserve">We tabulate correlation coefficients (Pearson’s and Lin’s) in Table 3, but also give mean differences as an index of systematic numerical difference as advocated by Bland and Altman (1986).  As discussed in the article, we used the standard deviation measured </w:t>
      </w:r>
      <w:r w:rsidRPr="00DC4C18">
        <w:rPr>
          <w:i/>
          <w:sz w:val="24"/>
          <w:szCs w:val="24"/>
        </w:rPr>
        <w:t>perpendicular</w:t>
      </w:r>
      <w:r w:rsidRPr="00DC4C18">
        <w:rPr>
          <w:sz w:val="24"/>
          <w:szCs w:val="24"/>
        </w:rPr>
        <w:t xml:space="preserve"> to the 1:1 line (line of equality) as a measure of numerical agreement. </w:t>
      </w:r>
      <w:r w:rsidRPr="00DC4C18">
        <w:rPr>
          <w:i/>
          <w:sz w:val="24"/>
          <w:szCs w:val="24"/>
        </w:rPr>
        <w:t>S</w:t>
      </w:r>
      <w:r w:rsidRPr="00DC4C18">
        <w:rPr>
          <w:sz w:val="24"/>
          <w:szCs w:val="24"/>
          <w:vertAlign w:val="subscript"/>
        </w:rPr>
        <w:t>R</w:t>
      </w:r>
      <w:r w:rsidRPr="00DC4C18">
        <w:rPr>
          <w:sz w:val="24"/>
          <w:szCs w:val="24"/>
        </w:rPr>
        <w:t xml:space="preserve"> values are given on the X-Y plots displayed below comparing NIWA and GWRC measurements. </w:t>
      </w:r>
      <w:r w:rsidR="00003318" w:rsidRPr="00DC4C18">
        <w:rPr>
          <w:sz w:val="24"/>
          <w:szCs w:val="24"/>
        </w:rPr>
        <w:br w:type="page"/>
      </w:r>
    </w:p>
    <w:p w:rsidR="00003318" w:rsidRPr="00DC4C18" w:rsidRDefault="00003318" w:rsidP="00003318">
      <w:pPr>
        <w:rPr>
          <w:b/>
          <w:sz w:val="24"/>
          <w:szCs w:val="24"/>
        </w:rPr>
      </w:pPr>
      <w:r w:rsidRPr="00DC4C18">
        <w:rPr>
          <w:b/>
          <w:sz w:val="24"/>
          <w:szCs w:val="24"/>
        </w:rPr>
        <w:lastRenderedPageBreak/>
        <w:t xml:space="preserve">Graphical comparisons of duplicate measurements of </w:t>
      </w:r>
      <w:r w:rsidR="00DC4C18">
        <w:rPr>
          <w:b/>
          <w:sz w:val="24"/>
          <w:szCs w:val="24"/>
        </w:rPr>
        <w:t xml:space="preserve">river </w:t>
      </w:r>
      <w:r w:rsidRPr="00DC4C18">
        <w:rPr>
          <w:b/>
          <w:sz w:val="24"/>
          <w:szCs w:val="24"/>
        </w:rPr>
        <w:t>water quality at state-of-environment</w:t>
      </w:r>
      <w:r w:rsidR="00DC4C18" w:rsidRPr="00DC4C18">
        <w:rPr>
          <w:b/>
          <w:sz w:val="24"/>
          <w:szCs w:val="24"/>
        </w:rPr>
        <w:t xml:space="preserve"> sites in the Wellington Region</w:t>
      </w:r>
      <w:r w:rsidRPr="00DC4C18">
        <w:rPr>
          <w:b/>
          <w:sz w:val="24"/>
          <w:szCs w:val="24"/>
        </w:rPr>
        <w:t xml:space="preserve">  </w:t>
      </w:r>
    </w:p>
    <w:p w:rsidR="00DC4C18" w:rsidRPr="00BE7741" w:rsidRDefault="00DC4C18" w:rsidP="00003318">
      <w:pPr>
        <w:rPr>
          <w:b/>
        </w:rPr>
      </w:pPr>
    </w:p>
    <w:p w:rsidR="00E22F53" w:rsidRDefault="00D44164" w:rsidP="00D44164">
      <w:pPr>
        <w:jc w:val="center"/>
      </w:pPr>
      <w:r>
        <w:object w:dxaOrig="3950" w:dyaOrig="3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185.5pt" o:ole="">
            <v:imagedata r:id="rId4" o:title=""/>
          </v:shape>
          <o:OLEObject Type="Embed" ProgID="KGraph_Plot" ShapeID="_x0000_i1025" DrawAspect="Content" ObjectID="_1610362171" r:id="rId5"/>
        </w:object>
      </w:r>
    </w:p>
    <w:p w:rsidR="007A58F8" w:rsidRPr="00942330" w:rsidRDefault="007A58F8" w:rsidP="007A58F8">
      <w:pPr>
        <w:pStyle w:val="Caption"/>
        <w:keepNext w:val="0"/>
        <w:rPr>
          <w:rFonts w:asciiTheme="minorHAnsi" w:hAnsiTheme="minorHAnsi"/>
          <w:sz w:val="22"/>
          <w:szCs w:val="24"/>
        </w:rPr>
      </w:pPr>
      <w:r w:rsidRPr="00942330">
        <w:rPr>
          <w:rFonts w:asciiTheme="minorHAnsi" w:hAnsiTheme="minorHAnsi"/>
        </w:rPr>
        <w:t xml:space="preserve">Figure </w:t>
      </w:r>
      <w:r>
        <w:rPr>
          <w:rFonts w:asciiTheme="minorHAnsi" w:hAnsiTheme="minorHAnsi"/>
        </w:rPr>
        <w:t>S1</w:t>
      </w:r>
      <w:r w:rsidRPr="00942330">
        <w:rPr>
          <w:rFonts w:asciiTheme="minorHAnsi" w:hAnsiTheme="minorHAnsi"/>
        </w:rPr>
        <w:t>.</w:t>
      </w:r>
      <w:r w:rsidRPr="00942330">
        <w:rPr>
          <w:rFonts w:asciiTheme="minorHAnsi" w:hAnsiTheme="minorHAnsi"/>
          <w:b w:val="0"/>
        </w:rPr>
        <w:t xml:space="preserve">  </w:t>
      </w:r>
      <w:r>
        <w:rPr>
          <w:rFonts w:asciiTheme="minorHAnsi" w:hAnsiTheme="minorHAnsi"/>
          <w:b w:val="0"/>
        </w:rPr>
        <w:t>Comparison of water temperature measurements by GWRC and NIWA</w:t>
      </w:r>
      <w:r w:rsidRPr="00942330">
        <w:rPr>
          <w:rFonts w:asciiTheme="minorHAnsi" w:hAnsiTheme="minorHAnsi"/>
          <w:b w:val="0"/>
        </w:rPr>
        <w:t xml:space="preserve"> (</w:t>
      </w:r>
      <w:r w:rsidRPr="00942330">
        <w:rPr>
          <w:rFonts w:asciiTheme="minorHAnsi" w:hAnsiTheme="minorHAnsi"/>
          <w:b w:val="0"/>
          <w:i/>
        </w:rPr>
        <w:t>N</w:t>
      </w:r>
      <w:r w:rsidRPr="00942330">
        <w:rPr>
          <w:rFonts w:asciiTheme="minorHAnsi" w:hAnsiTheme="minorHAnsi"/>
          <w:b w:val="0"/>
        </w:rPr>
        <w:t xml:space="preserve"> = </w:t>
      </w:r>
      <w:r>
        <w:rPr>
          <w:rFonts w:asciiTheme="minorHAnsi" w:hAnsiTheme="minorHAnsi"/>
          <w:b w:val="0"/>
        </w:rPr>
        <w:t>29</w:t>
      </w:r>
      <w:r w:rsidRPr="00942330">
        <w:rPr>
          <w:rFonts w:asciiTheme="minorHAnsi" w:hAnsiTheme="minorHAnsi"/>
          <w:b w:val="0"/>
        </w:rPr>
        <w:t xml:space="preserve">).  On seven occasions on </w:t>
      </w:r>
      <w:r>
        <w:rPr>
          <w:rFonts w:asciiTheme="minorHAnsi" w:hAnsiTheme="minorHAnsi"/>
          <w:b w:val="0"/>
        </w:rPr>
        <w:t xml:space="preserve">two of </w:t>
      </w:r>
      <w:r w:rsidRPr="00942330">
        <w:rPr>
          <w:rFonts w:asciiTheme="minorHAnsi" w:hAnsiTheme="minorHAnsi"/>
          <w:b w:val="0"/>
        </w:rPr>
        <w:t xml:space="preserve">the </w:t>
      </w:r>
      <w:proofErr w:type="spellStart"/>
      <w:r w:rsidRPr="00942330">
        <w:rPr>
          <w:rFonts w:asciiTheme="minorHAnsi" w:hAnsiTheme="minorHAnsi"/>
          <w:b w:val="0"/>
        </w:rPr>
        <w:t>Wainuiomata</w:t>
      </w:r>
      <w:proofErr w:type="spellEnd"/>
      <w:r w:rsidRPr="00942330">
        <w:rPr>
          <w:rFonts w:asciiTheme="minorHAnsi" w:hAnsiTheme="minorHAnsi"/>
          <w:b w:val="0"/>
        </w:rPr>
        <w:t xml:space="preserve"> runs, two GWRC field staff (denoted GWRC1 and GWRC2) made independent </w:t>
      </w:r>
      <w:r>
        <w:rPr>
          <w:rFonts w:asciiTheme="minorHAnsi" w:hAnsiTheme="minorHAnsi"/>
          <w:b w:val="0"/>
        </w:rPr>
        <w:t>temperature</w:t>
      </w:r>
      <w:r w:rsidRPr="00942330">
        <w:rPr>
          <w:rFonts w:asciiTheme="minorHAnsi" w:hAnsiTheme="minorHAnsi"/>
          <w:b w:val="0"/>
        </w:rPr>
        <w:t xml:space="preserve"> measurements which are compared in </w:t>
      </w:r>
      <w:r>
        <w:rPr>
          <w:rFonts w:asciiTheme="minorHAnsi" w:hAnsiTheme="minorHAnsi"/>
          <w:b w:val="0"/>
        </w:rPr>
        <w:t>the plot</w:t>
      </w:r>
      <w:r w:rsidRPr="00942330">
        <w:rPr>
          <w:rFonts w:asciiTheme="minorHAnsi" w:hAnsiTheme="minorHAnsi"/>
          <w:b w:val="0"/>
        </w:rPr>
        <w:t xml:space="preserve"> (triangles versus </w:t>
      </w:r>
      <w:proofErr w:type="spellStart"/>
      <w:r w:rsidRPr="00942330">
        <w:rPr>
          <w:rFonts w:asciiTheme="minorHAnsi" w:hAnsiTheme="minorHAnsi"/>
          <w:b w:val="0"/>
        </w:rPr>
        <w:t>Xs</w:t>
      </w:r>
      <w:proofErr w:type="spellEnd"/>
      <w:r w:rsidRPr="00942330">
        <w:rPr>
          <w:rFonts w:asciiTheme="minorHAnsi" w:hAnsiTheme="minorHAnsi"/>
          <w:b w:val="0"/>
        </w:rPr>
        <w:t xml:space="preserve">).  </w:t>
      </w:r>
      <w:r w:rsidRPr="007A58F8">
        <w:rPr>
          <w:b w:val="0"/>
        </w:rPr>
        <w:t xml:space="preserve">The regression fit (geometric average of Y-on-X and X-on-Y lines) is </w:t>
      </w:r>
      <w:r w:rsidRPr="007A58F8">
        <w:rPr>
          <w:b w:val="0"/>
          <w:i/>
        </w:rPr>
        <w:t>not</w:t>
      </w:r>
      <w:r w:rsidRPr="007A58F8">
        <w:rPr>
          <w:b w:val="0"/>
        </w:rPr>
        <w:t xml:space="preserve"> shown, being almost coincident with the 1:1 line.</w:t>
      </w:r>
    </w:p>
    <w:p w:rsidR="00D44164" w:rsidRDefault="00D44164" w:rsidP="00D44164">
      <w:pPr>
        <w:jc w:val="center"/>
      </w:pPr>
    </w:p>
    <w:p w:rsidR="00D44164" w:rsidRDefault="00D44164" w:rsidP="00D44164">
      <w:pPr>
        <w:jc w:val="center"/>
      </w:pPr>
      <w:r>
        <w:object w:dxaOrig="3910" w:dyaOrig="3710">
          <v:shape id="_x0000_i1026" type="#_x0000_t75" style="width:195.5pt;height:185.5pt" o:ole="">
            <v:imagedata r:id="rId6" o:title=""/>
          </v:shape>
          <o:OLEObject Type="Embed" ProgID="KGraph_Plot" ShapeID="_x0000_i1026" DrawAspect="Content" ObjectID="_1610362172" r:id="rId7"/>
        </w:object>
      </w:r>
    </w:p>
    <w:p w:rsidR="007A58F8" w:rsidRPr="00942330" w:rsidRDefault="007A58F8" w:rsidP="007A58F8">
      <w:pPr>
        <w:pStyle w:val="Caption"/>
        <w:keepNext w:val="0"/>
        <w:rPr>
          <w:rFonts w:asciiTheme="minorHAnsi" w:hAnsiTheme="minorHAnsi"/>
          <w:sz w:val="22"/>
          <w:szCs w:val="24"/>
        </w:rPr>
      </w:pPr>
      <w:r w:rsidRPr="00942330">
        <w:rPr>
          <w:rFonts w:asciiTheme="minorHAnsi" w:hAnsiTheme="minorHAnsi"/>
        </w:rPr>
        <w:t xml:space="preserve">Figure </w:t>
      </w:r>
      <w:r>
        <w:rPr>
          <w:rFonts w:asciiTheme="minorHAnsi" w:hAnsiTheme="minorHAnsi"/>
        </w:rPr>
        <w:t>S2</w:t>
      </w:r>
      <w:r w:rsidRPr="00942330">
        <w:rPr>
          <w:rFonts w:asciiTheme="minorHAnsi" w:hAnsiTheme="minorHAnsi"/>
        </w:rPr>
        <w:t>.</w:t>
      </w:r>
      <w:r w:rsidRPr="00942330">
        <w:rPr>
          <w:rFonts w:asciiTheme="minorHAnsi" w:hAnsiTheme="minorHAnsi"/>
          <w:b w:val="0"/>
        </w:rPr>
        <w:t xml:space="preserve">  </w:t>
      </w:r>
      <w:r>
        <w:rPr>
          <w:rFonts w:asciiTheme="minorHAnsi" w:hAnsiTheme="minorHAnsi"/>
          <w:b w:val="0"/>
        </w:rPr>
        <w:t>Comparison of dissolved oxygen (DO; % saturation) measurements by GWRC and NIWA</w:t>
      </w:r>
      <w:r w:rsidRPr="00942330">
        <w:rPr>
          <w:rFonts w:asciiTheme="minorHAnsi" w:hAnsiTheme="minorHAnsi"/>
          <w:b w:val="0"/>
        </w:rPr>
        <w:t xml:space="preserve"> (</w:t>
      </w:r>
      <w:r w:rsidRPr="00942330">
        <w:rPr>
          <w:rFonts w:asciiTheme="minorHAnsi" w:hAnsiTheme="minorHAnsi"/>
          <w:b w:val="0"/>
          <w:i/>
        </w:rPr>
        <w:t>N</w:t>
      </w:r>
      <w:r w:rsidRPr="00942330">
        <w:rPr>
          <w:rFonts w:asciiTheme="minorHAnsi" w:hAnsiTheme="minorHAnsi"/>
          <w:b w:val="0"/>
        </w:rPr>
        <w:t xml:space="preserve"> = </w:t>
      </w:r>
      <w:r>
        <w:rPr>
          <w:rFonts w:asciiTheme="minorHAnsi" w:hAnsiTheme="minorHAnsi"/>
          <w:b w:val="0"/>
        </w:rPr>
        <w:t>29</w:t>
      </w:r>
      <w:r w:rsidRPr="00942330">
        <w:rPr>
          <w:rFonts w:asciiTheme="minorHAnsi" w:hAnsiTheme="minorHAnsi"/>
          <w:b w:val="0"/>
        </w:rPr>
        <w:t xml:space="preserve">).  On seven occasions on </w:t>
      </w:r>
      <w:r>
        <w:rPr>
          <w:rFonts w:asciiTheme="minorHAnsi" w:hAnsiTheme="minorHAnsi"/>
          <w:b w:val="0"/>
        </w:rPr>
        <w:t xml:space="preserve">two of </w:t>
      </w:r>
      <w:r w:rsidRPr="00942330">
        <w:rPr>
          <w:rFonts w:asciiTheme="minorHAnsi" w:hAnsiTheme="minorHAnsi"/>
          <w:b w:val="0"/>
        </w:rPr>
        <w:t xml:space="preserve">the </w:t>
      </w:r>
      <w:proofErr w:type="spellStart"/>
      <w:r w:rsidRPr="00942330">
        <w:rPr>
          <w:rFonts w:asciiTheme="minorHAnsi" w:hAnsiTheme="minorHAnsi"/>
          <w:b w:val="0"/>
        </w:rPr>
        <w:t>Wainuiomata</w:t>
      </w:r>
      <w:proofErr w:type="spellEnd"/>
      <w:r w:rsidRPr="00942330">
        <w:rPr>
          <w:rFonts w:asciiTheme="minorHAnsi" w:hAnsiTheme="minorHAnsi"/>
          <w:b w:val="0"/>
        </w:rPr>
        <w:t xml:space="preserve"> runs, two GWRC field staff (denoted GWRC1 and GWRC2) made independent </w:t>
      </w:r>
      <w:r>
        <w:rPr>
          <w:rFonts w:asciiTheme="minorHAnsi" w:hAnsiTheme="minorHAnsi"/>
          <w:b w:val="0"/>
        </w:rPr>
        <w:t>DO</w:t>
      </w:r>
      <w:r w:rsidRPr="00942330">
        <w:rPr>
          <w:rFonts w:asciiTheme="minorHAnsi" w:hAnsiTheme="minorHAnsi"/>
          <w:b w:val="0"/>
        </w:rPr>
        <w:t xml:space="preserve"> measurements which are compared in </w:t>
      </w:r>
      <w:r>
        <w:rPr>
          <w:rFonts w:asciiTheme="minorHAnsi" w:hAnsiTheme="minorHAnsi"/>
          <w:b w:val="0"/>
        </w:rPr>
        <w:t>the plot</w:t>
      </w:r>
      <w:r w:rsidRPr="00942330">
        <w:rPr>
          <w:rFonts w:asciiTheme="minorHAnsi" w:hAnsiTheme="minorHAnsi"/>
          <w:b w:val="0"/>
        </w:rPr>
        <w:t xml:space="preserve"> (triangles versus </w:t>
      </w:r>
      <w:proofErr w:type="spellStart"/>
      <w:r w:rsidRPr="00942330">
        <w:rPr>
          <w:rFonts w:asciiTheme="minorHAnsi" w:hAnsiTheme="minorHAnsi"/>
          <w:b w:val="0"/>
        </w:rPr>
        <w:t>Xs</w:t>
      </w:r>
      <w:proofErr w:type="spellEnd"/>
      <w:r w:rsidRPr="00942330">
        <w:rPr>
          <w:rFonts w:asciiTheme="minorHAnsi" w:hAnsiTheme="minorHAnsi"/>
          <w:b w:val="0"/>
        </w:rPr>
        <w:t xml:space="preserve">).  </w:t>
      </w:r>
      <w:r w:rsidRPr="007A58F8">
        <w:rPr>
          <w:b w:val="0"/>
        </w:rPr>
        <w:t xml:space="preserve">The regression fit (geometric average of Y-on-X and X-on-Y lines) is </w:t>
      </w:r>
      <w:r w:rsidRPr="007A58F8">
        <w:rPr>
          <w:b w:val="0"/>
          <w:i/>
        </w:rPr>
        <w:t>not</w:t>
      </w:r>
      <w:r w:rsidRPr="007A58F8">
        <w:rPr>
          <w:b w:val="0"/>
        </w:rPr>
        <w:t xml:space="preserve"> shown, being almost coincident with the 1:1 line.</w:t>
      </w:r>
    </w:p>
    <w:p w:rsidR="00D44164" w:rsidRDefault="00D44164" w:rsidP="00D44164">
      <w:pPr>
        <w:jc w:val="center"/>
      </w:pPr>
    </w:p>
    <w:p w:rsidR="00D44164" w:rsidRDefault="00D44164" w:rsidP="00D44164">
      <w:pPr>
        <w:jc w:val="center"/>
      </w:pPr>
      <w:r>
        <w:object w:dxaOrig="3910" w:dyaOrig="3710">
          <v:shape id="_x0000_i1027" type="#_x0000_t75" style="width:195.5pt;height:185.5pt" o:ole="">
            <v:imagedata r:id="rId8" o:title=""/>
          </v:shape>
          <o:OLEObject Type="Embed" ProgID="KGraph_Plot" ShapeID="_x0000_i1027" DrawAspect="Content" ObjectID="_1610362173" r:id="rId9"/>
        </w:object>
      </w:r>
    </w:p>
    <w:p w:rsidR="007A58F8" w:rsidRPr="00942330" w:rsidRDefault="007A58F8" w:rsidP="007A58F8">
      <w:pPr>
        <w:pStyle w:val="Caption"/>
        <w:keepNext w:val="0"/>
        <w:rPr>
          <w:rFonts w:asciiTheme="minorHAnsi" w:hAnsiTheme="minorHAnsi"/>
          <w:sz w:val="22"/>
          <w:szCs w:val="24"/>
        </w:rPr>
      </w:pPr>
      <w:r w:rsidRPr="00942330">
        <w:rPr>
          <w:rFonts w:asciiTheme="minorHAnsi" w:hAnsiTheme="minorHAnsi"/>
        </w:rPr>
        <w:t xml:space="preserve">Figure </w:t>
      </w:r>
      <w:r>
        <w:rPr>
          <w:rFonts w:asciiTheme="minorHAnsi" w:hAnsiTheme="minorHAnsi"/>
        </w:rPr>
        <w:t>S3</w:t>
      </w:r>
      <w:r w:rsidRPr="00942330">
        <w:rPr>
          <w:rFonts w:asciiTheme="minorHAnsi" w:hAnsiTheme="minorHAnsi"/>
        </w:rPr>
        <w:t>.</w:t>
      </w:r>
      <w:r w:rsidRPr="00942330">
        <w:rPr>
          <w:rFonts w:asciiTheme="minorHAnsi" w:hAnsiTheme="minorHAnsi"/>
          <w:b w:val="0"/>
        </w:rPr>
        <w:t xml:space="preserve">  Comparison of </w:t>
      </w:r>
      <w:r w:rsidR="00412302">
        <w:rPr>
          <w:rFonts w:asciiTheme="minorHAnsi" w:hAnsiTheme="minorHAnsi"/>
          <w:b w:val="0"/>
        </w:rPr>
        <w:t>e</w:t>
      </w:r>
      <w:r w:rsidRPr="00942330">
        <w:rPr>
          <w:rFonts w:asciiTheme="minorHAnsi" w:hAnsiTheme="minorHAnsi"/>
          <w:b w:val="0"/>
        </w:rPr>
        <w:t>lectrical conductivity (EC) measurements in the field by GWRC versus NIWA laboratory measurements (</w:t>
      </w:r>
      <w:r w:rsidRPr="00942330">
        <w:rPr>
          <w:rFonts w:asciiTheme="minorHAnsi" w:hAnsiTheme="minorHAnsi"/>
          <w:b w:val="0"/>
          <w:i/>
        </w:rPr>
        <w:t>N</w:t>
      </w:r>
      <w:r w:rsidRPr="00942330">
        <w:rPr>
          <w:rFonts w:asciiTheme="minorHAnsi" w:hAnsiTheme="minorHAnsi"/>
          <w:b w:val="0"/>
        </w:rPr>
        <w:t xml:space="preserve"> = 28; a transcription error on one occasion </w:t>
      </w:r>
      <w:r>
        <w:rPr>
          <w:rFonts w:asciiTheme="minorHAnsi" w:hAnsiTheme="minorHAnsi"/>
          <w:b w:val="0"/>
        </w:rPr>
        <w:t>gave rise to an outlier point</w:t>
      </w:r>
      <w:r w:rsidRPr="00942330">
        <w:rPr>
          <w:rFonts w:asciiTheme="minorHAnsi" w:hAnsiTheme="minorHAnsi"/>
          <w:b w:val="0"/>
        </w:rPr>
        <w:t xml:space="preserve"> </w:t>
      </w:r>
      <w:r>
        <w:rPr>
          <w:rFonts w:asciiTheme="minorHAnsi" w:hAnsiTheme="minorHAnsi"/>
          <w:b w:val="0"/>
        </w:rPr>
        <w:t>indicated by an arrow</w:t>
      </w:r>
      <w:r w:rsidRPr="00942330">
        <w:rPr>
          <w:rFonts w:asciiTheme="minorHAnsi" w:hAnsiTheme="minorHAnsi"/>
          <w:b w:val="0"/>
        </w:rPr>
        <w:t xml:space="preserve">).  On seven occasions on the </w:t>
      </w:r>
      <w:proofErr w:type="spellStart"/>
      <w:r w:rsidRPr="00942330">
        <w:rPr>
          <w:rFonts w:asciiTheme="minorHAnsi" w:hAnsiTheme="minorHAnsi"/>
          <w:b w:val="0"/>
        </w:rPr>
        <w:t>Wainuiomata</w:t>
      </w:r>
      <w:proofErr w:type="spellEnd"/>
      <w:r w:rsidRPr="00942330">
        <w:rPr>
          <w:rFonts w:asciiTheme="minorHAnsi" w:hAnsiTheme="minorHAnsi"/>
          <w:b w:val="0"/>
        </w:rPr>
        <w:t xml:space="preserve"> runs, two GWRC field staff (denoted GWRC1 and GWRC2) made independent conductivity measurements which are compared in Panel A (triangles versus </w:t>
      </w:r>
      <w:proofErr w:type="spellStart"/>
      <w:r w:rsidRPr="00942330">
        <w:rPr>
          <w:rFonts w:asciiTheme="minorHAnsi" w:hAnsiTheme="minorHAnsi"/>
          <w:b w:val="0"/>
        </w:rPr>
        <w:t>Xs</w:t>
      </w:r>
      <w:proofErr w:type="spellEnd"/>
      <w:r w:rsidRPr="00942330">
        <w:rPr>
          <w:rFonts w:asciiTheme="minorHAnsi" w:hAnsiTheme="minorHAnsi"/>
          <w:b w:val="0"/>
        </w:rPr>
        <w:t xml:space="preserve">).  </w:t>
      </w:r>
      <w:r w:rsidR="00412302" w:rsidRPr="007A58F8">
        <w:rPr>
          <w:b w:val="0"/>
        </w:rPr>
        <w:t xml:space="preserve">The regression fit (geometric average of Y-on-X and X-on-Y lines) is </w:t>
      </w:r>
      <w:r w:rsidR="00412302" w:rsidRPr="007A58F8">
        <w:rPr>
          <w:b w:val="0"/>
          <w:i/>
        </w:rPr>
        <w:t>not</w:t>
      </w:r>
      <w:r w:rsidR="00412302" w:rsidRPr="007A58F8">
        <w:rPr>
          <w:b w:val="0"/>
        </w:rPr>
        <w:t xml:space="preserve"> shown, being almost coincident with the 1:1 line.</w:t>
      </w:r>
    </w:p>
    <w:p w:rsidR="00D44164" w:rsidRDefault="00D44164" w:rsidP="00D44164">
      <w:pPr>
        <w:jc w:val="center"/>
      </w:pPr>
    </w:p>
    <w:p w:rsidR="00AC25EB" w:rsidRDefault="00AC25EB" w:rsidP="00D44164">
      <w:pPr>
        <w:jc w:val="center"/>
      </w:pPr>
      <w:r>
        <w:object w:dxaOrig="3865" w:dyaOrig="3730">
          <v:shape id="_x0000_i1028" type="#_x0000_t75" style="width:193.5pt;height:186.5pt" o:ole="">
            <v:imagedata r:id="rId10" o:title=""/>
          </v:shape>
          <o:OLEObject Type="Embed" ProgID="KGraph_Plot" ShapeID="_x0000_i1028" DrawAspect="Content" ObjectID="_1610362174" r:id="rId11"/>
        </w:object>
      </w:r>
    </w:p>
    <w:p w:rsidR="00412302" w:rsidRPr="00942330" w:rsidRDefault="00412302" w:rsidP="00412302">
      <w:pPr>
        <w:pStyle w:val="Caption"/>
        <w:keepNext w:val="0"/>
        <w:rPr>
          <w:rFonts w:asciiTheme="minorHAnsi" w:hAnsiTheme="minorHAnsi"/>
          <w:sz w:val="22"/>
          <w:szCs w:val="24"/>
        </w:rPr>
      </w:pPr>
      <w:r w:rsidRPr="00942330">
        <w:rPr>
          <w:rFonts w:asciiTheme="minorHAnsi" w:hAnsiTheme="minorHAnsi"/>
        </w:rPr>
        <w:t xml:space="preserve">Figure </w:t>
      </w:r>
      <w:r>
        <w:rPr>
          <w:rFonts w:asciiTheme="minorHAnsi" w:hAnsiTheme="minorHAnsi"/>
        </w:rPr>
        <w:t>S4</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laboratory pH measurements</w:t>
      </w:r>
      <w:r w:rsidRPr="00942330">
        <w:rPr>
          <w:rFonts w:asciiTheme="minorHAnsi" w:hAnsiTheme="minorHAnsi"/>
          <w:b w:val="0"/>
        </w:rPr>
        <w:t xml:space="preserve"> by </w:t>
      </w:r>
      <w:proofErr w:type="spellStart"/>
      <w:r w:rsidRPr="00942330">
        <w:rPr>
          <w:rFonts w:asciiTheme="minorHAnsi" w:hAnsiTheme="minorHAnsi"/>
          <w:b w:val="0"/>
        </w:rPr>
        <w:t>by</w:t>
      </w:r>
      <w:proofErr w:type="spellEnd"/>
      <w:r w:rsidRPr="00942330">
        <w:rPr>
          <w:rFonts w:asciiTheme="minorHAnsi" w:hAnsiTheme="minorHAnsi"/>
          <w:b w:val="0"/>
        </w:rPr>
        <w:t xml:space="preserve"> Hill Laboratories </w:t>
      </w:r>
      <w:r>
        <w:rPr>
          <w:rFonts w:asciiTheme="minorHAnsi" w:hAnsiTheme="minorHAnsi"/>
          <w:b w:val="0"/>
        </w:rPr>
        <w:t xml:space="preserve">(for GWRC) </w:t>
      </w:r>
      <w:r w:rsidRPr="00942330">
        <w:rPr>
          <w:rFonts w:asciiTheme="minorHAnsi" w:hAnsiTheme="minorHAnsi"/>
          <w:b w:val="0"/>
        </w:rPr>
        <w:t>versus NIWA laboratory measurements (</w:t>
      </w:r>
      <w:r w:rsidRPr="00942330">
        <w:rPr>
          <w:rFonts w:asciiTheme="minorHAnsi" w:hAnsiTheme="minorHAnsi"/>
          <w:b w:val="0"/>
          <w:i/>
        </w:rPr>
        <w:t>N</w:t>
      </w:r>
      <w:r w:rsidRPr="00942330">
        <w:rPr>
          <w:rFonts w:asciiTheme="minorHAnsi" w:hAnsiTheme="minorHAnsi"/>
          <w:b w:val="0"/>
        </w:rPr>
        <w:t xml:space="preserve"> = 25; laboratory pH was not measured on samples from the four sites on the initial </w:t>
      </w:r>
      <w:proofErr w:type="spellStart"/>
      <w:r w:rsidRPr="00942330">
        <w:rPr>
          <w:rFonts w:asciiTheme="minorHAnsi" w:hAnsiTheme="minorHAnsi"/>
          <w:b w:val="0"/>
        </w:rPr>
        <w:t>Wainuiomata</w:t>
      </w:r>
      <w:proofErr w:type="spellEnd"/>
      <w:r w:rsidRPr="00942330">
        <w:rPr>
          <w:rFonts w:asciiTheme="minorHAnsi" w:hAnsiTheme="minorHAnsi"/>
          <w:b w:val="0"/>
        </w:rPr>
        <w:t xml:space="preserve"> run).  The regression fit (dashed line; the geometric average of Y-on-X and X-on-Y lines) is shown as well as the 1:1 line.</w:t>
      </w:r>
    </w:p>
    <w:p w:rsidR="00412302" w:rsidRDefault="00412302" w:rsidP="00D44164">
      <w:pPr>
        <w:jc w:val="center"/>
      </w:pPr>
    </w:p>
    <w:p w:rsidR="00390EA0" w:rsidRDefault="00390EA0" w:rsidP="00D44164">
      <w:pPr>
        <w:jc w:val="center"/>
      </w:pPr>
      <w:r>
        <w:object w:dxaOrig="3865" w:dyaOrig="3710">
          <v:shape id="_x0000_i1029" type="#_x0000_t75" style="width:193.5pt;height:185.5pt" o:ole="">
            <v:imagedata r:id="rId12" o:title=""/>
          </v:shape>
          <o:OLEObject Type="Embed" ProgID="KGraph_Plot" ShapeID="_x0000_i1029" DrawAspect="Content" ObjectID="_1610362175" r:id="rId13"/>
        </w:object>
      </w:r>
    </w:p>
    <w:p w:rsidR="00A478F0" w:rsidRPr="00942330" w:rsidRDefault="00A478F0" w:rsidP="00A478F0">
      <w:pPr>
        <w:pStyle w:val="Caption"/>
        <w:keepNext w:val="0"/>
        <w:rPr>
          <w:rFonts w:asciiTheme="minorHAnsi" w:hAnsiTheme="minorHAnsi"/>
          <w:b w:val="0"/>
        </w:rPr>
      </w:pPr>
      <w:r w:rsidRPr="00942330">
        <w:rPr>
          <w:rFonts w:asciiTheme="minorHAnsi" w:hAnsiTheme="minorHAnsi"/>
        </w:rPr>
        <w:t xml:space="preserve">Figure </w:t>
      </w:r>
      <w:r>
        <w:rPr>
          <w:rFonts w:asciiTheme="minorHAnsi" w:hAnsiTheme="minorHAnsi"/>
        </w:rPr>
        <w:t>S5</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v</w:t>
      </w:r>
      <w:r w:rsidRPr="00942330">
        <w:rPr>
          <w:rFonts w:asciiTheme="minorHAnsi" w:hAnsiTheme="minorHAnsi"/>
          <w:b w:val="0"/>
        </w:rPr>
        <w:t xml:space="preserve">isual clarity measurements in the field </w:t>
      </w:r>
      <w:r>
        <w:rPr>
          <w:rFonts w:asciiTheme="minorHAnsi" w:hAnsiTheme="minorHAnsi"/>
          <w:b w:val="0"/>
        </w:rPr>
        <w:t>(black disc method) by</w:t>
      </w:r>
      <w:r w:rsidRPr="00942330">
        <w:rPr>
          <w:rFonts w:asciiTheme="minorHAnsi" w:hAnsiTheme="minorHAnsi"/>
          <w:b w:val="0"/>
        </w:rPr>
        <w:t xml:space="preserve"> GWRC versus NIWA (</w:t>
      </w:r>
      <w:r w:rsidRPr="00942330">
        <w:rPr>
          <w:rFonts w:asciiTheme="minorHAnsi" w:hAnsiTheme="minorHAnsi"/>
          <w:b w:val="0"/>
          <w:i/>
        </w:rPr>
        <w:t>N</w:t>
      </w:r>
      <w:r w:rsidRPr="00942330">
        <w:rPr>
          <w:rFonts w:asciiTheme="minorHAnsi" w:hAnsiTheme="minorHAnsi"/>
          <w:b w:val="0"/>
        </w:rPr>
        <w:t xml:space="preserve"> = 28; a low-biased observation using a worn plastic viewer on one occasion is not shown).  On seven occasions on the </w:t>
      </w:r>
      <w:proofErr w:type="spellStart"/>
      <w:r w:rsidRPr="00942330">
        <w:rPr>
          <w:rFonts w:asciiTheme="minorHAnsi" w:hAnsiTheme="minorHAnsi"/>
          <w:b w:val="0"/>
        </w:rPr>
        <w:t>Wainuiomata</w:t>
      </w:r>
      <w:proofErr w:type="spellEnd"/>
      <w:r w:rsidRPr="00942330">
        <w:rPr>
          <w:rFonts w:asciiTheme="minorHAnsi" w:hAnsiTheme="minorHAnsi"/>
          <w:b w:val="0"/>
        </w:rPr>
        <w:t xml:space="preserve"> runs, two GWRC field staff (denoted GWRC1 and GWRC2) took independent visual clarity observations which are compared in Panel A (triangles versus </w:t>
      </w:r>
      <w:proofErr w:type="spellStart"/>
      <w:r w:rsidRPr="00942330">
        <w:rPr>
          <w:rFonts w:asciiTheme="minorHAnsi" w:hAnsiTheme="minorHAnsi"/>
          <w:b w:val="0"/>
        </w:rPr>
        <w:t>Xs</w:t>
      </w:r>
      <w:proofErr w:type="spellEnd"/>
      <w:r w:rsidRPr="00942330">
        <w:rPr>
          <w:rFonts w:asciiTheme="minorHAnsi" w:hAnsiTheme="minorHAnsi"/>
          <w:b w:val="0"/>
        </w:rPr>
        <w:t>).  The regression fit (geometric average of Y-on-X and X-on-Y lines, dashed line) is shown as well as the 1:1 line.</w:t>
      </w:r>
    </w:p>
    <w:p w:rsidR="00A478F0" w:rsidRDefault="00A478F0" w:rsidP="00D44164">
      <w:pPr>
        <w:jc w:val="center"/>
      </w:pPr>
    </w:p>
    <w:p w:rsidR="00390EA0" w:rsidRDefault="00390EA0" w:rsidP="00D44164">
      <w:pPr>
        <w:jc w:val="center"/>
      </w:pPr>
      <w:r>
        <w:object w:dxaOrig="3865" w:dyaOrig="3710">
          <v:shape id="_x0000_i1030" type="#_x0000_t75" style="width:193.5pt;height:185.5pt" o:ole="">
            <v:imagedata r:id="rId14" o:title=""/>
          </v:shape>
          <o:OLEObject Type="Embed" ProgID="KGraph_Plot" ShapeID="_x0000_i1030" DrawAspect="Content" ObjectID="_1610362176" r:id="rId15"/>
        </w:object>
      </w:r>
    </w:p>
    <w:p w:rsidR="00AC19F8" w:rsidRPr="00942330" w:rsidRDefault="00AC19F8" w:rsidP="00AC19F8">
      <w:pPr>
        <w:pStyle w:val="Caption"/>
        <w:keepNext w:val="0"/>
        <w:rPr>
          <w:rFonts w:asciiTheme="minorHAnsi" w:hAnsiTheme="minorHAnsi"/>
          <w:b w:val="0"/>
        </w:rPr>
      </w:pPr>
      <w:r>
        <w:rPr>
          <w:rFonts w:asciiTheme="minorHAnsi" w:hAnsiTheme="minorHAnsi"/>
        </w:rPr>
        <w:t>Figure S6</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t</w:t>
      </w:r>
      <w:r w:rsidRPr="00942330">
        <w:rPr>
          <w:rFonts w:asciiTheme="minorHAnsi" w:hAnsiTheme="minorHAnsi"/>
          <w:b w:val="0"/>
        </w:rPr>
        <w:t>urbidity measurements by Hill Laboratories (for GWRC) versus laboratory measurements by NIWA (</w:t>
      </w:r>
      <w:r w:rsidRPr="00942330">
        <w:rPr>
          <w:rFonts w:asciiTheme="minorHAnsi" w:hAnsiTheme="minorHAnsi"/>
          <w:b w:val="0"/>
          <w:i/>
        </w:rPr>
        <w:t>N</w:t>
      </w:r>
      <w:r w:rsidRPr="00942330">
        <w:rPr>
          <w:rFonts w:asciiTheme="minorHAnsi" w:hAnsiTheme="minorHAnsi"/>
          <w:b w:val="0"/>
        </w:rPr>
        <w:t xml:space="preserve"> = 17; only one data point, from 13 visits, was available for </w:t>
      </w:r>
      <w:proofErr w:type="spellStart"/>
      <w:r w:rsidRPr="00942330">
        <w:rPr>
          <w:rFonts w:asciiTheme="minorHAnsi" w:hAnsiTheme="minorHAnsi"/>
          <w:b w:val="0"/>
        </w:rPr>
        <w:t>Kaitoke</w:t>
      </w:r>
      <w:proofErr w:type="spellEnd"/>
      <w:r w:rsidRPr="00942330">
        <w:rPr>
          <w:rFonts w:asciiTheme="minorHAnsi" w:hAnsiTheme="minorHAnsi"/>
          <w:b w:val="0"/>
        </w:rPr>
        <w:t>).   The regression fit (geometric average of Y-on-X and X-on-Y lines, dashed line) is shown as well as the 1:1 line.</w:t>
      </w:r>
    </w:p>
    <w:p w:rsidR="00AC19F8" w:rsidRDefault="00AC19F8" w:rsidP="00D44164">
      <w:pPr>
        <w:jc w:val="center"/>
      </w:pPr>
    </w:p>
    <w:p w:rsidR="00390EA0" w:rsidRDefault="00390EA0" w:rsidP="00D44164">
      <w:pPr>
        <w:jc w:val="center"/>
      </w:pPr>
      <w:r>
        <w:object w:dxaOrig="3950" w:dyaOrig="3710">
          <v:shape id="_x0000_i1031" type="#_x0000_t75" style="width:197.5pt;height:185.5pt" o:ole="">
            <v:imagedata r:id="rId16" o:title=""/>
          </v:shape>
          <o:OLEObject Type="Embed" ProgID="KGraph_Plot" ShapeID="_x0000_i1031" DrawAspect="Content" ObjectID="_1610362177" r:id="rId17"/>
        </w:object>
      </w:r>
    </w:p>
    <w:p w:rsidR="00176B75" w:rsidRPr="00942330" w:rsidRDefault="00176B75" w:rsidP="00176B75">
      <w:pPr>
        <w:pStyle w:val="Caption"/>
        <w:keepNext w:val="0"/>
        <w:rPr>
          <w:rFonts w:asciiTheme="minorHAnsi" w:hAnsiTheme="minorHAnsi"/>
          <w:b w:val="0"/>
        </w:rPr>
      </w:pPr>
      <w:r w:rsidRPr="00942330">
        <w:rPr>
          <w:rFonts w:asciiTheme="minorHAnsi" w:hAnsiTheme="minorHAnsi"/>
        </w:rPr>
        <w:t xml:space="preserve">Figure </w:t>
      </w:r>
      <w:r>
        <w:rPr>
          <w:rFonts w:asciiTheme="minorHAnsi" w:hAnsiTheme="minorHAnsi"/>
        </w:rPr>
        <w:t>S7</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ammoniacal nitrogen</w:t>
      </w:r>
      <w:r w:rsidR="004035B2">
        <w:rPr>
          <w:rFonts w:asciiTheme="minorHAnsi" w:hAnsiTheme="minorHAnsi"/>
          <w:b w:val="0"/>
        </w:rPr>
        <w:t xml:space="preserve"> measurements</w:t>
      </w:r>
      <w:r w:rsidRPr="00942330">
        <w:rPr>
          <w:rFonts w:asciiTheme="minorHAnsi" w:hAnsiTheme="minorHAnsi"/>
          <w:b w:val="0"/>
        </w:rPr>
        <w:t xml:space="preserve"> by NIWA and Hill Laboratories (for GWRC).  (</w:t>
      </w:r>
      <w:r w:rsidRPr="00942330">
        <w:rPr>
          <w:rFonts w:asciiTheme="minorHAnsi" w:hAnsiTheme="minorHAnsi"/>
          <w:b w:val="0"/>
          <w:i/>
        </w:rPr>
        <w:t>N</w:t>
      </w:r>
      <w:r>
        <w:rPr>
          <w:rFonts w:asciiTheme="minorHAnsi" w:hAnsiTheme="minorHAnsi"/>
          <w:b w:val="0"/>
        </w:rPr>
        <w:t xml:space="preserve"> = 17: 11 measurements by Hill Laboratories, all but one at </w:t>
      </w:r>
      <w:proofErr w:type="spellStart"/>
      <w:r>
        <w:rPr>
          <w:rFonts w:asciiTheme="minorHAnsi" w:hAnsiTheme="minorHAnsi"/>
          <w:b w:val="0"/>
        </w:rPr>
        <w:t>Kaitoke</w:t>
      </w:r>
      <w:proofErr w:type="spellEnd"/>
      <w:r>
        <w:rPr>
          <w:rFonts w:asciiTheme="minorHAnsi" w:hAnsiTheme="minorHAnsi"/>
          <w:b w:val="0"/>
        </w:rPr>
        <w:t>, were less than the method detection limit of 5 mg/m</w:t>
      </w:r>
      <w:r w:rsidRPr="00176B75">
        <w:rPr>
          <w:rFonts w:asciiTheme="minorHAnsi" w:hAnsiTheme="minorHAnsi"/>
          <w:b w:val="0"/>
          <w:vertAlign w:val="superscript"/>
        </w:rPr>
        <w:t>3</w:t>
      </w:r>
      <w:r w:rsidRPr="00942330">
        <w:rPr>
          <w:rFonts w:asciiTheme="minorHAnsi" w:hAnsiTheme="minorHAnsi"/>
          <w:b w:val="0"/>
        </w:rPr>
        <w:t>).  The regression fit (geometric average of Y-on-X and X-on-Y lines, dashed line) is shown as well as the 1:1 line.</w:t>
      </w:r>
    </w:p>
    <w:p w:rsidR="00390EA0" w:rsidRDefault="00390EA0" w:rsidP="00D44164">
      <w:pPr>
        <w:jc w:val="center"/>
      </w:pPr>
    </w:p>
    <w:p w:rsidR="00390EA0" w:rsidRDefault="00390EA0" w:rsidP="00D44164">
      <w:pPr>
        <w:jc w:val="center"/>
      </w:pPr>
      <w:r>
        <w:object w:dxaOrig="4030" w:dyaOrig="3710">
          <v:shape id="_x0000_i1032" type="#_x0000_t75" style="width:201.5pt;height:185.5pt" o:ole="">
            <v:imagedata r:id="rId18" o:title=""/>
          </v:shape>
          <o:OLEObject Type="Embed" ProgID="KGraph_Plot" ShapeID="_x0000_i1032" DrawAspect="Content" ObjectID="_1610362178" r:id="rId19"/>
        </w:object>
      </w:r>
    </w:p>
    <w:p w:rsidR="00B135E2" w:rsidRPr="00942330" w:rsidRDefault="00B135E2" w:rsidP="00B135E2">
      <w:pPr>
        <w:pStyle w:val="Caption"/>
        <w:keepNext w:val="0"/>
        <w:rPr>
          <w:rFonts w:asciiTheme="minorHAnsi" w:hAnsiTheme="minorHAnsi"/>
          <w:b w:val="0"/>
        </w:rPr>
      </w:pPr>
      <w:r w:rsidRPr="00942330">
        <w:rPr>
          <w:rFonts w:asciiTheme="minorHAnsi" w:hAnsiTheme="minorHAnsi"/>
        </w:rPr>
        <w:t xml:space="preserve">Figure </w:t>
      </w:r>
      <w:r>
        <w:rPr>
          <w:rFonts w:asciiTheme="minorHAnsi" w:hAnsiTheme="minorHAnsi"/>
        </w:rPr>
        <w:t>S8</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nitrate plus nitrite nitrogen</w:t>
      </w:r>
      <w:r w:rsidRPr="00942330">
        <w:rPr>
          <w:rFonts w:asciiTheme="minorHAnsi" w:hAnsiTheme="minorHAnsi"/>
          <w:b w:val="0"/>
        </w:rPr>
        <w:t xml:space="preserve"> measure</w:t>
      </w:r>
      <w:r w:rsidR="004035B2">
        <w:rPr>
          <w:rFonts w:asciiTheme="minorHAnsi" w:hAnsiTheme="minorHAnsi"/>
          <w:b w:val="0"/>
        </w:rPr>
        <w:t>ments</w:t>
      </w:r>
      <w:r w:rsidRPr="00942330">
        <w:rPr>
          <w:rFonts w:asciiTheme="minorHAnsi" w:hAnsiTheme="minorHAnsi"/>
          <w:b w:val="0"/>
        </w:rPr>
        <w:t xml:space="preserve"> by NIWA and Hill Laboratories (for GWRC).  (</w:t>
      </w:r>
      <w:r w:rsidRPr="00942330">
        <w:rPr>
          <w:rFonts w:asciiTheme="minorHAnsi" w:hAnsiTheme="minorHAnsi"/>
          <w:b w:val="0"/>
          <w:i/>
        </w:rPr>
        <w:t>N</w:t>
      </w:r>
      <w:r>
        <w:rPr>
          <w:rFonts w:asciiTheme="minorHAnsi" w:hAnsiTheme="minorHAnsi"/>
          <w:b w:val="0"/>
        </w:rPr>
        <w:t xml:space="preserve"> = 28</w:t>
      </w:r>
      <w:r w:rsidRPr="00942330">
        <w:rPr>
          <w:rFonts w:asciiTheme="minorHAnsi" w:hAnsiTheme="minorHAnsi"/>
          <w:b w:val="0"/>
        </w:rPr>
        <w:t xml:space="preserve">).  The regression fit (geometric average of Y-on-X and X-on-Y lines, dashed line) is shown </w:t>
      </w:r>
      <w:r>
        <w:rPr>
          <w:rFonts w:asciiTheme="minorHAnsi" w:hAnsiTheme="minorHAnsi"/>
          <w:b w:val="0"/>
        </w:rPr>
        <w:t>despite being almost coincident with</w:t>
      </w:r>
      <w:r w:rsidRPr="00942330">
        <w:rPr>
          <w:rFonts w:asciiTheme="minorHAnsi" w:hAnsiTheme="minorHAnsi"/>
          <w:b w:val="0"/>
        </w:rPr>
        <w:t xml:space="preserve"> the 1:1 line.</w:t>
      </w:r>
    </w:p>
    <w:p w:rsidR="00390EA0" w:rsidRDefault="00390EA0" w:rsidP="00D44164">
      <w:pPr>
        <w:jc w:val="center"/>
      </w:pPr>
    </w:p>
    <w:p w:rsidR="00390EA0" w:rsidRDefault="00390EA0" w:rsidP="00D44164">
      <w:pPr>
        <w:jc w:val="center"/>
      </w:pPr>
      <w:r>
        <w:object w:dxaOrig="3950" w:dyaOrig="3710">
          <v:shape id="_x0000_i1033" type="#_x0000_t75" style="width:197.5pt;height:185.5pt" o:ole="">
            <v:imagedata r:id="rId20" o:title=""/>
          </v:shape>
          <o:OLEObject Type="Embed" ProgID="KGraph_Plot" ShapeID="_x0000_i1033" DrawAspect="Content" ObjectID="_1610362179" r:id="rId21"/>
        </w:object>
      </w:r>
    </w:p>
    <w:p w:rsidR="001C4F1C" w:rsidRPr="00942330" w:rsidRDefault="001C4F1C" w:rsidP="001C4F1C">
      <w:pPr>
        <w:pStyle w:val="Caption"/>
        <w:keepNext w:val="0"/>
        <w:rPr>
          <w:rFonts w:asciiTheme="minorHAnsi" w:hAnsiTheme="minorHAnsi"/>
          <w:b w:val="0"/>
        </w:rPr>
      </w:pPr>
      <w:r w:rsidRPr="00942330">
        <w:rPr>
          <w:rFonts w:asciiTheme="minorHAnsi" w:hAnsiTheme="minorHAnsi"/>
        </w:rPr>
        <w:t xml:space="preserve">Figure </w:t>
      </w:r>
      <w:r>
        <w:rPr>
          <w:rFonts w:asciiTheme="minorHAnsi" w:hAnsiTheme="minorHAnsi"/>
        </w:rPr>
        <w:t>S9</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total nitrogen</w:t>
      </w:r>
      <w:r w:rsidR="004035B2">
        <w:rPr>
          <w:rFonts w:asciiTheme="minorHAnsi" w:hAnsiTheme="minorHAnsi"/>
          <w:b w:val="0"/>
        </w:rPr>
        <w:t xml:space="preserve"> measurements</w:t>
      </w:r>
      <w:r w:rsidRPr="00942330">
        <w:rPr>
          <w:rFonts w:asciiTheme="minorHAnsi" w:hAnsiTheme="minorHAnsi"/>
          <w:b w:val="0"/>
        </w:rPr>
        <w:t xml:space="preserve"> by NIWA and Hill Laboratories (for GWRC).  (</w:t>
      </w:r>
      <w:r w:rsidRPr="00942330">
        <w:rPr>
          <w:rFonts w:asciiTheme="minorHAnsi" w:hAnsiTheme="minorHAnsi"/>
          <w:b w:val="0"/>
          <w:i/>
        </w:rPr>
        <w:t>N</w:t>
      </w:r>
      <w:r>
        <w:rPr>
          <w:rFonts w:asciiTheme="minorHAnsi" w:hAnsiTheme="minorHAnsi"/>
          <w:b w:val="0"/>
        </w:rPr>
        <w:t xml:space="preserve"> = 29</w:t>
      </w:r>
      <w:r w:rsidRPr="00942330">
        <w:rPr>
          <w:rFonts w:asciiTheme="minorHAnsi" w:hAnsiTheme="minorHAnsi"/>
          <w:b w:val="0"/>
        </w:rPr>
        <w:t>).  The regression fit (geometric average of Y-on-X and X-on-Y lines, dashed line) is shown as well as the 1:1 line.</w:t>
      </w:r>
    </w:p>
    <w:p w:rsidR="00F64318" w:rsidRDefault="00F64318" w:rsidP="00D44164">
      <w:pPr>
        <w:jc w:val="center"/>
      </w:pPr>
    </w:p>
    <w:p w:rsidR="00F64318" w:rsidRDefault="00F64318" w:rsidP="00D44164">
      <w:pPr>
        <w:jc w:val="center"/>
      </w:pPr>
      <w:r>
        <w:object w:dxaOrig="3950" w:dyaOrig="3710">
          <v:shape id="_x0000_i1034" type="#_x0000_t75" style="width:197.5pt;height:185.5pt" o:ole="">
            <v:imagedata r:id="rId22" o:title=""/>
          </v:shape>
          <o:OLEObject Type="Embed" ProgID="KGraph_Plot" ShapeID="_x0000_i1034" DrawAspect="Content" ObjectID="_1610362180" r:id="rId23"/>
        </w:object>
      </w:r>
    </w:p>
    <w:p w:rsidR="004035B2" w:rsidRDefault="004035B2" w:rsidP="004035B2">
      <w:pPr>
        <w:pStyle w:val="Caption"/>
        <w:keepNext w:val="0"/>
        <w:rPr>
          <w:rFonts w:asciiTheme="minorHAnsi" w:hAnsiTheme="minorHAnsi"/>
          <w:b w:val="0"/>
        </w:rPr>
      </w:pPr>
      <w:r w:rsidRPr="00942330">
        <w:rPr>
          <w:rFonts w:asciiTheme="minorHAnsi" w:hAnsiTheme="minorHAnsi"/>
        </w:rPr>
        <w:t xml:space="preserve">Figure </w:t>
      </w:r>
      <w:r>
        <w:rPr>
          <w:rFonts w:asciiTheme="minorHAnsi" w:hAnsiTheme="minorHAnsi"/>
        </w:rPr>
        <w:t>S10</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d</w:t>
      </w:r>
      <w:r w:rsidRPr="00942330">
        <w:rPr>
          <w:rFonts w:asciiTheme="minorHAnsi" w:hAnsiTheme="minorHAnsi"/>
          <w:b w:val="0"/>
        </w:rPr>
        <w:t xml:space="preserve">issolved reactive phosphorus measurements by NIWA and </w:t>
      </w:r>
      <w:r>
        <w:rPr>
          <w:rFonts w:asciiTheme="minorHAnsi" w:hAnsiTheme="minorHAnsi"/>
          <w:b w:val="0"/>
        </w:rPr>
        <w:t xml:space="preserve">Hill Laboratories (for GWRC).  </w:t>
      </w:r>
      <w:r w:rsidRPr="00942330">
        <w:rPr>
          <w:rFonts w:asciiTheme="minorHAnsi" w:hAnsiTheme="minorHAnsi"/>
          <w:b w:val="0"/>
        </w:rPr>
        <w:t xml:space="preserve"> (</w:t>
      </w:r>
      <w:r w:rsidRPr="00942330">
        <w:rPr>
          <w:rFonts w:asciiTheme="minorHAnsi" w:hAnsiTheme="minorHAnsi"/>
          <w:b w:val="0"/>
          <w:i/>
        </w:rPr>
        <w:t>N</w:t>
      </w:r>
      <w:r w:rsidRPr="00942330">
        <w:rPr>
          <w:rFonts w:asciiTheme="minorHAnsi" w:hAnsiTheme="minorHAnsi"/>
          <w:b w:val="0"/>
        </w:rPr>
        <w:t xml:space="preserve"> = 27).   The regression fit (geometric average of Y-on-X and X-on-Y lines, dashed line) is shown as well as the 1:1 line.</w:t>
      </w:r>
    </w:p>
    <w:p w:rsidR="004035B2" w:rsidRPr="004035B2" w:rsidRDefault="004035B2" w:rsidP="004035B2">
      <w:pPr>
        <w:pStyle w:val="BodyText"/>
        <w:rPr>
          <w:lang w:eastAsia="en-GB"/>
        </w:rPr>
      </w:pPr>
    </w:p>
    <w:p w:rsidR="00F64318" w:rsidRDefault="00F64318" w:rsidP="00D44164">
      <w:pPr>
        <w:jc w:val="center"/>
      </w:pPr>
    </w:p>
    <w:p w:rsidR="00F64318" w:rsidRDefault="00F64318" w:rsidP="00D44164">
      <w:pPr>
        <w:jc w:val="center"/>
      </w:pPr>
      <w:r>
        <w:object w:dxaOrig="3950" w:dyaOrig="3710">
          <v:shape id="_x0000_i1035" type="#_x0000_t75" style="width:197.5pt;height:185.5pt" o:ole="">
            <v:imagedata r:id="rId24" o:title=""/>
          </v:shape>
          <o:OLEObject Type="Embed" ProgID="KGraph_Plot" ShapeID="_x0000_i1035" DrawAspect="Content" ObjectID="_1610362181" r:id="rId25"/>
        </w:object>
      </w:r>
    </w:p>
    <w:p w:rsidR="004035B2" w:rsidRPr="00942330" w:rsidRDefault="004035B2" w:rsidP="004035B2">
      <w:pPr>
        <w:pStyle w:val="Caption"/>
        <w:keepNext w:val="0"/>
        <w:rPr>
          <w:rFonts w:asciiTheme="minorHAnsi" w:hAnsiTheme="minorHAnsi"/>
          <w:b w:val="0"/>
        </w:rPr>
      </w:pPr>
      <w:r w:rsidRPr="00942330">
        <w:rPr>
          <w:rFonts w:asciiTheme="minorHAnsi" w:hAnsiTheme="minorHAnsi"/>
        </w:rPr>
        <w:t xml:space="preserve">Figure </w:t>
      </w:r>
      <w:r>
        <w:rPr>
          <w:rFonts w:asciiTheme="minorHAnsi" w:hAnsiTheme="minorHAnsi"/>
        </w:rPr>
        <w:t>S11</w:t>
      </w:r>
      <w:r w:rsidRPr="00942330">
        <w:rPr>
          <w:rFonts w:asciiTheme="minorHAnsi" w:hAnsiTheme="minorHAnsi"/>
        </w:rPr>
        <w:t>.</w:t>
      </w:r>
      <w:r w:rsidRPr="00942330">
        <w:rPr>
          <w:rFonts w:asciiTheme="minorHAnsi" w:hAnsiTheme="minorHAnsi"/>
          <w:b w:val="0"/>
        </w:rPr>
        <w:t xml:space="preserve">  Comparison of </w:t>
      </w:r>
      <w:r>
        <w:rPr>
          <w:rFonts w:asciiTheme="minorHAnsi" w:hAnsiTheme="minorHAnsi"/>
          <w:b w:val="0"/>
        </w:rPr>
        <w:t>total phosphorus measurements</w:t>
      </w:r>
      <w:r w:rsidRPr="00942330">
        <w:rPr>
          <w:rFonts w:asciiTheme="minorHAnsi" w:hAnsiTheme="minorHAnsi"/>
          <w:b w:val="0"/>
        </w:rPr>
        <w:t xml:space="preserve"> by NIWA and Hill Laboratories (for GWRC).  (</w:t>
      </w:r>
      <w:r w:rsidRPr="00942330">
        <w:rPr>
          <w:rFonts w:asciiTheme="minorHAnsi" w:hAnsiTheme="minorHAnsi"/>
          <w:b w:val="0"/>
          <w:i/>
        </w:rPr>
        <w:t>N</w:t>
      </w:r>
      <w:r>
        <w:rPr>
          <w:rFonts w:asciiTheme="minorHAnsi" w:hAnsiTheme="minorHAnsi"/>
          <w:b w:val="0"/>
        </w:rPr>
        <w:t xml:space="preserve"> = 29</w:t>
      </w:r>
      <w:r w:rsidRPr="00942330">
        <w:rPr>
          <w:rFonts w:asciiTheme="minorHAnsi" w:hAnsiTheme="minorHAnsi"/>
          <w:b w:val="0"/>
        </w:rPr>
        <w:t>).   The regression fit (geometric average of Y-on-X and X-on-Y lines, dashed line) is shown as well as the 1:1 line.</w:t>
      </w:r>
    </w:p>
    <w:p w:rsidR="00F64318" w:rsidRDefault="00F64318" w:rsidP="00D44164">
      <w:pPr>
        <w:jc w:val="center"/>
      </w:pPr>
    </w:p>
    <w:p w:rsidR="00F64318" w:rsidRDefault="00F64318" w:rsidP="00D44164">
      <w:pPr>
        <w:jc w:val="center"/>
      </w:pPr>
      <w:r>
        <w:object w:dxaOrig="3865" w:dyaOrig="3710">
          <v:shape id="_x0000_i1036" type="#_x0000_t75" style="width:193.5pt;height:185.5pt" o:ole="">
            <v:imagedata r:id="rId26" o:title=""/>
          </v:shape>
          <o:OLEObject Type="Embed" ProgID="KGraph_Plot" ShapeID="_x0000_i1036" DrawAspect="Content" ObjectID="_1610362182" r:id="rId27"/>
        </w:object>
      </w:r>
    </w:p>
    <w:p w:rsidR="004035B2" w:rsidRPr="00942330" w:rsidRDefault="004035B2" w:rsidP="004035B2">
      <w:pPr>
        <w:pStyle w:val="Caption"/>
        <w:keepNext w:val="0"/>
        <w:rPr>
          <w:rFonts w:asciiTheme="minorHAnsi" w:hAnsiTheme="minorHAnsi"/>
          <w:b w:val="0"/>
          <w:szCs w:val="24"/>
        </w:rPr>
      </w:pPr>
      <w:r>
        <w:rPr>
          <w:rFonts w:asciiTheme="minorHAnsi" w:hAnsiTheme="minorHAnsi"/>
        </w:rPr>
        <w:t>Figure S12</w:t>
      </w:r>
      <w:r w:rsidRPr="00942330">
        <w:rPr>
          <w:rFonts w:asciiTheme="minorHAnsi" w:hAnsiTheme="minorHAnsi"/>
        </w:rPr>
        <w:t>.</w:t>
      </w:r>
      <w:r w:rsidRPr="00942330">
        <w:rPr>
          <w:rFonts w:asciiTheme="minorHAnsi" w:hAnsiTheme="minorHAnsi"/>
          <w:b w:val="0"/>
        </w:rPr>
        <w:t xml:space="preserve">  Comparison of faecal pollution as indicated by </w:t>
      </w:r>
      <w:r w:rsidRPr="00942330">
        <w:rPr>
          <w:rFonts w:asciiTheme="minorHAnsi" w:hAnsiTheme="minorHAnsi"/>
          <w:b w:val="0"/>
          <w:i/>
        </w:rPr>
        <w:t>E. coli</w:t>
      </w:r>
      <w:r w:rsidRPr="00942330">
        <w:rPr>
          <w:rFonts w:asciiTheme="minorHAnsi" w:hAnsiTheme="minorHAnsi"/>
          <w:b w:val="0"/>
        </w:rPr>
        <w:t xml:space="preserve"> measurements by Hill Laboratories (for GWRC) and NIWA.  (</w:t>
      </w:r>
      <w:r w:rsidRPr="00942330">
        <w:rPr>
          <w:rFonts w:asciiTheme="minorHAnsi" w:hAnsiTheme="minorHAnsi"/>
          <w:b w:val="0"/>
          <w:i/>
        </w:rPr>
        <w:t>N</w:t>
      </w:r>
      <w:r w:rsidRPr="00942330">
        <w:rPr>
          <w:rFonts w:asciiTheme="minorHAnsi" w:hAnsiTheme="minorHAnsi"/>
          <w:b w:val="0"/>
        </w:rPr>
        <w:t xml:space="preserve"> = 25; three measurements were reported as &lt; 1 </w:t>
      </w:r>
      <w:proofErr w:type="spellStart"/>
      <w:r w:rsidRPr="00942330">
        <w:rPr>
          <w:rFonts w:asciiTheme="minorHAnsi" w:hAnsiTheme="minorHAnsi"/>
          <w:b w:val="0"/>
        </w:rPr>
        <w:t>cfu</w:t>
      </w:r>
      <w:proofErr w:type="spellEnd"/>
      <w:r w:rsidRPr="00942330">
        <w:rPr>
          <w:rFonts w:asciiTheme="minorHAnsi" w:hAnsiTheme="minorHAnsi"/>
          <w:b w:val="0"/>
        </w:rPr>
        <w:t>/100 mL and one result was missing). Hill Laboratories used membrane filtration and NIWA used the Colilert multi-well method.  The regression fit (geometric average of Y-on-X and X-on-Y lines, dashed line) is shown as well as the 1:1 line.  An apparent outlier point (discussed in the text) is indicated</w:t>
      </w:r>
      <w:r>
        <w:rPr>
          <w:rFonts w:asciiTheme="minorHAnsi" w:hAnsiTheme="minorHAnsi"/>
          <w:b w:val="0"/>
        </w:rPr>
        <w:t xml:space="preserve"> by an arrow</w:t>
      </w:r>
      <w:r w:rsidRPr="00942330">
        <w:rPr>
          <w:rFonts w:asciiTheme="minorHAnsi" w:hAnsiTheme="minorHAnsi"/>
          <w:b w:val="0"/>
        </w:rPr>
        <w:t>.</w:t>
      </w:r>
    </w:p>
    <w:p w:rsidR="00D44164" w:rsidRDefault="00D44164" w:rsidP="00D44164">
      <w:pPr>
        <w:jc w:val="center"/>
      </w:pPr>
    </w:p>
    <w:sectPr w:rsidR="00D44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53"/>
    <w:rsid w:val="00003318"/>
    <w:rsid w:val="000751FD"/>
    <w:rsid w:val="00176B75"/>
    <w:rsid w:val="001C4F1C"/>
    <w:rsid w:val="0036277B"/>
    <w:rsid w:val="00390EA0"/>
    <w:rsid w:val="004035B2"/>
    <w:rsid w:val="00412302"/>
    <w:rsid w:val="005A21A2"/>
    <w:rsid w:val="007A58F8"/>
    <w:rsid w:val="00A478F0"/>
    <w:rsid w:val="00AC19F8"/>
    <w:rsid w:val="00AC25EB"/>
    <w:rsid w:val="00B135E2"/>
    <w:rsid w:val="00B93718"/>
    <w:rsid w:val="00BE7741"/>
    <w:rsid w:val="00BF6977"/>
    <w:rsid w:val="00CA239F"/>
    <w:rsid w:val="00D44164"/>
    <w:rsid w:val="00D82420"/>
    <w:rsid w:val="00DC4C18"/>
    <w:rsid w:val="00E16E6B"/>
    <w:rsid w:val="00E22F53"/>
    <w:rsid w:val="00EC4D94"/>
    <w:rsid w:val="00F643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2A7FA4C2-9D3E-48D5-A1F7-23A38C61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Text"/>
    <w:semiHidden/>
    <w:rsid w:val="007A58F8"/>
    <w:pPr>
      <w:keepNext/>
      <w:tabs>
        <w:tab w:val="left" w:pos="1134"/>
      </w:tabs>
      <w:spacing w:before="240" w:after="60" w:line="240" w:lineRule="auto"/>
    </w:pPr>
    <w:rPr>
      <w:rFonts w:ascii="Calibri" w:eastAsia="Times New Roman" w:hAnsi="Calibri" w:cs="Times New Roman"/>
      <w:b/>
      <w:bCs/>
      <w:sz w:val="20"/>
      <w:szCs w:val="20"/>
      <w:lang w:eastAsia="en-GB"/>
    </w:rPr>
  </w:style>
  <w:style w:type="paragraph" w:styleId="BodyText">
    <w:name w:val="Body Text"/>
    <w:basedOn w:val="Normal"/>
    <w:link w:val="BodyTextChar"/>
    <w:uiPriority w:val="99"/>
    <w:semiHidden/>
    <w:unhideWhenUsed/>
    <w:rsid w:val="007A58F8"/>
    <w:pPr>
      <w:spacing w:after="120"/>
    </w:pPr>
  </w:style>
  <w:style w:type="character" w:customStyle="1" w:styleId="BodyTextChar">
    <w:name w:val="Body Text Char"/>
    <w:basedOn w:val="DefaultParagraphFont"/>
    <w:link w:val="BodyText"/>
    <w:uiPriority w:val="99"/>
    <w:semiHidden/>
    <w:rsid w:val="007A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Davies-Colley</dc:creator>
  <cp:keywords/>
  <dc:description/>
  <cp:lastModifiedBy>Rob Davies-Colley</cp:lastModifiedBy>
  <cp:revision>2</cp:revision>
  <dcterms:created xsi:type="dcterms:W3CDTF">2019-01-30T01:03:00Z</dcterms:created>
  <dcterms:modified xsi:type="dcterms:W3CDTF">2019-01-30T01:03:00Z</dcterms:modified>
</cp:coreProperties>
</file>