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9B24A" w14:textId="77777777" w:rsidR="00D0626B" w:rsidRPr="003124EE" w:rsidRDefault="00D0626B" w:rsidP="00D0626B">
      <w:pPr>
        <w:pStyle w:val="Heading1"/>
        <w:rPr>
          <w:rFonts w:eastAsia="Calibri"/>
        </w:rPr>
      </w:pPr>
      <w:r w:rsidRPr="003124EE">
        <w:rPr>
          <w:rFonts w:eastAsia="Calibri"/>
        </w:rPr>
        <w:t>Appendix</w:t>
      </w:r>
      <w:bookmarkStart w:id="0" w:name="_GoBack"/>
      <w:bookmarkEnd w:id="0"/>
    </w:p>
    <w:p w14:paraId="1D9987C4" w14:textId="77777777" w:rsidR="00D0626B" w:rsidRPr="003124EE" w:rsidRDefault="00D0626B" w:rsidP="00D0626B">
      <w:pPr>
        <w:pStyle w:val="Heading2"/>
        <w:rPr>
          <w:rFonts w:eastAsia="Calibri"/>
        </w:rPr>
      </w:pPr>
      <w:r w:rsidRPr="003124EE">
        <w:rPr>
          <w:rFonts w:eastAsia="Calibri"/>
        </w:rPr>
        <w:t>Additional analyses</w:t>
      </w:r>
    </w:p>
    <w:p w14:paraId="25FA3D9A" w14:textId="77777777" w:rsidR="00D0626B" w:rsidRPr="003124EE" w:rsidRDefault="00D0626B" w:rsidP="00D0626B">
      <w:pPr>
        <w:pStyle w:val="Heading3"/>
        <w:rPr>
          <w:rFonts w:eastAsia="Calibri"/>
        </w:rPr>
      </w:pPr>
      <w:r w:rsidRPr="003124EE">
        <w:rPr>
          <w:rFonts w:eastAsia="Calibri"/>
        </w:rPr>
        <w:t>Pre-Immersion Differences Between Groups</w:t>
      </w:r>
    </w:p>
    <w:p w14:paraId="0C19F6CB" w14:textId="77777777" w:rsidR="00D0626B" w:rsidRPr="003124EE" w:rsidRDefault="00D0626B" w:rsidP="00D0626B">
      <w:pPr>
        <w:pStyle w:val="Heading4Paragraph"/>
        <w:rPr>
          <w:rFonts w:eastAsia="Calibri"/>
        </w:rPr>
      </w:pPr>
      <w:r w:rsidRPr="00B96DF0">
        <w:rPr>
          <w:rFonts w:eastAsia="Calibri"/>
          <w:b/>
          <w:i/>
        </w:rPr>
        <w:t>Age</w:t>
      </w:r>
      <w:r w:rsidRPr="003124EE">
        <w:rPr>
          <w:rFonts w:eastAsia="Calibri"/>
        </w:rPr>
        <w:t>. Due to the non-normal distribution of the variables, non-parametric tests were conducted. The results of a Kruskal-Wallis test indicated that the age of the AMB (</w:t>
      </w:r>
      <w:r w:rsidRPr="003124EE">
        <w:rPr>
          <w:rFonts w:eastAsia="Calibri"/>
          <w:i/>
        </w:rPr>
        <w:t>M</w:t>
      </w:r>
      <w:r w:rsidRPr="003124EE">
        <w:rPr>
          <w:rFonts w:eastAsia="Calibri"/>
        </w:rPr>
        <w:t xml:space="preserve"> = 27.25; </w:t>
      </w:r>
      <w:r w:rsidRPr="003124EE">
        <w:rPr>
          <w:rFonts w:eastAsia="Calibri"/>
          <w:i/>
        </w:rPr>
        <w:t>SD</w:t>
      </w:r>
      <w:r w:rsidRPr="003124EE">
        <w:rPr>
          <w:rFonts w:eastAsia="Calibri"/>
        </w:rPr>
        <w:t xml:space="preserve"> = 9.03; </w:t>
      </w:r>
      <w:proofErr w:type="spellStart"/>
      <w:r w:rsidRPr="003124EE">
        <w:rPr>
          <w:rFonts w:eastAsia="Calibri"/>
          <w:i/>
        </w:rPr>
        <w:t>Mdn</w:t>
      </w:r>
      <w:proofErr w:type="spellEnd"/>
      <w:r w:rsidRPr="003124EE">
        <w:rPr>
          <w:rFonts w:eastAsia="Calibri"/>
        </w:rPr>
        <w:t xml:space="preserve"> = 24.00), PLE (</w:t>
      </w:r>
      <w:r w:rsidRPr="003124EE">
        <w:rPr>
          <w:rFonts w:eastAsia="Calibri"/>
          <w:i/>
        </w:rPr>
        <w:t>M</w:t>
      </w:r>
      <w:r w:rsidRPr="003124EE">
        <w:rPr>
          <w:rFonts w:eastAsia="Calibri"/>
        </w:rPr>
        <w:t xml:space="preserve"> = 26.45; </w:t>
      </w:r>
      <w:r w:rsidRPr="003124EE">
        <w:rPr>
          <w:rFonts w:eastAsia="Calibri"/>
          <w:i/>
        </w:rPr>
        <w:t>SD</w:t>
      </w:r>
      <w:r w:rsidRPr="003124EE">
        <w:rPr>
          <w:rFonts w:eastAsia="Calibri"/>
        </w:rPr>
        <w:t xml:space="preserve"> = 6.98; </w:t>
      </w:r>
      <w:proofErr w:type="spellStart"/>
      <w:r w:rsidRPr="003124EE">
        <w:rPr>
          <w:rFonts w:eastAsia="Calibri"/>
          <w:i/>
        </w:rPr>
        <w:t>Mdn</w:t>
      </w:r>
      <w:proofErr w:type="spellEnd"/>
      <w:r w:rsidRPr="003124EE">
        <w:rPr>
          <w:rFonts w:eastAsia="Calibri"/>
        </w:rPr>
        <w:t xml:space="preserve"> = 23.50), and UNP (</w:t>
      </w:r>
      <w:r w:rsidRPr="003124EE">
        <w:rPr>
          <w:rFonts w:eastAsia="Calibri"/>
          <w:i/>
        </w:rPr>
        <w:t>M</w:t>
      </w:r>
      <w:r w:rsidRPr="003124EE">
        <w:rPr>
          <w:rFonts w:eastAsia="Calibri"/>
        </w:rPr>
        <w:t xml:space="preserve"> = 24.80; </w:t>
      </w:r>
      <w:r w:rsidRPr="003124EE">
        <w:rPr>
          <w:rFonts w:eastAsia="Calibri"/>
          <w:i/>
        </w:rPr>
        <w:t>SD</w:t>
      </w:r>
      <w:r w:rsidRPr="003124EE">
        <w:rPr>
          <w:rFonts w:eastAsia="Calibri"/>
        </w:rPr>
        <w:t xml:space="preserve"> = 7.83; </w:t>
      </w:r>
      <w:proofErr w:type="spellStart"/>
      <w:r w:rsidRPr="003124EE">
        <w:rPr>
          <w:rFonts w:eastAsia="Calibri"/>
          <w:i/>
        </w:rPr>
        <w:t>Mdn</w:t>
      </w:r>
      <w:proofErr w:type="spellEnd"/>
      <w:r w:rsidRPr="003124EE">
        <w:rPr>
          <w:rFonts w:eastAsia="Calibri"/>
        </w:rPr>
        <w:t xml:space="preserve"> = 21.50) groups did not differ in a statistically significant manner (</w:t>
      </w:r>
      <w:r w:rsidRPr="003124EE">
        <w:rPr>
          <w:rFonts w:eastAsia="Calibri"/>
          <w:i/>
        </w:rPr>
        <w:t>H</w:t>
      </w:r>
      <w:r w:rsidRPr="003124EE">
        <w:rPr>
          <w:rFonts w:eastAsia="Calibri"/>
        </w:rPr>
        <w:t xml:space="preserve">(2) = 2.20, </w:t>
      </w:r>
      <w:r w:rsidRPr="003124EE">
        <w:rPr>
          <w:rFonts w:eastAsia="Calibri"/>
          <w:i/>
        </w:rPr>
        <w:t>p</w:t>
      </w:r>
      <w:r w:rsidRPr="003124EE">
        <w:rPr>
          <w:rFonts w:eastAsia="Calibri"/>
        </w:rPr>
        <w:t xml:space="preserve"> = .33). </w:t>
      </w:r>
    </w:p>
    <w:p w14:paraId="5B1D85EA" w14:textId="77777777" w:rsidR="00D0626B" w:rsidRPr="003124EE" w:rsidRDefault="00D0626B" w:rsidP="00D0626B">
      <w:pPr>
        <w:pStyle w:val="Heading4Paragraph"/>
        <w:rPr>
          <w:rFonts w:eastAsia="Calibri"/>
        </w:rPr>
      </w:pPr>
      <w:r w:rsidRPr="00B96DF0">
        <w:rPr>
          <w:rFonts w:eastAsia="Calibri"/>
          <w:b/>
          <w:i/>
        </w:rPr>
        <w:t>Tendency to be immersed.</w:t>
      </w:r>
      <w:r w:rsidRPr="003124EE">
        <w:rPr>
          <w:rFonts w:eastAsia="Calibri"/>
        </w:rPr>
        <w:t xml:space="preserve"> The results of the one-way ANOVA confirmed that the tendency to be immersed did not differ between the AMB, PLE, and UNP groups (respectively M = 51.70, SD = 16.35; M = 56.95, SD = 16.31; M = 58.05, SD = 11.92; F(2, 57) = 1.02, p = .37, </w:t>
      </w:r>
      <w:r w:rsidRPr="003124EE">
        <w:rPr>
          <w:rFonts w:eastAsia="Calibri"/>
          <w:position w:val="-14"/>
        </w:rPr>
        <w:object w:dxaOrig="290" w:dyaOrig="410" w14:anchorId="6CFD3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20.5pt" o:ole="">
            <v:imagedata r:id="rId7" o:title=""/>
          </v:shape>
          <o:OLEObject Type="Embed" ProgID="Equation.3" ShapeID="_x0000_i1025" DrawAspect="Content" ObjectID="_1612772109" r:id="rId8"/>
        </w:object>
      </w:r>
      <w:r w:rsidRPr="003124EE">
        <w:rPr>
          <w:rFonts w:eastAsia="Calibri"/>
        </w:rPr>
        <w:t xml:space="preserve">= .04). </w:t>
      </w:r>
    </w:p>
    <w:p w14:paraId="16A73661" w14:textId="77777777" w:rsidR="00D0626B" w:rsidRPr="003124EE" w:rsidRDefault="00D0626B" w:rsidP="00D0626B">
      <w:pPr>
        <w:pStyle w:val="Heading4Paragraph"/>
        <w:rPr>
          <w:rFonts w:eastAsia="Calibri"/>
        </w:rPr>
      </w:pPr>
      <w:r w:rsidRPr="00B96DF0">
        <w:rPr>
          <w:rFonts w:eastAsia="Calibri"/>
          <w:b/>
          <w:i/>
        </w:rPr>
        <w:t>Tendency to be absorbed.</w:t>
      </w:r>
      <w:r w:rsidRPr="003124EE">
        <w:rPr>
          <w:rFonts w:eastAsia="Calibri"/>
          <w:b/>
        </w:rPr>
        <w:t xml:space="preserve"> </w:t>
      </w:r>
      <w:r w:rsidRPr="003124EE">
        <w:rPr>
          <w:rFonts w:eastAsia="Calibri"/>
        </w:rPr>
        <w:t xml:space="preserve">The results of the one-way ANOVA confirmed that the tendency to be absorbed did not differ between the AMB, PLE, and UNP groups (respectively </w:t>
      </w:r>
      <w:r w:rsidRPr="003124EE">
        <w:rPr>
          <w:rFonts w:eastAsia="Calibri"/>
          <w:i/>
        </w:rPr>
        <w:t>M</w:t>
      </w:r>
      <w:r w:rsidRPr="003124EE">
        <w:rPr>
          <w:rFonts w:eastAsia="Calibri"/>
        </w:rPr>
        <w:t xml:space="preserve"> = 1.53, </w:t>
      </w:r>
      <w:r w:rsidRPr="003124EE">
        <w:rPr>
          <w:rFonts w:eastAsia="Calibri"/>
          <w:i/>
        </w:rPr>
        <w:t>SD</w:t>
      </w:r>
      <w:r w:rsidRPr="003124EE">
        <w:rPr>
          <w:rFonts w:eastAsia="Calibri"/>
        </w:rPr>
        <w:t xml:space="preserve"> = .54; </w:t>
      </w:r>
      <w:r w:rsidRPr="003124EE">
        <w:rPr>
          <w:rFonts w:eastAsia="Calibri"/>
          <w:i/>
        </w:rPr>
        <w:t>M</w:t>
      </w:r>
      <w:r w:rsidRPr="003124EE">
        <w:rPr>
          <w:rFonts w:eastAsia="Calibri"/>
        </w:rPr>
        <w:t xml:space="preserve"> = 1.61, </w:t>
      </w:r>
      <w:r w:rsidRPr="003124EE">
        <w:rPr>
          <w:rFonts w:eastAsia="Calibri"/>
          <w:i/>
        </w:rPr>
        <w:t>SD</w:t>
      </w:r>
      <w:r w:rsidRPr="003124EE">
        <w:rPr>
          <w:rFonts w:eastAsia="Calibri"/>
        </w:rPr>
        <w:t xml:space="preserve"> = .16;</w:t>
      </w:r>
      <w:r w:rsidRPr="003124EE">
        <w:rPr>
          <w:rFonts w:eastAsia="Calibri"/>
          <w:i/>
        </w:rPr>
        <w:t xml:space="preserve"> M</w:t>
      </w:r>
      <w:r w:rsidRPr="003124EE">
        <w:rPr>
          <w:rFonts w:eastAsia="Calibri"/>
        </w:rPr>
        <w:t xml:space="preserve"> = 1.68, </w:t>
      </w:r>
      <w:r w:rsidRPr="003124EE">
        <w:rPr>
          <w:rFonts w:eastAsia="Calibri"/>
          <w:i/>
        </w:rPr>
        <w:t>SD</w:t>
      </w:r>
      <w:r w:rsidRPr="003124EE">
        <w:rPr>
          <w:rFonts w:eastAsia="Calibri"/>
        </w:rPr>
        <w:t xml:space="preserve"> = .11; </w:t>
      </w:r>
      <w:r w:rsidRPr="003124EE">
        <w:rPr>
          <w:rFonts w:eastAsia="Calibri"/>
          <w:i/>
        </w:rPr>
        <w:t>F</w:t>
      </w:r>
      <w:r w:rsidRPr="003124EE">
        <w:rPr>
          <w:rFonts w:eastAsia="Calibri"/>
        </w:rPr>
        <w:t xml:space="preserve">(2, 56) = .32, </w:t>
      </w:r>
      <w:r w:rsidRPr="003124EE">
        <w:rPr>
          <w:rFonts w:eastAsia="Calibri"/>
          <w:i/>
        </w:rPr>
        <w:t>p</w:t>
      </w:r>
      <w:r w:rsidRPr="003124EE">
        <w:rPr>
          <w:rFonts w:eastAsia="Calibri"/>
        </w:rPr>
        <w:t xml:space="preserve"> = .73, </w:t>
      </w:r>
      <w:r w:rsidRPr="003124EE">
        <w:rPr>
          <w:rFonts w:eastAsia="Calibri"/>
          <w:position w:val="-14"/>
        </w:rPr>
        <w:object w:dxaOrig="290" w:dyaOrig="410" w14:anchorId="48B15AB6">
          <v:shape id="_x0000_i1026" type="#_x0000_t75" style="width:14.5pt;height:20.5pt" o:ole="">
            <v:imagedata r:id="rId7" o:title=""/>
          </v:shape>
          <o:OLEObject Type="Embed" ProgID="Equation.3" ShapeID="_x0000_i1026" DrawAspect="Content" ObjectID="_1612772110" r:id="rId9"/>
        </w:object>
      </w:r>
      <w:r w:rsidRPr="003124EE">
        <w:rPr>
          <w:rFonts w:eastAsia="Calibri"/>
        </w:rPr>
        <w:t>= .01).</w:t>
      </w:r>
    </w:p>
    <w:p w14:paraId="27DDEEF2" w14:textId="77777777" w:rsidR="00D0626B" w:rsidRPr="003124EE" w:rsidRDefault="00D0626B" w:rsidP="00D0626B">
      <w:pPr>
        <w:pStyle w:val="Heading3"/>
        <w:rPr>
          <w:rFonts w:eastAsia="Calibri"/>
        </w:rPr>
      </w:pPr>
      <w:r w:rsidRPr="003124EE">
        <w:rPr>
          <w:rFonts w:eastAsia="Calibri"/>
        </w:rPr>
        <w:t>Immersion Induced Negative Side Effects</w:t>
      </w:r>
    </w:p>
    <w:p w14:paraId="08248D3D" w14:textId="77777777" w:rsidR="00D0626B" w:rsidRPr="003124EE" w:rsidRDefault="00D0626B" w:rsidP="00D0626B">
      <w:pPr>
        <w:pStyle w:val="Heading4Paragraph"/>
        <w:rPr>
          <w:rFonts w:eastAsia="Calibri"/>
        </w:rPr>
      </w:pPr>
      <w:r w:rsidRPr="003124EE">
        <w:rPr>
          <w:rFonts w:eastAsia="Calibri"/>
          <w:b/>
        </w:rPr>
        <w:t xml:space="preserve"> </w:t>
      </w:r>
      <w:r w:rsidRPr="00B96DF0">
        <w:rPr>
          <w:rFonts w:eastAsia="Calibri"/>
          <w:b/>
          <w:i/>
        </w:rPr>
        <w:t>ITC-SOPI.</w:t>
      </w:r>
      <w:r w:rsidRPr="003124EE">
        <w:rPr>
          <w:rFonts w:eastAsia="Calibri"/>
          <w:b/>
        </w:rPr>
        <w:t xml:space="preserve"> </w:t>
      </w:r>
      <w:r w:rsidRPr="003124EE">
        <w:rPr>
          <w:rFonts w:eastAsia="Calibri"/>
        </w:rPr>
        <w:t xml:space="preserve">The results of the one-way ANOVA confirmed that the levels of Negative Effect did not differ between the AMB, PLE, and UNP groups (respectively </w:t>
      </w:r>
      <w:r w:rsidRPr="003124EE">
        <w:rPr>
          <w:rFonts w:eastAsia="Calibri"/>
          <w:i/>
        </w:rPr>
        <w:t>M</w:t>
      </w:r>
      <w:r w:rsidRPr="003124EE">
        <w:rPr>
          <w:rFonts w:eastAsia="Calibri"/>
        </w:rPr>
        <w:t xml:space="preserve"> = 2.02, </w:t>
      </w:r>
      <w:r w:rsidRPr="003124EE">
        <w:rPr>
          <w:rFonts w:eastAsia="Calibri"/>
          <w:i/>
        </w:rPr>
        <w:t>SD</w:t>
      </w:r>
      <w:r w:rsidRPr="003124EE">
        <w:rPr>
          <w:rFonts w:eastAsia="Calibri"/>
        </w:rPr>
        <w:t xml:space="preserve"> = .73; </w:t>
      </w:r>
      <w:r w:rsidRPr="003124EE">
        <w:rPr>
          <w:rFonts w:eastAsia="Calibri"/>
          <w:i/>
        </w:rPr>
        <w:t>M</w:t>
      </w:r>
      <w:r w:rsidRPr="003124EE">
        <w:rPr>
          <w:rFonts w:eastAsia="Calibri"/>
        </w:rPr>
        <w:t xml:space="preserve"> = 1.98, </w:t>
      </w:r>
      <w:r w:rsidRPr="003124EE">
        <w:rPr>
          <w:rFonts w:eastAsia="Calibri"/>
          <w:i/>
        </w:rPr>
        <w:t>SD</w:t>
      </w:r>
      <w:r w:rsidRPr="003124EE">
        <w:rPr>
          <w:rFonts w:eastAsia="Calibri"/>
        </w:rPr>
        <w:t xml:space="preserve"> = .73;</w:t>
      </w:r>
      <w:r w:rsidRPr="003124EE">
        <w:rPr>
          <w:rFonts w:eastAsia="Calibri"/>
          <w:i/>
        </w:rPr>
        <w:t xml:space="preserve"> M</w:t>
      </w:r>
      <w:r w:rsidRPr="003124EE">
        <w:rPr>
          <w:rFonts w:eastAsia="Calibri"/>
        </w:rPr>
        <w:t xml:space="preserve"> = 2.12, </w:t>
      </w:r>
      <w:r w:rsidRPr="003124EE">
        <w:rPr>
          <w:rFonts w:eastAsia="Calibri"/>
          <w:i/>
        </w:rPr>
        <w:t>SD</w:t>
      </w:r>
      <w:r w:rsidRPr="003124EE">
        <w:rPr>
          <w:rFonts w:eastAsia="Calibri"/>
        </w:rPr>
        <w:t xml:space="preserve"> = .90; </w:t>
      </w:r>
      <w:r w:rsidRPr="003124EE">
        <w:rPr>
          <w:rFonts w:eastAsia="Calibri"/>
          <w:i/>
        </w:rPr>
        <w:t>F</w:t>
      </w:r>
      <w:r w:rsidRPr="003124EE">
        <w:rPr>
          <w:rFonts w:eastAsia="Calibri"/>
        </w:rPr>
        <w:t xml:space="preserve">(2,57) = .17, </w:t>
      </w:r>
      <w:r w:rsidRPr="003124EE">
        <w:rPr>
          <w:rFonts w:eastAsia="Calibri"/>
          <w:i/>
        </w:rPr>
        <w:t>p</w:t>
      </w:r>
      <w:r w:rsidRPr="003124EE">
        <w:rPr>
          <w:rFonts w:eastAsia="Calibri"/>
        </w:rPr>
        <w:t xml:space="preserve"> = .84, </w:t>
      </w:r>
      <w:r w:rsidRPr="003124EE">
        <w:rPr>
          <w:rFonts w:eastAsia="Calibri"/>
          <w:position w:val="-14"/>
        </w:rPr>
        <w:object w:dxaOrig="290" w:dyaOrig="410" w14:anchorId="56F1C1C5">
          <v:shape id="_x0000_i1027" type="#_x0000_t75" style="width:14.5pt;height:20.5pt" o:ole="">
            <v:imagedata r:id="rId7" o:title=""/>
          </v:shape>
          <o:OLEObject Type="Embed" ProgID="Equation.3" ShapeID="_x0000_i1027" DrawAspect="Content" ObjectID="_1612772111" r:id="rId10"/>
        </w:object>
      </w:r>
      <w:r w:rsidRPr="003124EE">
        <w:rPr>
          <w:rFonts w:eastAsia="Calibri"/>
        </w:rPr>
        <w:t xml:space="preserve"> = .01).</w:t>
      </w:r>
    </w:p>
    <w:p w14:paraId="7D4B1008" w14:textId="77777777" w:rsidR="00D0626B" w:rsidRPr="003124EE" w:rsidRDefault="00D0626B" w:rsidP="00D0626B">
      <w:pPr>
        <w:pStyle w:val="Heading4Paragraph"/>
        <w:rPr>
          <w:rFonts w:eastAsia="Calibri"/>
        </w:rPr>
      </w:pPr>
      <w:r w:rsidRPr="00B96DF0">
        <w:rPr>
          <w:rFonts w:eastAsia="Calibri"/>
          <w:b/>
          <w:i/>
        </w:rPr>
        <w:lastRenderedPageBreak/>
        <w:t>Simulator Sickness Questionnaire.</w:t>
      </w:r>
      <w:r w:rsidRPr="003124EE">
        <w:rPr>
          <w:rFonts w:eastAsia="Calibri"/>
          <w:b/>
        </w:rPr>
        <w:t xml:space="preserve"> </w:t>
      </w:r>
      <w:r w:rsidRPr="003124EE">
        <w:rPr>
          <w:rFonts w:eastAsia="Calibri"/>
        </w:rPr>
        <w:t>Due to the non-normal distribution of the variables, non-parametric tests were conducted. The results of a Kruskal-Wallis test indicated that, pre</w:t>
      </w:r>
      <w:r w:rsidRPr="003124EE">
        <w:rPr>
          <w:rFonts w:eastAsia="Calibri"/>
        </w:rPr>
        <w:noBreakHyphen/>
        <w:t>immersion, cybersickness levels among the AMB (</w:t>
      </w:r>
      <w:r w:rsidRPr="003124EE">
        <w:rPr>
          <w:rFonts w:eastAsia="Calibri"/>
          <w:i/>
        </w:rPr>
        <w:t>M</w:t>
      </w:r>
      <w:r w:rsidRPr="003124EE">
        <w:rPr>
          <w:rFonts w:eastAsia="Calibri"/>
        </w:rPr>
        <w:t xml:space="preserve"> = .16; </w:t>
      </w:r>
      <w:r w:rsidRPr="003124EE">
        <w:rPr>
          <w:rFonts w:eastAsia="Calibri"/>
          <w:i/>
        </w:rPr>
        <w:t>SD</w:t>
      </w:r>
      <w:r w:rsidRPr="003124EE">
        <w:rPr>
          <w:rFonts w:eastAsia="Calibri"/>
        </w:rPr>
        <w:t xml:space="preserve"> = .13; </w:t>
      </w:r>
      <w:proofErr w:type="spellStart"/>
      <w:r w:rsidRPr="003124EE">
        <w:rPr>
          <w:rFonts w:eastAsia="Calibri"/>
          <w:i/>
        </w:rPr>
        <w:t>Mdn</w:t>
      </w:r>
      <w:proofErr w:type="spellEnd"/>
      <w:r w:rsidRPr="003124EE">
        <w:rPr>
          <w:rFonts w:eastAsia="Calibri"/>
        </w:rPr>
        <w:t xml:space="preserve"> = .13), PLE (</w:t>
      </w:r>
      <w:r w:rsidRPr="003124EE">
        <w:rPr>
          <w:rFonts w:eastAsia="Calibri"/>
          <w:i/>
        </w:rPr>
        <w:t>M</w:t>
      </w:r>
      <w:r w:rsidRPr="003124EE">
        <w:rPr>
          <w:rFonts w:eastAsia="Calibri"/>
        </w:rPr>
        <w:t xml:space="preserve"> = .17; </w:t>
      </w:r>
      <w:r w:rsidRPr="003124EE">
        <w:rPr>
          <w:rFonts w:eastAsia="Calibri"/>
          <w:i/>
        </w:rPr>
        <w:t>SD</w:t>
      </w:r>
      <w:r w:rsidRPr="003124EE">
        <w:rPr>
          <w:rFonts w:eastAsia="Calibri"/>
        </w:rPr>
        <w:t xml:space="preserve"> = .12; </w:t>
      </w:r>
      <w:proofErr w:type="spellStart"/>
      <w:r w:rsidRPr="003124EE">
        <w:rPr>
          <w:rFonts w:eastAsia="Calibri"/>
          <w:i/>
        </w:rPr>
        <w:t>Mdn</w:t>
      </w:r>
      <w:proofErr w:type="spellEnd"/>
      <w:r w:rsidRPr="003124EE">
        <w:rPr>
          <w:rFonts w:eastAsia="Calibri"/>
        </w:rPr>
        <w:t xml:space="preserve"> = .13), and UNP (</w:t>
      </w:r>
      <w:r w:rsidRPr="003124EE">
        <w:rPr>
          <w:rFonts w:eastAsia="Calibri"/>
          <w:i/>
        </w:rPr>
        <w:t>M</w:t>
      </w:r>
      <w:r w:rsidRPr="003124EE">
        <w:rPr>
          <w:rFonts w:eastAsia="Calibri"/>
        </w:rPr>
        <w:t xml:space="preserve"> = .18; </w:t>
      </w:r>
      <w:r w:rsidRPr="003124EE">
        <w:rPr>
          <w:rFonts w:eastAsia="Calibri"/>
          <w:i/>
        </w:rPr>
        <w:t>SD</w:t>
      </w:r>
      <w:r w:rsidRPr="003124EE">
        <w:rPr>
          <w:rFonts w:eastAsia="Calibri"/>
        </w:rPr>
        <w:t xml:space="preserve"> = .15; </w:t>
      </w:r>
      <w:proofErr w:type="spellStart"/>
      <w:r w:rsidRPr="003124EE">
        <w:rPr>
          <w:rFonts w:eastAsia="Calibri"/>
          <w:i/>
        </w:rPr>
        <w:t>Mdn</w:t>
      </w:r>
      <w:proofErr w:type="spellEnd"/>
      <w:r w:rsidRPr="003124EE">
        <w:rPr>
          <w:rFonts w:eastAsia="Calibri"/>
        </w:rPr>
        <w:t xml:space="preserve"> = .19) groups did not differ in a statistically significant manner (</w:t>
      </w:r>
      <w:r w:rsidRPr="003124EE">
        <w:rPr>
          <w:rFonts w:eastAsia="Calibri"/>
          <w:i/>
        </w:rPr>
        <w:t>H</w:t>
      </w:r>
      <w:r w:rsidRPr="003124EE">
        <w:rPr>
          <w:rFonts w:eastAsia="Calibri"/>
        </w:rPr>
        <w:t xml:space="preserve">(2) = .28, </w:t>
      </w:r>
      <w:r w:rsidRPr="003124EE">
        <w:rPr>
          <w:rFonts w:eastAsia="Calibri"/>
          <w:i/>
        </w:rPr>
        <w:t>p</w:t>
      </w:r>
      <w:r w:rsidRPr="003124EE">
        <w:rPr>
          <w:rFonts w:eastAsia="Calibri"/>
        </w:rPr>
        <w:t xml:space="preserve"> = .87). Post-immersion, cybersickness levels among the AMB (</w:t>
      </w:r>
      <w:r w:rsidRPr="003124EE">
        <w:rPr>
          <w:rFonts w:eastAsia="Calibri"/>
          <w:i/>
        </w:rPr>
        <w:t>M</w:t>
      </w:r>
      <w:r w:rsidRPr="003124EE">
        <w:rPr>
          <w:rFonts w:eastAsia="Calibri"/>
        </w:rPr>
        <w:t xml:space="preserve"> = .34; </w:t>
      </w:r>
      <w:r w:rsidRPr="003124EE">
        <w:rPr>
          <w:rFonts w:eastAsia="Calibri"/>
          <w:i/>
        </w:rPr>
        <w:t>SD</w:t>
      </w:r>
      <w:r w:rsidRPr="003124EE">
        <w:rPr>
          <w:rFonts w:eastAsia="Calibri"/>
        </w:rPr>
        <w:t xml:space="preserve"> = .22; </w:t>
      </w:r>
      <w:proofErr w:type="spellStart"/>
      <w:r w:rsidRPr="003124EE">
        <w:rPr>
          <w:rFonts w:eastAsia="Calibri"/>
          <w:i/>
        </w:rPr>
        <w:t>Mdn</w:t>
      </w:r>
      <w:proofErr w:type="spellEnd"/>
      <w:r w:rsidRPr="003124EE">
        <w:rPr>
          <w:rFonts w:eastAsia="Calibri"/>
        </w:rPr>
        <w:t xml:space="preserve"> = .28), PLE (</w:t>
      </w:r>
      <w:r w:rsidRPr="003124EE">
        <w:rPr>
          <w:rFonts w:eastAsia="Calibri"/>
          <w:i/>
        </w:rPr>
        <w:t>M</w:t>
      </w:r>
      <w:r w:rsidRPr="003124EE">
        <w:rPr>
          <w:rFonts w:eastAsia="Calibri"/>
        </w:rPr>
        <w:t xml:space="preserve"> = .29; </w:t>
      </w:r>
      <w:r w:rsidRPr="003124EE">
        <w:rPr>
          <w:rFonts w:eastAsia="Calibri"/>
          <w:i/>
        </w:rPr>
        <w:t>SD</w:t>
      </w:r>
      <w:r w:rsidRPr="003124EE">
        <w:rPr>
          <w:rFonts w:eastAsia="Calibri"/>
        </w:rPr>
        <w:t xml:space="preserve"> = .21; </w:t>
      </w:r>
      <w:proofErr w:type="spellStart"/>
      <w:r w:rsidRPr="003124EE">
        <w:rPr>
          <w:rFonts w:eastAsia="Calibri"/>
          <w:i/>
        </w:rPr>
        <w:t>Mdn</w:t>
      </w:r>
      <w:proofErr w:type="spellEnd"/>
      <w:r w:rsidRPr="003124EE">
        <w:rPr>
          <w:rFonts w:eastAsia="Calibri"/>
        </w:rPr>
        <w:t xml:space="preserve"> = .28), and UNP (</w:t>
      </w:r>
      <w:r w:rsidRPr="003124EE">
        <w:rPr>
          <w:rFonts w:eastAsia="Calibri"/>
          <w:i/>
        </w:rPr>
        <w:t>M</w:t>
      </w:r>
      <w:r w:rsidRPr="003124EE">
        <w:rPr>
          <w:rFonts w:eastAsia="Calibri"/>
        </w:rPr>
        <w:t xml:space="preserve"> = .34; </w:t>
      </w:r>
      <w:r w:rsidRPr="003124EE">
        <w:rPr>
          <w:rFonts w:eastAsia="Calibri"/>
          <w:i/>
        </w:rPr>
        <w:t>SD</w:t>
      </w:r>
      <w:r w:rsidRPr="003124EE">
        <w:rPr>
          <w:rFonts w:eastAsia="Calibri"/>
        </w:rPr>
        <w:t xml:space="preserve"> = .25; </w:t>
      </w:r>
      <w:proofErr w:type="spellStart"/>
      <w:r w:rsidRPr="003124EE">
        <w:rPr>
          <w:rFonts w:eastAsia="Calibri"/>
          <w:i/>
        </w:rPr>
        <w:t>Mdn</w:t>
      </w:r>
      <w:proofErr w:type="spellEnd"/>
      <w:r w:rsidRPr="003124EE">
        <w:rPr>
          <w:rFonts w:eastAsia="Calibri"/>
        </w:rPr>
        <w:t xml:space="preserve"> = .28) groups also did not statistically significantly differ (</w:t>
      </w:r>
      <w:proofErr w:type="gramStart"/>
      <w:r w:rsidRPr="003124EE">
        <w:rPr>
          <w:rFonts w:eastAsia="Calibri"/>
          <w:i/>
        </w:rPr>
        <w:t>H</w:t>
      </w:r>
      <w:r w:rsidRPr="003124EE">
        <w:rPr>
          <w:rFonts w:eastAsia="Calibri"/>
        </w:rPr>
        <w:t>(</w:t>
      </w:r>
      <w:proofErr w:type="gramEnd"/>
      <w:r w:rsidRPr="003124EE">
        <w:rPr>
          <w:rFonts w:eastAsia="Calibri"/>
        </w:rPr>
        <w:t xml:space="preserve">2) = .55, </w:t>
      </w:r>
      <w:r w:rsidRPr="003124EE">
        <w:rPr>
          <w:rFonts w:eastAsia="Calibri"/>
          <w:i/>
        </w:rPr>
        <w:t>p</w:t>
      </w:r>
      <w:r w:rsidRPr="003124EE">
        <w:rPr>
          <w:rFonts w:eastAsia="Calibri"/>
        </w:rPr>
        <w:t> = .76). Within groups, Wilcoxon tests detected statistically significant differences between pre</w:t>
      </w:r>
      <w:r w:rsidRPr="003124EE">
        <w:rPr>
          <w:rFonts w:eastAsia="Calibri"/>
        </w:rPr>
        <w:noBreakHyphen/>
        <w:t xml:space="preserve"> and post-immersion cybersickness for the AMB (</w:t>
      </w:r>
      <w:r w:rsidRPr="003124EE">
        <w:rPr>
          <w:rFonts w:eastAsia="Calibri"/>
          <w:i/>
        </w:rPr>
        <w:t>z</w:t>
      </w:r>
      <w:r w:rsidRPr="003124EE">
        <w:rPr>
          <w:rFonts w:eastAsia="Calibri"/>
        </w:rPr>
        <w:t xml:space="preserve"> = -3.38, </w:t>
      </w:r>
      <w:r w:rsidRPr="003124EE">
        <w:rPr>
          <w:rFonts w:eastAsia="Calibri"/>
          <w:i/>
        </w:rPr>
        <w:t>p</w:t>
      </w:r>
      <w:r w:rsidRPr="003124EE">
        <w:rPr>
          <w:rFonts w:eastAsia="Calibri"/>
        </w:rPr>
        <w:t xml:space="preserve"> = .00, </w:t>
      </w:r>
      <w:r w:rsidRPr="003124EE">
        <w:rPr>
          <w:rFonts w:eastAsia="Calibri"/>
          <w:i/>
        </w:rPr>
        <w:t>r</w:t>
      </w:r>
      <w:r w:rsidRPr="003124EE">
        <w:rPr>
          <w:rFonts w:eastAsia="Calibri"/>
        </w:rPr>
        <w:t xml:space="preserve"> = -.53), PLE (</w:t>
      </w:r>
      <w:r w:rsidRPr="003124EE">
        <w:rPr>
          <w:rFonts w:eastAsia="Calibri"/>
          <w:i/>
        </w:rPr>
        <w:t>z</w:t>
      </w:r>
      <w:r w:rsidRPr="003124EE">
        <w:rPr>
          <w:rFonts w:eastAsia="Calibri"/>
        </w:rPr>
        <w:t> = </w:t>
      </w:r>
      <w:r w:rsidRPr="003124EE">
        <w:rPr>
          <w:rFonts w:eastAsia="Calibri"/>
        </w:rPr>
        <w:noBreakHyphen/>
        <w:t xml:space="preserve">2.47, </w:t>
      </w:r>
      <w:r w:rsidRPr="003124EE">
        <w:rPr>
          <w:rFonts w:eastAsia="Calibri"/>
          <w:i/>
        </w:rPr>
        <w:t>p</w:t>
      </w:r>
      <w:r w:rsidRPr="003124EE">
        <w:rPr>
          <w:rFonts w:eastAsia="Calibri"/>
        </w:rPr>
        <w:t xml:space="preserve"> = .01, </w:t>
      </w:r>
      <w:r w:rsidRPr="003124EE">
        <w:rPr>
          <w:rFonts w:eastAsia="Calibri"/>
          <w:i/>
        </w:rPr>
        <w:t>r</w:t>
      </w:r>
      <w:r w:rsidRPr="003124EE">
        <w:rPr>
          <w:rFonts w:eastAsia="Calibri"/>
        </w:rPr>
        <w:t xml:space="preserve"> = -.39), and UNP (</w:t>
      </w:r>
      <w:r w:rsidRPr="003124EE">
        <w:rPr>
          <w:rFonts w:eastAsia="Calibri"/>
          <w:i/>
        </w:rPr>
        <w:t>z</w:t>
      </w:r>
      <w:r w:rsidRPr="003124EE">
        <w:rPr>
          <w:rFonts w:eastAsia="Calibri"/>
        </w:rPr>
        <w:t xml:space="preserve"> = -2.92, </w:t>
      </w:r>
      <w:r w:rsidRPr="003124EE">
        <w:rPr>
          <w:rFonts w:eastAsia="Calibri"/>
          <w:i/>
        </w:rPr>
        <w:t>p</w:t>
      </w:r>
      <w:r w:rsidRPr="003124EE">
        <w:rPr>
          <w:rFonts w:eastAsia="Calibri"/>
        </w:rPr>
        <w:t xml:space="preserve"> = .00, </w:t>
      </w:r>
      <w:r w:rsidRPr="003124EE">
        <w:rPr>
          <w:rFonts w:eastAsia="Calibri"/>
          <w:i/>
        </w:rPr>
        <w:t>r</w:t>
      </w:r>
      <w:r w:rsidRPr="003124EE">
        <w:rPr>
          <w:rFonts w:eastAsia="Calibri"/>
        </w:rPr>
        <w:t xml:space="preserve"> = -.46) groups. Overall, these results suggest that cybersickness levels do not differ between the groups.</w:t>
      </w:r>
    </w:p>
    <w:p w14:paraId="43B30FEC" w14:textId="77777777" w:rsidR="00D0626B" w:rsidRPr="003124EE" w:rsidRDefault="00D0626B" w:rsidP="00D0626B">
      <w:pPr>
        <w:pStyle w:val="Heading3"/>
        <w:rPr>
          <w:rFonts w:eastAsia="Calibri"/>
        </w:rPr>
      </w:pPr>
      <w:r w:rsidRPr="003124EE">
        <w:rPr>
          <w:rFonts w:eastAsia="Calibri"/>
        </w:rPr>
        <w:t xml:space="preserve">Characteristics of Olfactory Stimuli Detected </w:t>
      </w:r>
      <w:proofErr w:type="gramStart"/>
      <w:r w:rsidRPr="003124EE">
        <w:rPr>
          <w:rFonts w:eastAsia="Calibri"/>
        </w:rPr>
        <w:t>In</w:t>
      </w:r>
      <w:proofErr w:type="gramEnd"/>
      <w:r w:rsidRPr="003124EE">
        <w:rPr>
          <w:rFonts w:eastAsia="Calibri"/>
        </w:rPr>
        <w:t xml:space="preserve"> </w:t>
      </w:r>
      <w:proofErr w:type="spellStart"/>
      <w:r w:rsidRPr="003124EE">
        <w:rPr>
          <w:rFonts w:eastAsia="Calibri"/>
        </w:rPr>
        <w:t>Virtuo</w:t>
      </w:r>
      <w:proofErr w:type="spellEnd"/>
    </w:p>
    <w:p w14:paraId="4776A4E1" w14:textId="77777777" w:rsidR="00D0626B" w:rsidRDefault="00D0626B" w:rsidP="00D0626B">
      <w:pPr>
        <w:pStyle w:val="Heading4Paragraph"/>
        <w:rPr>
          <w:rFonts w:eastAsia="Calibri"/>
        </w:rPr>
      </w:pPr>
      <w:r w:rsidRPr="00B96DF0">
        <w:rPr>
          <w:rFonts w:eastAsia="Calibri"/>
          <w:b/>
          <w:i/>
        </w:rPr>
        <w:t>PLE and UNP groups.</w:t>
      </w:r>
      <w:r w:rsidRPr="003124EE">
        <w:rPr>
          <w:rFonts w:eastAsia="Calibri"/>
          <w:b/>
        </w:rPr>
        <w:t xml:space="preserve"> </w:t>
      </w:r>
      <w:r w:rsidRPr="003124EE">
        <w:rPr>
          <w:rFonts w:eastAsia="Calibri"/>
        </w:rPr>
        <w:t>The</w:t>
      </w:r>
      <w:r w:rsidRPr="003124EE">
        <w:rPr>
          <w:rFonts w:eastAsia="Calibri"/>
          <w:b/>
        </w:rPr>
        <w:t xml:space="preserve"> </w:t>
      </w:r>
      <w:r w:rsidRPr="003124EE">
        <w:rPr>
          <w:rFonts w:eastAsia="Calibri"/>
        </w:rPr>
        <w:t>detection rates, rate of association with a memory, and presumed source of odour are shown in Table A.</w:t>
      </w:r>
    </w:p>
    <w:p w14:paraId="2DA024E8" w14:textId="77777777" w:rsidR="00D0626B" w:rsidRDefault="00D0626B" w:rsidP="00D0626B">
      <w:pPr>
        <w:pStyle w:val="Newparagraph"/>
        <w:rPr>
          <w:rFonts w:eastAsia="Calibri"/>
        </w:rPr>
      </w:pPr>
    </w:p>
    <w:p w14:paraId="73B49199" w14:textId="77777777" w:rsidR="00D0626B" w:rsidRDefault="00D0626B" w:rsidP="00D0626B">
      <w:pPr>
        <w:pStyle w:val="Newparagraph"/>
        <w:rPr>
          <w:rFonts w:eastAsia="Calibri"/>
        </w:rPr>
      </w:pPr>
    </w:p>
    <w:p w14:paraId="7142990F" w14:textId="77777777" w:rsidR="00D0626B" w:rsidRDefault="00D0626B" w:rsidP="00D0626B">
      <w:pPr>
        <w:pStyle w:val="Newparagraph"/>
        <w:rPr>
          <w:rFonts w:eastAsia="Calibri"/>
        </w:rPr>
      </w:pPr>
    </w:p>
    <w:p w14:paraId="22F6C5AB" w14:textId="77777777" w:rsidR="00D0626B" w:rsidRDefault="00D0626B" w:rsidP="00D0626B">
      <w:pPr>
        <w:pStyle w:val="Newparagraph"/>
        <w:rPr>
          <w:rFonts w:eastAsia="Calibri"/>
        </w:rPr>
      </w:pPr>
    </w:p>
    <w:p w14:paraId="7009F647" w14:textId="77777777" w:rsidR="00D0626B" w:rsidRDefault="00D0626B" w:rsidP="00D0626B">
      <w:pPr>
        <w:pStyle w:val="Newparagraph"/>
        <w:rPr>
          <w:rFonts w:eastAsia="Calibri"/>
        </w:rPr>
      </w:pPr>
    </w:p>
    <w:p w14:paraId="4939F4BC" w14:textId="77777777" w:rsidR="00D0626B" w:rsidRDefault="00D0626B" w:rsidP="00D0626B">
      <w:pPr>
        <w:pStyle w:val="Newparagraph"/>
        <w:rPr>
          <w:rFonts w:eastAsia="Calibri"/>
        </w:rPr>
      </w:pPr>
    </w:p>
    <w:p w14:paraId="4F6E9C59" w14:textId="77777777" w:rsidR="00D0626B" w:rsidRDefault="00D0626B" w:rsidP="00D0626B">
      <w:pPr>
        <w:pStyle w:val="Newparagraph"/>
        <w:rPr>
          <w:rFonts w:eastAsia="Calibri"/>
        </w:rPr>
      </w:pPr>
    </w:p>
    <w:p w14:paraId="6170EA2E" w14:textId="77777777" w:rsidR="00D0626B" w:rsidRDefault="00D0626B" w:rsidP="00D0626B">
      <w:pPr>
        <w:pStyle w:val="Newparagraph"/>
        <w:rPr>
          <w:rFonts w:eastAsia="Calibri"/>
        </w:rPr>
      </w:pPr>
    </w:p>
    <w:p w14:paraId="43D4DD79" w14:textId="77777777" w:rsidR="00D0626B" w:rsidRDefault="00D0626B" w:rsidP="00D0626B">
      <w:pPr>
        <w:pStyle w:val="Newparagraph"/>
        <w:rPr>
          <w:rFonts w:eastAsia="Calibri"/>
        </w:rPr>
      </w:pPr>
    </w:p>
    <w:p w14:paraId="584140F9" w14:textId="77777777" w:rsidR="00D0626B" w:rsidRPr="00B96DF0" w:rsidRDefault="00D0626B" w:rsidP="00D0626B">
      <w:pPr>
        <w:pStyle w:val="Newparagraph"/>
        <w:rPr>
          <w:rFonts w:eastAsia="Calibri"/>
        </w:rPr>
      </w:pPr>
    </w:p>
    <w:p w14:paraId="5A667E60" w14:textId="77777777" w:rsidR="00D0626B" w:rsidRPr="003124EE" w:rsidRDefault="00D0626B" w:rsidP="00D0626B">
      <w:pPr>
        <w:pStyle w:val="Tabletitle"/>
        <w:rPr>
          <w:rFonts w:eastAsia="Calibri"/>
        </w:rPr>
      </w:pPr>
      <w:r w:rsidRPr="003124EE">
        <w:rPr>
          <w:rFonts w:eastAsia="Calibri"/>
        </w:rPr>
        <w:t>Table A</w:t>
      </w:r>
    </w:p>
    <w:p w14:paraId="290B14A0" w14:textId="77777777" w:rsidR="00D0626B" w:rsidRPr="003124EE" w:rsidRDefault="00D0626B" w:rsidP="00D0626B">
      <w:pPr>
        <w:pStyle w:val="Tabletitle"/>
        <w:rPr>
          <w:rFonts w:eastAsia="Calibri"/>
          <w:i/>
        </w:rPr>
      </w:pPr>
      <w:r w:rsidRPr="003124EE">
        <w:rPr>
          <w:rFonts w:eastAsia="Calibri"/>
          <w:i/>
        </w:rPr>
        <w:t xml:space="preserve">Detection, Association to Memory, and Source of Odours Detected </w:t>
      </w:r>
      <w:proofErr w:type="gramStart"/>
      <w:r w:rsidRPr="003124EE">
        <w:rPr>
          <w:rFonts w:eastAsia="Calibri"/>
          <w:i/>
        </w:rPr>
        <w:t>In</w:t>
      </w:r>
      <w:proofErr w:type="gramEnd"/>
      <w:r w:rsidRPr="003124EE">
        <w:rPr>
          <w:rFonts w:eastAsia="Calibri"/>
          <w:i/>
        </w:rPr>
        <w:t xml:space="preserve"> </w:t>
      </w:r>
      <w:proofErr w:type="spellStart"/>
      <w:r w:rsidRPr="003124EE">
        <w:rPr>
          <w:rFonts w:eastAsia="Calibri"/>
          <w:i/>
        </w:rPr>
        <w:t>Virtuo</w:t>
      </w:r>
      <w:proofErr w:type="spellEnd"/>
    </w:p>
    <w:tbl>
      <w:tblPr>
        <w:tblStyle w:val="Grilledutableau6"/>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84"/>
        <w:gridCol w:w="4252"/>
        <w:gridCol w:w="2552"/>
        <w:gridCol w:w="2272"/>
      </w:tblGrid>
      <w:tr w:rsidR="00D0626B" w:rsidRPr="003124EE" w14:paraId="458D6108" w14:textId="77777777" w:rsidTr="00D158D9">
        <w:trPr>
          <w:trHeight w:val="706"/>
        </w:trPr>
        <w:tc>
          <w:tcPr>
            <w:tcW w:w="4536" w:type="dxa"/>
            <w:gridSpan w:val="2"/>
            <w:tcBorders>
              <w:top w:val="single" w:sz="4" w:space="0" w:color="auto"/>
              <w:left w:val="nil"/>
              <w:bottom w:val="single" w:sz="4" w:space="0" w:color="auto"/>
              <w:right w:val="nil"/>
            </w:tcBorders>
            <w:vAlign w:val="center"/>
            <w:hideMark/>
          </w:tcPr>
          <w:p w14:paraId="2922F93F" w14:textId="77777777" w:rsidR="00D0626B" w:rsidRPr="003124EE" w:rsidRDefault="00D0626B" w:rsidP="00D158D9">
            <w:r w:rsidRPr="003124EE">
              <w:t>Measure</w:t>
            </w:r>
          </w:p>
        </w:tc>
        <w:tc>
          <w:tcPr>
            <w:tcW w:w="2552" w:type="dxa"/>
            <w:tcBorders>
              <w:top w:val="single" w:sz="4" w:space="0" w:color="auto"/>
              <w:left w:val="nil"/>
              <w:bottom w:val="single" w:sz="4" w:space="0" w:color="auto"/>
              <w:right w:val="nil"/>
            </w:tcBorders>
            <w:vAlign w:val="center"/>
            <w:hideMark/>
          </w:tcPr>
          <w:p w14:paraId="3DC0A56D" w14:textId="77777777" w:rsidR="00D0626B" w:rsidRPr="00CF5AF1" w:rsidRDefault="00D0626B" w:rsidP="00D158D9">
            <w:pPr>
              <w:jc w:val="center"/>
              <w:rPr>
                <w:lang w:val="fr-CA"/>
              </w:rPr>
            </w:pPr>
            <w:r w:rsidRPr="00CF5AF1">
              <w:rPr>
                <w:lang w:val="fr-CA"/>
              </w:rPr>
              <w:t xml:space="preserve">Pleasant </w:t>
            </w:r>
            <w:proofErr w:type="spellStart"/>
            <w:r w:rsidRPr="00CF5AF1">
              <w:rPr>
                <w:lang w:val="fr-CA"/>
              </w:rPr>
              <w:t>odour</w:t>
            </w:r>
            <w:proofErr w:type="spellEnd"/>
          </w:p>
          <w:p w14:paraId="229721A3" w14:textId="77777777" w:rsidR="00D0626B" w:rsidRPr="00CF5AF1" w:rsidRDefault="00D0626B" w:rsidP="00D158D9">
            <w:pPr>
              <w:jc w:val="center"/>
              <w:rPr>
                <w:lang w:val="fr-CA"/>
              </w:rPr>
            </w:pPr>
            <w:r w:rsidRPr="00CF5AF1">
              <w:rPr>
                <w:lang w:val="fr-CA"/>
              </w:rPr>
              <w:t>(</w:t>
            </w:r>
            <w:proofErr w:type="spellStart"/>
            <w:proofErr w:type="gramStart"/>
            <w:r w:rsidRPr="00CF5AF1">
              <w:rPr>
                <w:lang w:val="fr-CA"/>
              </w:rPr>
              <w:t>cinnamon</w:t>
            </w:r>
            <w:proofErr w:type="spellEnd"/>
            <w:proofErr w:type="gramEnd"/>
            <w:r w:rsidRPr="00CF5AF1">
              <w:rPr>
                <w:lang w:val="fr-CA"/>
              </w:rPr>
              <w:t xml:space="preserve"> </w:t>
            </w:r>
            <w:proofErr w:type="spellStart"/>
            <w:r w:rsidRPr="00CF5AF1">
              <w:rPr>
                <w:lang w:val="fr-CA"/>
              </w:rPr>
              <w:t>apple</w:t>
            </w:r>
            <w:proofErr w:type="spellEnd"/>
            <w:r w:rsidRPr="00CF5AF1">
              <w:rPr>
                <w:lang w:val="fr-CA"/>
              </w:rPr>
              <w:t xml:space="preserve"> pie)</w:t>
            </w:r>
          </w:p>
        </w:tc>
        <w:tc>
          <w:tcPr>
            <w:tcW w:w="2272" w:type="dxa"/>
            <w:tcBorders>
              <w:top w:val="single" w:sz="4" w:space="0" w:color="auto"/>
              <w:left w:val="nil"/>
              <w:bottom w:val="single" w:sz="4" w:space="0" w:color="auto"/>
              <w:right w:val="nil"/>
            </w:tcBorders>
            <w:vAlign w:val="center"/>
            <w:hideMark/>
          </w:tcPr>
          <w:p w14:paraId="1AF2384B" w14:textId="77777777" w:rsidR="00D0626B" w:rsidRPr="003124EE" w:rsidRDefault="00D0626B" w:rsidP="00D158D9">
            <w:pPr>
              <w:jc w:val="center"/>
            </w:pPr>
            <w:r w:rsidRPr="003124EE">
              <w:t>Unpleasant odour</w:t>
            </w:r>
          </w:p>
          <w:p w14:paraId="59665310" w14:textId="77777777" w:rsidR="00D0626B" w:rsidRPr="003124EE" w:rsidRDefault="00D0626B" w:rsidP="00D158D9">
            <w:pPr>
              <w:jc w:val="center"/>
            </w:pPr>
            <w:r w:rsidRPr="003124EE">
              <w:t>(urine)</w:t>
            </w:r>
          </w:p>
        </w:tc>
      </w:tr>
      <w:tr w:rsidR="00D0626B" w:rsidRPr="003124EE" w14:paraId="2C53355D" w14:textId="77777777" w:rsidTr="00D158D9">
        <w:trPr>
          <w:trHeight w:val="397"/>
        </w:trPr>
        <w:tc>
          <w:tcPr>
            <w:tcW w:w="4536" w:type="dxa"/>
            <w:gridSpan w:val="2"/>
            <w:tcBorders>
              <w:top w:val="single" w:sz="4" w:space="0" w:color="auto"/>
              <w:left w:val="nil"/>
              <w:bottom w:val="nil"/>
              <w:right w:val="nil"/>
            </w:tcBorders>
            <w:vAlign w:val="center"/>
            <w:hideMark/>
          </w:tcPr>
          <w:p w14:paraId="5BD0500A" w14:textId="77777777" w:rsidR="00D0626B" w:rsidRPr="003124EE" w:rsidRDefault="00D0626B" w:rsidP="00D158D9">
            <w:pPr>
              <w:spacing w:line="276" w:lineRule="auto"/>
            </w:pPr>
            <w:r w:rsidRPr="003124EE">
              <w:t>Detection rate</w:t>
            </w:r>
          </w:p>
        </w:tc>
        <w:tc>
          <w:tcPr>
            <w:tcW w:w="2552" w:type="dxa"/>
            <w:tcBorders>
              <w:top w:val="single" w:sz="4" w:space="0" w:color="auto"/>
              <w:left w:val="nil"/>
              <w:bottom w:val="nil"/>
              <w:right w:val="nil"/>
            </w:tcBorders>
            <w:vAlign w:val="center"/>
          </w:tcPr>
          <w:p w14:paraId="619B6B32" w14:textId="77777777" w:rsidR="00D0626B" w:rsidRPr="003124EE" w:rsidRDefault="00D0626B" w:rsidP="00D158D9">
            <w:pPr>
              <w:spacing w:line="276" w:lineRule="auto"/>
              <w:jc w:val="center"/>
            </w:pPr>
          </w:p>
        </w:tc>
        <w:tc>
          <w:tcPr>
            <w:tcW w:w="2272" w:type="dxa"/>
            <w:tcBorders>
              <w:top w:val="single" w:sz="4" w:space="0" w:color="auto"/>
              <w:left w:val="nil"/>
              <w:bottom w:val="nil"/>
              <w:right w:val="nil"/>
            </w:tcBorders>
            <w:vAlign w:val="center"/>
          </w:tcPr>
          <w:p w14:paraId="226C35A8" w14:textId="77777777" w:rsidR="00D0626B" w:rsidRPr="003124EE" w:rsidRDefault="00D0626B" w:rsidP="00D158D9">
            <w:pPr>
              <w:spacing w:line="276" w:lineRule="auto"/>
              <w:jc w:val="center"/>
            </w:pPr>
          </w:p>
        </w:tc>
      </w:tr>
      <w:tr w:rsidR="00D0626B" w:rsidRPr="003124EE" w14:paraId="2D24B491" w14:textId="77777777" w:rsidTr="00D158D9">
        <w:trPr>
          <w:trHeight w:val="397"/>
        </w:trPr>
        <w:tc>
          <w:tcPr>
            <w:tcW w:w="284" w:type="dxa"/>
            <w:tcBorders>
              <w:top w:val="nil"/>
              <w:left w:val="nil"/>
              <w:bottom w:val="nil"/>
              <w:right w:val="nil"/>
            </w:tcBorders>
          </w:tcPr>
          <w:p w14:paraId="0F3307A1" w14:textId="77777777" w:rsidR="00D0626B" w:rsidRPr="003124EE" w:rsidRDefault="00D0626B" w:rsidP="00D158D9"/>
        </w:tc>
        <w:tc>
          <w:tcPr>
            <w:tcW w:w="4252" w:type="dxa"/>
            <w:tcBorders>
              <w:top w:val="nil"/>
              <w:left w:val="nil"/>
              <w:bottom w:val="nil"/>
              <w:right w:val="nil"/>
            </w:tcBorders>
            <w:vAlign w:val="center"/>
            <w:hideMark/>
          </w:tcPr>
          <w:p w14:paraId="33B872F9" w14:textId="77777777" w:rsidR="00D0626B" w:rsidRPr="003124EE" w:rsidRDefault="00D0626B" w:rsidP="00D158D9">
            <w:pPr>
              <w:spacing w:line="276" w:lineRule="auto"/>
            </w:pPr>
            <w:r w:rsidRPr="003124EE">
              <w:t>All participants within condition</w:t>
            </w:r>
          </w:p>
        </w:tc>
        <w:tc>
          <w:tcPr>
            <w:tcW w:w="2552" w:type="dxa"/>
            <w:tcBorders>
              <w:top w:val="nil"/>
              <w:left w:val="nil"/>
              <w:bottom w:val="nil"/>
              <w:right w:val="nil"/>
            </w:tcBorders>
            <w:vAlign w:val="center"/>
            <w:hideMark/>
          </w:tcPr>
          <w:p w14:paraId="461F78DF" w14:textId="77777777" w:rsidR="00D0626B" w:rsidRPr="003124EE" w:rsidRDefault="00D0626B" w:rsidP="00D158D9">
            <w:pPr>
              <w:spacing w:line="276" w:lineRule="auto"/>
              <w:jc w:val="center"/>
            </w:pPr>
            <w:r w:rsidRPr="003124EE">
              <w:t>75%</w:t>
            </w:r>
          </w:p>
        </w:tc>
        <w:tc>
          <w:tcPr>
            <w:tcW w:w="2272" w:type="dxa"/>
            <w:tcBorders>
              <w:top w:val="nil"/>
              <w:left w:val="nil"/>
              <w:bottom w:val="nil"/>
              <w:right w:val="nil"/>
            </w:tcBorders>
            <w:vAlign w:val="center"/>
            <w:hideMark/>
          </w:tcPr>
          <w:p w14:paraId="406CE89D" w14:textId="77777777" w:rsidR="00D0626B" w:rsidRPr="003124EE" w:rsidRDefault="00D0626B" w:rsidP="00D158D9">
            <w:pPr>
              <w:spacing w:line="276" w:lineRule="auto"/>
              <w:jc w:val="center"/>
            </w:pPr>
            <w:r w:rsidRPr="003124EE">
              <w:t>80%</w:t>
            </w:r>
          </w:p>
        </w:tc>
      </w:tr>
      <w:tr w:rsidR="00D0626B" w:rsidRPr="003124EE" w14:paraId="4927FBAD" w14:textId="77777777" w:rsidTr="00D158D9">
        <w:trPr>
          <w:trHeight w:val="397"/>
        </w:trPr>
        <w:tc>
          <w:tcPr>
            <w:tcW w:w="284" w:type="dxa"/>
            <w:tcBorders>
              <w:top w:val="nil"/>
              <w:left w:val="nil"/>
              <w:bottom w:val="nil"/>
              <w:right w:val="nil"/>
            </w:tcBorders>
          </w:tcPr>
          <w:p w14:paraId="742FD6DF" w14:textId="77777777" w:rsidR="00D0626B" w:rsidRPr="003124EE" w:rsidRDefault="00D0626B" w:rsidP="00D158D9"/>
        </w:tc>
        <w:tc>
          <w:tcPr>
            <w:tcW w:w="4252" w:type="dxa"/>
            <w:tcBorders>
              <w:top w:val="nil"/>
              <w:left w:val="nil"/>
              <w:bottom w:val="nil"/>
              <w:right w:val="nil"/>
            </w:tcBorders>
            <w:vAlign w:val="center"/>
            <w:hideMark/>
          </w:tcPr>
          <w:p w14:paraId="6A530BB1" w14:textId="77777777" w:rsidR="00D0626B" w:rsidRPr="003124EE" w:rsidRDefault="00D0626B" w:rsidP="00D158D9">
            <w:pPr>
              <w:spacing w:line="276" w:lineRule="auto"/>
            </w:pPr>
            <w:r w:rsidRPr="003124EE">
              <w:t>Males within condition</w:t>
            </w:r>
          </w:p>
        </w:tc>
        <w:tc>
          <w:tcPr>
            <w:tcW w:w="2552" w:type="dxa"/>
            <w:tcBorders>
              <w:top w:val="nil"/>
              <w:left w:val="nil"/>
              <w:bottom w:val="nil"/>
              <w:right w:val="nil"/>
            </w:tcBorders>
            <w:vAlign w:val="center"/>
            <w:hideMark/>
          </w:tcPr>
          <w:p w14:paraId="0EF467AF" w14:textId="77777777" w:rsidR="00D0626B" w:rsidRPr="003124EE" w:rsidRDefault="00D0626B" w:rsidP="00D158D9">
            <w:pPr>
              <w:spacing w:line="276" w:lineRule="auto"/>
              <w:jc w:val="center"/>
            </w:pPr>
            <w:r w:rsidRPr="003124EE">
              <w:t>71.43%</w:t>
            </w:r>
          </w:p>
        </w:tc>
        <w:tc>
          <w:tcPr>
            <w:tcW w:w="2272" w:type="dxa"/>
            <w:tcBorders>
              <w:top w:val="nil"/>
              <w:left w:val="nil"/>
              <w:bottom w:val="nil"/>
              <w:right w:val="nil"/>
            </w:tcBorders>
            <w:vAlign w:val="center"/>
            <w:hideMark/>
          </w:tcPr>
          <w:p w14:paraId="513A6B02" w14:textId="77777777" w:rsidR="00D0626B" w:rsidRPr="003124EE" w:rsidRDefault="00D0626B" w:rsidP="00D158D9">
            <w:pPr>
              <w:spacing w:line="276" w:lineRule="auto"/>
              <w:jc w:val="center"/>
            </w:pPr>
            <w:r w:rsidRPr="003124EE">
              <w:t>71.43%</w:t>
            </w:r>
          </w:p>
        </w:tc>
      </w:tr>
      <w:tr w:rsidR="00D0626B" w:rsidRPr="003124EE" w14:paraId="40531898" w14:textId="77777777" w:rsidTr="00D158D9">
        <w:trPr>
          <w:trHeight w:val="397"/>
        </w:trPr>
        <w:tc>
          <w:tcPr>
            <w:tcW w:w="284" w:type="dxa"/>
            <w:tcBorders>
              <w:top w:val="nil"/>
              <w:left w:val="nil"/>
              <w:bottom w:val="nil"/>
              <w:right w:val="nil"/>
            </w:tcBorders>
          </w:tcPr>
          <w:p w14:paraId="1DEEEE6C" w14:textId="77777777" w:rsidR="00D0626B" w:rsidRPr="003124EE" w:rsidRDefault="00D0626B" w:rsidP="00D158D9"/>
        </w:tc>
        <w:tc>
          <w:tcPr>
            <w:tcW w:w="4252" w:type="dxa"/>
            <w:tcBorders>
              <w:top w:val="nil"/>
              <w:left w:val="nil"/>
              <w:bottom w:val="nil"/>
              <w:right w:val="nil"/>
            </w:tcBorders>
            <w:vAlign w:val="center"/>
            <w:hideMark/>
          </w:tcPr>
          <w:p w14:paraId="723D5F27" w14:textId="77777777" w:rsidR="00D0626B" w:rsidRPr="003124EE" w:rsidRDefault="00D0626B" w:rsidP="00D158D9">
            <w:pPr>
              <w:spacing w:line="276" w:lineRule="auto"/>
            </w:pPr>
            <w:r w:rsidRPr="003124EE">
              <w:t>Females within condition</w:t>
            </w:r>
          </w:p>
        </w:tc>
        <w:tc>
          <w:tcPr>
            <w:tcW w:w="2552" w:type="dxa"/>
            <w:tcBorders>
              <w:top w:val="nil"/>
              <w:left w:val="nil"/>
              <w:bottom w:val="nil"/>
              <w:right w:val="nil"/>
            </w:tcBorders>
            <w:vAlign w:val="center"/>
            <w:hideMark/>
          </w:tcPr>
          <w:p w14:paraId="377844AB" w14:textId="77777777" w:rsidR="00D0626B" w:rsidRPr="003124EE" w:rsidRDefault="00D0626B" w:rsidP="00D158D9">
            <w:pPr>
              <w:spacing w:line="276" w:lineRule="auto"/>
              <w:jc w:val="center"/>
            </w:pPr>
            <w:r w:rsidRPr="003124EE">
              <w:t>76.92%</w:t>
            </w:r>
          </w:p>
        </w:tc>
        <w:tc>
          <w:tcPr>
            <w:tcW w:w="2272" w:type="dxa"/>
            <w:tcBorders>
              <w:top w:val="nil"/>
              <w:left w:val="nil"/>
              <w:bottom w:val="nil"/>
              <w:right w:val="nil"/>
            </w:tcBorders>
            <w:vAlign w:val="center"/>
            <w:hideMark/>
          </w:tcPr>
          <w:p w14:paraId="1BEF245F" w14:textId="77777777" w:rsidR="00D0626B" w:rsidRPr="003124EE" w:rsidRDefault="00D0626B" w:rsidP="00D158D9">
            <w:pPr>
              <w:spacing w:line="276" w:lineRule="auto"/>
              <w:jc w:val="center"/>
            </w:pPr>
            <w:r w:rsidRPr="003124EE">
              <w:t>84.62%</w:t>
            </w:r>
          </w:p>
        </w:tc>
      </w:tr>
      <w:tr w:rsidR="00D0626B" w:rsidRPr="003124EE" w14:paraId="5F9CB5B9" w14:textId="77777777" w:rsidTr="00D158D9">
        <w:trPr>
          <w:trHeight w:val="397"/>
        </w:trPr>
        <w:tc>
          <w:tcPr>
            <w:tcW w:w="4536" w:type="dxa"/>
            <w:gridSpan w:val="2"/>
            <w:tcBorders>
              <w:top w:val="nil"/>
              <w:left w:val="nil"/>
              <w:bottom w:val="nil"/>
              <w:right w:val="nil"/>
            </w:tcBorders>
            <w:vAlign w:val="center"/>
            <w:hideMark/>
          </w:tcPr>
          <w:p w14:paraId="4EE34F04" w14:textId="77777777" w:rsidR="00D0626B" w:rsidRPr="003124EE" w:rsidRDefault="00D0626B" w:rsidP="00D158D9">
            <w:pPr>
              <w:spacing w:line="276" w:lineRule="auto"/>
              <w:rPr>
                <w:lang w:val="en-CA"/>
              </w:rPr>
            </w:pPr>
            <w:r w:rsidRPr="003124EE">
              <w:rPr>
                <w:lang w:val="en-CA"/>
              </w:rPr>
              <w:t>Rate of association to memory</w:t>
            </w:r>
          </w:p>
        </w:tc>
        <w:tc>
          <w:tcPr>
            <w:tcW w:w="2552" w:type="dxa"/>
            <w:tcBorders>
              <w:top w:val="nil"/>
              <w:left w:val="nil"/>
              <w:bottom w:val="nil"/>
              <w:right w:val="nil"/>
            </w:tcBorders>
            <w:vAlign w:val="center"/>
            <w:hideMark/>
          </w:tcPr>
          <w:p w14:paraId="015B3774" w14:textId="77777777" w:rsidR="00D0626B" w:rsidRPr="003124EE" w:rsidRDefault="00D0626B" w:rsidP="00D158D9">
            <w:pPr>
              <w:spacing w:line="276" w:lineRule="auto"/>
              <w:jc w:val="center"/>
            </w:pPr>
            <w:r w:rsidRPr="003124EE">
              <w:t>53.33%</w:t>
            </w:r>
          </w:p>
        </w:tc>
        <w:tc>
          <w:tcPr>
            <w:tcW w:w="2272" w:type="dxa"/>
            <w:tcBorders>
              <w:top w:val="nil"/>
              <w:left w:val="nil"/>
              <w:bottom w:val="nil"/>
              <w:right w:val="nil"/>
            </w:tcBorders>
            <w:vAlign w:val="center"/>
            <w:hideMark/>
          </w:tcPr>
          <w:p w14:paraId="236B1F4E" w14:textId="77777777" w:rsidR="00D0626B" w:rsidRPr="003124EE" w:rsidRDefault="00D0626B" w:rsidP="00D158D9">
            <w:pPr>
              <w:spacing w:line="276" w:lineRule="auto"/>
              <w:jc w:val="center"/>
            </w:pPr>
            <w:r w:rsidRPr="003124EE">
              <w:t>50.00%</w:t>
            </w:r>
          </w:p>
        </w:tc>
      </w:tr>
      <w:tr w:rsidR="00D0626B" w:rsidRPr="003124EE" w14:paraId="10C2E503" w14:textId="77777777" w:rsidTr="00D158D9">
        <w:trPr>
          <w:trHeight w:val="397"/>
        </w:trPr>
        <w:tc>
          <w:tcPr>
            <w:tcW w:w="4536" w:type="dxa"/>
            <w:gridSpan w:val="2"/>
            <w:tcBorders>
              <w:top w:val="nil"/>
              <w:left w:val="nil"/>
              <w:bottom w:val="nil"/>
              <w:right w:val="nil"/>
            </w:tcBorders>
            <w:vAlign w:val="center"/>
            <w:hideMark/>
          </w:tcPr>
          <w:p w14:paraId="19F45D01" w14:textId="77777777" w:rsidR="00D0626B" w:rsidRPr="003124EE" w:rsidRDefault="00D0626B" w:rsidP="00D158D9">
            <w:pPr>
              <w:rPr>
                <w:lang w:val="en-CA"/>
              </w:rPr>
            </w:pPr>
            <w:r w:rsidRPr="003124EE">
              <w:rPr>
                <w:lang w:val="en-CA"/>
              </w:rPr>
              <w:t>Participants’ presumed source of odour</w:t>
            </w:r>
          </w:p>
        </w:tc>
        <w:tc>
          <w:tcPr>
            <w:tcW w:w="2552" w:type="dxa"/>
            <w:tcBorders>
              <w:top w:val="nil"/>
              <w:left w:val="nil"/>
              <w:bottom w:val="nil"/>
              <w:right w:val="nil"/>
            </w:tcBorders>
            <w:vAlign w:val="center"/>
          </w:tcPr>
          <w:p w14:paraId="4EA0A29D" w14:textId="77777777" w:rsidR="00D0626B" w:rsidRPr="003124EE" w:rsidRDefault="00D0626B" w:rsidP="00D158D9">
            <w:pPr>
              <w:spacing w:line="276" w:lineRule="auto"/>
              <w:jc w:val="center"/>
              <w:rPr>
                <w:lang w:val="en-CA"/>
              </w:rPr>
            </w:pPr>
          </w:p>
        </w:tc>
        <w:tc>
          <w:tcPr>
            <w:tcW w:w="2272" w:type="dxa"/>
            <w:tcBorders>
              <w:top w:val="nil"/>
              <w:left w:val="nil"/>
              <w:bottom w:val="nil"/>
              <w:right w:val="nil"/>
            </w:tcBorders>
            <w:vAlign w:val="center"/>
          </w:tcPr>
          <w:p w14:paraId="038B442B" w14:textId="77777777" w:rsidR="00D0626B" w:rsidRPr="003124EE" w:rsidRDefault="00D0626B" w:rsidP="00D158D9">
            <w:pPr>
              <w:spacing w:line="276" w:lineRule="auto"/>
              <w:jc w:val="center"/>
              <w:rPr>
                <w:lang w:val="en-CA"/>
              </w:rPr>
            </w:pPr>
          </w:p>
        </w:tc>
      </w:tr>
      <w:tr w:rsidR="00D0626B" w:rsidRPr="003124EE" w14:paraId="58AEDB46" w14:textId="77777777" w:rsidTr="00D158D9">
        <w:trPr>
          <w:trHeight w:val="397"/>
        </w:trPr>
        <w:tc>
          <w:tcPr>
            <w:tcW w:w="284" w:type="dxa"/>
            <w:tcBorders>
              <w:top w:val="nil"/>
              <w:left w:val="nil"/>
              <w:bottom w:val="nil"/>
              <w:right w:val="nil"/>
            </w:tcBorders>
          </w:tcPr>
          <w:p w14:paraId="1FD87131" w14:textId="77777777" w:rsidR="00D0626B" w:rsidRPr="003124EE" w:rsidRDefault="00D0626B" w:rsidP="00D158D9">
            <w:pPr>
              <w:rPr>
                <w:lang w:val="en-CA"/>
              </w:rPr>
            </w:pPr>
          </w:p>
        </w:tc>
        <w:tc>
          <w:tcPr>
            <w:tcW w:w="4252" w:type="dxa"/>
            <w:tcBorders>
              <w:top w:val="nil"/>
              <w:left w:val="nil"/>
              <w:bottom w:val="nil"/>
              <w:right w:val="nil"/>
            </w:tcBorders>
            <w:vAlign w:val="center"/>
            <w:hideMark/>
          </w:tcPr>
          <w:p w14:paraId="4D7B3B1E" w14:textId="77777777" w:rsidR="00D0626B" w:rsidRPr="003124EE" w:rsidRDefault="00D0626B" w:rsidP="00D158D9">
            <w:r w:rsidRPr="003124EE">
              <w:t>Element of VE</w:t>
            </w:r>
          </w:p>
        </w:tc>
        <w:tc>
          <w:tcPr>
            <w:tcW w:w="2552" w:type="dxa"/>
            <w:tcBorders>
              <w:top w:val="nil"/>
              <w:left w:val="nil"/>
              <w:bottom w:val="nil"/>
              <w:right w:val="nil"/>
            </w:tcBorders>
            <w:vAlign w:val="center"/>
            <w:hideMark/>
          </w:tcPr>
          <w:p w14:paraId="0B97D155" w14:textId="77777777" w:rsidR="00D0626B" w:rsidRPr="003124EE" w:rsidRDefault="00D0626B" w:rsidP="00D158D9">
            <w:pPr>
              <w:spacing w:line="276" w:lineRule="auto"/>
              <w:jc w:val="center"/>
            </w:pPr>
            <w:r w:rsidRPr="003124EE">
              <w:t>73.33%</w:t>
            </w:r>
          </w:p>
        </w:tc>
        <w:tc>
          <w:tcPr>
            <w:tcW w:w="2272" w:type="dxa"/>
            <w:tcBorders>
              <w:top w:val="nil"/>
              <w:left w:val="nil"/>
              <w:bottom w:val="nil"/>
              <w:right w:val="nil"/>
            </w:tcBorders>
            <w:vAlign w:val="center"/>
            <w:hideMark/>
          </w:tcPr>
          <w:p w14:paraId="5A465EC7" w14:textId="77777777" w:rsidR="00D0626B" w:rsidRPr="003124EE" w:rsidRDefault="00D0626B" w:rsidP="00D158D9">
            <w:pPr>
              <w:spacing w:line="276" w:lineRule="auto"/>
              <w:jc w:val="center"/>
            </w:pPr>
            <w:r w:rsidRPr="003124EE">
              <w:t>37.50%</w:t>
            </w:r>
          </w:p>
        </w:tc>
      </w:tr>
      <w:tr w:rsidR="00D0626B" w:rsidRPr="003124EE" w14:paraId="4F5D5912" w14:textId="77777777" w:rsidTr="00D158D9">
        <w:trPr>
          <w:trHeight w:val="397"/>
        </w:trPr>
        <w:tc>
          <w:tcPr>
            <w:tcW w:w="284" w:type="dxa"/>
            <w:tcBorders>
              <w:top w:val="nil"/>
              <w:left w:val="nil"/>
              <w:bottom w:val="nil"/>
              <w:right w:val="nil"/>
            </w:tcBorders>
          </w:tcPr>
          <w:p w14:paraId="471EE43F" w14:textId="77777777" w:rsidR="00D0626B" w:rsidRPr="003124EE" w:rsidRDefault="00D0626B" w:rsidP="00D158D9"/>
        </w:tc>
        <w:tc>
          <w:tcPr>
            <w:tcW w:w="4252" w:type="dxa"/>
            <w:tcBorders>
              <w:top w:val="nil"/>
              <w:left w:val="nil"/>
              <w:bottom w:val="nil"/>
              <w:right w:val="nil"/>
            </w:tcBorders>
            <w:vAlign w:val="center"/>
            <w:hideMark/>
          </w:tcPr>
          <w:p w14:paraId="07271A3C" w14:textId="77777777" w:rsidR="00D0626B" w:rsidRPr="003124EE" w:rsidRDefault="00D0626B" w:rsidP="00D158D9">
            <w:pPr>
              <w:spacing w:line="276" w:lineRule="auto"/>
            </w:pPr>
            <w:r w:rsidRPr="003124EE">
              <w:t>Element of physical world</w:t>
            </w:r>
          </w:p>
        </w:tc>
        <w:tc>
          <w:tcPr>
            <w:tcW w:w="2552" w:type="dxa"/>
            <w:tcBorders>
              <w:top w:val="nil"/>
              <w:left w:val="nil"/>
              <w:bottom w:val="nil"/>
              <w:right w:val="nil"/>
            </w:tcBorders>
            <w:vAlign w:val="center"/>
            <w:hideMark/>
          </w:tcPr>
          <w:p w14:paraId="02261F01" w14:textId="77777777" w:rsidR="00D0626B" w:rsidRPr="003124EE" w:rsidRDefault="00D0626B" w:rsidP="00D158D9">
            <w:pPr>
              <w:spacing w:line="276" w:lineRule="auto"/>
              <w:jc w:val="center"/>
            </w:pPr>
            <w:r w:rsidRPr="003124EE">
              <w:t>0%</w:t>
            </w:r>
          </w:p>
        </w:tc>
        <w:tc>
          <w:tcPr>
            <w:tcW w:w="2272" w:type="dxa"/>
            <w:tcBorders>
              <w:top w:val="nil"/>
              <w:left w:val="nil"/>
              <w:bottom w:val="nil"/>
              <w:right w:val="nil"/>
            </w:tcBorders>
            <w:vAlign w:val="center"/>
            <w:hideMark/>
          </w:tcPr>
          <w:p w14:paraId="0B802D7A" w14:textId="77777777" w:rsidR="00D0626B" w:rsidRPr="003124EE" w:rsidRDefault="00D0626B" w:rsidP="00D158D9">
            <w:pPr>
              <w:spacing w:line="276" w:lineRule="auto"/>
              <w:jc w:val="center"/>
            </w:pPr>
            <w:r w:rsidRPr="003124EE">
              <w:t>6.25%</w:t>
            </w:r>
          </w:p>
        </w:tc>
      </w:tr>
      <w:tr w:rsidR="00D0626B" w:rsidRPr="003124EE" w14:paraId="0F47B8D2" w14:textId="77777777" w:rsidTr="00D158D9">
        <w:trPr>
          <w:trHeight w:val="397"/>
        </w:trPr>
        <w:tc>
          <w:tcPr>
            <w:tcW w:w="284" w:type="dxa"/>
            <w:tcBorders>
              <w:top w:val="nil"/>
              <w:left w:val="nil"/>
              <w:bottom w:val="nil"/>
              <w:right w:val="nil"/>
            </w:tcBorders>
          </w:tcPr>
          <w:p w14:paraId="4B2ED767" w14:textId="77777777" w:rsidR="00D0626B" w:rsidRPr="003124EE" w:rsidRDefault="00D0626B" w:rsidP="00D158D9"/>
        </w:tc>
        <w:tc>
          <w:tcPr>
            <w:tcW w:w="4252" w:type="dxa"/>
            <w:tcBorders>
              <w:top w:val="nil"/>
              <w:left w:val="nil"/>
              <w:bottom w:val="nil"/>
              <w:right w:val="nil"/>
            </w:tcBorders>
            <w:vAlign w:val="center"/>
            <w:hideMark/>
          </w:tcPr>
          <w:p w14:paraId="5F0A6D19" w14:textId="77777777" w:rsidR="00D0626B" w:rsidRPr="003124EE" w:rsidRDefault="00D0626B" w:rsidP="00D158D9">
            <w:pPr>
              <w:spacing w:line="276" w:lineRule="auto"/>
            </w:pPr>
            <w:r w:rsidRPr="003124EE">
              <w:t>Imaginary source</w:t>
            </w:r>
          </w:p>
        </w:tc>
        <w:tc>
          <w:tcPr>
            <w:tcW w:w="2552" w:type="dxa"/>
            <w:tcBorders>
              <w:top w:val="nil"/>
              <w:left w:val="nil"/>
              <w:bottom w:val="nil"/>
              <w:right w:val="nil"/>
            </w:tcBorders>
            <w:vAlign w:val="center"/>
            <w:hideMark/>
          </w:tcPr>
          <w:p w14:paraId="2E083A64" w14:textId="77777777" w:rsidR="00D0626B" w:rsidRPr="003124EE" w:rsidRDefault="00D0626B" w:rsidP="00D158D9">
            <w:pPr>
              <w:spacing w:line="276" w:lineRule="auto"/>
              <w:jc w:val="center"/>
            </w:pPr>
            <w:r w:rsidRPr="003124EE">
              <w:t>13.33%</w:t>
            </w:r>
          </w:p>
        </w:tc>
        <w:tc>
          <w:tcPr>
            <w:tcW w:w="2272" w:type="dxa"/>
            <w:tcBorders>
              <w:top w:val="nil"/>
              <w:left w:val="nil"/>
              <w:bottom w:val="nil"/>
              <w:right w:val="nil"/>
            </w:tcBorders>
            <w:vAlign w:val="center"/>
            <w:hideMark/>
          </w:tcPr>
          <w:p w14:paraId="0CB4CDCC" w14:textId="77777777" w:rsidR="00D0626B" w:rsidRPr="003124EE" w:rsidRDefault="00D0626B" w:rsidP="00D158D9">
            <w:pPr>
              <w:spacing w:line="276" w:lineRule="auto"/>
              <w:jc w:val="center"/>
            </w:pPr>
            <w:r w:rsidRPr="003124EE">
              <w:t>37.50%</w:t>
            </w:r>
          </w:p>
        </w:tc>
      </w:tr>
      <w:tr w:rsidR="00D0626B" w:rsidRPr="003124EE" w14:paraId="0BEF6E14" w14:textId="77777777" w:rsidTr="00D158D9">
        <w:trPr>
          <w:trHeight w:val="397"/>
        </w:trPr>
        <w:tc>
          <w:tcPr>
            <w:tcW w:w="284" w:type="dxa"/>
            <w:tcBorders>
              <w:top w:val="nil"/>
              <w:left w:val="nil"/>
              <w:bottom w:val="single" w:sz="4" w:space="0" w:color="auto"/>
              <w:right w:val="nil"/>
            </w:tcBorders>
          </w:tcPr>
          <w:p w14:paraId="4D89FC1F" w14:textId="77777777" w:rsidR="00D0626B" w:rsidRPr="003124EE" w:rsidRDefault="00D0626B" w:rsidP="00D158D9"/>
        </w:tc>
        <w:tc>
          <w:tcPr>
            <w:tcW w:w="4252" w:type="dxa"/>
            <w:tcBorders>
              <w:top w:val="nil"/>
              <w:left w:val="nil"/>
              <w:bottom w:val="single" w:sz="4" w:space="0" w:color="auto"/>
              <w:right w:val="nil"/>
            </w:tcBorders>
            <w:vAlign w:val="center"/>
            <w:hideMark/>
          </w:tcPr>
          <w:p w14:paraId="419A1511" w14:textId="77777777" w:rsidR="00D0626B" w:rsidRPr="003124EE" w:rsidRDefault="00D0626B" w:rsidP="00D158D9">
            <w:pPr>
              <w:spacing w:line="276" w:lineRule="auto"/>
            </w:pPr>
            <w:r w:rsidRPr="003124EE">
              <w:t>Unknown</w:t>
            </w:r>
          </w:p>
        </w:tc>
        <w:tc>
          <w:tcPr>
            <w:tcW w:w="2552" w:type="dxa"/>
            <w:tcBorders>
              <w:top w:val="nil"/>
              <w:left w:val="nil"/>
              <w:bottom w:val="single" w:sz="4" w:space="0" w:color="auto"/>
              <w:right w:val="nil"/>
            </w:tcBorders>
            <w:vAlign w:val="center"/>
            <w:hideMark/>
          </w:tcPr>
          <w:p w14:paraId="4F2704EB" w14:textId="77777777" w:rsidR="00D0626B" w:rsidRPr="003124EE" w:rsidRDefault="00D0626B" w:rsidP="00D158D9">
            <w:pPr>
              <w:spacing w:line="276" w:lineRule="auto"/>
              <w:jc w:val="center"/>
            </w:pPr>
            <w:r w:rsidRPr="003124EE">
              <w:t>13.33%</w:t>
            </w:r>
          </w:p>
        </w:tc>
        <w:tc>
          <w:tcPr>
            <w:tcW w:w="2272" w:type="dxa"/>
            <w:tcBorders>
              <w:top w:val="nil"/>
              <w:left w:val="nil"/>
              <w:bottom w:val="single" w:sz="4" w:space="0" w:color="auto"/>
              <w:right w:val="nil"/>
            </w:tcBorders>
            <w:vAlign w:val="center"/>
            <w:hideMark/>
          </w:tcPr>
          <w:p w14:paraId="26F479BF" w14:textId="77777777" w:rsidR="00D0626B" w:rsidRPr="003124EE" w:rsidRDefault="00D0626B" w:rsidP="00D158D9">
            <w:pPr>
              <w:spacing w:line="276" w:lineRule="auto"/>
              <w:jc w:val="center"/>
            </w:pPr>
            <w:r w:rsidRPr="003124EE">
              <w:t>18.75%</w:t>
            </w:r>
          </w:p>
        </w:tc>
      </w:tr>
    </w:tbl>
    <w:p w14:paraId="7B5EB8FF" w14:textId="77777777" w:rsidR="00D0626B" w:rsidRPr="003124EE" w:rsidRDefault="00D0626B" w:rsidP="00D0626B">
      <w:pPr>
        <w:spacing w:after="200" w:line="276" w:lineRule="auto"/>
        <w:rPr>
          <w:rFonts w:eastAsia="Calibri"/>
        </w:rPr>
      </w:pPr>
    </w:p>
    <w:p w14:paraId="7BEC16A1" w14:textId="77777777" w:rsidR="00D0626B" w:rsidRPr="003124EE" w:rsidRDefault="00D0626B" w:rsidP="00D0626B">
      <w:pPr>
        <w:spacing w:after="200" w:line="276" w:lineRule="auto"/>
        <w:rPr>
          <w:rFonts w:eastAsia="Calibri"/>
          <w:b/>
        </w:rPr>
      </w:pPr>
      <w:r w:rsidRPr="003124EE">
        <w:rPr>
          <w:rFonts w:eastAsia="Calibri"/>
          <w:b/>
        </w:rPr>
        <w:br w:type="page"/>
      </w:r>
    </w:p>
    <w:p w14:paraId="2B2D1267" w14:textId="6B6105AC" w:rsidR="00D0626B" w:rsidRDefault="00D0626B" w:rsidP="00D0626B">
      <w:pPr>
        <w:pStyle w:val="Heading4Paragraph"/>
        <w:rPr>
          <w:rFonts w:eastAsia="Calibri"/>
        </w:rPr>
      </w:pPr>
      <w:r w:rsidRPr="00B96DF0">
        <w:rPr>
          <w:rFonts w:eastAsia="Calibri"/>
          <w:b/>
          <w:i/>
        </w:rPr>
        <w:lastRenderedPageBreak/>
        <w:t>Comparison between the characteristics of the PLE and UNP odours.</w:t>
      </w:r>
      <w:r w:rsidRPr="003124EE">
        <w:rPr>
          <w:rFonts w:eastAsia="Calibri"/>
          <w:b/>
        </w:rPr>
        <w:t xml:space="preserve"> </w:t>
      </w:r>
      <w:r w:rsidRPr="003124EE">
        <w:rPr>
          <w:rFonts w:eastAsia="Calibri"/>
        </w:rPr>
        <w:t>Due to the non-normal distribution within the groups and in order to compare the characteristics of the PLE and UNP odours, non-parametric comparisons were conducted. These confirmed that, as assessed by the PLE (</w:t>
      </w:r>
      <w:r w:rsidRPr="003124EE">
        <w:rPr>
          <w:rFonts w:eastAsia="Calibri"/>
          <w:i/>
        </w:rPr>
        <w:t>n</w:t>
      </w:r>
      <w:r w:rsidRPr="003124EE">
        <w:rPr>
          <w:rFonts w:eastAsia="Calibri"/>
        </w:rPr>
        <w:t xml:space="preserve"> = 15) and UNP (</w:t>
      </w:r>
      <w:r w:rsidRPr="003124EE">
        <w:rPr>
          <w:rFonts w:eastAsia="Calibri"/>
          <w:i/>
        </w:rPr>
        <w:t>n</w:t>
      </w:r>
      <w:r w:rsidRPr="003124EE">
        <w:rPr>
          <w:rFonts w:eastAsia="Calibri"/>
        </w:rPr>
        <w:t xml:space="preserve"> = 16) participants who detected the odour </w:t>
      </w:r>
      <w:r w:rsidRPr="003124EE">
        <w:rPr>
          <w:rFonts w:eastAsia="Calibri"/>
          <w:i/>
        </w:rPr>
        <w:t xml:space="preserve">in </w:t>
      </w:r>
      <w:proofErr w:type="spellStart"/>
      <w:r w:rsidRPr="003124EE">
        <w:rPr>
          <w:rFonts w:eastAsia="Calibri"/>
          <w:i/>
        </w:rPr>
        <w:t>virtuo</w:t>
      </w:r>
      <w:proofErr w:type="spellEnd"/>
      <w:r w:rsidRPr="003124EE">
        <w:rPr>
          <w:rFonts w:eastAsia="Calibri"/>
        </w:rPr>
        <w:t>, the PLE odour was statistically significantly more pleasant (</w:t>
      </w:r>
      <w:proofErr w:type="spellStart"/>
      <w:r w:rsidRPr="003124EE">
        <w:rPr>
          <w:rFonts w:eastAsia="Calibri"/>
          <w:i/>
        </w:rPr>
        <w:t>Mdn</w:t>
      </w:r>
      <w:proofErr w:type="spellEnd"/>
      <w:r w:rsidRPr="003124EE">
        <w:rPr>
          <w:rFonts w:eastAsia="Calibri"/>
        </w:rPr>
        <w:t xml:space="preserve"> = 5.00) than the UNP odour (</w:t>
      </w:r>
      <w:proofErr w:type="spellStart"/>
      <w:r w:rsidRPr="003124EE">
        <w:rPr>
          <w:rFonts w:eastAsia="Calibri"/>
          <w:i/>
        </w:rPr>
        <w:t>Mdn</w:t>
      </w:r>
      <w:proofErr w:type="spellEnd"/>
      <w:r w:rsidRPr="003124EE">
        <w:rPr>
          <w:rFonts w:eastAsia="Calibri"/>
        </w:rPr>
        <w:t xml:space="preserve"> = 1.00; </w:t>
      </w:r>
      <w:r w:rsidRPr="003124EE">
        <w:rPr>
          <w:rFonts w:eastAsia="Calibri"/>
          <w:i/>
        </w:rPr>
        <w:t>U</w:t>
      </w:r>
      <w:r w:rsidRPr="003124EE">
        <w:rPr>
          <w:rFonts w:eastAsia="Calibri"/>
        </w:rPr>
        <w:t xml:space="preserve"> = 0.00, </w:t>
      </w:r>
      <w:r w:rsidRPr="003124EE">
        <w:rPr>
          <w:rFonts w:eastAsia="Calibri"/>
          <w:i/>
        </w:rPr>
        <w:t>z</w:t>
      </w:r>
      <w:r w:rsidRPr="003124EE">
        <w:rPr>
          <w:rFonts w:eastAsia="Calibri"/>
        </w:rPr>
        <w:t xml:space="preserve"> = -4.84, </w:t>
      </w:r>
      <w:r w:rsidRPr="003124EE">
        <w:rPr>
          <w:rFonts w:eastAsia="Calibri"/>
          <w:i/>
        </w:rPr>
        <w:t>p</w:t>
      </w:r>
      <w:r w:rsidRPr="003124EE">
        <w:rPr>
          <w:rFonts w:eastAsia="Calibri"/>
        </w:rPr>
        <w:t xml:space="preserve"> = .00, </w:t>
      </w:r>
      <w:r w:rsidRPr="003124EE">
        <w:rPr>
          <w:rFonts w:eastAsia="Calibri"/>
          <w:i/>
        </w:rPr>
        <w:t>d</w:t>
      </w:r>
      <w:r w:rsidRPr="003124EE">
        <w:rPr>
          <w:rFonts w:eastAsia="Calibri"/>
        </w:rPr>
        <w:t xml:space="preserve"> = -4.39, </w:t>
      </w:r>
      <w:r w:rsidRPr="003124EE">
        <w:rPr>
          <w:rFonts w:eastAsia="Calibri"/>
          <w:i/>
        </w:rPr>
        <w:t>r</w:t>
      </w:r>
      <w:r w:rsidRPr="003124EE">
        <w:rPr>
          <w:rFonts w:eastAsia="Calibri"/>
        </w:rPr>
        <w:t xml:space="preserve"> = -.91), more familiar (</w:t>
      </w:r>
      <w:proofErr w:type="spellStart"/>
      <w:r w:rsidRPr="003124EE">
        <w:rPr>
          <w:rFonts w:eastAsia="Calibri"/>
          <w:i/>
        </w:rPr>
        <w:t>Mdn</w:t>
      </w:r>
      <w:proofErr w:type="spellEnd"/>
      <w:r w:rsidRPr="003124EE">
        <w:rPr>
          <w:rFonts w:eastAsia="Calibri"/>
        </w:rPr>
        <w:t xml:space="preserve"> = 5.00) than the UNP odour (</w:t>
      </w:r>
      <w:proofErr w:type="spellStart"/>
      <w:r w:rsidRPr="003124EE">
        <w:rPr>
          <w:rFonts w:eastAsia="Calibri"/>
          <w:i/>
        </w:rPr>
        <w:t>Mdn</w:t>
      </w:r>
      <w:proofErr w:type="spellEnd"/>
      <w:r w:rsidRPr="003124EE">
        <w:rPr>
          <w:rFonts w:eastAsia="Calibri"/>
        </w:rPr>
        <w:t xml:space="preserve"> = 3.00; </w:t>
      </w:r>
      <w:r w:rsidRPr="003124EE">
        <w:rPr>
          <w:rFonts w:eastAsia="Calibri"/>
          <w:i/>
        </w:rPr>
        <w:t>U</w:t>
      </w:r>
      <w:r w:rsidRPr="003124EE">
        <w:rPr>
          <w:rFonts w:eastAsia="Calibri"/>
        </w:rPr>
        <w:t xml:space="preserve"> = 33.50, </w:t>
      </w:r>
      <w:r w:rsidRPr="003124EE">
        <w:rPr>
          <w:rFonts w:eastAsia="Calibri"/>
          <w:i/>
        </w:rPr>
        <w:t>z</w:t>
      </w:r>
      <w:r w:rsidRPr="003124EE">
        <w:rPr>
          <w:rFonts w:eastAsia="Calibri"/>
        </w:rPr>
        <w:t xml:space="preserve"> = -3.48, </w:t>
      </w:r>
      <w:r w:rsidRPr="003124EE">
        <w:rPr>
          <w:rFonts w:eastAsia="Calibri"/>
          <w:i/>
        </w:rPr>
        <w:t>p</w:t>
      </w:r>
      <w:r w:rsidRPr="003124EE">
        <w:rPr>
          <w:rFonts w:eastAsia="Calibri"/>
        </w:rPr>
        <w:t xml:space="preserve"> = .00, </w:t>
      </w:r>
      <w:r w:rsidRPr="003124EE">
        <w:rPr>
          <w:rFonts w:eastAsia="Calibri"/>
          <w:i/>
        </w:rPr>
        <w:t>d</w:t>
      </w:r>
      <w:r w:rsidRPr="003124EE">
        <w:rPr>
          <w:rFonts w:eastAsia="Calibri"/>
        </w:rPr>
        <w:t xml:space="preserve"> = -1.62, </w:t>
      </w:r>
      <w:r w:rsidRPr="003124EE">
        <w:rPr>
          <w:rFonts w:eastAsia="Calibri"/>
          <w:i/>
        </w:rPr>
        <w:t>r</w:t>
      </w:r>
      <w:r w:rsidRPr="003124EE">
        <w:rPr>
          <w:rFonts w:eastAsia="Calibri"/>
        </w:rPr>
        <w:t xml:space="preserve"> = -.63), and more congruent with the visual scene (</w:t>
      </w:r>
      <w:proofErr w:type="spellStart"/>
      <w:r w:rsidRPr="003124EE">
        <w:rPr>
          <w:rFonts w:eastAsia="Calibri"/>
          <w:i/>
        </w:rPr>
        <w:t>Mdn</w:t>
      </w:r>
      <w:proofErr w:type="spellEnd"/>
      <w:r w:rsidRPr="003124EE">
        <w:rPr>
          <w:rFonts w:eastAsia="Calibri"/>
        </w:rPr>
        <w:t xml:space="preserve"> = 5.00) than the UNP odour (</w:t>
      </w:r>
      <w:proofErr w:type="spellStart"/>
      <w:r w:rsidRPr="003124EE">
        <w:rPr>
          <w:rFonts w:eastAsia="Calibri"/>
          <w:i/>
        </w:rPr>
        <w:t>Mdn</w:t>
      </w:r>
      <w:proofErr w:type="spellEnd"/>
      <w:r w:rsidRPr="003124EE">
        <w:rPr>
          <w:rFonts w:eastAsia="Calibri"/>
        </w:rPr>
        <w:t xml:space="preserve"> = 2.00; </w:t>
      </w:r>
      <w:r w:rsidRPr="003124EE">
        <w:rPr>
          <w:rFonts w:eastAsia="Calibri"/>
          <w:i/>
        </w:rPr>
        <w:t>U</w:t>
      </w:r>
      <w:r w:rsidRPr="003124EE">
        <w:rPr>
          <w:rFonts w:eastAsia="Calibri"/>
        </w:rPr>
        <w:t xml:space="preserve"> = 10.50, </w:t>
      </w:r>
      <w:r w:rsidRPr="003124EE">
        <w:rPr>
          <w:rFonts w:eastAsia="Calibri"/>
          <w:i/>
        </w:rPr>
        <w:t>z</w:t>
      </w:r>
      <w:r w:rsidRPr="003124EE">
        <w:rPr>
          <w:rFonts w:eastAsia="Calibri"/>
        </w:rPr>
        <w:t xml:space="preserve"> = -4.44, </w:t>
      </w:r>
      <w:r w:rsidRPr="003124EE">
        <w:rPr>
          <w:rFonts w:eastAsia="Calibri"/>
          <w:i/>
        </w:rPr>
        <w:t>p</w:t>
      </w:r>
      <w:r w:rsidRPr="003124EE">
        <w:rPr>
          <w:rFonts w:eastAsia="Calibri"/>
        </w:rPr>
        <w:t xml:space="preserve"> = .00, </w:t>
      </w:r>
      <w:r w:rsidRPr="003124EE">
        <w:rPr>
          <w:rFonts w:eastAsia="Calibri"/>
          <w:i/>
        </w:rPr>
        <w:t>d</w:t>
      </w:r>
      <w:r w:rsidRPr="003124EE">
        <w:rPr>
          <w:rFonts w:eastAsia="Calibri"/>
        </w:rPr>
        <w:t xml:space="preserve"> = -2.39, </w:t>
      </w:r>
      <w:r w:rsidRPr="003124EE">
        <w:rPr>
          <w:rFonts w:eastAsia="Calibri"/>
          <w:i/>
        </w:rPr>
        <w:t>r</w:t>
      </w:r>
      <w:r w:rsidRPr="003124EE">
        <w:rPr>
          <w:rFonts w:eastAsia="Calibri"/>
        </w:rPr>
        <w:t xml:space="preserve"> = -.77). The PLE and UNP odours did not statistically significantly differ in terms of Intensity (respectively </w:t>
      </w:r>
      <w:proofErr w:type="spellStart"/>
      <w:r w:rsidRPr="003124EE">
        <w:rPr>
          <w:rFonts w:eastAsia="Calibri"/>
          <w:i/>
        </w:rPr>
        <w:t>Mdns</w:t>
      </w:r>
      <w:proofErr w:type="spellEnd"/>
      <w:r w:rsidRPr="003124EE">
        <w:rPr>
          <w:rFonts w:eastAsia="Calibri"/>
        </w:rPr>
        <w:t xml:space="preserve"> = 5.00 and 5.00; </w:t>
      </w:r>
      <w:r w:rsidRPr="003124EE">
        <w:rPr>
          <w:rFonts w:eastAsia="Calibri"/>
          <w:i/>
        </w:rPr>
        <w:t>U</w:t>
      </w:r>
      <w:r w:rsidRPr="003124EE">
        <w:rPr>
          <w:rFonts w:eastAsia="Calibri"/>
        </w:rPr>
        <w:t xml:space="preserve"> = 115.50, </w:t>
      </w:r>
      <w:r w:rsidRPr="003124EE">
        <w:rPr>
          <w:rFonts w:eastAsia="Calibri"/>
          <w:i/>
        </w:rPr>
        <w:t>z</w:t>
      </w:r>
      <w:r w:rsidRPr="003124EE">
        <w:rPr>
          <w:rFonts w:eastAsia="Calibri"/>
        </w:rPr>
        <w:t> = </w:t>
      </w:r>
      <w:r w:rsidRPr="003124EE">
        <w:rPr>
          <w:rFonts w:eastAsia="Calibri"/>
        </w:rPr>
        <w:noBreakHyphen/>
        <w:t xml:space="preserve">.19, </w:t>
      </w:r>
      <w:r w:rsidRPr="003124EE">
        <w:rPr>
          <w:rFonts w:eastAsia="Calibri"/>
          <w:i/>
        </w:rPr>
        <w:t>p</w:t>
      </w:r>
      <w:r w:rsidRPr="003124EE">
        <w:rPr>
          <w:rFonts w:eastAsia="Calibri"/>
        </w:rPr>
        <w:t xml:space="preserve"> = .85, </w:t>
      </w:r>
      <w:r w:rsidRPr="003124EE">
        <w:rPr>
          <w:rFonts w:eastAsia="Calibri"/>
          <w:i/>
        </w:rPr>
        <w:t>d</w:t>
      </w:r>
      <w:r w:rsidRPr="003124EE">
        <w:rPr>
          <w:rFonts w:eastAsia="Calibri"/>
        </w:rPr>
        <w:t xml:space="preserve"> = .11, </w:t>
      </w:r>
      <w:r w:rsidRPr="003124EE">
        <w:rPr>
          <w:rFonts w:eastAsia="Calibri"/>
          <w:i/>
        </w:rPr>
        <w:t>r</w:t>
      </w:r>
      <w:r w:rsidRPr="003124EE">
        <w:rPr>
          <w:rFonts w:eastAsia="Calibri"/>
        </w:rPr>
        <w:t> = .05). Mean values and standard errors are shown in Fig. A.</w:t>
      </w:r>
    </w:p>
    <w:p w14:paraId="0423761F" w14:textId="7DDD26E9" w:rsidR="000C777F" w:rsidRPr="000C777F" w:rsidRDefault="000C777F" w:rsidP="00AF30DA">
      <w:pPr>
        <w:pStyle w:val="Newparagraph"/>
        <w:ind w:firstLine="0"/>
        <w:rPr>
          <w:rFonts w:eastAsia="Calibri"/>
        </w:rPr>
      </w:pPr>
      <w:r>
        <w:rPr>
          <w:rFonts w:eastAsia="Calibri"/>
          <w:noProof/>
        </w:rPr>
        <w:drawing>
          <wp:inline distT="0" distB="0" distL="0" distR="0" wp14:anchorId="282AC117" wp14:editId="6BAF2657">
            <wp:extent cx="6318128" cy="2971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A.jpg"/>
                    <pic:cNvPicPr/>
                  </pic:nvPicPr>
                  <pic:blipFill>
                    <a:blip r:embed="rId11">
                      <a:extLst>
                        <a:ext uri="{28A0092B-C50C-407E-A947-70E740481C1C}">
                          <a14:useLocalDpi xmlns:a14="http://schemas.microsoft.com/office/drawing/2010/main" val="0"/>
                        </a:ext>
                      </a:extLst>
                    </a:blip>
                    <a:stretch>
                      <a:fillRect/>
                    </a:stretch>
                  </pic:blipFill>
                  <pic:spPr>
                    <a:xfrm>
                      <a:off x="0" y="0"/>
                      <a:ext cx="6323019" cy="2974101"/>
                    </a:xfrm>
                    <a:prstGeom prst="rect">
                      <a:avLst/>
                    </a:prstGeom>
                  </pic:spPr>
                </pic:pic>
              </a:graphicData>
            </a:graphic>
          </wp:inline>
        </w:drawing>
      </w:r>
    </w:p>
    <w:p w14:paraId="7B27D341" w14:textId="5CF22393" w:rsidR="00D0626B" w:rsidRPr="003124EE" w:rsidRDefault="00D0626B" w:rsidP="00D0626B">
      <w:pPr>
        <w:autoSpaceDE w:val="0"/>
        <w:autoSpaceDN w:val="0"/>
        <w:adjustRightInd w:val="0"/>
        <w:rPr>
          <w:rFonts w:ascii="Calibri" w:eastAsia="Calibri" w:hAnsi="Calibri"/>
          <w:noProof/>
          <w:lang w:eastAsia="fr-CA"/>
        </w:rPr>
      </w:pPr>
    </w:p>
    <w:p w14:paraId="41E05CA6" w14:textId="77777777" w:rsidR="00D0626B" w:rsidRPr="003124EE" w:rsidRDefault="00D0626B" w:rsidP="00D0626B">
      <w:pPr>
        <w:pStyle w:val="Figurecaption"/>
        <w:rPr>
          <w:rFonts w:eastAsia="Calibri"/>
        </w:rPr>
      </w:pPr>
      <w:r w:rsidRPr="003124EE">
        <w:rPr>
          <w:rFonts w:eastAsia="Calibri"/>
          <w:i/>
        </w:rPr>
        <w:t>Figure A.</w:t>
      </w:r>
      <w:r w:rsidRPr="003124EE">
        <w:rPr>
          <w:rFonts w:eastAsia="Calibri"/>
        </w:rPr>
        <w:t xml:space="preserve"> Characteristics of olfactory stimuli presented </w:t>
      </w:r>
      <w:r w:rsidRPr="003124EE">
        <w:rPr>
          <w:rFonts w:eastAsia="Calibri"/>
          <w:i/>
        </w:rPr>
        <w:t xml:space="preserve">in </w:t>
      </w:r>
      <w:proofErr w:type="spellStart"/>
      <w:r w:rsidRPr="003124EE">
        <w:rPr>
          <w:rFonts w:eastAsia="Calibri"/>
          <w:i/>
        </w:rPr>
        <w:t>virtuo</w:t>
      </w:r>
      <w:proofErr w:type="spellEnd"/>
      <w:r w:rsidRPr="003124EE">
        <w:rPr>
          <w:rFonts w:eastAsia="Calibri"/>
        </w:rPr>
        <w:t xml:space="preserve">. These are based on the participants who reported having detected an odour in the kitchen (for pleasant odour, </w:t>
      </w:r>
      <w:r w:rsidRPr="003124EE">
        <w:rPr>
          <w:rFonts w:eastAsia="Calibri"/>
          <w:i/>
        </w:rPr>
        <w:t>n</w:t>
      </w:r>
      <w:r w:rsidRPr="003124EE">
        <w:rPr>
          <w:rFonts w:eastAsia="Calibri"/>
        </w:rPr>
        <w:t xml:space="preserve"> = 15; for </w:t>
      </w:r>
      <w:r w:rsidRPr="003124EE">
        <w:rPr>
          <w:rFonts w:eastAsia="Calibri"/>
        </w:rPr>
        <w:lastRenderedPageBreak/>
        <w:t xml:space="preserve">unpleasant odour, </w:t>
      </w:r>
      <w:r w:rsidRPr="003124EE">
        <w:rPr>
          <w:rFonts w:eastAsia="Calibri"/>
          <w:i/>
        </w:rPr>
        <w:t>n</w:t>
      </w:r>
      <w:r w:rsidRPr="003124EE">
        <w:rPr>
          <w:rFonts w:eastAsia="Calibri"/>
        </w:rPr>
        <w:t xml:space="preserve"> =16). Standard errors are represented in the figure by the error bars attached to each column.</w:t>
      </w:r>
    </w:p>
    <w:p w14:paraId="574F25D8" w14:textId="4D33DB87" w:rsidR="00D0626B" w:rsidRDefault="00D0626B" w:rsidP="00D0626B">
      <w:pPr>
        <w:spacing w:after="200" w:line="276" w:lineRule="auto"/>
        <w:rPr>
          <w:rFonts w:eastAsia="Calibri"/>
        </w:rPr>
      </w:pPr>
    </w:p>
    <w:p w14:paraId="5979B39E" w14:textId="5EC580A9" w:rsidR="003A371C" w:rsidRPr="003A371C" w:rsidRDefault="003A371C" w:rsidP="00AF30DA">
      <w:pPr>
        <w:spacing w:after="200"/>
        <w:rPr>
          <w:rFonts w:eastAsia="Calibri"/>
        </w:rPr>
      </w:pPr>
      <w:r w:rsidRPr="00AF30DA">
        <w:rPr>
          <w:rFonts w:eastAsia="Calibri"/>
          <w:b/>
          <w:i/>
        </w:rPr>
        <w:t>Relationship between presence and the characteristics of the odours</w:t>
      </w:r>
      <w:r>
        <w:rPr>
          <w:rFonts w:eastAsia="Calibri"/>
          <w:b/>
          <w:i/>
        </w:rPr>
        <w:t xml:space="preserve">. </w:t>
      </w:r>
      <w:r>
        <w:rPr>
          <w:rFonts w:eastAsia="Calibri"/>
        </w:rPr>
        <w:t xml:space="preserve">Spearman correlations between measures of presence and characteristics of odours were performed for each group separately. Results indicate that the effect of intensity on spatial presence was driven by the UNP odour. Paired with the significant, negative correlation observed with pleasantness, this support the idea that negative odour </w:t>
      </w:r>
      <w:proofErr w:type="gramStart"/>
      <w:r>
        <w:rPr>
          <w:rFonts w:eastAsia="Calibri"/>
        </w:rPr>
        <w:t>have</w:t>
      </w:r>
      <w:proofErr w:type="gramEnd"/>
      <w:r>
        <w:rPr>
          <w:rFonts w:eastAsia="Calibri"/>
        </w:rPr>
        <w:t xml:space="preserve"> a stronger cognitive and affective impact on humans than positive ones, which makes sense from an evolutionary perspective. </w:t>
      </w:r>
      <w:r w:rsidRPr="003124EE">
        <w:rPr>
          <w:rFonts w:eastAsia="Calibri"/>
        </w:rPr>
        <w:t>Detailed results are shown in Table</w:t>
      </w:r>
      <w:r>
        <w:rPr>
          <w:rFonts w:eastAsia="Calibri"/>
        </w:rPr>
        <w:t xml:space="preserve"> B.</w:t>
      </w:r>
    </w:p>
    <w:tbl>
      <w:tblPr>
        <w:tblW w:w="0" w:type="auto"/>
        <w:tblLook w:val="04A0" w:firstRow="1" w:lastRow="0" w:firstColumn="1" w:lastColumn="0" w:noHBand="0" w:noVBand="1"/>
      </w:tblPr>
      <w:tblGrid>
        <w:gridCol w:w="979"/>
        <w:gridCol w:w="3129"/>
        <w:gridCol w:w="1483"/>
        <w:gridCol w:w="1430"/>
        <w:gridCol w:w="1056"/>
        <w:gridCol w:w="1283"/>
      </w:tblGrid>
      <w:tr w:rsidR="00D55604" w:rsidRPr="00D55604" w14:paraId="31538353" w14:textId="77777777" w:rsidTr="00D55604">
        <w:trPr>
          <w:trHeight w:val="310"/>
        </w:trPr>
        <w:tc>
          <w:tcPr>
            <w:tcW w:w="0" w:type="auto"/>
            <w:gridSpan w:val="2"/>
            <w:tcBorders>
              <w:top w:val="nil"/>
              <w:left w:val="nil"/>
              <w:bottom w:val="nil"/>
              <w:right w:val="nil"/>
            </w:tcBorders>
            <w:shd w:val="clear" w:color="auto" w:fill="auto"/>
            <w:noWrap/>
            <w:vAlign w:val="center"/>
            <w:hideMark/>
          </w:tcPr>
          <w:p w14:paraId="4A25B3F5" w14:textId="77777777" w:rsidR="00D55604" w:rsidRPr="00D55604" w:rsidRDefault="00D55604" w:rsidP="00D55604">
            <w:pPr>
              <w:spacing w:line="240" w:lineRule="auto"/>
              <w:rPr>
                <w:color w:val="000000"/>
                <w:lang w:val="en-CA" w:eastAsia="en-CA"/>
              </w:rPr>
            </w:pPr>
            <w:r w:rsidRPr="00D55604">
              <w:rPr>
                <w:rFonts w:eastAsia="Calibri"/>
                <w:color w:val="000000"/>
                <w:lang w:eastAsia="en-CA"/>
              </w:rPr>
              <w:t>Table B</w:t>
            </w:r>
          </w:p>
        </w:tc>
        <w:tc>
          <w:tcPr>
            <w:tcW w:w="0" w:type="auto"/>
            <w:tcBorders>
              <w:top w:val="nil"/>
              <w:left w:val="nil"/>
              <w:bottom w:val="nil"/>
              <w:right w:val="nil"/>
            </w:tcBorders>
            <w:shd w:val="clear" w:color="auto" w:fill="auto"/>
            <w:noWrap/>
            <w:vAlign w:val="bottom"/>
            <w:hideMark/>
          </w:tcPr>
          <w:p w14:paraId="23758F9A" w14:textId="77777777" w:rsidR="00D55604" w:rsidRPr="00D55604" w:rsidRDefault="00D55604" w:rsidP="00D55604">
            <w:pPr>
              <w:spacing w:line="240" w:lineRule="auto"/>
              <w:rPr>
                <w:color w:val="000000"/>
                <w:lang w:val="en-CA" w:eastAsia="en-CA"/>
              </w:rPr>
            </w:pPr>
          </w:p>
        </w:tc>
        <w:tc>
          <w:tcPr>
            <w:tcW w:w="0" w:type="auto"/>
            <w:tcBorders>
              <w:top w:val="nil"/>
              <w:left w:val="nil"/>
              <w:bottom w:val="nil"/>
              <w:right w:val="nil"/>
            </w:tcBorders>
            <w:shd w:val="clear" w:color="auto" w:fill="auto"/>
            <w:noWrap/>
            <w:vAlign w:val="bottom"/>
            <w:hideMark/>
          </w:tcPr>
          <w:p w14:paraId="7012D95D" w14:textId="77777777" w:rsidR="00D55604" w:rsidRPr="00D55604" w:rsidRDefault="00D55604" w:rsidP="00D55604">
            <w:pPr>
              <w:spacing w:line="240" w:lineRule="auto"/>
              <w:rPr>
                <w:sz w:val="20"/>
                <w:szCs w:val="20"/>
                <w:lang w:val="en-CA" w:eastAsia="en-CA"/>
              </w:rPr>
            </w:pPr>
          </w:p>
        </w:tc>
        <w:tc>
          <w:tcPr>
            <w:tcW w:w="0" w:type="auto"/>
            <w:tcBorders>
              <w:top w:val="nil"/>
              <w:left w:val="nil"/>
              <w:bottom w:val="nil"/>
              <w:right w:val="nil"/>
            </w:tcBorders>
            <w:shd w:val="clear" w:color="auto" w:fill="auto"/>
            <w:noWrap/>
            <w:vAlign w:val="bottom"/>
            <w:hideMark/>
          </w:tcPr>
          <w:p w14:paraId="1E29BD7F" w14:textId="77777777" w:rsidR="00D55604" w:rsidRPr="00D55604" w:rsidRDefault="00D55604" w:rsidP="00D55604">
            <w:pPr>
              <w:spacing w:line="240" w:lineRule="auto"/>
              <w:rPr>
                <w:sz w:val="20"/>
                <w:szCs w:val="20"/>
                <w:lang w:val="en-CA" w:eastAsia="en-CA"/>
              </w:rPr>
            </w:pPr>
          </w:p>
        </w:tc>
        <w:tc>
          <w:tcPr>
            <w:tcW w:w="0" w:type="auto"/>
            <w:tcBorders>
              <w:top w:val="nil"/>
              <w:left w:val="nil"/>
              <w:bottom w:val="nil"/>
              <w:right w:val="nil"/>
            </w:tcBorders>
            <w:shd w:val="clear" w:color="auto" w:fill="auto"/>
            <w:noWrap/>
            <w:vAlign w:val="bottom"/>
            <w:hideMark/>
          </w:tcPr>
          <w:p w14:paraId="42577C97" w14:textId="77777777" w:rsidR="00D55604" w:rsidRPr="00D55604" w:rsidRDefault="00D55604" w:rsidP="00D55604">
            <w:pPr>
              <w:spacing w:line="240" w:lineRule="auto"/>
              <w:rPr>
                <w:sz w:val="20"/>
                <w:szCs w:val="20"/>
                <w:lang w:val="en-CA" w:eastAsia="en-CA"/>
              </w:rPr>
            </w:pPr>
          </w:p>
        </w:tc>
      </w:tr>
      <w:tr w:rsidR="00D55604" w:rsidRPr="00D55604" w14:paraId="51481B8D" w14:textId="77777777" w:rsidTr="00D55604">
        <w:trPr>
          <w:trHeight w:val="320"/>
        </w:trPr>
        <w:tc>
          <w:tcPr>
            <w:tcW w:w="0" w:type="auto"/>
            <w:gridSpan w:val="6"/>
            <w:tcBorders>
              <w:top w:val="nil"/>
              <w:left w:val="nil"/>
              <w:bottom w:val="nil"/>
              <w:right w:val="nil"/>
            </w:tcBorders>
            <w:shd w:val="clear" w:color="auto" w:fill="auto"/>
            <w:noWrap/>
            <w:vAlign w:val="center"/>
            <w:hideMark/>
          </w:tcPr>
          <w:p w14:paraId="6BE1D227" w14:textId="77777777" w:rsidR="00D55604" w:rsidRPr="00D55604" w:rsidRDefault="00D55604" w:rsidP="00D55604">
            <w:pPr>
              <w:spacing w:line="240" w:lineRule="auto"/>
              <w:rPr>
                <w:i/>
                <w:iCs/>
                <w:color w:val="000000"/>
                <w:lang w:val="en-CA" w:eastAsia="en-CA"/>
              </w:rPr>
            </w:pPr>
            <w:r w:rsidRPr="00D55604">
              <w:rPr>
                <w:rFonts w:eastAsia="Calibri"/>
                <w:i/>
                <w:iCs/>
                <w:color w:val="000000"/>
                <w:lang w:eastAsia="en-CA"/>
              </w:rPr>
              <w:t>Spearman Correlations between Measures of Presence and Characteristics of Odours</w:t>
            </w:r>
          </w:p>
        </w:tc>
      </w:tr>
      <w:tr w:rsidR="00D55604" w:rsidRPr="00D55604" w14:paraId="7F63D831" w14:textId="77777777" w:rsidTr="00D55604">
        <w:trPr>
          <w:trHeight w:val="320"/>
        </w:trPr>
        <w:tc>
          <w:tcPr>
            <w:tcW w:w="0" w:type="auto"/>
            <w:tcBorders>
              <w:top w:val="single" w:sz="8" w:space="0" w:color="auto"/>
              <w:left w:val="nil"/>
              <w:bottom w:val="nil"/>
              <w:right w:val="nil"/>
            </w:tcBorders>
            <w:shd w:val="clear" w:color="auto" w:fill="auto"/>
            <w:noWrap/>
            <w:vAlign w:val="bottom"/>
            <w:hideMark/>
          </w:tcPr>
          <w:p w14:paraId="5655D3F4" w14:textId="77777777" w:rsidR="00D55604" w:rsidRPr="00D55604" w:rsidRDefault="00D55604" w:rsidP="00D55604">
            <w:pPr>
              <w:spacing w:line="240" w:lineRule="auto"/>
              <w:rPr>
                <w:color w:val="000000"/>
                <w:lang w:val="en-CA" w:eastAsia="en-CA"/>
              </w:rPr>
            </w:pPr>
            <w:r w:rsidRPr="00D55604">
              <w:rPr>
                <w:color w:val="000000"/>
                <w:lang w:val="en-CA" w:eastAsia="en-CA"/>
              </w:rPr>
              <w:t>Group</w:t>
            </w:r>
          </w:p>
        </w:tc>
        <w:tc>
          <w:tcPr>
            <w:tcW w:w="0" w:type="auto"/>
            <w:tcBorders>
              <w:top w:val="single" w:sz="8" w:space="0" w:color="auto"/>
              <w:left w:val="nil"/>
              <w:bottom w:val="single" w:sz="8" w:space="0" w:color="auto"/>
              <w:right w:val="nil"/>
            </w:tcBorders>
            <w:shd w:val="clear" w:color="auto" w:fill="auto"/>
            <w:vAlign w:val="center"/>
            <w:hideMark/>
          </w:tcPr>
          <w:p w14:paraId="35B1086A" w14:textId="77777777" w:rsidR="00D55604" w:rsidRPr="00D55604" w:rsidRDefault="00D55604" w:rsidP="00D55604">
            <w:pPr>
              <w:spacing w:line="240" w:lineRule="auto"/>
              <w:rPr>
                <w:color w:val="000000"/>
                <w:lang w:val="en-CA" w:eastAsia="en-CA"/>
              </w:rPr>
            </w:pPr>
            <w:r w:rsidRPr="00D55604">
              <w:rPr>
                <w:color w:val="000000"/>
                <w:lang w:eastAsia="en-CA"/>
              </w:rPr>
              <w:t>Measure</w:t>
            </w:r>
          </w:p>
        </w:tc>
        <w:tc>
          <w:tcPr>
            <w:tcW w:w="0" w:type="auto"/>
            <w:tcBorders>
              <w:top w:val="single" w:sz="8" w:space="0" w:color="auto"/>
              <w:left w:val="nil"/>
              <w:bottom w:val="single" w:sz="8" w:space="0" w:color="auto"/>
              <w:right w:val="nil"/>
            </w:tcBorders>
            <w:shd w:val="clear" w:color="auto" w:fill="auto"/>
            <w:vAlign w:val="center"/>
            <w:hideMark/>
          </w:tcPr>
          <w:p w14:paraId="639C9D01" w14:textId="77777777" w:rsidR="00D55604" w:rsidRPr="00D55604" w:rsidRDefault="00D55604" w:rsidP="00D55604">
            <w:pPr>
              <w:spacing w:line="240" w:lineRule="auto"/>
              <w:jc w:val="center"/>
              <w:rPr>
                <w:color w:val="000000"/>
                <w:lang w:val="en-CA" w:eastAsia="en-CA"/>
              </w:rPr>
            </w:pPr>
            <w:r w:rsidRPr="00D55604">
              <w:rPr>
                <w:color w:val="000000"/>
                <w:lang w:eastAsia="en-CA"/>
              </w:rPr>
              <w:t>Concordance</w:t>
            </w:r>
          </w:p>
        </w:tc>
        <w:tc>
          <w:tcPr>
            <w:tcW w:w="0" w:type="auto"/>
            <w:tcBorders>
              <w:top w:val="single" w:sz="8" w:space="0" w:color="auto"/>
              <w:left w:val="nil"/>
              <w:bottom w:val="single" w:sz="8" w:space="0" w:color="auto"/>
              <w:right w:val="nil"/>
            </w:tcBorders>
            <w:shd w:val="clear" w:color="auto" w:fill="auto"/>
            <w:vAlign w:val="center"/>
            <w:hideMark/>
          </w:tcPr>
          <w:p w14:paraId="0A4008AE" w14:textId="77777777" w:rsidR="00D55604" w:rsidRPr="00D55604" w:rsidRDefault="00D55604" w:rsidP="00D55604">
            <w:pPr>
              <w:spacing w:line="240" w:lineRule="auto"/>
              <w:jc w:val="center"/>
              <w:rPr>
                <w:color w:val="000000"/>
                <w:lang w:val="en-CA" w:eastAsia="en-CA"/>
              </w:rPr>
            </w:pPr>
            <w:r w:rsidRPr="00D55604">
              <w:rPr>
                <w:color w:val="000000"/>
                <w:lang w:eastAsia="en-CA"/>
              </w:rPr>
              <w:t>Pleasantness</w:t>
            </w:r>
          </w:p>
        </w:tc>
        <w:tc>
          <w:tcPr>
            <w:tcW w:w="0" w:type="auto"/>
            <w:tcBorders>
              <w:top w:val="single" w:sz="8" w:space="0" w:color="auto"/>
              <w:left w:val="nil"/>
              <w:bottom w:val="single" w:sz="8" w:space="0" w:color="auto"/>
              <w:right w:val="nil"/>
            </w:tcBorders>
            <w:shd w:val="clear" w:color="auto" w:fill="auto"/>
            <w:vAlign w:val="center"/>
            <w:hideMark/>
          </w:tcPr>
          <w:p w14:paraId="5599C277" w14:textId="77777777" w:rsidR="00D55604" w:rsidRPr="00D55604" w:rsidRDefault="00D55604" w:rsidP="00D55604">
            <w:pPr>
              <w:spacing w:line="240" w:lineRule="auto"/>
              <w:jc w:val="center"/>
              <w:rPr>
                <w:color w:val="000000"/>
                <w:lang w:val="en-CA" w:eastAsia="en-CA"/>
              </w:rPr>
            </w:pPr>
            <w:r w:rsidRPr="00D55604">
              <w:rPr>
                <w:color w:val="000000"/>
                <w:lang w:eastAsia="en-CA"/>
              </w:rPr>
              <w:t>Intensity</w:t>
            </w:r>
          </w:p>
        </w:tc>
        <w:tc>
          <w:tcPr>
            <w:tcW w:w="0" w:type="auto"/>
            <w:tcBorders>
              <w:top w:val="single" w:sz="8" w:space="0" w:color="auto"/>
              <w:left w:val="nil"/>
              <w:bottom w:val="single" w:sz="8" w:space="0" w:color="auto"/>
              <w:right w:val="nil"/>
            </w:tcBorders>
            <w:shd w:val="clear" w:color="auto" w:fill="auto"/>
            <w:vAlign w:val="center"/>
            <w:hideMark/>
          </w:tcPr>
          <w:p w14:paraId="06C64579" w14:textId="77777777" w:rsidR="00D55604" w:rsidRPr="00D55604" w:rsidRDefault="00D55604" w:rsidP="00D55604">
            <w:pPr>
              <w:spacing w:line="240" w:lineRule="auto"/>
              <w:jc w:val="center"/>
              <w:rPr>
                <w:color w:val="000000"/>
                <w:lang w:val="en-CA" w:eastAsia="en-CA"/>
              </w:rPr>
            </w:pPr>
            <w:r w:rsidRPr="00D55604">
              <w:rPr>
                <w:color w:val="000000"/>
                <w:lang w:eastAsia="en-CA"/>
              </w:rPr>
              <w:t>Familiarity</w:t>
            </w:r>
          </w:p>
        </w:tc>
      </w:tr>
      <w:tr w:rsidR="00D55604" w:rsidRPr="00D55604" w14:paraId="6A1BFE1F" w14:textId="77777777" w:rsidTr="00D55604">
        <w:trPr>
          <w:trHeight w:val="640"/>
        </w:trPr>
        <w:tc>
          <w:tcPr>
            <w:tcW w:w="0" w:type="auto"/>
            <w:vMerge w:val="restart"/>
            <w:tcBorders>
              <w:top w:val="single" w:sz="8" w:space="0" w:color="auto"/>
              <w:left w:val="nil"/>
              <w:bottom w:val="single" w:sz="8" w:space="0" w:color="000000"/>
              <w:right w:val="nil"/>
            </w:tcBorders>
            <w:shd w:val="clear" w:color="auto" w:fill="auto"/>
            <w:noWrap/>
            <w:vAlign w:val="center"/>
            <w:hideMark/>
          </w:tcPr>
          <w:p w14:paraId="3469DA92"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PLE</w:t>
            </w:r>
          </w:p>
        </w:tc>
        <w:tc>
          <w:tcPr>
            <w:tcW w:w="0" w:type="auto"/>
            <w:tcBorders>
              <w:top w:val="nil"/>
              <w:left w:val="nil"/>
              <w:bottom w:val="nil"/>
              <w:right w:val="nil"/>
            </w:tcBorders>
            <w:shd w:val="clear" w:color="auto" w:fill="auto"/>
            <w:vAlign w:val="center"/>
            <w:hideMark/>
          </w:tcPr>
          <w:p w14:paraId="5BF2D5CC" w14:textId="77777777" w:rsidR="00D55604" w:rsidRPr="00D55604" w:rsidRDefault="00D55604" w:rsidP="00D55604">
            <w:pPr>
              <w:spacing w:line="240" w:lineRule="auto"/>
              <w:rPr>
                <w:color w:val="000000"/>
                <w:lang w:val="en-CA" w:eastAsia="en-CA"/>
              </w:rPr>
            </w:pPr>
            <w:r w:rsidRPr="00D55604">
              <w:rPr>
                <w:color w:val="000000"/>
                <w:lang w:eastAsia="en-CA"/>
              </w:rPr>
              <w:t>Brief measure of Presence (residual gain)</w:t>
            </w:r>
          </w:p>
        </w:tc>
        <w:tc>
          <w:tcPr>
            <w:tcW w:w="0" w:type="auto"/>
            <w:tcBorders>
              <w:top w:val="nil"/>
              <w:left w:val="nil"/>
              <w:bottom w:val="nil"/>
              <w:right w:val="nil"/>
            </w:tcBorders>
            <w:shd w:val="clear" w:color="auto" w:fill="auto"/>
            <w:vAlign w:val="center"/>
            <w:hideMark/>
          </w:tcPr>
          <w:p w14:paraId="0E00ED3F"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.04</w:t>
            </w:r>
          </w:p>
        </w:tc>
        <w:tc>
          <w:tcPr>
            <w:tcW w:w="0" w:type="auto"/>
            <w:tcBorders>
              <w:top w:val="nil"/>
              <w:left w:val="nil"/>
              <w:bottom w:val="nil"/>
              <w:right w:val="nil"/>
            </w:tcBorders>
            <w:shd w:val="clear" w:color="auto" w:fill="auto"/>
            <w:vAlign w:val="center"/>
            <w:hideMark/>
          </w:tcPr>
          <w:p w14:paraId="549A4035"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.37</w:t>
            </w:r>
          </w:p>
        </w:tc>
        <w:tc>
          <w:tcPr>
            <w:tcW w:w="0" w:type="auto"/>
            <w:tcBorders>
              <w:top w:val="nil"/>
              <w:left w:val="nil"/>
              <w:bottom w:val="nil"/>
              <w:right w:val="nil"/>
            </w:tcBorders>
            <w:shd w:val="clear" w:color="auto" w:fill="auto"/>
            <w:vAlign w:val="center"/>
            <w:hideMark/>
          </w:tcPr>
          <w:p w14:paraId="3C9E258B"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.02</w:t>
            </w:r>
          </w:p>
        </w:tc>
        <w:tc>
          <w:tcPr>
            <w:tcW w:w="0" w:type="auto"/>
            <w:tcBorders>
              <w:top w:val="nil"/>
              <w:left w:val="nil"/>
              <w:bottom w:val="nil"/>
              <w:right w:val="nil"/>
            </w:tcBorders>
            <w:shd w:val="clear" w:color="auto" w:fill="auto"/>
            <w:vAlign w:val="center"/>
            <w:hideMark/>
          </w:tcPr>
          <w:p w14:paraId="1A131BBE"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.25</w:t>
            </w:r>
          </w:p>
        </w:tc>
      </w:tr>
      <w:tr w:rsidR="00D55604" w:rsidRPr="00D55604" w14:paraId="376F6B96" w14:textId="77777777" w:rsidTr="00D55604">
        <w:trPr>
          <w:trHeight w:val="640"/>
        </w:trPr>
        <w:tc>
          <w:tcPr>
            <w:tcW w:w="0" w:type="auto"/>
            <w:vMerge/>
            <w:tcBorders>
              <w:top w:val="single" w:sz="8" w:space="0" w:color="auto"/>
              <w:left w:val="nil"/>
              <w:bottom w:val="single" w:sz="8" w:space="0" w:color="000000"/>
              <w:right w:val="nil"/>
            </w:tcBorders>
            <w:vAlign w:val="center"/>
            <w:hideMark/>
          </w:tcPr>
          <w:p w14:paraId="4EF0CAA5" w14:textId="77777777" w:rsidR="00D55604" w:rsidRPr="00D55604" w:rsidRDefault="00D55604" w:rsidP="00D55604">
            <w:pPr>
              <w:spacing w:line="240" w:lineRule="auto"/>
              <w:rPr>
                <w:color w:val="000000"/>
                <w:lang w:val="en-CA" w:eastAsia="en-CA"/>
              </w:rPr>
            </w:pPr>
          </w:p>
        </w:tc>
        <w:tc>
          <w:tcPr>
            <w:tcW w:w="0" w:type="auto"/>
            <w:tcBorders>
              <w:top w:val="nil"/>
              <w:left w:val="nil"/>
              <w:bottom w:val="single" w:sz="8" w:space="0" w:color="auto"/>
              <w:right w:val="nil"/>
            </w:tcBorders>
            <w:shd w:val="clear" w:color="auto" w:fill="auto"/>
            <w:vAlign w:val="center"/>
            <w:hideMark/>
          </w:tcPr>
          <w:p w14:paraId="069AFE8D" w14:textId="77777777" w:rsidR="00D55604" w:rsidRPr="00D55604" w:rsidRDefault="00D55604" w:rsidP="00D55604">
            <w:pPr>
              <w:spacing w:line="240" w:lineRule="auto"/>
              <w:rPr>
                <w:color w:val="000000"/>
                <w:lang w:val="en-CA" w:eastAsia="en-CA"/>
              </w:rPr>
            </w:pPr>
            <w:r w:rsidRPr="00D55604">
              <w:rPr>
                <w:color w:val="000000"/>
                <w:lang w:eastAsia="en-CA"/>
              </w:rPr>
              <w:t>ITC Spatial Presence</w:t>
            </w:r>
          </w:p>
        </w:tc>
        <w:tc>
          <w:tcPr>
            <w:tcW w:w="0" w:type="auto"/>
            <w:tcBorders>
              <w:top w:val="nil"/>
              <w:left w:val="nil"/>
              <w:bottom w:val="single" w:sz="8" w:space="0" w:color="auto"/>
              <w:right w:val="nil"/>
            </w:tcBorders>
            <w:shd w:val="clear" w:color="auto" w:fill="auto"/>
            <w:vAlign w:val="center"/>
            <w:hideMark/>
          </w:tcPr>
          <w:p w14:paraId="03241C33"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.04</w:t>
            </w:r>
          </w:p>
        </w:tc>
        <w:tc>
          <w:tcPr>
            <w:tcW w:w="0" w:type="auto"/>
            <w:tcBorders>
              <w:top w:val="nil"/>
              <w:left w:val="nil"/>
              <w:bottom w:val="single" w:sz="8" w:space="0" w:color="auto"/>
              <w:right w:val="nil"/>
            </w:tcBorders>
            <w:shd w:val="clear" w:color="auto" w:fill="auto"/>
            <w:vAlign w:val="center"/>
            <w:hideMark/>
          </w:tcPr>
          <w:p w14:paraId="1B5A941D"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.26</w:t>
            </w:r>
          </w:p>
        </w:tc>
        <w:tc>
          <w:tcPr>
            <w:tcW w:w="0" w:type="auto"/>
            <w:tcBorders>
              <w:top w:val="nil"/>
              <w:left w:val="nil"/>
              <w:bottom w:val="single" w:sz="8" w:space="0" w:color="auto"/>
              <w:right w:val="nil"/>
            </w:tcBorders>
            <w:shd w:val="clear" w:color="auto" w:fill="auto"/>
            <w:vAlign w:val="center"/>
            <w:hideMark/>
          </w:tcPr>
          <w:p w14:paraId="7CF0F03B"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.23</w:t>
            </w:r>
          </w:p>
        </w:tc>
        <w:tc>
          <w:tcPr>
            <w:tcW w:w="0" w:type="auto"/>
            <w:tcBorders>
              <w:top w:val="nil"/>
              <w:left w:val="nil"/>
              <w:bottom w:val="single" w:sz="8" w:space="0" w:color="auto"/>
              <w:right w:val="nil"/>
            </w:tcBorders>
            <w:shd w:val="clear" w:color="auto" w:fill="auto"/>
            <w:vAlign w:val="center"/>
            <w:hideMark/>
          </w:tcPr>
          <w:p w14:paraId="423CF428"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.01</w:t>
            </w:r>
          </w:p>
        </w:tc>
      </w:tr>
      <w:tr w:rsidR="00D55604" w:rsidRPr="00D55604" w14:paraId="063F636D" w14:textId="77777777" w:rsidTr="00D55604">
        <w:trPr>
          <w:trHeight w:val="640"/>
        </w:trPr>
        <w:tc>
          <w:tcPr>
            <w:tcW w:w="0" w:type="auto"/>
            <w:vMerge w:val="restart"/>
            <w:tcBorders>
              <w:top w:val="nil"/>
              <w:left w:val="nil"/>
              <w:bottom w:val="single" w:sz="8" w:space="0" w:color="000000"/>
              <w:right w:val="nil"/>
            </w:tcBorders>
            <w:shd w:val="clear" w:color="auto" w:fill="auto"/>
            <w:noWrap/>
            <w:vAlign w:val="center"/>
            <w:hideMark/>
          </w:tcPr>
          <w:p w14:paraId="487F3727"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UNP</w:t>
            </w:r>
          </w:p>
        </w:tc>
        <w:tc>
          <w:tcPr>
            <w:tcW w:w="0" w:type="auto"/>
            <w:tcBorders>
              <w:top w:val="nil"/>
              <w:left w:val="nil"/>
              <w:bottom w:val="nil"/>
              <w:right w:val="nil"/>
            </w:tcBorders>
            <w:shd w:val="clear" w:color="auto" w:fill="auto"/>
            <w:vAlign w:val="center"/>
            <w:hideMark/>
          </w:tcPr>
          <w:p w14:paraId="5373AEF4" w14:textId="77777777" w:rsidR="00D55604" w:rsidRPr="00D55604" w:rsidRDefault="00D55604" w:rsidP="00D55604">
            <w:pPr>
              <w:spacing w:line="240" w:lineRule="auto"/>
              <w:rPr>
                <w:color w:val="000000"/>
                <w:lang w:val="en-CA" w:eastAsia="en-CA"/>
              </w:rPr>
            </w:pPr>
            <w:r w:rsidRPr="00D55604">
              <w:rPr>
                <w:color w:val="000000"/>
                <w:lang w:eastAsia="en-CA"/>
              </w:rPr>
              <w:t>Brief measure of Presence (residual gain)</w:t>
            </w:r>
          </w:p>
        </w:tc>
        <w:tc>
          <w:tcPr>
            <w:tcW w:w="0" w:type="auto"/>
            <w:tcBorders>
              <w:top w:val="nil"/>
              <w:left w:val="nil"/>
              <w:bottom w:val="nil"/>
              <w:right w:val="nil"/>
            </w:tcBorders>
            <w:shd w:val="clear" w:color="auto" w:fill="auto"/>
            <w:vAlign w:val="center"/>
            <w:hideMark/>
          </w:tcPr>
          <w:p w14:paraId="180BB40A"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.06</w:t>
            </w:r>
          </w:p>
        </w:tc>
        <w:tc>
          <w:tcPr>
            <w:tcW w:w="0" w:type="auto"/>
            <w:tcBorders>
              <w:top w:val="nil"/>
              <w:left w:val="nil"/>
              <w:bottom w:val="nil"/>
              <w:right w:val="nil"/>
            </w:tcBorders>
            <w:shd w:val="clear" w:color="auto" w:fill="auto"/>
            <w:vAlign w:val="center"/>
            <w:hideMark/>
          </w:tcPr>
          <w:p w14:paraId="14069E9B"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-.63*</w:t>
            </w:r>
          </w:p>
        </w:tc>
        <w:tc>
          <w:tcPr>
            <w:tcW w:w="0" w:type="auto"/>
            <w:tcBorders>
              <w:top w:val="nil"/>
              <w:left w:val="nil"/>
              <w:bottom w:val="nil"/>
              <w:right w:val="nil"/>
            </w:tcBorders>
            <w:shd w:val="clear" w:color="auto" w:fill="auto"/>
            <w:vAlign w:val="center"/>
            <w:hideMark/>
          </w:tcPr>
          <w:p w14:paraId="5CFF51E9"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.40</w:t>
            </w:r>
          </w:p>
        </w:tc>
        <w:tc>
          <w:tcPr>
            <w:tcW w:w="0" w:type="auto"/>
            <w:tcBorders>
              <w:top w:val="nil"/>
              <w:left w:val="nil"/>
              <w:bottom w:val="nil"/>
              <w:right w:val="nil"/>
            </w:tcBorders>
            <w:shd w:val="clear" w:color="auto" w:fill="auto"/>
            <w:vAlign w:val="center"/>
            <w:hideMark/>
          </w:tcPr>
          <w:p w14:paraId="49F63AED"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-.09</w:t>
            </w:r>
          </w:p>
        </w:tc>
      </w:tr>
      <w:tr w:rsidR="00D55604" w:rsidRPr="00D55604" w14:paraId="61759DEF" w14:textId="77777777" w:rsidTr="00D55604">
        <w:trPr>
          <w:trHeight w:val="640"/>
        </w:trPr>
        <w:tc>
          <w:tcPr>
            <w:tcW w:w="0" w:type="auto"/>
            <w:vMerge/>
            <w:tcBorders>
              <w:top w:val="nil"/>
              <w:left w:val="nil"/>
              <w:bottom w:val="single" w:sz="8" w:space="0" w:color="000000"/>
              <w:right w:val="nil"/>
            </w:tcBorders>
            <w:vAlign w:val="center"/>
            <w:hideMark/>
          </w:tcPr>
          <w:p w14:paraId="48D61175" w14:textId="77777777" w:rsidR="00D55604" w:rsidRPr="00D55604" w:rsidRDefault="00D55604" w:rsidP="00D55604">
            <w:pPr>
              <w:spacing w:line="240" w:lineRule="auto"/>
              <w:rPr>
                <w:color w:val="000000"/>
                <w:lang w:val="en-CA" w:eastAsia="en-CA"/>
              </w:rPr>
            </w:pPr>
          </w:p>
        </w:tc>
        <w:tc>
          <w:tcPr>
            <w:tcW w:w="0" w:type="auto"/>
            <w:tcBorders>
              <w:top w:val="nil"/>
              <w:left w:val="nil"/>
              <w:bottom w:val="single" w:sz="8" w:space="0" w:color="auto"/>
              <w:right w:val="nil"/>
            </w:tcBorders>
            <w:shd w:val="clear" w:color="auto" w:fill="auto"/>
            <w:vAlign w:val="center"/>
            <w:hideMark/>
          </w:tcPr>
          <w:p w14:paraId="57688C92" w14:textId="77777777" w:rsidR="00D55604" w:rsidRPr="00D55604" w:rsidRDefault="00D55604" w:rsidP="00D55604">
            <w:pPr>
              <w:spacing w:line="240" w:lineRule="auto"/>
              <w:rPr>
                <w:color w:val="000000"/>
                <w:lang w:val="en-CA" w:eastAsia="en-CA"/>
              </w:rPr>
            </w:pPr>
            <w:r w:rsidRPr="00D55604">
              <w:rPr>
                <w:color w:val="000000"/>
                <w:lang w:eastAsia="en-CA"/>
              </w:rPr>
              <w:t>ITC Spatial Presence</w:t>
            </w:r>
          </w:p>
        </w:tc>
        <w:tc>
          <w:tcPr>
            <w:tcW w:w="0" w:type="auto"/>
            <w:tcBorders>
              <w:top w:val="nil"/>
              <w:left w:val="nil"/>
              <w:bottom w:val="single" w:sz="8" w:space="0" w:color="auto"/>
              <w:right w:val="nil"/>
            </w:tcBorders>
            <w:shd w:val="clear" w:color="auto" w:fill="auto"/>
            <w:vAlign w:val="center"/>
            <w:hideMark/>
          </w:tcPr>
          <w:p w14:paraId="60E5996D"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.27</w:t>
            </w:r>
          </w:p>
        </w:tc>
        <w:tc>
          <w:tcPr>
            <w:tcW w:w="0" w:type="auto"/>
            <w:tcBorders>
              <w:top w:val="nil"/>
              <w:left w:val="nil"/>
              <w:bottom w:val="single" w:sz="8" w:space="0" w:color="auto"/>
              <w:right w:val="nil"/>
            </w:tcBorders>
            <w:shd w:val="clear" w:color="auto" w:fill="auto"/>
            <w:vAlign w:val="center"/>
            <w:hideMark/>
          </w:tcPr>
          <w:p w14:paraId="633BC303"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-.35</w:t>
            </w:r>
          </w:p>
        </w:tc>
        <w:tc>
          <w:tcPr>
            <w:tcW w:w="0" w:type="auto"/>
            <w:tcBorders>
              <w:top w:val="nil"/>
              <w:left w:val="nil"/>
              <w:bottom w:val="single" w:sz="8" w:space="0" w:color="auto"/>
              <w:right w:val="nil"/>
            </w:tcBorders>
            <w:shd w:val="clear" w:color="auto" w:fill="auto"/>
            <w:vAlign w:val="center"/>
            <w:hideMark/>
          </w:tcPr>
          <w:p w14:paraId="06B530D2"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.54*</w:t>
            </w:r>
          </w:p>
        </w:tc>
        <w:tc>
          <w:tcPr>
            <w:tcW w:w="0" w:type="auto"/>
            <w:tcBorders>
              <w:top w:val="nil"/>
              <w:left w:val="nil"/>
              <w:bottom w:val="single" w:sz="8" w:space="0" w:color="auto"/>
              <w:right w:val="nil"/>
            </w:tcBorders>
            <w:shd w:val="clear" w:color="auto" w:fill="auto"/>
            <w:vAlign w:val="center"/>
            <w:hideMark/>
          </w:tcPr>
          <w:p w14:paraId="701E9CE3" w14:textId="77777777" w:rsidR="00D55604" w:rsidRPr="00D55604" w:rsidRDefault="00D55604" w:rsidP="00D55604">
            <w:pPr>
              <w:spacing w:line="240" w:lineRule="auto"/>
              <w:jc w:val="center"/>
              <w:rPr>
                <w:color w:val="000000"/>
                <w:lang w:val="en-CA" w:eastAsia="en-CA"/>
              </w:rPr>
            </w:pPr>
            <w:r w:rsidRPr="00D55604">
              <w:rPr>
                <w:color w:val="000000"/>
                <w:lang w:val="en-CA" w:eastAsia="en-CA"/>
              </w:rPr>
              <w:t>.47</w:t>
            </w:r>
          </w:p>
        </w:tc>
      </w:tr>
      <w:tr w:rsidR="00D55604" w:rsidRPr="00D55604" w14:paraId="347EF957" w14:textId="77777777" w:rsidTr="00D55604">
        <w:trPr>
          <w:trHeight w:val="290"/>
        </w:trPr>
        <w:tc>
          <w:tcPr>
            <w:tcW w:w="0" w:type="auto"/>
            <w:gridSpan w:val="6"/>
            <w:tcBorders>
              <w:top w:val="nil"/>
              <w:left w:val="nil"/>
              <w:bottom w:val="nil"/>
              <w:right w:val="nil"/>
            </w:tcBorders>
            <w:shd w:val="clear" w:color="auto" w:fill="auto"/>
            <w:noWrap/>
            <w:vAlign w:val="center"/>
            <w:hideMark/>
          </w:tcPr>
          <w:p w14:paraId="7838C232" w14:textId="77777777" w:rsidR="00D55604" w:rsidRPr="00D55604" w:rsidRDefault="00D55604" w:rsidP="00D55604">
            <w:pPr>
              <w:spacing w:line="240" w:lineRule="auto"/>
              <w:rPr>
                <w:i/>
                <w:iCs/>
                <w:color w:val="000000"/>
                <w:sz w:val="20"/>
                <w:szCs w:val="20"/>
                <w:lang w:val="en-CA" w:eastAsia="en-CA"/>
              </w:rPr>
            </w:pPr>
            <w:r w:rsidRPr="00D55604">
              <w:rPr>
                <w:rFonts w:eastAsia="Calibri"/>
                <w:i/>
                <w:iCs/>
                <w:color w:val="000000"/>
                <w:sz w:val="20"/>
                <w:lang w:eastAsia="en-CA"/>
              </w:rPr>
              <w:t>Note.</w:t>
            </w:r>
            <w:r w:rsidRPr="00D55604">
              <w:rPr>
                <w:rFonts w:eastAsia="Calibri"/>
                <w:color w:val="000000"/>
                <w:sz w:val="20"/>
                <w:szCs w:val="20"/>
                <w:lang w:eastAsia="en-CA"/>
              </w:rPr>
              <w:t xml:space="preserve"> Correlations are based on the participants who detected an odour </w:t>
            </w:r>
            <w:r w:rsidRPr="00D55604">
              <w:rPr>
                <w:rFonts w:eastAsia="Calibri"/>
                <w:i/>
                <w:iCs/>
                <w:color w:val="000000"/>
                <w:sz w:val="20"/>
                <w:szCs w:val="20"/>
                <w:lang w:eastAsia="en-CA"/>
              </w:rPr>
              <w:t xml:space="preserve">in </w:t>
            </w:r>
            <w:proofErr w:type="spellStart"/>
            <w:r w:rsidRPr="00D55604">
              <w:rPr>
                <w:rFonts w:eastAsia="Calibri"/>
                <w:i/>
                <w:iCs/>
                <w:color w:val="000000"/>
                <w:sz w:val="20"/>
                <w:szCs w:val="20"/>
                <w:lang w:eastAsia="en-CA"/>
              </w:rPr>
              <w:t>virtuo</w:t>
            </w:r>
            <w:proofErr w:type="spellEnd"/>
            <w:r w:rsidRPr="00D55604">
              <w:rPr>
                <w:rFonts w:eastAsia="Calibri"/>
                <w:color w:val="000000"/>
                <w:sz w:val="20"/>
                <w:szCs w:val="20"/>
                <w:lang w:eastAsia="en-CA"/>
              </w:rPr>
              <w:t xml:space="preserve"> (PLE = 15; UNP = 16).</w:t>
            </w:r>
          </w:p>
        </w:tc>
      </w:tr>
      <w:tr w:rsidR="00D55604" w:rsidRPr="00D55604" w14:paraId="63CE36FC" w14:textId="77777777" w:rsidTr="00D55604">
        <w:trPr>
          <w:trHeight w:val="290"/>
        </w:trPr>
        <w:tc>
          <w:tcPr>
            <w:tcW w:w="0" w:type="auto"/>
            <w:tcBorders>
              <w:top w:val="nil"/>
              <w:left w:val="nil"/>
              <w:bottom w:val="nil"/>
              <w:right w:val="nil"/>
            </w:tcBorders>
            <w:shd w:val="clear" w:color="auto" w:fill="auto"/>
            <w:noWrap/>
            <w:vAlign w:val="center"/>
            <w:hideMark/>
          </w:tcPr>
          <w:p w14:paraId="06305E25" w14:textId="77777777" w:rsidR="00D55604" w:rsidRPr="00D55604" w:rsidRDefault="00D55604" w:rsidP="00D55604">
            <w:pPr>
              <w:spacing w:line="240" w:lineRule="auto"/>
              <w:rPr>
                <w:color w:val="000000"/>
                <w:sz w:val="20"/>
                <w:szCs w:val="20"/>
                <w:lang w:val="en-CA" w:eastAsia="en-CA"/>
              </w:rPr>
            </w:pPr>
            <w:r w:rsidRPr="00D55604">
              <w:rPr>
                <w:rFonts w:eastAsia="Calibri"/>
                <w:color w:val="000000"/>
                <w:sz w:val="20"/>
                <w:lang w:eastAsia="en-CA"/>
              </w:rPr>
              <w:t xml:space="preserve">* </w:t>
            </w:r>
            <w:r w:rsidRPr="00D55604">
              <w:rPr>
                <w:rFonts w:eastAsia="Calibri"/>
                <w:i/>
                <w:iCs/>
                <w:color w:val="000000"/>
                <w:sz w:val="20"/>
                <w:szCs w:val="20"/>
                <w:lang w:eastAsia="en-CA"/>
              </w:rPr>
              <w:t>p</w:t>
            </w:r>
            <w:r w:rsidRPr="00D55604">
              <w:rPr>
                <w:rFonts w:eastAsia="Calibri"/>
                <w:color w:val="000000"/>
                <w:sz w:val="20"/>
                <w:szCs w:val="20"/>
                <w:lang w:eastAsia="en-CA"/>
              </w:rPr>
              <w:t xml:space="preserve"> &lt; .05.</w:t>
            </w:r>
          </w:p>
        </w:tc>
        <w:tc>
          <w:tcPr>
            <w:tcW w:w="0" w:type="auto"/>
            <w:tcBorders>
              <w:top w:val="nil"/>
              <w:left w:val="nil"/>
              <w:bottom w:val="nil"/>
              <w:right w:val="nil"/>
            </w:tcBorders>
            <w:shd w:val="clear" w:color="auto" w:fill="auto"/>
            <w:noWrap/>
            <w:vAlign w:val="center"/>
            <w:hideMark/>
          </w:tcPr>
          <w:p w14:paraId="08985543" w14:textId="77777777" w:rsidR="00D55604" w:rsidRPr="00D55604" w:rsidRDefault="00D55604" w:rsidP="00D55604">
            <w:pPr>
              <w:spacing w:line="240" w:lineRule="auto"/>
              <w:rPr>
                <w:color w:val="000000"/>
                <w:sz w:val="20"/>
                <w:szCs w:val="20"/>
                <w:lang w:val="en-CA" w:eastAsia="en-CA"/>
              </w:rPr>
            </w:pPr>
          </w:p>
        </w:tc>
        <w:tc>
          <w:tcPr>
            <w:tcW w:w="0" w:type="auto"/>
            <w:tcBorders>
              <w:top w:val="nil"/>
              <w:left w:val="nil"/>
              <w:bottom w:val="nil"/>
              <w:right w:val="nil"/>
            </w:tcBorders>
            <w:shd w:val="clear" w:color="auto" w:fill="auto"/>
            <w:noWrap/>
            <w:vAlign w:val="bottom"/>
            <w:hideMark/>
          </w:tcPr>
          <w:p w14:paraId="570B9812" w14:textId="77777777" w:rsidR="00D55604" w:rsidRPr="00D55604" w:rsidRDefault="00D55604" w:rsidP="00D55604">
            <w:pPr>
              <w:spacing w:line="240" w:lineRule="auto"/>
              <w:rPr>
                <w:sz w:val="20"/>
                <w:szCs w:val="20"/>
                <w:lang w:val="en-CA" w:eastAsia="en-CA"/>
              </w:rPr>
            </w:pPr>
          </w:p>
        </w:tc>
        <w:tc>
          <w:tcPr>
            <w:tcW w:w="0" w:type="auto"/>
            <w:tcBorders>
              <w:top w:val="nil"/>
              <w:left w:val="nil"/>
              <w:bottom w:val="nil"/>
              <w:right w:val="nil"/>
            </w:tcBorders>
            <w:shd w:val="clear" w:color="auto" w:fill="auto"/>
            <w:noWrap/>
            <w:vAlign w:val="bottom"/>
            <w:hideMark/>
          </w:tcPr>
          <w:p w14:paraId="72D5D53C" w14:textId="77777777" w:rsidR="00D55604" w:rsidRPr="00D55604" w:rsidRDefault="00D55604" w:rsidP="00D55604">
            <w:pPr>
              <w:spacing w:line="240" w:lineRule="auto"/>
              <w:rPr>
                <w:sz w:val="20"/>
                <w:szCs w:val="20"/>
                <w:lang w:val="en-CA" w:eastAsia="en-CA"/>
              </w:rPr>
            </w:pPr>
          </w:p>
        </w:tc>
        <w:tc>
          <w:tcPr>
            <w:tcW w:w="0" w:type="auto"/>
            <w:tcBorders>
              <w:top w:val="nil"/>
              <w:left w:val="nil"/>
              <w:bottom w:val="nil"/>
              <w:right w:val="nil"/>
            </w:tcBorders>
            <w:shd w:val="clear" w:color="auto" w:fill="auto"/>
            <w:noWrap/>
            <w:vAlign w:val="bottom"/>
            <w:hideMark/>
          </w:tcPr>
          <w:p w14:paraId="106251D1" w14:textId="77777777" w:rsidR="00D55604" w:rsidRPr="00D55604" w:rsidRDefault="00D55604" w:rsidP="00D55604">
            <w:pPr>
              <w:spacing w:line="240" w:lineRule="auto"/>
              <w:rPr>
                <w:sz w:val="20"/>
                <w:szCs w:val="20"/>
                <w:lang w:val="en-CA" w:eastAsia="en-CA"/>
              </w:rPr>
            </w:pPr>
          </w:p>
        </w:tc>
        <w:tc>
          <w:tcPr>
            <w:tcW w:w="0" w:type="auto"/>
            <w:tcBorders>
              <w:top w:val="nil"/>
              <w:left w:val="nil"/>
              <w:bottom w:val="nil"/>
              <w:right w:val="nil"/>
            </w:tcBorders>
            <w:shd w:val="clear" w:color="auto" w:fill="auto"/>
            <w:noWrap/>
            <w:vAlign w:val="bottom"/>
            <w:hideMark/>
          </w:tcPr>
          <w:p w14:paraId="26E96B83" w14:textId="77777777" w:rsidR="00D55604" w:rsidRPr="00D55604" w:rsidRDefault="00D55604" w:rsidP="00D55604">
            <w:pPr>
              <w:spacing w:line="240" w:lineRule="auto"/>
              <w:rPr>
                <w:sz w:val="20"/>
                <w:szCs w:val="20"/>
                <w:lang w:val="en-CA" w:eastAsia="en-CA"/>
              </w:rPr>
            </w:pPr>
          </w:p>
        </w:tc>
      </w:tr>
    </w:tbl>
    <w:p w14:paraId="27A5C81F" w14:textId="77777777" w:rsidR="00463735" w:rsidRPr="003124EE" w:rsidRDefault="00463735" w:rsidP="00D0626B">
      <w:pPr>
        <w:spacing w:after="200" w:line="276" w:lineRule="auto"/>
        <w:rPr>
          <w:rFonts w:eastAsia="Calibri"/>
        </w:rPr>
      </w:pPr>
    </w:p>
    <w:p w14:paraId="126BABA2" w14:textId="77777777" w:rsidR="00D0626B" w:rsidRPr="003124EE" w:rsidRDefault="00D0626B" w:rsidP="00D0626B">
      <w:pPr>
        <w:pStyle w:val="Heading3"/>
        <w:rPr>
          <w:rFonts w:eastAsia="Calibri"/>
        </w:rPr>
      </w:pPr>
      <w:r w:rsidRPr="003124EE">
        <w:rPr>
          <w:rFonts w:eastAsia="Calibri"/>
        </w:rPr>
        <w:t>Characteristics of Olfactory Stimuli Detected In Vivo</w:t>
      </w:r>
    </w:p>
    <w:p w14:paraId="47A4295D" w14:textId="77777777" w:rsidR="00D0626B" w:rsidRPr="003124EE" w:rsidRDefault="00D0626B" w:rsidP="00D0626B">
      <w:pPr>
        <w:pStyle w:val="Heading4Paragraph"/>
        <w:rPr>
          <w:rFonts w:eastAsia="Calibri"/>
        </w:rPr>
      </w:pPr>
      <w:r w:rsidRPr="00B96DF0">
        <w:rPr>
          <w:rFonts w:eastAsia="Calibri"/>
          <w:b/>
          <w:i/>
        </w:rPr>
        <w:t>PLE group</w:t>
      </w:r>
      <w:r w:rsidRPr="003124EE">
        <w:rPr>
          <w:rFonts w:eastAsia="Calibri"/>
          <w:b/>
        </w:rPr>
        <w:t xml:space="preserve">. </w:t>
      </w:r>
      <w:r w:rsidRPr="003124EE">
        <w:rPr>
          <w:rFonts w:eastAsia="Calibri"/>
        </w:rPr>
        <w:t xml:space="preserve">For the participants in this group, the </w:t>
      </w:r>
      <w:r w:rsidRPr="003124EE">
        <w:rPr>
          <w:rFonts w:eastAsia="Calibri"/>
          <w:i/>
        </w:rPr>
        <w:t>in vivo</w:t>
      </w:r>
      <w:r w:rsidRPr="003124EE">
        <w:rPr>
          <w:rFonts w:eastAsia="Calibri"/>
        </w:rPr>
        <w:t xml:space="preserve"> detection rate of the same olfactory stimulus that they had been exposed to in the kitchen was 100% (20 out of 20). Fifteen of the group’s members (75%) stated that the odour was associated with a memory.</w:t>
      </w:r>
    </w:p>
    <w:p w14:paraId="7FD3A182" w14:textId="77777777" w:rsidR="00D0626B" w:rsidRPr="003124EE" w:rsidRDefault="00D0626B" w:rsidP="00D0626B">
      <w:pPr>
        <w:pStyle w:val="Heading4Paragraph"/>
        <w:rPr>
          <w:rFonts w:eastAsia="Calibri"/>
        </w:rPr>
      </w:pPr>
      <w:r w:rsidRPr="00B96DF0">
        <w:rPr>
          <w:rFonts w:eastAsia="Calibri"/>
          <w:b/>
          <w:i/>
        </w:rPr>
        <w:lastRenderedPageBreak/>
        <w:t>UNP group.</w:t>
      </w:r>
      <w:r w:rsidRPr="003124EE">
        <w:rPr>
          <w:rFonts w:eastAsia="Calibri"/>
          <w:b/>
        </w:rPr>
        <w:t xml:space="preserve"> </w:t>
      </w:r>
      <w:r w:rsidRPr="003124EE">
        <w:rPr>
          <w:rFonts w:eastAsia="Calibri"/>
        </w:rPr>
        <w:t xml:space="preserve">For the participants in this group, the </w:t>
      </w:r>
      <w:r w:rsidRPr="003124EE">
        <w:rPr>
          <w:rFonts w:eastAsia="Calibri"/>
          <w:i/>
        </w:rPr>
        <w:t>in vivo</w:t>
      </w:r>
      <w:r w:rsidRPr="003124EE">
        <w:rPr>
          <w:rFonts w:eastAsia="Calibri"/>
        </w:rPr>
        <w:t xml:space="preserve"> detection rate of the same olfactory stimulus that they had been exposed to in the kitchen was 100% (20 out of 20). Sixteen of the group’s members (80%) stated that the odour was associated with a memory.</w:t>
      </w:r>
    </w:p>
    <w:p w14:paraId="74E7F86D" w14:textId="395EDB41" w:rsidR="00D0626B" w:rsidRDefault="00D0626B" w:rsidP="00D0626B">
      <w:pPr>
        <w:pStyle w:val="Heading4Paragraph"/>
        <w:rPr>
          <w:rFonts w:eastAsia="Calibri"/>
        </w:rPr>
      </w:pPr>
      <w:r w:rsidRPr="00B96DF0">
        <w:rPr>
          <w:rFonts w:eastAsia="Calibri"/>
          <w:b/>
          <w:i/>
        </w:rPr>
        <w:t xml:space="preserve">Comparison between the characteristics of the PLE and UNP odours. </w:t>
      </w:r>
      <w:r w:rsidRPr="003124EE">
        <w:rPr>
          <w:rFonts w:eastAsia="Calibri"/>
        </w:rPr>
        <w:t>Due to the non</w:t>
      </w:r>
      <w:r w:rsidRPr="003124EE">
        <w:rPr>
          <w:rFonts w:eastAsia="Calibri"/>
        </w:rPr>
        <w:noBreakHyphen/>
        <w:t>normal distribution of the characteristics of the odours, and in order to compare the characteristics of the PLE and UNP odours, non-parametric comparisons were conducted. These confirmed that, as assessed by the participants in the PLE (</w:t>
      </w:r>
      <w:r w:rsidRPr="003124EE">
        <w:rPr>
          <w:rFonts w:eastAsia="Calibri"/>
          <w:i/>
        </w:rPr>
        <w:t>n</w:t>
      </w:r>
      <w:r w:rsidRPr="003124EE">
        <w:rPr>
          <w:rFonts w:eastAsia="Calibri"/>
        </w:rPr>
        <w:t xml:space="preserve"> = 20) and UNP (</w:t>
      </w:r>
      <w:r w:rsidRPr="003124EE">
        <w:rPr>
          <w:rFonts w:eastAsia="Calibri"/>
          <w:i/>
        </w:rPr>
        <w:t>n</w:t>
      </w:r>
      <w:r w:rsidRPr="003124EE">
        <w:rPr>
          <w:rFonts w:eastAsia="Calibri"/>
        </w:rPr>
        <w:t xml:space="preserve"> = 20) groups when they were exposed to the odour </w:t>
      </w:r>
      <w:r w:rsidRPr="003124EE">
        <w:rPr>
          <w:rFonts w:eastAsia="Calibri"/>
          <w:i/>
        </w:rPr>
        <w:t>in vivo</w:t>
      </w:r>
      <w:r w:rsidRPr="003124EE">
        <w:rPr>
          <w:rFonts w:eastAsia="Calibri"/>
        </w:rPr>
        <w:t xml:space="preserve"> (post-questionnaires), the PLE odour was statistically significantly more pleasant (</w:t>
      </w:r>
      <w:proofErr w:type="spellStart"/>
      <w:r w:rsidRPr="003124EE">
        <w:rPr>
          <w:rFonts w:eastAsia="Calibri"/>
          <w:i/>
        </w:rPr>
        <w:t>Mdn</w:t>
      </w:r>
      <w:proofErr w:type="spellEnd"/>
      <w:r w:rsidRPr="003124EE">
        <w:rPr>
          <w:rFonts w:eastAsia="Calibri"/>
        </w:rPr>
        <w:t xml:space="preserve"> = 4.00) than the UNP odour (</w:t>
      </w:r>
      <w:proofErr w:type="spellStart"/>
      <w:r w:rsidRPr="003124EE">
        <w:rPr>
          <w:rFonts w:eastAsia="Calibri"/>
          <w:i/>
        </w:rPr>
        <w:t>Mdn</w:t>
      </w:r>
      <w:proofErr w:type="spellEnd"/>
      <w:r w:rsidRPr="003124EE">
        <w:rPr>
          <w:rFonts w:eastAsia="Calibri"/>
        </w:rPr>
        <w:t xml:space="preserve"> = 1.00; </w:t>
      </w:r>
      <w:r w:rsidRPr="003124EE">
        <w:rPr>
          <w:rFonts w:eastAsia="Calibri"/>
          <w:i/>
        </w:rPr>
        <w:t>U</w:t>
      </w:r>
      <w:r w:rsidRPr="003124EE">
        <w:rPr>
          <w:rFonts w:eastAsia="Calibri"/>
        </w:rPr>
        <w:t xml:space="preserve"> = 17.00, </w:t>
      </w:r>
      <w:r w:rsidRPr="003124EE">
        <w:rPr>
          <w:rFonts w:eastAsia="Calibri"/>
          <w:i/>
        </w:rPr>
        <w:t>z</w:t>
      </w:r>
      <w:r w:rsidRPr="003124EE">
        <w:rPr>
          <w:rFonts w:eastAsia="Calibri"/>
        </w:rPr>
        <w:t xml:space="preserve"> = -5.02, </w:t>
      </w:r>
      <w:r w:rsidRPr="003124EE">
        <w:rPr>
          <w:rFonts w:eastAsia="Calibri"/>
          <w:i/>
        </w:rPr>
        <w:t>p</w:t>
      </w:r>
      <w:r w:rsidRPr="003124EE">
        <w:rPr>
          <w:rFonts w:eastAsia="Calibri"/>
        </w:rPr>
        <w:t xml:space="preserve"> = .00, </w:t>
      </w:r>
      <w:r w:rsidRPr="003124EE">
        <w:rPr>
          <w:rFonts w:eastAsia="Calibri"/>
          <w:i/>
        </w:rPr>
        <w:t>d</w:t>
      </w:r>
      <w:r w:rsidRPr="003124EE">
        <w:rPr>
          <w:rFonts w:eastAsia="Calibri"/>
        </w:rPr>
        <w:t xml:space="preserve"> = -2.79, </w:t>
      </w:r>
      <w:r w:rsidRPr="003124EE">
        <w:rPr>
          <w:rFonts w:eastAsia="Calibri"/>
          <w:i/>
        </w:rPr>
        <w:t>r</w:t>
      </w:r>
      <w:r w:rsidRPr="003124EE">
        <w:rPr>
          <w:rFonts w:eastAsia="Calibri"/>
        </w:rPr>
        <w:t xml:space="preserve"> = -.81) and more congruent (</w:t>
      </w:r>
      <w:proofErr w:type="spellStart"/>
      <w:r w:rsidRPr="003124EE">
        <w:rPr>
          <w:rFonts w:eastAsia="Calibri"/>
          <w:i/>
        </w:rPr>
        <w:t>Mdn</w:t>
      </w:r>
      <w:proofErr w:type="spellEnd"/>
      <w:r w:rsidRPr="003124EE">
        <w:rPr>
          <w:rFonts w:eastAsia="Calibri"/>
        </w:rPr>
        <w:t xml:space="preserve"> = 4.50) with the visual scene than the UNP odour (</w:t>
      </w:r>
      <w:proofErr w:type="spellStart"/>
      <w:r w:rsidRPr="003124EE">
        <w:rPr>
          <w:rFonts w:eastAsia="Calibri"/>
          <w:i/>
        </w:rPr>
        <w:t>Mdn</w:t>
      </w:r>
      <w:proofErr w:type="spellEnd"/>
      <w:r w:rsidRPr="003124EE">
        <w:rPr>
          <w:rFonts w:eastAsia="Calibri"/>
        </w:rPr>
        <w:t xml:space="preserve"> = 2.00; </w:t>
      </w:r>
      <w:r w:rsidRPr="003124EE">
        <w:rPr>
          <w:rFonts w:eastAsia="Calibri"/>
          <w:i/>
        </w:rPr>
        <w:t>U</w:t>
      </w:r>
      <w:r w:rsidRPr="003124EE">
        <w:rPr>
          <w:rFonts w:eastAsia="Calibri"/>
        </w:rPr>
        <w:t xml:space="preserve"> = 74.00, </w:t>
      </w:r>
      <w:r w:rsidRPr="003124EE">
        <w:rPr>
          <w:rFonts w:eastAsia="Calibri"/>
          <w:i/>
        </w:rPr>
        <w:t>z</w:t>
      </w:r>
      <w:r w:rsidRPr="003124EE">
        <w:rPr>
          <w:rFonts w:eastAsia="Calibri"/>
        </w:rPr>
        <w:t xml:space="preserve"> = -3.50, </w:t>
      </w:r>
      <w:r w:rsidRPr="003124EE">
        <w:rPr>
          <w:rFonts w:eastAsia="Calibri"/>
          <w:i/>
        </w:rPr>
        <w:t>p</w:t>
      </w:r>
      <w:r w:rsidRPr="003124EE">
        <w:rPr>
          <w:rFonts w:eastAsia="Calibri"/>
        </w:rPr>
        <w:t xml:space="preserve"> = .00, </w:t>
      </w:r>
      <w:r w:rsidRPr="003124EE">
        <w:rPr>
          <w:rFonts w:eastAsia="Calibri"/>
          <w:i/>
        </w:rPr>
        <w:t>d</w:t>
      </w:r>
      <w:r w:rsidRPr="003124EE">
        <w:rPr>
          <w:rFonts w:eastAsia="Calibri"/>
        </w:rPr>
        <w:t xml:space="preserve"> = -1.36, </w:t>
      </w:r>
      <w:r w:rsidRPr="003124EE">
        <w:rPr>
          <w:rFonts w:eastAsia="Calibri"/>
          <w:i/>
        </w:rPr>
        <w:t>r</w:t>
      </w:r>
      <w:r w:rsidRPr="003124EE">
        <w:rPr>
          <w:rFonts w:eastAsia="Calibri"/>
        </w:rPr>
        <w:t xml:space="preserve"> = -.56). However, the PLE and UNP odours did not statistically significantly differ in terms of Intensity (respectively </w:t>
      </w:r>
      <w:proofErr w:type="spellStart"/>
      <w:r w:rsidRPr="003124EE">
        <w:rPr>
          <w:rFonts w:eastAsia="Calibri"/>
          <w:i/>
        </w:rPr>
        <w:t>Mdns</w:t>
      </w:r>
      <w:proofErr w:type="spellEnd"/>
      <w:r w:rsidRPr="003124EE">
        <w:rPr>
          <w:rFonts w:eastAsia="Calibri"/>
        </w:rPr>
        <w:t xml:space="preserve"> = 5.00 and 6.00; </w:t>
      </w:r>
      <w:r w:rsidRPr="003124EE">
        <w:rPr>
          <w:rFonts w:eastAsia="Calibri"/>
          <w:i/>
        </w:rPr>
        <w:t>U</w:t>
      </w:r>
      <w:r w:rsidRPr="003124EE">
        <w:rPr>
          <w:rFonts w:eastAsia="Calibri"/>
        </w:rPr>
        <w:t xml:space="preserve"> = 147.00, </w:t>
      </w:r>
      <w:r w:rsidRPr="003124EE">
        <w:rPr>
          <w:rFonts w:eastAsia="Calibri"/>
          <w:i/>
        </w:rPr>
        <w:t>z</w:t>
      </w:r>
      <w:r w:rsidRPr="003124EE">
        <w:rPr>
          <w:rFonts w:eastAsia="Calibri"/>
        </w:rPr>
        <w:t xml:space="preserve"> = -1.49, </w:t>
      </w:r>
      <w:r w:rsidRPr="003124EE">
        <w:rPr>
          <w:rFonts w:eastAsia="Calibri"/>
          <w:i/>
        </w:rPr>
        <w:t>p</w:t>
      </w:r>
      <w:r w:rsidRPr="003124EE">
        <w:rPr>
          <w:rFonts w:eastAsia="Calibri"/>
        </w:rPr>
        <w:t xml:space="preserve"> = .14, </w:t>
      </w:r>
      <w:r w:rsidRPr="003124EE">
        <w:rPr>
          <w:rFonts w:eastAsia="Calibri"/>
          <w:i/>
        </w:rPr>
        <w:t>d</w:t>
      </w:r>
      <w:r w:rsidRPr="003124EE">
        <w:rPr>
          <w:rFonts w:eastAsia="Calibri"/>
        </w:rPr>
        <w:t xml:space="preserve"> = .57, </w:t>
      </w:r>
      <w:r w:rsidRPr="003124EE">
        <w:rPr>
          <w:rFonts w:eastAsia="Calibri"/>
          <w:i/>
        </w:rPr>
        <w:t>r</w:t>
      </w:r>
      <w:r w:rsidRPr="003124EE">
        <w:rPr>
          <w:rFonts w:eastAsia="Calibri"/>
        </w:rPr>
        <w:t xml:space="preserve"> = .27) or Familiarity (respectively </w:t>
      </w:r>
      <w:proofErr w:type="spellStart"/>
      <w:r w:rsidRPr="003124EE">
        <w:rPr>
          <w:rFonts w:eastAsia="Calibri"/>
          <w:i/>
        </w:rPr>
        <w:t>Mdns</w:t>
      </w:r>
      <w:proofErr w:type="spellEnd"/>
      <w:r w:rsidRPr="003124EE">
        <w:rPr>
          <w:rFonts w:eastAsia="Calibri"/>
        </w:rPr>
        <w:t xml:space="preserve"> = 5.00 and 4.00; </w:t>
      </w:r>
      <w:r w:rsidRPr="003124EE">
        <w:rPr>
          <w:rFonts w:eastAsia="Calibri"/>
          <w:i/>
        </w:rPr>
        <w:t>U</w:t>
      </w:r>
      <w:r w:rsidRPr="003124EE">
        <w:rPr>
          <w:rFonts w:eastAsia="Calibri"/>
        </w:rPr>
        <w:t xml:space="preserve"> = 148.50, </w:t>
      </w:r>
      <w:r w:rsidRPr="003124EE">
        <w:rPr>
          <w:rFonts w:eastAsia="Calibri"/>
          <w:i/>
        </w:rPr>
        <w:t>z</w:t>
      </w:r>
      <w:r w:rsidRPr="003124EE">
        <w:rPr>
          <w:rFonts w:eastAsia="Calibri"/>
        </w:rPr>
        <w:t xml:space="preserve"> = -1.43, </w:t>
      </w:r>
      <w:r w:rsidRPr="003124EE">
        <w:rPr>
          <w:rFonts w:eastAsia="Calibri"/>
          <w:i/>
        </w:rPr>
        <w:t>p</w:t>
      </w:r>
      <w:r w:rsidRPr="003124EE">
        <w:rPr>
          <w:rFonts w:eastAsia="Calibri"/>
        </w:rPr>
        <w:t xml:space="preserve"> = .15, </w:t>
      </w:r>
      <w:r w:rsidRPr="003124EE">
        <w:rPr>
          <w:rFonts w:eastAsia="Calibri"/>
          <w:i/>
        </w:rPr>
        <w:t>d</w:t>
      </w:r>
      <w:r w:rsidRPr="003124EE">
        <w:rPr>
          <w:rFonts w:eastAsia="Calibri"/>
        </w:rPr>
        <w:t xml:space="preserve"> = -.38, </w:t>
      </w:r>
      <w:r w:rsidRPr="003124EE">
        <w:rPr>
          <w:rFonts w:eastAsia="Calibri"/>
          <w:i/>
        </w:rPr>
        <w:t>r</w:t>
      </w:r>
      <w:r w:rsidRPr="003124EE">
        <w:rPr>
          <w:rFonts w:eastAsia="Calibri"/>
        </w:rPr>
        <w:t> = </w:t>
      </w:r>
      <w:r w:rsidRPr="003124EE">
        <w:rPr>
          <w:rFonts w:eastAsia="Calibri"/>
        </w:rPr>
        <w:noBreakHyphen/>
        <w:t>.19). Mean values and standard errors are shown in Fig. B.</w:t>
      </w:r>
    </w:p>
    <w:p w14:paraId="070E2C00" w14:textId="45A8E6DE" w:rsidR="000C777F" w:rsidRPr="00296757" w:rsidRDefault="00296757" w:rsidP="00AF30DA">
      <w:pPr>
        <w:pStyle w:val="Newparagraph"/>
        <w:ind w:firstLine="0"/>
        <w:rPr>
          <w:rFonts w:eastAsia="Calibri"/>
        </w:rPr>
      </w:pPr>
      <w:r>
        <w:rPr>
          <w:rFonts w:eastAsia="Calibri"/>
          <w:noProof/>
        </w:rPr>
        <w:lastRenderedPageBreak/>
        <w:drawing>
          <wp:inline distT="0" distB="0" distL="0" distR="0" wp14:anchorId="7BADBF97" wp14:editId="6A39519A">
            <wp:extent cx="6454993" cy="30607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B.jpg"/>
                    <pic:cNvPicPr/>
                  </pic:nvPicPr>
                  <pic:blipFill>
                    <a:blip r:embed="rId12">
                      <a:extLst>
                        <a:ext uri="{28A0092B-C50C-407E-A947-70E740481C1C}">
                          <a14:useLocalDpi xmlns:a14="http://schemas.microsoft.com/office/drawing/2010/main" val="0"/>
                        </a:ext>
                      </a:extLst>
                    </a:blip>
                    <a:stretch>
                      <a:fillRect/>
                    </a:stretch>
                  </pic:blipFill>
                  <pic:spPr>
                    <a:xfrm>
                      <a:off x="0" y="0"/>
                      <a:ext cx="6497641" cy="3080922"/>
                    </a:xfrm>
                    <a:prstGeom prst="rect">
                      <a:avLst/>
                    </a:prstGeom>
                  </pic:spPr>
                </pic:pic>
              </a:graphicData>
            </a:graphic>
          </wp:inline>
        </w:drawing>
      </w:r>
    </w:p>
    <w:p w14:paraId="023265B6" w14:textId="051FA615" w:rsidR="00D0626B" w:rsidRPr="003124EE" w:rsidRDefault="00D0626B" w:rsidP="00D0626B">
      <w:pPr>
        <w:autoSpaceDE w:val="0"/>
        <w:autoSpaceDN w:val="0"/>
        <w:adjustRightInd w:val="0"/>
        <w:rPr>
          <w:rFonts w:ascii="Calibri" w:eastAsia="Calibri" w:hAnsi="Calibri"/>
          <w:noProof/>
          <w:lang w:eastAsia="fr-CA"/>
        </w:rPr>
      </w:pPr>
    </w:p>
    <w:p w14:paraId="6274B12F" w14:textId="77777777" w:rsidR="00D0626B" w:rsidRPr="003124EE" w:rsidRDefault="00D0626B" w:rsidP="00D0626B">
      <w:pPr>
        <w:pStyle w:val="Figurecaption"/>
        <w:rPr>
          <w:rFonts w:eastAsia="Calibri"/>
        </w:rPr>
      </w:pPr>
      <w:r w:rsidRPr="003124EE">
        <w:rPr>
          <w:rFonts w:eastAsia="Calibri"/>
          <w:i/>
        </w:rPr>
        <w:t>Figure B.</w:t>
      </w:r>
      <w:r w:rsidRPr="003124EE">
        <w:rPr>
          <w:rFonts w:eastAsia="Calibri"/>
        </w:rPr>
        <w:t xml:space="preserve"> Characteristics of olfactory stimuli presented </w:t>
      </w:r>
      <w:r w:rsidRPr="003124EE">
        <w:rPr>
          <w:rFonts w:eastAsia="Calibri"/>
          <w:i/>
        </w:rPr>
        <w:t>in vivo</w:t>
      </w:r>
      <w:r w:rsidRPr="003124EE">
        <w:rPr>
          <w:rFonts w:eastAsia="Calibri"/>
        </w:rPr>
        <w:t xml:space="preserve">. These are based on a 30-second exposure to the same stimulus that participants had been exposed to </w:t>
      </w:r>
      <w:r w:rsidRPr="003124EE">
        <w:rPr>
          <w:rFonts w:eastAsia="Calibri"/>
          <w:i/>
        </w:rPr>
        <w:t xml:space="preserve">in </w:t>
      </w:r>
      <w:proofErr w:type="spellStart"/>
      <w:r w:rsidRPr="003124EE">
        <w:rPr>
          <w:rFonts w:eastAsia="Calibri"/>
          <w:i/>
        </w:rPr>
        <w:t>virtuo</w:t>
      </w:r>
      <w:proofErr w:type="spellEnd"/>
      <w:r w:rsidRPr="003124EE">
        <w:rPr>
          <w:rFonts w:eastAsia="Calibri"/>
        </w:rPr>
        <w:t xml:space="preserve">. This time, however, participants had been made aware of the exposure to an olfactory stimulus (for pleasant odour, </w:t>
      </w:r>
      <w:r w:rsidRPr="003124EE">
        <w:rPr>
          <w:rFonts w:eastAsia="Calibri"/>
          <w:i/>
        </w:rPr>
        <w:t>n</w:t>
      </w:r>
      <w:r w:rsidRPr="003124EE">
        <w:rPr>
          <w:rFonts w:eastAsia="Calibri"/>
        </w:rPr>
        <w:t xml:space="preserve"> = 20; for unpleasant odour, </w:t>
      </w:r>
      <w:r w:rsidRPr="003124EE">
        <w:rPr>
          <w:rFonts w:eastAsia="Calibri"/>
          <w:i/>
        </w:rPr>
        <w:t>n</w:t>
      </w:r>
      <w:r w:rsidRPr="003124EE">
        <w:rPr>
          <w:rFonts w:eastAsia="Calibri"/>
        </w:rPr>
        <w:t xml:space="preserve"> = 20). Standard errors are represented in the figure by the error bars attached to each column.</w:t>
      </w:r>
    </w:p>
    <w:p w14:paraId="31BE4F83" w14:textId="77777777" w:rsidR="00B02891" w:rsidRDefault="00B02891"/>
    <w:sectPr w:rsidR="00B02891">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63870" w14:textId="77777777" w:rsidR="004B582A" w:rsidRDefault="004B582A" w:rsidP="00AF30DA">
      <w:pPr>
        <w:spacing w:line="240" w:lineRule="auto"/>
      </w:pPr>
      <w:r>
        <w:separator/>
      </w:r>
    </w:p>
  </w:endnote>
  <w:endnote w:type="continuationSeparator" w:id="0">
    <w:p w14:paraId="51D99747" w14:textId="77777777" w:rsidR="004B582A" w:rsidRDefault="004B582A" w:rsidP="00AF3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139146"/>
      <w:docPartObj>
        <w:docPartGallery w:val="Page Numbers (Bottom of Page)"/>
        <w:docPartUnique/>
      </w:docPartObj>
    </w:sdtPr>
    <w:sdtEndPr>
      <w:rPr>
        <w:noProof/>
      </w:rPr>
    </w:sdtEndPr>
    <w:sdtContent>
      <w:p w14:paraId="211ADA0F" w14:textId="1F99F4E0" w:rsidR="00AF30DA" w:rsidRDefault="00AF30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0A6A11" w14:textId="77777777" w:rsidR="00AF30DA" w:rsidRDefault="00AF3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8533C" w14:textId="77777777" w:rsidR="004B582A" w:rsidRDefault="004B582A" w:rsidP="00AF30DA">
      <w:pPr>
        <w:spacing w:line="240" w:lineRule="auto"/>
      </w:pPr>
      <w:r>
        <w:separator/>
      </w:r>
    </w:p>
  </w:footnote>
  <w:footnote w:type="continuationSeparator" w:id="0">
    <w:p w14:paraId="7696638D" w14:textId="77777777" w:rsidR="004B582A" w:rsidRDefault="004B582A" w:rsidP="00AF30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6B"/>
    <w:rsid w:val="000C777F"/>
    <w:rsid w:val="00141D2F"/>
    <w:rsid w:val="00296757"/>
    <w:rsid w:val="003A371C"/>
    <w:rsid w:val="00463735"/>
    <w:rsid w:val="004B582A"/>
    <w:rsid w:val="00565A2E"/>
    <w:rsid w:val="006955E1"/>
    <w:rsid w:val="00AF30DA"/>
    <w:rsid w:val="00B02891"/>
    <w:rsid w:val="00D0626B"/>
    <w:rsid w:val="00D55604"/>
    <w:rsid w:val="00DF3A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8A430"/>
  <w15:chartTrackingRefBased/>
  <w15:docId w15:val="{F9855C2A-8DD3-45BF-9537-347FC3A2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26B"/>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0626B"/>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qFormat/>
    <w:rsid w:val="00D0626B"/>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qFormat/>
    <w:rsid w:val="00D0626B"/>
    <w:pPr>
      <w:keepNext/>
      <w:spacing w:before="360" w:after="60" w:line="360" w:lineRule="auto"/>
      <w:ind w:right="567"/>
      <w:contextualSpacing/>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26B"/>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D0626B"/>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D0626B"/>
    <w:rPr>
      <w:rFonts w:ascii="Times New Roman" w:eastAsia="Times New Roman" w:hAnsi="Times New Roman" w:cs="Arial"/>
      <w:bCs/>
      <w:i/>
      <w:sz w:val="24"/>
      <w:szCs w:val="26"/>
      <w:lang w:val="en-GB" w:eastAsia="en-GB"/>
    </w:rPr>
  </w:style>
  <w:style w:type="table" w:customStyle="1" w:styleId="Grilledutableau6">
    <w:name w:val="Grille du tableau6"/>
    <w:basedOn w:val="TableNormal"/>
    <w:uiPriority w:val="59"/>
    <w:rsid w:val="00D0626B"/>
    <w:pPr>
      <w:spacing w:after="0" w:line="240" w:lineRule="auto"/>
    </w:pPr>
    <w:rPr>
      <w:rFonts w:ascii="Calibri" w:eastAsia="Calibri" w:hAnsi="Calibri" w:cs="Times New Roman"/>
      <w:lang w:val="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D0626B"/>
    <w:pPr>
      <w:spacing w:before="240" w:line="360" w:lineRule="auto"/>
    </w:pPr>
  </w:style>
  <w:style w:type="paragraph" w:customStyle="1" w:styleId="Figurecaption">
    <w:name w:val="Figure caption"/>
    <w:basedOn w:val="Normal"/>
    <w:next w:val="Normal"/>
    <w:qFormat/>
    <w:rsid w:val="00D0626B"/>
    <w:pPr>
      <w:spacing w:before="240" w:line="360" w:lineRule="auto"/>
    </w:pPr>
  </w:style>
  <w:style w:type="paragraph" w:customStyle="1" w:styleId="Newparagraph">
    <w:name w:val="New paragraph"/>
    <w:basedOn w:val="Normal"/>
    <w:qFormat/>
    <w:rsid w:val="00D0626B"/>
    <w:pPr>
      <w:ind w:firstLine="720"/>
    </w:pPr>
  </w:style>
  <w:style w:type="paragraph" w:customStyle="1" w:styleId="Heading4Paragraph">
    <w:name w:val="Heading 4 + Paragraph"/>
    <w:basedOn w:val="Normal"/>
    <w:next w:val="Newparagraph"/>
    <w:qFormat/>
    <w:rsid w:val="00D0626B"/>
    <w:pPr>
      <w:spacing w:before="360"/>
    </w:pPr>
  </w:style>
  <w:style w:type="paragraph" w:styleId="BalloonText">
    <w:name w:val="Balloon Text"/>
    <w:basedOn w:val="Normal"/>
    <w:link w:val="BalloonTextChar"/>
    <w:uiPriority w:val="99"/>
    <w:semiHidden/>
    <w:unhideWhenUsed/>
    <w:rsid w:val="003A37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1C"/>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AF30DA"/>
    <w:pPr>
      <w:tabs>
        <w:tab w:val="center" w:pos="4680"/>
        <w:tab w:val="right" w:pos="9360"/>
      </w:tabs>
      <w:spacing w:line="240" w:lineRule="auto"/>
    </w:pPr>
  </w:style>
  <w:style w:type="character" w:customStyle="1" w:styleId="HeaderChar">
    <w:name w:val="Header Char"/>
    <w:basedOn w:val="DefaultParagraphFont"/>
    <w:link w:val="Header"/>
    <w:uiPriority w:val="99"/>
    <w:rsid w:val="00AF30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F30DA"/>
    <w:pPr>
      <w:tabs>
        <w:tab w:val="center" w:pos="4680"/>
        <w:tab w:val="right" w:pos="9360"/>
      </w:tabs>
      <w:spacing w:line="240" w:lineRule="auto"/>
    </w:pPr>
  </w:style>
  <w:style w:type="character" w:customStyle="1" w:styleId="FooterChar">
    <w:name w:val="Footer Char"/>
    <w:basedOn w:val="DefaultParagraphFont"/>
    <w:link w:val="Footer"/>
    <w:uiPriority w:val="99"/>
    <w:rsid w:val="00AF30DA"/>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908755">
      <w:bodyDiv w:val="1"/>
      <w:marLeft w:val="0"/>
      <w:marRight w:val="0"/>
      <w:marTop w:val="0"/>
      <w:marBottom w:val="0"/>
      <w:divBdr>
        <w:top w:val="none" w:sz="0" w:space="0" w:color="auto"/>
        <w:left w:val="none" w:sz="0" w:space="0" w:color="auto"/>
        <w:bottom w:val="none" w:sz="0" w:space="0" w:color="auto"/>
        <w:right w:val="none" w:sz="0" w:space="0" w:color="auto"/>
      </w:divBdr>
    </w:div>
    <w:div w:id="20017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CDD4F-2787-438A-A8D9-499F58F8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kevin.nolet@umontreal.ca</cp:lastModifiedBy>
  <cp:revision>7</cp:revision>
  <dcterms:created xsi:type="dcterms:W3CDTF">2018-08-27T14:45:00Z</dcterms:created>
  <dcterms:modified xsi:type="dcterms:W3CDTF">2019-02-27T16:29:00Z</dcterms:modified>
</cp:coreProperties>
</file>