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E93" w:rsidRDefault="00EA1E93" w:rsidP="00EA1E9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EA1E93" w:rsidRPr="00F90043" w:rsidRDefault="004C408D" w:rsidP="00EA1E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Supplemental </w:t>
      </w:r>
      <w:r w:rsidR="00EA1E93">
        <w:rPr>
          <w:rFonts w:ascii="Times New Roman" w:hAnsi="Times New Roman" w:cs="Times New Roman"/>
          <w:sz w:val="20"/>
          <w:szCs w:val="20"/>
        </w:rPr>
        <w:t>Table I</w:t>
      </w:r>
    </w:p>
    <w:tbl>
      <w:tblPr>
        <w:tblStyle w:val="TableGrid1"/>
        <w:tblW w:w="11163" w:type="dxa"/>
        <w:jc w:val="center"/>
        <w:tblLook w:val="04A0" w:firstRow="1" w:lastRow="0" w:firstColumn="1" w:lastColumn="0" w:noHBand="0" w:noVBand="1"/>
      </w:tblPr>
      <w:tblGrid>
        <w:gridCol w:w="2700"/>
        <w:gridCol w:w="1350"/>
        <w:gridCol w:w="1350"/>
        <w:gridCol w:w="1488"/>
        <w:gridCol w:w="1572"/>
        <w:gridCol w:w="1530"/>
        <w:gridCol w:w="1173"/>
      </w:tblGrid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(n = 567)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GNRI</w:t>
            </w:r>
            <w:r w:rsidRPr="00F90043">
              <w:rPr>
                <w:rFonts w:ascii="Times New Roman" w:hAnsi="Times New Roman" w:cs="Times New Roman"/>
                <w:sz w:val="20"/>
                <w:szCs w:val="20"/>
              </w:rPr>
              <w:t xml:space="preserve"> &lt; 82</w:t>
            </w:r>
          </w:p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hAnsi="Times New Roman" w:cs="Times New Roman"/>
                <w:sz w:val="20"/>
                <w:szCs w:val="20"/>
              </w:rPr>
              <w:t>(n = 47)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Pr="00F90043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GNRI&lt;92</w:t>
            </w:r>
          </w:p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(n = 177)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hAnsi="Times New Roman" w:cs="Times New Roman"/>
                <w:sz w:val="20"/>
                <w:szCs w:val="20"/>
              </w:rPr>
              <w:t>92≤</w:t>
            </w: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GNRI</w:t>
            </w:r>
            <w:r w:rsidRPr="00F90043">
              <w:rPr>
                <w:rFonts w:ascii="Times New Roman" w:hAnsi="Times New Roman" w:cs="Times New Roman"/>
                <w:sz w:val="20"/>
                <w:szCs w:val="20"/>
              </w:rPr>
              <w:t xml:space="preserve"> &lt;98</w:t>
            </w:r>
          </w:p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hAnsi="Times New Roman" w:cs="Times New Roman"/>
                <w:sz w:val="20"/>
                <w:szCs w:val="20"/>
              </w:rPr>
              <w:t>(n = 193)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GNRI ≥ 98</w:t>
            </w:r>
          </w:p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(n = 150)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P-v</w:t>
            </w: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alue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Age, years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81.2 ± 9.2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79.0 ± 9.5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82.3 ± 8.0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81.3 ± 9.1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79.0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12.4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0.08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299 (52.7%)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21 (44.7%)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87 (49.2%)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108 (56.0%)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83 (55.3%)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0.34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502 (88.7%)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 (87.2%)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153 (86.4%)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174 (90.6%)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134 (89.3%)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0.19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80.0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+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21.0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70.3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+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21.7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78.9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+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23.8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81.2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+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18.9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82.9 </w:t>
            </w:r>
            <w:r w:rsidRPr="00F9004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18.8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0.003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BMI (kg/m</w:t>
            </w:r>
            <w:r w:rsidRPr="00F9004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28.7 ±7.1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25.3 ± 7.1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28.3 ± 7.7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29.2 ± 6.5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29.5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6.4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0.003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STS score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8.2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5.2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9.6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6.1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9.6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5.5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8.0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5.1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6.5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4.1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Albumin (mg/dL)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3.5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0.4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3.7 ± 0.5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3.5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0.5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3.4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0.5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3.5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0.4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GNRI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92.9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7.5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77.5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3.9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87.7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2.4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94.5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1.5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101.8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3.3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Active malignancy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 (11.5%)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(8.5%)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 (12.4%)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 (10.4%)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19 (12.7%)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0.81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COPD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162 (28.6%)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 (29.8%)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 (29.9%)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 (31.1%)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35 (23.3%)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0.42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241 (42.5%)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 (34.0%)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 (44.1%)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 (43.5%)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63 (42.0%)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0.65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CKD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261 (46.0%)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(43.2%)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 (48.6%)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89 (46.1%)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61 (40.7%)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0.37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Dialysis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 (4.8%)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 (17.0%)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 (5.1%)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(1.6%)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7 (4.7%)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525 (92.6%)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41 (87.2%)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162 (91.5%)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179 (92.7%)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143 (95.3%)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0.27</w:t>
            </w:r>
          </w:p>
        </w:tc>
      </w:tr>
      <w:tr w:rsidR="00EA1E93" w:rsidRPr="00F90043" w:rsidTr="00BB31BD">
        <w:trPr>
          <w:trHeight w:val="422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Peripheral artery disease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128 (22.6%)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12 (25.5%)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39 (22.0%)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47 (24.4%)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30 (20.0%)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0.76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Dyslipidemia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430 (75.8%)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26 (55.3%)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137 (77.4%)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146 (75.6%)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121 (80.7%)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0.005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Previous stroke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76 (13.4%)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4 (8.5%)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29 (16.4%)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23 (11.9%)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20 (13.3%)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0.44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Previous CABG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148 (26.1%)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7 (14.9%)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44 (24.9%)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54 (28.0%)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43 (28.7%)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0.25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Previous myocardial infarction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127 (22.5%)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6 (12.8%)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38 (21.6%)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48 (25.0%)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35 (23.3%)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0.34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Syncope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49 (8.6%)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4 (8.5%)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21 (11.9%)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15 (7.8%)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9 (6.0%)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0.28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Stable angina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88 (15.5%)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7 (14.9%)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29 (16.4%)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29 (15.0%)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33 (22.0%)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0.35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Cirrhosis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21 (3.7%)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 (4.3%)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11 (6.2%)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 (0.5%)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7 (4.7%)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0.03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Obstructive sleep apnea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59 (10.4%)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5 (10.6%)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17 (9.6%)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17 (8.8%)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20 (13.3%)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0.57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Atrial fibrillation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256 (45.1%)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28 (59.6%)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80 (45.2%)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85 (44.0%)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63 (42.0%)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0.20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Pacemaker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98 (17.3%)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7 (14.9%)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34 (19.2%)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33 (17.1%)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24 (16.0%)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0.84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RBBB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57 (10.1%)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5 (10.6%)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12 (6.8%)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24 (12.4%)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16 (10.7%)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0.33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LBBB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33 (5.8%)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4 (8.5%)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11 (6.2%)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14 (7.3%)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3 (2.7%)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0.26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AV block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64 (11.3%)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6 (12.8%)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12 (6.8%)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31 (16.1%)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15 (10.1%)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0.04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LVEF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52.4 ±13.4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48.4 ± 15.7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50.6 ± 14.6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49.5 ± 15.3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F90043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53.0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13.3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NYHA class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0.02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ind w:firstLine="4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9 (1.6%)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 (2.1%)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 (1.1%)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 (0.5%)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5 (3.3%)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ind w:firstLine="4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131 (23.1%)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10 (21.3%)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28 (15.8%)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44 (22.8%)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49 (32.7%)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ind w:firstLine="4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402 (70.9%)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34 (72.3%)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137 (77.4%)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142 (73.6%)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89 (59.3%)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ind w:firstLine="4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25 (4.4%)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 (4.3%)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10 (5.6%)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6 (3.1%)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7 (4.7%)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Approach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EA1E93" w:rsidRPr="00F90043" w:rsidRDefault="00EA1E93" w:rsidP="00BB31BD">
            <w:pPr>
              <w:tabs>
                <w:tab w:val="left" w:pos="387"/>
                <w:tab w:val="center" w:pos="61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0.58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ind w:firstLine="2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Transfemoral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tabs>
                <w:tab w:val="left" w:pos="322"/>
                <w:tab w:val="center" w:pos="5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515 (90.8%)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43 (91.5%)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156 (88.1%)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177 (91.7%)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139 (92.7%)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ind w:firstLine="2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Transapical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24 (4.2%)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 (4.3%)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8 (4.5%)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8 (4.1%)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6 (4.0%)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ind w:firstLine="2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Transsubclavian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6 (1.1%)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1 (0.6%)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3 (1.6%)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 (1.3%)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ind w:firstLine="2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Transaortic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tabs>
                <w:tab w:val="center" w:pos="59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22 (3.9%)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tabs>
                <w:tab w:val="center" w:pos="59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2 (4.3%)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8 (4.5%)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8 (4.1%)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6 (4.0%)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Procedural length, min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89.7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37.7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83.8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30.7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96.5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45.5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hAnsi="Times New Roman" w:cs="Times New Roman"/>
                <w:sz w:val="20"/>
                <w:szCs w:val="20"/>
              </w:rPr>
              <w:t xml:space="preserve">87.0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36.8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87.4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30.0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0.08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Contrast volume, mL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85.5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54.7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74.4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41.4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85.8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46.8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87.4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51.1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86.2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69.3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0.57</w:t>
            </w:r>
          </w:p>
        </w:tc>
      </w:tr>
      <w:tr w:rsidR="00EA1E93" w:rsidRPr="00F90043" w:rsidTr="00BB31BD">
        <w:trPr>
          <w:trHeight w:val="376"/>
          <w:jc w:val="center"/>
        </w:trPr>
        <w:tc>
          <w:tcPr>
            <w:tcW w:w="2700" w:type="dxa"/>
          </w:tcPr>
          <w:p w:rsidR="00EA1E93" w:rsidRPr="00F90043" w:rsidRDefault="00EA1E93" w:rsidP="00BB31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Fluoroscopic time, min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20.9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13.3</w:t>
            </w:r>
          </w:p>
        </w:tc>
        <w:tc>
          <w:tcPr>
            <w:tcW w:w="135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19.4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9.4</w:t>
            </w:r>
          </w:p>
        </w:tc>
        <w:tc>
          <w:tcPr>
            <w:tcW w:w="1488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21.6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11.3</w:t>
            </w:r>
          </w:p>
        </w:tc>
        <w:tc>
          <w:tcPr>
            <w:tcW w:w="1572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9.3</w:t>
            </w:r>
          </w:p>
        </w:tc>
        <w:tc>
          <w:tcPr>
            <w:tcW w:w="1530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21.6 </w:t>
            </w:r>
            <w:r w:rsidRPr="00F900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± 9.4</w:t>
            </w:r>
          </w:p>
        </w:tc>
        <w:tc>
          <w:tcPr>
            <w:tcW w:w="1173" w:type="dxa"/>
          </w:tcPr>
          <w:p w:rsidR="00EA1E93" w:rsidRPr="00F90043" w:rsidRDefault="00EA1E93" w:rsidP="00BB31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043">
              <w:rPr>
                <w:rFonts w:ascii="Times New Roman" w:eastAsia="Calibri" w:hAnsi="Times New Roman" w:cs="Times New Roman"/>
                <w:sz w:val="20"/>
                <w:szCs w:val="20"/>
              </w:rPr>
              <w:t>0.56</w:t>
            </w:r>
          </w:p>
        </w:tc>
      </w:tr>
    </w:tbl>
    <w:p w:rsidR="00EA1E93" w:rsidRDefault="00EA1E93" w:rsidP="00EA1E93">
      <w:pPr>
        <w:rPr>
          <w:rFonts w:ascii="Times New Roman" w:hAnsi="Times New Roman" w:cs="Times New Roman"/>
          <w:sz w:val="20"/>
          <w:szCs w:val="20"/>
        </w:rPr>
      </w:pPr>
    </w:p>
    <w:p w:rsidR="00EA1E93" w:rsidRPr="00502E27" w:rsidRDefault="004C408D" w:rsidP="00EA1E9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EA1E93" w:rsidRPr="00502E27">
        <w:rPr>
          <w:rFonts w:ascii="Times New Roman" w:hAnsi="Times New Roman" w:cs="Times New Roman"/>
          <w:sz w:val="24"/>
          <w:szCs w:val="24"/>
        </w:rPr>
        <w:t>Table I</w:t>
      </w:r>
      <w:r w:rsidR="00EA1E93">
        <w:rPr>
          <w:rFonts w:ascii="Times New Roman" w:hAnsi="Times New Roman" w:cs="Times New Roman"/>
          <w:sz w:val="24"/>
          <w:szCs w:val="24"/>
        </w:rPr>
        <w:t>:</w:t>
      </w:r>
      <w:r w:rsidR="00EA1E93" w:rsidRPr="00502E27">
        <w:rPr>
          <w:rFonts w:ascii="Times New Roman" w:hAnsi="Times New Roman" w:cs="Times New Roman"/>
          <w:sz w:val="24"/>
          <w:szCs w:val="24"/>
        </w:rPr>
        <w:t xml:space="preserve"> Baseline characteristics and procedural information</w:t>
      </w:r>
    </w:p>
    <w:p w:rsidR="00EA1E93" w:rsidRPr="00F90043" w:rsidRDefault="00EA1E93" w:rsidP="00EA1E9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Abbreviations for Table I: BMI – body mass index, STS – Society of Thoracic Surgeons, GNRI – geriatric nutritional risk index, COPD – chronic obstructive pulmonary disease, CKD – chronic kidney disease, CABG – coronary artery bypass graft, RBBB – right bundle branch block, LBBB – left bundle branch block, AV – atrioventricular, LVEF – left ventricular ejection fraction, NYHA – New York Heart Association</w:t>
      </w:r>
    </w:p>
    <w:p w:rsidR="00EA1E93" w:rsidRPr="00F90043" w:rsidRDefault="00EA1E93" w:rsidP="00EA1E93">
      <w:pPr>
        <w:rPr>
          <w:rFonts w:ascii="Times New Roman" w:hAnsi="Times New Roman" w:cs="Times New Roman"/>
          <w:sz w:val="20"/>
          <w:szCs w:val="20"/>
        </w:rPr>
      </w:pPr>
    </w:p>
    <w:p w:rsidR="00EA1E93" w:rsidRDefault="00EA1E93" w:rsidP="00EA1E93">
      <w:pPr>
        <w:rPr>
          <w:rFonts w:ascii="Times New Roman" w:hAnsi="Times New Roman" w:cs="Times New Roman"/>
          <w:sz w:val="20"/>
          <w:szCs w:val="20"/>
        </w:rPr>
      </w:pPr>
    </w:p>
    <w:p w:rsidR="00EA1E93" w:rsidRDefault="00EA1E93" w:rsidP="00EA1E93">
      <w:pPr>
        <w:rPr>
          <w:rFonts w:ascii="Times New Roman" w:hAnsi="Times New Roman" w:cs="Times New Roman"/>
          <w:sz w:val="20"/>
          <w:szCs w:val="20"/>
        </w:rPr>
      </w:pPr>
    </w:p>
    <w:p w:rsidR="00EA1E93" w:rsidRDefault="00EA1E93" w:rsidP="00EA1E93">
      <w:pPr>
        <w:rPr>
          <w:rFonts w:ascii="Times New Roman" w:hAnsi="Times New Roman" w:cs="Times New Roman"/>
          <w:sz w:val="20"/>
          <w:szCs w:val="20"/>
        </w:rPr>
      </w:pPr>
    </w:p>
    <w:p w:rsidR="00EA1E93" w:rsidRDefault="00EA1E93" w:rsidP="00EA1E93">
      <w:pPr>
        <w:rPr>
          <w:rFonts w:ascii="Times New Roman" w:hAnsi="Times New Roman" w:cs="Times New Roman"/>
          <w:sz w:val="20"/>
          <w:szCs w:val="20"/>
        </w:rPr>
      </w:pPr>
    </w:p>
    <w:p w:rsidR="00EA1E93" w:rsidRDefault="00EA1E93" w:rsidP="00EA1E93">
      <w:pPr>
        <w:rPr>
          <w:rFonts w:ascii="Times New Roman" w:hAnsi="Times New Roman" w:cs="Times New Roman"/>
          <w:sz w:val="20"/>
          <w:szCs w:val="20"/>
        </w:rPr>
      </w:pPr>
    </w:p>
    <w:p w:rsidR="00EA1E93" w:rsidRDefault="00EA1E93" w:rsidP="00EA1E93">
      <w:pPr>
        <w:rPr>
          <w:rFonts w:ascii="Times New Roman" w:hAnsi="Times New Roman" w:cs="Times New Roman"/>
          <w:sz w:val="20"/>
          <w:szCs w:val="20"/>
        </w:rPr>
      </w:pPr>
    </w:p>
    <w:p w:rsidR="00EA1E93" w:rsidRDefault="00EA1E93" w:rsidP="00EA1E93">
      <w:pPr>
        <w:rPr>
          <w:rFonts w:ascii="Times New Roman" w:hAnsi="Times New Roman" w:cs="Times New Roman"/>
          <w:sz w:val="20"/>
          <w:szCs w:val="20"/>
        </w:rPr>
      </w:pPr>
    </w:p>
    <w:p w:rsidR="00EA1E93" w:rsidRDefault="00EA1E93" w:rsidP="00EA1E93">
      <w:pPr>
        <w:rPr>
          <w:rFonts w:ascii="Times New Roman" w:hAnsi="Times New Roman" w:cs="Times New Roman"/>
          <w:sz w:val="20"/>
          <w:szCs w:val="20"/>
        </w:rPr>
      </w:pPr>
    </w:p>
    <w:p w:rsidR="00EA1E93" w:rsidRDefault="00EA1E93" w:rsidP="00EA1E93">
      <w:pPr>
        <w:rPr>
          <w:rFonts w:ascii="Times New Roman" w:hAnsi="Times New Roman" w:cs="Times New Roman"/>
          <w:sz w:val="20"/>
          <w:szCs w:val="20"/>
        </w:rPr>
      </w:pPr>
    </w:p>
    <w:p w:rsidR="00EA1E93" w:rsidRDefault="00EA1E93" w:rsidP="00EA1E93">
      <w:pPr>
        <w:rPr>
          <w:rFonts w:ascii="Times New Roman" w:hAnsi="Times New Roman" w:cs="Times New Roman"/>
          <w:sz w:val="20"/>
          <w:szCs w:val="20"/>
        </w:rPr>
      </w:pPr>
    </w:p>
    <w:p w:rsidR="00D025F7" w:rsidRPr="00EA1E93" w:rsidRDefault="00D025F7" w:rsidP="00BA7804">
      <w:pPr>
        <w:rPr>
          <w:rFonts w:ascii="Times New Roman" w:hAnsi="Times New Roman" w:cs="Times New Roman"/>
          <w:sz w:val="20"/>
          <w:szCs w:val="20"/>
        </w:rPr>
      </w:pPr>
    </w:p>
    <w:sectPr w:rsidR="00D025F7" w:rsidRPr="00EA1E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44A" w:rsidRDefault="0068244A">
      <w:pPr>
        <w:spacing w:after="0" w:line="240" w:lineRule="auto"/>
      </w:pPr>
      <w:r>
        <w:separator/>
      </w:r>
    </w:p>
  </w:endnote>
  <w:endnote w:type="continuationSeparator" w:id="0">
    <w:p w:rsidR="0068244A" w:rsidRDefault="0068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239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969" w:rsidRDefault="00EA1E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969" w:rsidRDefault="00FF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44A" w:rsidRDefault="0068244A">
      <w:pPr>
        <w:spacing w:after="0" w:line="240" w:lineRule="auto"/>
      </w:pPr>
      <w:r>
        <w:separator/>
      </w:r>
    </w:p>
  </w:footnote>
  <w:footnote w:type="continuationSeparator" w:id="0">
    <w:p w:rsidR="0068244A" w:rsidRDefault="00682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93"/>
    <w:rsid w:val="00162DBB"/>
    <w:rsid w:val="001C6323"/>
    <w:rsid w:val="004379E0"/>
    <w:rsid w:val="004C408D"/>
    <w:rsid w:val="0068244A"/>
    <w:rsid w:val="008E3E96"/>
    <w:rsid w:val="00BA7804"/>
    <w:rsid w:val="00D025F7"/>
    <w:rsid w:val="00EA1E93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14D27-6BD5-41E2-AF2F-7521A7A1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E9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A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93"/>
  </w:style>
  <w:style w:type="table" w:styleId="TableGrid">
    <w:name w:val="Table Grid"/>
    <w:basedOn w:val="TableNormal"/>
    <w:uiPriority w:val="39"/>
    <w:rsid w:val="00EA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1E93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Saric, Petar</dc:creator>
  <cp:keywords/>
  <dc:description/>
  <cp:lastModifiedBy>Cimini, Megan</cp:lastModifiedBy>
  <cp:revision>2</cp:revision>
  <dcterms:created xsi:type="dcterms:W3CDTF">2019-03-08T14:21:00Z</dcterms:created>
  <dcterms:modified xsi:type="dcterms:W3CDTF">2019-03-08T14:21:00Z</dcterms:modified>
</cp:coreProperties>
</file>