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22" w:rsidRDefault="009B4E22" w:rsidP="009B4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C68F9C4" wp14:editId="324294A5">
            <wp:extent cx="45529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4E22" w:rsidRPr="00F35F0A" w:rsidRDefault="009B4E22" w:rsidP="009B4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  <w:r w:rsidRPr="00F35F0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35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6A">
        <w:rPr>
          <w:rFonts w:ascii="Times New Roman" w:hAnsi="Times New Roman" w:cs="Times New Roman"/>
          <w:sz w:val="24"/>
          <w:szCs w:val="24"/>
        </w:rPr>
        <w:t xml:space="preserve">ABTS Radical Scavenging Activities of </w:t>
      </w:r>
      <w:r w:rsidRPr="00CA2B6A">
        <w:rPr>
          <w:rFonts w:ascii="Times New Roman" w:hAnsi="Times New Roman" w:cs="Times New Roman"/>
          <w:i/>
          <w:sz w:val="24"/>
          <w:szCs w:val="24"/>
        </w:rPr>
        <w:t>C</w:t>
      </w:r>
      <w:r w:rsidRPr="00CA2B6A">
        <w:rPr>
          <w:rFonts w:ascii="Times New Roman" w:hAnsi="Times New Roman" w:cs="Times New Roman"/>
          <w:sz w:val="24"/>
          <w:szCs w:val="24"/>
        </w:rPr>
        <w:t>.</w:t>
      </w:r>
      <w:r w:rsidRPr="00CA2B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A2B6A">
        <w:rPr>
          <w:rFonts w:ascii="Times New Roman" w:hAnsi="Times New Roman" w:cs="Times New Roman"/>
          <w:bCs/>
          <w:i/>
          <w:sz w:val="24"/>
          <w:szCs w:val="24"/>
        </w:rPr>
        <w:t>gigantea</w:t>
      </w:r>
      <w:proofErr w:type="spellEnd"/>
      <w:r w:rsidRPr="00CA2B6A">
        <w:rPr>
          <w:rFonts w:ascii="Times New Roman" w:hAnsi="Times New Roman" w:cs="Times New Roman"/>
          <w:sz w:val="24"/>
          <w:szCs w:val="24"/>
        </w:rPr>
        <w:t xml:space="preserve"> Oil Compared with </w:t>
      </w:r>
      <w:proofErr w:type="spellStart"/>
      <w:r w:rsidRPr="00CA2B6A">
        <w:rPr>
          <w:rFonts w:ascii="Times New Roman" w:hAnsi="Times New Roman" w:cs="Times New Roman"/>
          <w:sz w:val="24"/>
          <w:szCs w:val="24"/>
        </w:rPr>
        <w:t>Quercertin</w:t>
      </w:r>
      <w:proofErr w:type="spellEnd"/>
      <w:r w:rsidRPr="00F35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E22" w:rsidRDefault="009B4E22" w:rsidP="009B4E22"/>
    <w:p w:rsidR="009B4E22" w:rsidRDefault="009B4E22" w:rsidP="009B4E22"/>
    <w:p w:rsidR="009B4E22" w:rsidRDefault="009B4E22" w:rsidP="009B4E22"/>
    <w:p w:rsidR="009B4E22" w:rsidRDefault="009B4E22" w:rsidP="009B4E22"/>
    <w:p w:rsidR="009B4E22" w:rsidRDefault="009B4E22" w:rsidP="009B4E22"/>
    <w:p w:rsidR="009B4E22" w:rsidRDefault="009B4E22" w:rsidP="009B4E22">
      <w:r>
        <w:rPr>
          <w:noProof/>
          <w:lang w:val="en-GB" w:eastAsia="en-GB"/>
        </w:rPr>
        <w:drawing>
          <wp:inline distT="0" distB="0" distL="0" distR="0" wp14:anchorId="3F4D3983" wp14:editId="10A4199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4E22" w:rsidRDefault="009B4E22" w:rsidP="009B4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F35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EC0">
        <w:rPr>
          <w:rFonts w:ascii="Times New Roman" w:hAnsi="Times New Roman" w:cs="Times New Roman"/>
          <w:sz w:val="24"/>
          <w:szCs w:val="24"/>
        </w:rPr>
        <w:t xml:space="preserve">DPPH Radical Scavenging Activity of </w:t>
      </w:r>
      <w:r w:rsidRPr="006B0694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6B0694">
        <w:rPr>
          <w:rFonts w:ascii="Times New Roman" w:hAnsi="Times New Roman" w:cs="Times New Roman"/>
          <w:i/>
          <w:sz w:val="24"/>
          <w:szCs w:val="24"/>
        </w:rPr>
        <w:t>gigantea</w:t>
      </w:r>
      <w:proofErr w:type="spellEnd"/>
      <w:r w:rsidRPr="00972EC0">
        <w:rPr>
          <w:rFonts w:ascii="Times New Roman" w:hAnsi="Times New Roman" w:cs="Times New Roman"/>
          <w:sz w:val="24"/>
          <w:szCs w:val="24"/>
        </w:rPr>
        <w:t xml:space="preserve"> seed oil</w:t>
      </w:r>
      <w:r w:rsidRPr="00F35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812" w:rsidRDefault="00AB4812" w:rsidP="009B4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812" w:rsidRPr="00F35F0A" w:rsidRDefault="00AB4812" w:rsidP="00AB48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D04052" wp14:editId="054056AB">
            <wp:extent cx="5457029" cy="3076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029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12" w:rsidRDefault="00AB4812" w:rsidP="00AB48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Ion Chromatogram of the sterol constituent of </w:t>
      </w:r>
      <w:r w:rsidRPr="00910AE2">
        <w:rPr>
          <w:rFonts w:ascii="Times New Roman" w:eastAsia="Times New Roman" w:hAnsi="Times New Roman" w:cs="Times New Roman"/>
          <w:i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gigantea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seed oil</w:t>
      </w:r>
    </w:p>
    <w:p w:rsidR="00AB4812" w:rsidRPr="00F35F0A" w:rsidRDefault="00AB4812" w:rsidP="009B4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BAF" w:rsidRDefault="00762BAF"/>
    <w:sectPr w:rsidR="0076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22"/>
    <w:rsid w:val="00762BAF"/>
    <w:rsid w:val="009B4E22"/>
    <w:rsid w:val="00A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olanvent\Desktop\Revised%20C%20Gigan\Copy%20of%20ABTS%20and%20DPPH%20of%20Cola%20%20gigante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tolanvent\Desktop\Revised%20C%20Gigan\Copy%20of%20ABTS%20and%20DPPH%20of%20Cola%20%20gigantea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923522112037251"/>
          <c:y val="5.1400554097404488E-2"/>
          <c:w val="0.7743484993246138"/>
          <c:h val="0.77706401283172932"/>
        </c:manualLayout>
      </c:layout>
      <c:lineChart>
        <c:grouping val="standard"/>
        <c:varyColors val="0"/>
        <c:ser>
          <c:idx val="0"/>
          <c:order val="0"/>
          <c:tx>
            <c:strRef>
              <c:f>'IC50'!$O$12</c:f>
              <c:strCache>
                <c:ptCount val="1"/>
                <c:pt idx="0">
                  <c:v>Quercetin</c:v>
                </c:pt>
              </c:strCache>
            </c:strRef>
          </c:tx>
          <c:spPr>
            <a:ln w="19050">
              <a:solidFill>
                <a:schemeClr val="tx2"/>
              </a:solidFill>
            </a:ln>
          </c:spPr>
          <c:marker>
            <c:symbol val="x"/>
            <c:size val="5"/>
            <c:spPr>
              <a:noFill/>
              <a:ln w="15875">
                <a:solidFill>
                  <a:schemeClr val="tx2"/>
                </a:solidFill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'IC50'!$N$13:$N$17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'IC50'!$O$13:$O$17</c:f>
              <c:numCache>
                <c:formatCode>General</c:formatCode>
                <c:ptCount val="5"/>
                <c:pt idx="0">
                  <c:v>44.639551090473411</c:v>
                </c:pt>
                <c:pt idx="1">
                  <c:v>60.061188162661743</c:v>
                </c:pt>
                <c:pt idx="2">
                  <c:v>64.359764195636743</c:v>
                </c:pt>
                <c:pt idx="3">
                  <c:v>72.464194107609387</c:v>
                </c:pt>
                <c:pt idx="4">
                  <c:v>80.664903061163798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F1B-44DA-BE6A-8FE0DBC5837A}"/>
            </c:ext>
          </c:extLst>
        </c:ser>
        <c:ser>
          <c:idx val="1"/>
          <c:order val="1"/>
          <c:tx>
            <c:strRef>
              <c:f>'IC50'!$P$12</c:f>
              <c:strCache>
                <c:ptCount val="1"/>
                <c:pt idx="0">
                  <c:v>C. gigantea</c:v>
                </c:pt>
              </c:strCache>
            </c:strRef>
          </c:tx>
          <c:marker>
            <c:symbol val="circle"/>
            <c:size val="4"/>
            <c:spPr>
              <a:solidFill>
                <a:schemeClr val="tx2"/>
              </a:solidFill>
              <a:ln w="15875">
                <a:solidFill>
                  <a:schemeClr val="tx2"/>
                </a:solidFill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'IC50'!$N$13:$N$17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'IC50'!$P$13:$P$17</c:f>
              <c:numCache>
                <c:formatCode>General</c:formatCode>
                <c:ptCount val="5"/>
                <c:pt idx="0">
                  <c:v>20.496570784556926</c:v>
                </c:pt>
                <c:pt idx="1">
                  <c:v>32.457764865125085</c:v>
                </c:pt>
                <c:pt idx="2">
                  <c:v>33.036002514569212</c:v>
                </c:pt>
                <c:pt idx="3">
                  <c:v>34.236086333542886</c:v>
                </c:pt>
                <c:pt idx="4">
                  <c:v>49.884182566786166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F1B-44DA-BE6A-8FE0DBC58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04192"/>
        <c:axId val="278073728"/>
      </c:lineChart>
      <c:catAx>
        <c:axId val="214904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100">
                    <a:latin typeface="Times New Roman" pitchFamily="18" charset="0"/>
                    <a:cs typeface="Times New Roman" pitchFamily="18" charset="0"/>
                  </a:rPr>
                  <a:t>Conc. µg/mL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8073728"/>
        <c:crosses val="autoZero"/>
        <c:auto val="1"/>
        <c:lblAlgn val="ctr"/>
        <c:lblOffset val="100"/>
        <c:noMultiLvlLbl val="0"/>
      </c:catAx>
      <c:valAx>
        <c:axId val="27807372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21490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227712160979883"/>
          <c:y val="7.8319845435987162E-2"/>
          <c:w val="0.2091498918283749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18285214348207"/>
          <c:y val="5.1400554097404488E-2"/>
          <c:w val="0.7769969378827648"/>
          <c:h val="0.74928623505395164"/>
        </c:manualLayout>
      </c:layout>
      <c:lineChart>
        <c:grouping val="standard"/>
        <c:varyColors val="0"/>
        <c:ser>
          <c:idx val="0"/>
          <c:order val="0"/>
          <c:tx>
            <c:strRef>
              <c:f>'IC50'!$P$4</c:f>
              <c:strCache>
                <c:ptCount val="1"/>
                <c:pt idx="0">
                  <c:v>Ascorbic acid</c:v>
                </c:pt>
              </c:strCache>
            </c:strRef>
          </c:tx>
          <c:spPr>
            <a:ln w="19050"/>
          </c:spPr>
          <c:marker>
            <c:symbol val="x"/>
            <c:size val="7"/>
            <c:spPr>
              <a:ln w="15875">
                <a:solidFill>
                  <a:schemeClr val="tx2"/>
                </a:solidFill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'IC50'!$O$5:$O$9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'IC50'!$P$5:$P$9</c:f>
              <c:numCache>
                <c:formatCode>General</c:formatCode>
                <c:ptCount val="5"/>
                <c:pt idx="0">
                  <c:v>37.959159999999997</c:v>
                </c:pt>
                <c:pt idx="1">
                  <c:v>66.788340000000005</c:v>
                </c:pt>
                <c:pt idx="2">
                  <c:v>80.200829999999996</c:v>
                </c:pt>
                <c:pt idx="3">
                  <c:v>84.427499999999995</c:v>
                </c:pt>
                <c:pt idx="4">
                  <c:v>97.502499999999998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13E-44C9-BD13-76CAE5E1A0B7}"/>
            </c:ext>
          </c:extLst>
        </c:ser>
        <c:ser>
          <c:idx val="1"/>
          <c:order val="1"/>
          <c:tx>
            <c:strRef>
              <c:f>'IC50'!$Q$4</c:f>
              <c:strCache>
                <c:ptCount val="1"/>
                <c:pt idx="0">
                  <c:v>C. gigantea</c:v>
                </c:pt>
              </c:strCache>
            </c:strRef>
          </c:tx>
          <c:marker>
            <c:symbol val="circle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'IC50'!$O$5:$O$9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'IC50'!$Q$5:$Q$9</c:f>
              <c:numCache>
                <c:formatCode>General</c:formatCode>
                <c:ptCount val="5"/>
                <c:pt idx="0">
                  <c:v>10.660833333333338</c:v>
                </c:pt>
                <c:pt idx="1">
                  <c:v>14.108333333333334</c:v>
                </c:pt>
                <c:pt idx="2">
                  <c:v>17.491666666666671</c:v>
                </c:pt>
                <c:pt idx="3">
                  <c:v>31.844166666666666</c:v>
                </c:pt>
                <c:pt idx="4">
                  <c:v>44.521666666666654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13E-44C9-BD13-76CAE5E1A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183488"/>
        <c:axId val="299189760"/>
      </c:lineChart>
      <c:catAx>
        <c:axId val="299183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="1" i="0" baseline="0">
                    <a:effectLst/>
                    <a:latin typeface="Times New Roman" pitchFamily="18" charset="0"/>
                    <a:cs typeface="Times New Roman" pitchFamily="18" charset="0"/>
                  </a:rPr>
                  <a:t>Conc. µg/mL</a:t>
                </a:r>
                <a:endParaRPr lang="en-GB" sz="700">
                  <a:effectLst/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9189760"/>
        <c:crosses val="autoZero"/>
        <c:auto val="1"/>
        <c:lblAlgn val="ctr"/>
        <c:lblOffset val="100"/>
        <c:noMultiLvlLbl val="0"/>
      </c:catAx>
      <c:valAx>
        <c:axId val="299189760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29918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751312335958008"/>
          <c:y val="7.369021580635754E-2"/>
          <c:w val="0.23137576552930883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0.00941</cdr:x>
      <cdr:y>0.20486</cdr:y>
    </cdr:from>
    <cdr:to>
      <cdr:x>0.06172</cdr:x>
      <cdr:y>0.65799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459580" y="1064419"/>
          <a:ext cx="1243013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200" b="1">
              <a:latin typeface="Times New Roman" pitchFamily="18" charset="0"/>
              <a:cs typeface="Times New Roman" pitchFamily="18" charset="0"/>
            </a:rPr>
            <a:t>%ABTS Inhibition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0.00733</cdr:x>
      <cdr:y>0.26389</cdr:y>
    </cdr:from>
    <cdr:to>
      <cdr:x>0.05964</cdr:x>
      <cdr:y>0.71702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468434" y="1225829"/>
          <a:ext cx="1243026" cy="2391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200" b="1">
              <a:latin typeface="Times New Roman" pitchFamily="18" charset="0"/>
              <a:cs typeface="Times New Roman" pitchFamily="18" charset="0"/>
            </a:rPr>
            <a:t>%DPPH Inhibition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tolanvent</dc:creator>
  <cp:lastModifiedBy>tolanvent</cp:lastModifiedBy>
  <cp:revision>2</cp:revision>
  <dcterms:created xsi:type="dcterms:W3CDTF">2019-01-14T18:09:00Z</dcterms:created>
  <dcterms:modified xsi:type="dcterms:W3CDTF">2019-01-14T19:01:00Z</dcterms:modified>
</cp:coreProperties>
</file>