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422" w:rsidRPr="00D2036D" w:rsidRDefault="009C4422" w:rsidP="009C4422">
      <w:pPr>
        <w:rPr>
          <w:b/>
          <w:sz w:val="28"/>
          <w:szCs w:val="28"/>
          <w:lang w:val="en-GB"/>
        </w:rPr>
      </w:pPr>
      <w:bookmarkStart w:id="0" w:name="_GoBack"/>
      <w:bookmarkEnd w:id="0"/>
    </w:p>
    <w:p w:rsidR="009C4422" w:rsidRPr="002E0403" w:rsidRDefault="009C4422" w:rsidP="009C4422">
      <w:pPr>
        <w:jc w:val="center"/>
        <w:rPr>
          <w:b/>
          <w:sz w:val="56"/>
          <w:szCs w:val="56"/>
          <w:lang w:val="en-GB"/>
        </w:rPr>
      </w:pPr>
      <w:r w:rsidRPr="002E0403">
        <w:rPr>
          <w:b/>
          <w:sz w:val="56"/>
          <w:szCs w:val="56"/>
          <w:lang w:val="en-GB"/>
        </w:rPr>
        <w:t>Supporting Information</w:t>
      </w:r>
    </w:p>
    <w:p w:rsidR="009C4422" w:rsidRDefault="009C4422" w:rsidP="009C4422">
      <w:pPr>
        <w:jc w:val="center"/>
        <w:rPr>
          <w:b/>
          <w:sz w:val="48"/>
          <w:szCs w:val="48"/>
          <w:lang w:val="en-GB"/>
        </w:rPr>
      </w:pPr>
    </w:p>
    <w:p w:rsidR="009C4422" w:rsidRPr="002E0403" w:rsidRDefault="009C4422" w:rsidP="009C4422">
      <w:pPr>
        <w:jc w:val="center"/>
        <w:rPr>
          <w:b/>
          <w:sz w:val="48"/>
          <w:szCs w:val="48"/>
          <w:lang w:val="en-GB"/>
        </w:rPr>
      </w:pPr>
      <w:r w:rsidRPr="002E0403">
        <w:rPr>
          <w:b/>
          <w:sz w:val="48"/>
          <w:szCs w:val="48"/>
          <w:lang w:val="en-GB"/>
        </w:rPr>
        <w:t>Quantif</w:t>
      </w:r>
      <w:r>
        <w:rPr>
          <w:b/>
          <w:sz w:val="48"/>
          <w:szCs w:val="48"/>
          <w:lang w:val="en-GB"/>
        </w:rPr>
        <w:t>ying</w:t>
      </w:r>
      <w:r w:rsidRPr="002E0403">
        <w:rPr>
          <w:b/>
          <w:sz w:val="48"/>
          <w:szCs w:val="48"/>
          <w:lang w:val="en-GB"/>
        </w:rPr>
        <w:t xml:space="preserve"> Ecological Risks of Aquatic Micro- and Nanoplastic</w:t>
      </w:r>
    </w:p>
    <w:p w:rsidR="009C4422" w:rsidRPr="00D2036D" w:rsidRDefault="009C4422" w:rsidP="009C4422">
      <w:pPr>
        <w:rPr>
          <w:lang w:val="en-GB"/>
        </w:rPr>
      </w:pPr>
    </w:p>
    <w:p w:rsidR="009C4422" w:rsidRPr="00D2036D" w:rsidRDefault="009C4422" w:rsidP="009C4422">
      <w:pPr>
        <w:rPr>
          <w:lang w:val="en-GB"/>
        </w:rPr>
      </w:pPr>
    </w:p>
    <w:p w:rsidR="009C4422" w:rsidRPr="00D2036D" w:rsidRDefault="009C4422" w:rsidP="009C4422">
      <w:pPr>
        <w:rPr>
          <w:lang w:val="en-GB"/>
        </w:rPr>
      </w:pPr>
    </w:p>
    <w:p w:rsidR="009C4422" w:rsidRDefault="009C4422" w:rsidP="009C4422">
      <w:pPr>
        <w:rPr>
          <w:lang w:val="en-GB"/>
        </w:rPr>
      </w:pPr>
    </w:p>
    <w:p w:rsidR="00217FCC" w:rsidRDefault="00217FCC" w:rsidP="009C4422">
      <w:pPr>
        <w:rPr>
          <w:lang w:val="en-GB"/>
        </w:rPr>
      </w:pPr>
    </w:p>
    <w:p w:rsidR="00217FCC" w:rsidRDefault="00217FCC" w:rsidP="00217FCC">
      <w:pPr>
        <w:jc w:val="center"/>
        <w:rPr>
          <w:vertAlign w:val="superscript"/>
        </w:rPr>
      </w:pPr>
      <w:r>
        <w:t>Ellen Besseling,</w:t>
      </w:r>
      <w:r>
        <w:rPr>
          <w:vertAlign w:val="superscript"/>
        </w:rPr>
        <w:t>1,2</w:t>
      </w:r>
      <w:r>
        <w:t xml:space="preserve"> Paula Redondo-Hasselerharm,</w:t>
      </w:r>
      <w:r>
        <w:rPr>
          <w:vertAlign w:val="superscript"/>
        </w:rPr>
        <w:t>1</w:t>
      </w:r>
      <w:r>
        <w:t xml:space="preserve"> Edwin M. Foekema,</w:t>
      </w:r>
      <w:r>
        <w:rPr>
          <w:vertAlign w:val="superscript"/>
        </w:rPr>
        <w:t>2</w:t>
      </w:r>
      <w:r>
        <w:t xml:space="preserve"> Albert A. Koelmans</w:t>
      </w:r>
      <w:r>
        <w:rPr>
          <w:vertAlign w:val="superscript"/>
        </w:rPr>
        <w:t>1,2,*</w:t>
      </w:r>
    </w:p>
    <w:p w:rsidR="00217FCC" w:rsidRDefault="00217FCC" w:rsidP="00217FCC">
      <w:pPr>
        <w:jc w:val="left"/>
        <w:rPr>
          <w:b/>
          <w:sz w:val="28"/>
          <w:szCs w:val="28"/>
        </w:rPr>
      </w:pPr>
    </w:p>
    <w:p w:rsidR="00217FCC" w:rsidRDefault="00217FCC" w:rsidP="00217FCC">
      <w:pPr>
        <w:jc w:val="left"/>
        <w:rPr>
          <w:lang w:val="en-GB"/>
        </w:rPr>
      </w:pPr>
      <w:r>
        <w:rPr>
          <w:rFonts w:cstheme="minorHAnsi"/>
          <w:sz w:val="24"/>
          <w:szCs w:val="24"/>
          <w:vertAlign w:val="superscript"/>
          <w:lang w:val="en-GB"/>
        </w:rPr>
        <w:t>1</w:t>
      </w:r>
      <w:r>
        <w:rPr>
          <w:lang w:val="en-GB"/>
        </w:rPr>
        <w:t>Aquatic Ecology and Water Quality Management Group, Wageningen University, The Netherlands.</w:t>
      </w:r>
    </w:p>
    <w:p w:rsidR="00217FCC" w:rsidRDefault="00217FCC" w:rsidP="00217FCC">
      <w:pPr>
        <w:jc w:val="left"/>
        <w:rPr>
          <w:lang w:val="en-GB"/>
        </w:rPr>
      </w:pPr>
      <w:r>
        <w:rPr>
          <w:vertAlign w:val="superscript"/>
          <w:lang w:val="en-GB"/>
        </w:rPr>
        <w:t>2</w:t>
      </w:r>
      <w:r>
        <w:rPr>
          <w:lang w:val="en-GB"/>
        </w:rPr>
        <w:t>Wageningen Marine Research, IJmuiden, The Netherlands.</w:t>
      </w:r>
    </w:p>
    <w:p w:rsidR="00217FCC" w:rsidRDefault="00217FCC" w:rsidP="00217FCC">
      <w:pPr>
        <w:rPr>
          <w:b/>
          <w:lang w:val="en-GB"/>
        </w:rPr>
      </w:pPr>
    </w:p>
    <w:p w:rsidR="00D85E16" w:rsidRDefault="00D85E16" w:rsidP="00217FCC">
      <w:pPr>
        <w:rPr>
          <w:b/>
          <w:lang w:val="en-GB"/>
        </w:rPr>
      </w:pPr>
    </w:p>
    <w:p w:rsidR="00D85E16" w:rsidRDefault="00D85E16" w:rsidP="00217FCC">
      <w:pPr>
        <w:rPr>
          <w:b/>
          <w:lang w:val="en-GB"/>
        </w:rPr>
      </w:pPr>
    </w:p>
    <w:p w:rsidR="00D85E16" w:rsidRDefault="00D85E16" w:rsidP="00217FCC">
      <w:pPr>
        <w:rPr>
          <w:b/>
          <w:lang w:val="en-GB"/>
        </w:rPr>
      </w:pPr>
    </w:p>
    <w:p w:rsidR="00D85E16" w:rsidRDefault="00D85E16" w:rsidP="00217FCC">
      <w:pPr>
        <w:rPr>
          <w:b/>
          <w:lang w:val="en-GB"/>
        </w:rPr>
      </w:pPr>
    </w:p>
    <w:p w:rsidR="00D85E16" w:rsidRDefault="00D85E16" w:rsidP="00217FCC">
      <w:pPr>
        <w:rPr>
          <w:b/>
          <w:lang w:val="en-GB"/>
        </w:rPr>
      </w:pPr>
    </w:p>
    <w:p w:rsidR="00D85E16" w:rsidRDefault="00D85E16" w:rsidP="00217FCC">
      <w:pPr>
        <w:rPr>
          <w:b/>
          <w:lang w:val="en-GB"/>
        </w:rPr>
      </w:pPr>
    </w:p>
    <w:p w:rsidR="00D85E16" w:rsidRDefault="00D85E16" w:rsidP="00217FCC">
      <w:pPr>
        <w:rPr>
          <w:b/>
          <w:lang w:val="en-GB"/>
        </w:rPr>
      </w:pPr>
    </w:p>
    <w:p w:rsidR="00D85E16" w:rsidRDefault="00D85E16" w:rsidP="00217FCC">
      <w:pPr>
        <w:rPr>
          <w:b/>
          <w:lang w:val="en-GB"/>
        </w:rPr>
      </w:pPr>
    </w:p>
    <w:p w:rsidR="00D85E16" w:rsidRDefault="00D85E16" w:rsidP="00217FCC">
      <w:pPr>
        <w:rPr>
          <w:b/>
          <w:lang w:val="en-GB"/>
        </w:rPr>
      </w:pPr>
    </w:p>
    <w:p w:rsidR="00D85E16" w:rsidRDefault="00D85E16" w:rsidP="00217FCC">
      <w:pPr>
        <w:rPr>
          <w:b/>
          <w:lang w:val="en-GB"/>
        </w:rPr>
      </w:pPr>
    </w:p>
    <w:p w:rsidR="00D85E16" w:rsidRDefault="00D85E16" w:rsidP="00217FCC">
      <w:pPr>
        <w:rPr>
          <w:b/>
          <w:lang w:val="en-GB"/>
        </w:rPr>
      </w:pPr>
    </w:p>
    <w:p w:rsidR="00D85E16" w:rsidRDefault="00D85E16" w:rsidP="00217FCC">
      <w:pPr>
        <w:rPr>
          <w:b/>
          <w:lang w:val="en-GB"/>
        </w:rPr>
      </w:pPr>
    </w:p>
    <w:p w:rsidR="00D85E16" w:rsidRDefault="00D85E16" w:rsidP="00217FCC">
      <w:pPr>
        <w:rPr>
          <w:b/>
          <w:lang w:val="en-GB"/>
        </w:rPr>
      </w:pPr>
    </w:p>
    <w:p w:rsidR="00D85E16" w:rsidRDefault="00D85E16" w:rsidP="00217FCC">
      <w:pPr>
        <w:rPr>
          <w:b/>
          <w:lang w:val="en-GB"/>
        </w:rPr>
      </w:pPr>
    </w:p>
    <w:p w:rsidR="00D85E16" w:rsidRDefault="00D85E16" w:rsidP="00217FCC">
      <w:pPr>
        <w:rPr>
          <w:b/>
          <w:lang w:val="en-GB"/>
        </w:rPr>
      </w:pPr>
    </w:p>
    <w:p w:rsidR="00D85E16" w:rsidRDefault="00D85E16" w:rsidP="00217FCC">
      <w:pPr>
        <w:rPr>
          <w:b/>
          <w:lang w:val="en-GB"/>
        </w:rPr>
      </w:pPr>
    </w:p>
    <w:p w:rsidR="00D85E16" w:rsidRDefault="00D85E16" w:rsidP="00217FCC">
      <w:pPr>
        <w:rPr>
          <w:b/>
          <w:lang w:val="en-GB"/>
        </w:rPr>
      </w:pPr>
    </w:p>
    <w:p w:rsidR="00D85E16" w:rsidRDefault="00D85E16" w:rsidP="00217FCC">
      <w:pPr>
        <w:rPr>
          <w:lang w:val="en-GB"/>
        </w:rPr>
      </w:pPr>
      <w:r w:rsidRPr="00D85E16">
        <w:rPr>
          <w:lang w:val="en-GB"/>
        </w:rPr>
        <w:t xml:space="preserve">* Corresponding author: </w:t>
      </w:r>
      <w:hyperlink r:id="rId7" w:history="1">
        <w:r w:rsidRPr="006E19AE">
          <w:rPr>
            <w:rStyle w:val="Hyperlink"/>
            <w:lang w:val="en-GB"/>
          </w:rPr>
          <w:t>bart.koelmans@wur.nl</w:t>
        </w:r>
      </w:hyperlink>
    </w:p>
    <w:p w:rsidR="00D85E16" w:rsidRPr="00D85E16" w:rsidRDefault="00D85E16" w:rsidP="00217FCC">
      <w:pPr>
        <w:rPr>
          <w:lang w:val="en-GB"/>
        </w:rPr>
      </w:pPr>
    </w:p>
    <w:p w:rsidR="00217FCC" w:rsidRPr="00D2036D" w:rsidRDefault="00217FCC" w:rsidP="009C4422">
      <w:pPr>
        <w:rPr>
          <w:lang w:val="en-GB"/>
        </w:rPr>
        <w:sectPr w:rsidR="00217FCC" w:rsidRPr="00D2036D" w:rsidSect="00526D2A">
          <w:headerReference w:type="default" r:id="rId8"/>
          <w:footerReference w:type="default" r:id="rId9"/>
          <w:pgSz w:w="11906" w:h="16838" w:code="9"/>
          <w:pgMar w:top="1411" w:right="1411" w:bottom="1411" w:left="1411" w:header="706" w:footer="706" w:gutter="0"/>
          <w:cols w:space="708"/>
          <w:docGrid w:linePitch="360"/>
        </w:sectPr>
      </w:pPr>
    </w:p>
    <w:p w:rsidR="009C4422" w:rsidRPr="00C41605" w:rsidRDefault="009C4422" w:rsidP="009C4422">
      <w:pPr>
        <w:rPr>
          <w:rStyle w:val="IntenseEmphasis"/>
          <w:color w:val="auto"/>
          <w:sz w:val="32"/>
          <w:lang w:val="en-GB"/>
        </w:rPr>
      </w:pPr>
      <w:r w:rsidRPr="00C41605">
        <w:rPr>
          <w:b/>
          <w:iCs/>
          <w:sz w:val="24"/>
          <w:szCs w:val="18"/>
          <w:lang w:val="en-GB"/>
        </w:rPr>
        <w:lastRenderedPageBreak/>
        <w:t xml:space="preserve">Table A1. </w:t>
      </w:r>
      <w:r w:rsidRPr="00C41605">
        <w:rPr>
          <w:iCs/>
          <w:sz w:val="24"/>
          <w:szCs w:val="18"/>
          <w:lang w:val="en-GB"/>
        </w:rPr>
        <w:t xml:space="preserve">Microplastic effect thresholds extrapolated to chronic LOECs. Exposure via the water. Species from the marine, estuarine and freshwater environments. Included endpoints are growth, survival and reproduction. Abbreviations used: LOEC: lowest observed effect concentration, LC50: lethal dose 50%, EC50: effect concentration 50%. PE: polyethylene, PVC: polyvinylchloride, PS: polystyrene, PMMA: polymethylmethacrylate, PHB: polyhydroxybutyrate, PP: polypropylene </w:t>
      </w:r>
      <w:r w:rsidRPr="00C41605">
        <w:rPr>
          <w:sz w:val="24"/>
          <w:szCs w:val="18"/>
          <w:vertAlign w:val="superscript"/>
        </w:rPr>
        <w:fldChar w:fldCharType="begin" w:fldLock="1"/>
      </w:r>
      <w:r w:rsidRPr="00C41605">
        <w:rPr>
          <w:sz w:val="24"/>
          <w:szCs w:val="18"/>
          <w:vertAlign w:val="superscript"/>
          <w:lang w:val="en-GB"/>
        </w:rPr>
        <w:instrText>ADDIN CSL_CITATION {"citationItems":[{"id":"ITEM-1","itemData":{"DOI":"10.1016/J.ENVPOL.2017.07.050","ISSN":"0269-7491","abstract":"Microplastics (MP), small plastic particles below 5 mm, have become one of the central concerns of environmental risk assessment. Microplastics are continuously being released into the aquatic environment either directly through consumer products or indirectly through fragmentation of larger plastic materials. The aim of our study was to investigate the effect of polyethylene microbeads from cosmetic products on duckweed (Lemna minor), a freshwater floating plant. The effects of microbeads from two exfoliating products on the specific leaf growth rate, the chlorophyll a and b content in the leaves, root number, root length and root cell viability were assessed. At the same time, water leachates from microbeads were also prepared to exclude the contribution of cosmetic ingredients on the measured impacts. Specific leaf growth rate and content of photosynthetic pigments in duckweed leaves were not affected by polyethylene microbeads, but these microbeads significantly affected the root growth by mechanical blocking. Sharp particles also reduced the viability of root cells, while the impact of microbeads with a smooth surface was neglected. It was concluded that microbeads from cosmetic products can also have negative impacts on floating plants in freshwater ecosystems.","author":[{"dropping-particle":"","family":"Kalčíková","given":"Gabriela","non-dropping-particle":"","parse-names":false,"suffix":""},{"dropping-particle":"","family":"Žgajnar Gotvajn","given":"Andreja","non-dropping-particle":"","parse-names":false,"suffix":""},{"dropping-particle":"","family":"Kladnik","given":"Aleš","non-dropping-particle":"","parse-names":false,"suffix":""},{"dropping-particle":"","family":"Jemec","given":"Anita","non-dropping-particle":"","parse-names":false,"suffix":""}],"container-title":"Environmental Pollution","id":"ITEM-1","issued":{"date-parts":[["2017","11","1"]]},"page":"1108-1115","publisher":"Elsevier","title":"Impact of polyethylene microbeads on the floating freshwater plant duckweed Lemna minor","type":"article-journal","volume":"230"},"uris":["http://www.mendeley.com/documents/?uuid=9e115834-36fe-3a04-8509-a4dc2d292e31"]},{"id":"ITEM-2","itemData":{"DOI":"10.1016/j.envpol.2016.11.005","abstract":"a b s t r a c t To investigate toxic effects of microplastic on marine microalgae Skeletonema costatum, both algal growth inhibition test and non-contact shading test were carried out, and algal photosynthesis parameters were also determined. The SEM images were used to observe interactions between microplastic and algae. It was found that microplastic (mPVC, average diameter 1 mm) had obvious inhibition on growth of microalgae and the maximum growth inhibition ratio (IR) reached up to 39.7% after 96 h exposure. However, plastic debris (bPVC, average diameter 1 mm) had no effects on growth of microalgae. High concentration (50 mg/L) mPVC also had negative effects on algal photosynthesis since both chlorophyll content and photosynthetic efficiency (FPS</w:instrText>
      </w:r>
      <w:r w:rsidRPr="00C41605">
        <w:rPr>
          <w:rFonts w:ascii="MS Mincho" w:eastAsia="MS Mincho" w:hAnsi="MS Mincho" w:cs="MS Mincho" w:hint="eastAsia"/>
          <w:sz w:val="24"/>
          <w:szCs w:val="18"/>
          <w:vertAlign w:val="superscript"/>
          <w:lang w:val="en-GB"/>
        </w:rPr>
        <w:instrText>Ⅱ</w:instrText>
      </w:r>
      <w:r w:rsidRPr="00C41605">
        <w:rPr>
          <w:sz w:val="24"/>
          <w:szCs w:val="18"/>
          <w:vertAlign w:val="superscript"/>
          <w:lang w:val="en-GB"/>
        </w:rPr>
        <w:instrText>) decreased under mPVC treatments. Shading effect was not one reason for toxicity of microplastic on algae in this study. Compared with non-contact shading effect, interactions between microplastic and microalage such as adsorption and aggregation were more reasonable explanations for toxic effects of microplastic on marine microalgae. The SEM images provided a more direct and reasonable method to observe the behaviors of microplastic.","author":[{"dropping-particle":"","family":"Zhang","given":"Cai","non-dropping-particle":"","parse-names":false,"suffix":""},{"dropping-particle":"","family":"Chen","given":"Xiaohua","non-dropping-particle":"","parse-names":false,"suffix":""},{"dropping-particle":"","family":"Wang","given":"Jiangtao","non-dropping-particle":"","parse-names":false,"suffix":""},{"dropping-particle":"","family":"Tan","given":"Liju","non-dropping-particle":"","parse-names":false,"suffix":""}],"id":"ITEM-2","issued":{"date-parts":[["2017"]]},"title":"Toxic effects of microplastic on marine microalgae Skeletonema costatum: Interactions between microplastic and algae","type":"article-journal"},"uris":["http://www.mendeley.com/documents/?uuid=83290ecf-dda3-393a-8ddc-0b17bdc671ee"]},{"id":"ITEM-3","itemData":{"DOI":"10.1073/pnas.1519019113","ISBN":"1091-6490 (Electronic)\\r0027-8424 (Linking)","ISSN":"0027-8424","PMID":"26831072","abstract":"Plastics are persistent synthetic polymers that accumulate as waste in the marine environment. Microplastic (MP) particles are derived from the breakdown of larger debris or can enter the environment as microscopic fragments. Because filter-feeder organisms ingest MP while feeding, they are likely to be impacted by MP pollution. To assess the impact of polystyrene microspheres (micro-PS) on the physiology of the Pacific oyster, adult oysters were experimentally exposed to virgin micro-PS (2 and 6 μm in diameter; 0.023 mg·L−1) for 2 mo during a reproductive cycle. Effects were investigated on ecophysiological parameters; cellular, transcriptomic, and proteomic responses; fecundity; and offspring development. Oysters preferen- tially ingested the 6-μmmicro-PS over the 2-μm-diameter particles. Consumption of microalgae and absorption efficiency were signifi- cantly higher in exposed oysters, suggesting compensatory and physical effects on both digestive parameters. After 2 mo, exposed oysters had significant decreases in oocyte number (−38%), diame- ter (−5%), and sperm velocity (−23%). The D-larval yield and larval development of offspring derived from exposed parents decreased by 41% and 18%, respectively, compared with control offspring. Dynamic energy budgetmodeling, supported by transcriptomic pro- files, suggested a significant shift of energy allocation from repro- duction to structural growth, and elevated maintenance costs in exposed oysters, which is thought to be caused by interferencewith energy uptake. Molecular signatures of endocrine disruption were also revealed, but no endocrine disruptors were found in the bio- logical samples. This study provides evidence that micro-PS cause feeding modifications and reproductive disruption in oysters, with significant impacts on offspring.","author":[{"dropping-particle":"","family":"Sussarellu","given":"Rossana","non-dropping-particle":"","parse-names":false,"suffix":""},{"dropping-particle":"","family":"Suquet","given":"Marc","non-dropping-particle":"","parse-names":false,"suffix":""},{"dropping-particle":"","family":"Thomas","given":"Yoann","non-dropping-particle":"","parse-names":false,"suffix":""},{"dropping-particle":"","family":"Lambert","given":"Christophe","non-dropping-particle":"","parse-names":false,"suffix":""},{"dropping-particle":"","family":"Fabioux","given":"Caroline","non-dropping-particle":"","parse-names":false,"suffix":""},{"dropping-particle":"","family":"Pernet","given":"Marie Eve Julie","non-dropping-particle":"","parse-names":false,"suffix":""},{"dropping-particle":"","family":"Goïc","given":"Nelly","non-dropping-particle":"Le","parse-names":false,"suffix":""},{"dropping-particle":"","family":"Quillien","given":"Virgile","non-dropping-particle":"","parse-names":false,"suffix":""},{"dropping-particle":"","family":"Mingant","given":"Christian","non-dropping-particle":"","parse-names":false,"suffix":""},{"dropping-particle":"","family":"Epelboin","given":"Yanouk","non-dropping-particle":"","parse-names":false,"suffix":""},{"dropping-particle":"","family":"Corporeau","given":"Charlotte","non-dropping-particle":"","parse-names":false,"suffix":""},{"dropping-particle":"","family":"Guyomarch","given":"Julien","non-dropping-particle":"","parse-names":false,"suffix":""},{"dropping-particle":"","family":"Robbens","given":"Johan","non-dropping-particle":"","parse-names":false,"suffix":""},{"dropping-particle":"","family":"Paul-Pont","given":"Ika","non-dropping-particle":"","parse-names":false,"suffix":""},{"dropping-particle":"","family":"Soudant","given":"Philippe","non-dropping-particle":"","parse-names":false,"suffix":""},{"dropping-particle":"","family":"Huvet","given":"Arnaud","non-dropping-particle":"","parse-names":false,"suffix":""}],"container-title":"Proceedings of the National Academy of Sciences","id":"ITEM-3","issue":"9","issued":{"date-parts":[["2016"]]},"page":"2430-2435","title":"Oyster reproduction is affected by exposure to polystyrene microplastics","type":"article-journal","volume":"113"},"uris":["http://www.mendeley.com/documents/?uuid=572aa265-558d-4538-93df-d9a9fe16c681"]},{"id":"ITEM-4","itemData":{"DOI":"10.3390/ijerph14070774","ISSN":"1660-4601","abstract":"Research on the uptake and effects of bioplastics by aquatic organisms is still in its infancy. Here, we aim to advance the field by comparing uptake and effects of microplastic particles (MPP) of a biodegradable bioMPP (polyhydroxybutyrate (PHB)) and petroleum-based MPP (polymethylmethacrylate (PMMA)) in the freshwater amphipod Gammarus fossarum. Ingestion of both MPP in different particle sizes (32–250 µm) occurred after 24 h, with highest ingestion of particles in the range 32–63 µm and almost complete egestion after 64 h. A four-week effect-experiment showed a significant decrease of the assimilation efficiency in amphipods exposed to the petroleum-based MPP from week two onwards. The petroleum-based PMMA affected assimilation efficiency significantly in contrast to the biodegradable PHB, but overall differences in direct comparison of MPP types were small. Both MPP types led to a significantly lower wet weight gain relative to the control treatments. After four weeks, differences between both MPP types and silica, used as a natural particle control, were detected. In summary, these results suggest that both MPP types provoke digestive constraints on the amphipods, which go beyond those of natural non-palatable particles. This highlights the need for more detailed research comparing environmental effects of biodegradable and petroleum-based MPP and testing those against naturally occurring particle loads.","author":[{"dropping-particle":"","family":"Straub","given":"Sandrine","non-dropping-particle":"","parse-names":false,"suffix":""},{"dropping-particle":"","family":"Hirsch","given":"Philipp E.","non-dropping-particle":"","parse-names":false,"suffix":""},{"dropping-particle":"","family":"Burkhardt-Holm","given":"Patricia","non-dropping-particle":"","parse-names":false,"suffix":""}],"container-title":"International Journal of Environmental Research and Public Health","id":"ITEM-4","issue":"7","issued":{"date-parts":[["2017","7","13"]]},"page":"774","publisher":"Multidisciplinary Digital Publishing Institute","title":"Biodegradable and Petroleum-Based Microplastics Do Not Differ in Their Ingestion and Excretion but in Their Biological Effects in a Freshwater Invertebrate Gammarus fossarum","type":"article-journal","volume":"14"},"uris":["http://www.mendeley.com/documents/?uuid=0603b572-4175-3c92-8ebd-3a79d511effd"]},{"id":"ITEM-5","itemData":{"DOI":"10.1371/journal.pone.0155063","abstract":"Concerns are being raised that microplastic pollution can have detrimental effects on the feeding of aquatic invertebrates, including zooplankton. Both small plastic fragments (microplastics, MPs) produced by degradation of larger plastic waste (secondary MPs; SMPs) and microscopic plastic spheres used in cosmetic products and industry (primary MPs; PMPs) are ubiquitously present in the environment. However, despite the fact that most environmental MPs consist of weathered plastic debris with irregular shape and broad size distribution, experimental studies of organism responses to MP exposure have largely used uniformly sized spherical PMPs. Therefore, effects observed for PMPs in such experi-ments may not be representative for MP-effects in situ. Moreover, invertebrate filter-feeders are generally well adapted to the presence of refractory material in seston, which questions the potential of MPs at environmentally relevant concentrations to measurably affect diges-tion in these organisms. Here, we compared responses to MPs (PMPs and SMPs) and nat-urally occurring particles (kaolin clay) using the cladoceran Daphnia magna as a model organism. We manipulated food levels (0.4 and 9 μg C mL -1) and MP or kaolin contribution to the feeding suspension (&lt;1 to 74%) and evaluated effects of MPs and kaolin on food uptake, growth, reproductive capacity of the daphnids, and maternal effects on offspring survival and feeding. Exposure to SMPs caused elevated mortality, increased inter-brood period and decreased reproduction albeit only at high MP levels in the feeding suspension (74% by particle count). No such effects were observed in either PMP or kaolin treatments. In daphnids exposed to any particle type at the low algal concentration, individual growth decreased by ~15%. By contrast, positive growth response to all particle types was observed at the high algal concentration with 17%, 54% and 40% increase for kaolin, PMP and SMP, respectively. When test particles comprised 22% in the feeding suspension, both MP types decreased food intake by 30%, while kaolin had no effect. Moreover, SMPs were found to homoaggregate in a concentration-dependent manner, which resulted in a 77% decrease of the ingested SMPs compared to PMPs. To better understand MP-processing in the gut, gut passage time (GPT) and evacuation rate of MPs were also assayed. SMPs and PMPs differed in their effects on daphnids; moreover, the particle effects were depen-dent on the MP: algae ratio in…","author":[{"dropping-particle":"","family":"Ogonowski","given":"Martin","non-dropping-particle":"","parse-names":false,"suffix":""},{"dropping-particle":"","family":"Schür","given":"Christoph","non-dropping-particle":"","parse-names":false,"suffix":""},{"dropping-particle":"","family":"Jarsén","given":"Åsa","non-dropping-particle":"","parse-names":false,"suffix":""},{"dropping-particle":"","family":"Gorokhova","given":"Elena","non-dropping-particle":"","parse-names":false,"suffix":""}],"container-title":"PLoS ONE","id":"ITEM-5","issue":"5","issued":{"date-parts":[["2016"]]},"title":"The Effects of Natural and Anthropogenic Microparticles on Individual Fitness in Daphnia magna","type":"article-journal","volume":"11"},"uris":["http://www.mendeley.com/documents/?uuid=05cd8e31-f14e-34b9-8451-d9cb11693de4"]},{"id":"ITEM-6","itemData":{"DOI":"10.1002/etc.3093","ISBN":"8646462277","ISSN":"15528618","PMID":"26042578","abstract":"Limited information is available on the presence of microplastics in freshwater systems, and even less is known about the toxicological implications of the exposure of aquatic organisms to plastic particles. The present study was conducted to evaluate the effects of microplastic ingestion on the freshwater amphipod, Hyalella azteca. Hyalella azteca was exposed to fluorescent polyethylene microplastic particles and polypropylene microplastic fibers in individual 250-mL chambers to determine 10-d mortality. In acute bioassays, polypropylene microplastic fibers were significantly more toxic than polyethylene microplastic particles; 10-d lethal concentration 50% values for polyethylene microplastic particles and polypropylene microplastic fibers were 4.64 × 10(4) microplastics/mL and 71.43 microplastics/mL, respectively. A 42-d chronic bioassay using polyethylene microplastic particles was conducted to quantify effects on reproduction, growth, and egestion. Chronic exposure to polyethylene microplastic particles significantly decreased growth and reproduction at the low and intermediate exposure concentrations. During acute exposures to polyethylene microplastic particles, the egestion times did not significantly differ from the egestion of normal food materials in the control; egestion times for polypropylene microplastic fibers were significantly slower than the egestion of food materials in the control. Amphipods exposed to polypropylene microplastic fibers also had significantly less growth. The greater toxicity of microplastic fibers than microplastic particles corresponded with longer residence times for the fibers in the gut. The difference in residence time might have affected the ability to process food, resulting in an energetic effect reflected in sublethal endpoints. Environ Toxicol Chem 2015;34:2564-2572. © 2015 SETAC.","author":[{"dropping-particle":"","family":"Au","given":"Sarah Y.","non-dropping-particle":"","parse-names":false,"suffix":""},{"dropping-particle":"","family":"Bruce","given":"Terri F.","non-dropping-particle":"","parse-names":false,"suffix":""},{"dropping-particle":"","family":"Bridges","given":"William C.","non-dropping-particle":"","parse-names":false,"suffix":""},{"dropping-particle":"","family":"Klaine","given":"Stephen J.","non-dropping-particle":"","parse-names":false,"suffix":""}],"container-title":"Environmental Toxicology and Chemistry","id":"ITEM-6","issue":"11","issued":{"date-parts":[["2015"]]},"page":"2564-2572","title":"Responses of Hyalella azteca to acute and chronic microplastic exposures","type":"article-journal","volume":"34"},"uris":["http://www.mendeley.com/documents/?uuid=ce66b722-a413-48b8-aa61-e40c5d87ebd2"]},{"id":"ITEM-7","itemData":{"DOI":"10.1021/es504525u","ISBN":"0013-936X","ISSN":"15205851","PMID":"25563688","abstract":"Microscopic plastic debris, termed \"microplastics\", are of increasing environmental concern. Recent studies have demonstrated that a range of zooplankton, including copepods, can ingest microplastics. Copepods are a globally abundant class of zooplankton that form a key trophic link between primary producers and higher trophic marine organisms. Here we demonstrate that ingestion of microplastics can significantly alter the feeding capacity of the pelagic copepod Calanus helgolandicus. Exposed to 20 mu m polystyrene beads (75 microplastics mL(-1)) and cultured algae ([250 mu g C L-1) for 24 h, C. helgolandicus ingested 11% fewer algal cells (P = 0.33) and 40% less carbon biomass (P &lt; 0.01). There was a net downward shift in the mean size of algal prey consumed (P &lt; 0.001), with a 3.6 fold increase in ingestion rate for the smallest size class of algal prey (11.6-12.6 mu m), suggestive of postcapture or postingestion rejection. Prolonged exposure to polystyrene microplastics significantly decreased reproductive output, but there were no significant differences in egg production rates, respiration or survival. We constructed a conceptual energetic (carbon) budget showing that microplastic-exposed copepods suffer energetic depletion over time. We conclude that microplastics impede feeding in copepods, which over time could lead to sustained reductions in ingested carbon biomass.","author":[{"dropping-particle":"","family":"Cole","given":"Matthew","non-dropping-particle":"","parse-names":false,"suffix":""},{"dropping-particle":"","family":"Lindeque","given":"Pennie","non-dropping-particle":"","parse-names":false,"suffix":""},{"dropping-particle":"","family":"Fileman","given":"Elaine","non-dropping-particle":"","parse-names":false,"suffix":""},{"dropping-particle":"","family":"Halsband","given":"Claudia","non-dropping-particle":"","parse-names":false,"suffix":""},{"dropping-particle":"","family":"Galloway","given":"Tamara S.","non-dropping-particle":"","parse-names":false,"suffix":""}],"container-title":"Environmental Science and Technology","id":"ITEM-7","issued":{"date-parts":[["2015"]]},"title":"The impact of polystyrene microplastics on feeding, function and fecundity in the marine copepod Calanus helgolandicus","type":"article-journal"},"uris":["http://www.mendeley.com/documents/?uuid=5b2caafb-280c-3219-a124-152336e95253"]},{"id":"ITEM-8","itemData":{"DOI":"10.1021/es404295e","ISSN":"0013-936X","abstract":"There is increasing concern about the impacts of microplastics (&lt;1 mm) on marine biota. Microplastics may be mistaken for food items and ingested by a wide variety of organisms. While the effects of ingesting microplastic have been explored for some adult organisms, there is poor understanding of the effects of microplastic ingestion on marine larvae. Here, we investigated the ingestion of polyethylene microspheres by larvae of the sea urchin, Tripneustes gratilla. Ingestion rates scaled with the concentration of microspheres. Ingestion rates were, however, reduced by biological fouling of microplastic and in the presence of phytoplankton food. T. gratilla larvae were able to egest microspheres from their stomach within hours of ingestion. A microsphere concentration far exceeding those recorded in the marine environment had a small nondose dependent effect on larval growth, but there was no significant effect on survival. In contrast, environmentally realistic concentrations appeared to have little effec...","author":[{"dropping-particle":"","family":"Kaposi","given":"Katrina L.","non-dropping-particle":"","parse-names":false,"suffix":""},{"dropping-particle":"","family":"Mos","given":"Benjamin","non-dropping-particle":"","parse-names":false,"suffix":""},{"dropping-particle":"","family":"Kelaher","given":"Brendan P.","non-dropping-particle":"","parse-names":false,"suffix":""},{"dropping-particle":"","family":"Dworjanyn","given":"Symon A.","non-dropping-particle":"","parse-names":false,"suffix":""}],"container-title":"Environmental Science &amp; Technology","id":"ITEM-8","issue":"3","issued":{"date-parts":[["2014","2","4"]]},"page":"1638-1645","publisher":"American Chemical Society","title":"Ingestion of Microplastic Has Limited Impact on a Marine Larva","type":"article-journal","volume":"48"},"uris":["http://www.mendeley.com/documents/?uuid=a0cc0bd0-615f-3fc8-911b-b0e28734da15"]},{"id":"ITEM-9","itemData":{"DOI":"10.1021/es401932b","abstract":"We investigated the effects of three sizes of polystyrene (PS) microbeads (0.05, 0.5, and 6-μm diameter) on the survival, development, and fecundity of the copepod Tigriopus japonicus using acute and chronic toxicity tests. T. japonicus ingested and egested all three sizes of PS beads used and exhibited no selective feeding when phytoplankton were added. The copepods (nauplius and adult females) survived all sizes of PS beads and the various concentrations tested in the acute toxicity test for 96 h. In the two-generation chronic toxicity test, 0.05-μm PS beads at a concentration greater than 12.5 μg/mL caused the mortality of nauplii and copepodites in the F 0 generation and even triggered mortality at a concentration of 1.25 μg/mL in the next generation. In the 0.5-μm PS bead treatment, despite there being no significant effect on the F 0 generation, the highest concentration (25 μg/mL) induced a significant decrease in survival compared with the control population in the F 1 generation. The 6-μm PS beads did not affect the survival of T. japonicus over two generations. The 0.5-and 6-μm PS beads caused a significant decrease in fecundity at all concentrations. These results suggest that microplastics such as micro-or nanosized PS beads may have negative impacts on marine copepods.","author":[{"dropping-particle":"","family":"Lee","given":"Kyun-Woo","non-dropping-particle":"","parse-names":false,"suffix":""},{"dropping-particle":"","family":"Shim","given":"Won Joon","non-dropping-particle":"","parse-names":false,"suffix":""},{"dropping-particle":"","family":"Kwon","given":"Oh Youn","non-dropping-particle":"","parse-names":false,"suffix":""},{"dropping-particle":"","family":"Kang","given":"Jung-Hoon","non-dropping-particle":"","parse-names":false,"suffix":""}],"container-title":"Environ Sci Technol","id":"ITEM-9","issued":{"date-parts":[["2013"]]},"page":"11278-11283","title":"Size-Dependent Effects of Micro Polystyrene Particles in the Marine Copepod Tigriopus japonicus","type":"article-journal","volume":"47"},"uris":["http://www.mendeley.com/documents/?uuid=8c9cdc5f-b34e-36ba-995c-fe9b4c03c6e0"]},{"id":"ITEM-10","itemData":{"DOI":"10.1021/acs.est.6b01441","ISSN":"15205851","PMID":"27438693","abstract":"In this study, we evaluated accumulation and adverse effects on ingestion of microplastic in the monogonont rotifer (Brachionus koreanus). The dependence of microplastic toxicity on particle size was investigated by measuring several in vivo endpoints and studying the ingestion and egestion using 0.05, 0.5, and 6 µm non-functionalized polystyrene microbeads. To identify the defense mechanisms activated in response to microplastic exposure, the activities of several antioxidant-related enzymes and the phosphorylation status of mitogen-activated protein kinases (MAPKs) were determined. Exposure to polystyrene microbeads of all sizes led to significant size-dependent effects, including reduced growth rate, reduced fecundity, decreased lifespan and longer reproduction time. Rotifers exposed to 6 µm fluorescently-labeled microbeads did not exhibit almost any fluorescence after 24 h, while rotifers exposed to 0.05 and 0.5 µm fluorescently labeled microbeads displayed fluorescence until 48 h, suggesting that 6 µ...","author":[{"dropping-particle":"","family":"Jeong","given":"Chang Bum","non-dropping-particle":"","parse-names":false,"suffix":""},{"dropping-particle":"","family":"Won","given":"Eun Ji","non-dropping-particle":"","parse-names":false,"suffix":""},{"dropping-particle":"","family":"Kang","given":"Hye Min","non-dropping-particle":"","parse-names":false,"suffix":""},{"dropping-particle":"","family":"Lee","given":"Min Chul","non-dropping-particle":"","parse-names":false,"suffix":""},{"dropping-particle":"","family":"Hwang","given":"Dae Sik","non-dropping-particle":"","parse-names":false,"suffix":""},{"dropping-particle":"","family":"Hwang","given":"Un Ki","non-dropping-particle":"","parse-names":false,"suffix":""},{"dropping-particle":"","family":"Zhou","given":"Bingsheng","non-dropping-particle":"","parse-names":false,"suffix":""},{"dropping-particle":"","family":"Souissi","given":"Sami","non-dropping-particle":"","parse-names":false,"suffix":""},{"dropping-particle":"","family":"Lee","given":"Su Jae","non-dropping-particle":"","parse-names":false,"suffix":""},{"dropping-particle":"","family":"Lee","given":"Jae Seong","non-dropping-particle":"","parse-names":false,"suffix":""}],"container-title":"Environmental Science and Technology","id":"ITEM-10","issue":"16","issued":{"date-parts":[["2016"]]},"page":"8849-8857","title":"Microplastic size-dependent toxicity, oxidative stress induction, and p-JNK and p-p38 activation in the monogonont rotifer (Brachionus koreanus)","type":"article-journal","volume":"50"},"uris":["http://www.mendeley.com/documents/?uuid=4a03ad28-5a2a-4f47-98be-903a5409da52"]}],"mendeley":{"formattedCitation":"(Au, Bruce, Bridges, &amp; Klaine, 2015; Cole, Lindeque, Fileman, Halsband, &amp; Galloway, 2015; Jeong et al., 2016; Kalčíková, Žgajnar Gotvajn, Kladnik, &amp; Jemec, 2017; Kaposi, Mos, Kelaher, &amp; Dworjanyn, 2014; Lee et al., 2013; Ogonowski, Schür, Jarsén, &amp; Gorokhova, 2016; Straub, Hirsch, &amp; Burkhardt-Holm, 2017; Sussarellu et al., 2016; C. Zhang, Chen, Wang, &amp; Tan, 2017)","plainTextFormattedCitation":"(Au, Bruce, Bridges, &amp; Klaine, 2015; Cole, Lindeque, Fileman, Halsband, &amp; Galloway, 2015; Jeong et al., 2016; Kalčíková, Žgajnar Gotvajn, Kladnik, &amp; Jemec, 2017; Kaposi, Mos, Kelaher, &amp; Dworjanyn, 2014; Lee et al., 2013; Ogonowski, Schür, Jarsén, &amp; Gorokhova, 2016; Straub, Hirsch, &amp; Burkhardt-Holm, 2017; Sussarellu et al., 2016; C. Zhang, Chen, Wang, &amp; Tan, 2017)","previouslyFormattedCitation":"(Au, Bruce, Bridges, &amp; Klaine, 2015; Cole, Lindeque, Fileman, Halsband, &amp; Galloway, 2015; Jeong et al., 2016; Kalčíková, Žgajnar Gotvajn, Kladnik, &amp; Jemec, 2017; Kaposi, Mos, Kelaher, &amp; Dworjanyn, 2014; Lee et al., 2013; Ogonowski, Schür, Jarsén, &amp; Gorokhova, 2016; Straub, Hirsch, &amp; Burkhardt-Holm, 2017; Sussarellu et al., 2016; C. Zhang, Chen, Wang, &amp; Tan, 2017)"},"properties":{"noteIndex":0},"schema":"https://github.com/citation-style-language/schema/raw/master/csl-citation.json"}</w:instrText>
      </w:r>
      <w:r w:rsidRPr="00C41605">
        <w:rPr>
          <w:sz w:val="24"/>
          <w:szCs w:val="18"/>
          <w:vertAlign w:val="superscript"/>
        </w:rPr>
        <w:fldChar w:fldCharType="separate"/>
      </w:r>
      <w:r w:rsidRPr="00C41605">
        <w:rPr>
          <w:noProof/>
          <w:sz w:val="24"/>
          <w:szCs w:val="18"/>
          <w:lang w:val="en-GB"/>
        </w:rPr>
        <w:t>(Au, Bruce, Bridges, &amp; Klaine, 2015; Cole, Lindeque, Fileman, Halsband, &amp; Galloway, 2015; Jeong et al., 2016; Kalčíková, Žgajnar Gotvajn, Kladnik, &amp; Jemec, 2017; Kaposi, Mos, Kelaher, &amp; Dworjanyn, 2014; Lee et al., 2013; Ogonowski, Schür, Jarsén, &amp; Gorokhova, 2016; Straub, Hirsch, &amp; Burkhardt-Holm, 2017; Sussarellu et al., 2016; C. Zhang, Chen, Wang, &amp; Tan, 2017)</w:t>
      </w:r>
      <w:r w:rsidRPr="00C41605">
        <w:rPr>
          <w:sz w:val="24"/>
          <w:szCs w:val="18"/>
          <w:vertAlign w:val="superscript"/>
        </w:rPr>
        <w:fldChar w:fldCharType="end"/>
      </w:r>
      <w:r w:rsidRPr="00C41605">
        <w:rPr>
          <w:sz w:val="24"/>
          <w:szCs w:val="18"/>
          <w:lang w:val="en-GB"/>
        </w:rPr>
        <w:t>.</w:t>
      </w:r>
    </w:p>
    <w:tbl>
      <w:tblPr>
        <w:tblW w:w="20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442"/>
        <w:gridCol w:w="1533"/>
        <w:gridCol w:w="978"/>
        <w:gridCol w:w="986"/>
        <w:gridCol w:w="997"/>
        <w:gridCol w:w="1434"/>
        <w:gridCol w:w="1071"/>
        <w:gridCol w:w="1056"/>
        <w:gridCol w:w="1454"/>
        <w:gridCol w:w="2356"/>
        <w:gridCol w:w="2410"/>
        <w:gridCol w:w="3402"/>
      </w:tblGrid>
      <w:tr w:rsidR="009C4422" w:rsidRPr="00EB55BB" w:rsidTr="006D3FEF">
        <w:trPr>
          <w:trHeight w:val="288"/>
        </w:trPr>
        <w:tc>
          <w:tcPr>
            <w:tcW w:w="1577"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eastAsia="Times New Roman" w:hAnsi="Calibri" w:cs="Times New Roman"/>
                <w:b/>
                <w:bCs/>
                <w:lang w:val="en-GB" w:eastAsia="en-GB"/>
              </w:rPr>
              <w:t>Taxonomic group</w:t>
            </w:r>
          </w:p>
        </w:tc>
        <w:tc>
          <w:tcPr>
            <w:tcW w:w="1442"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eastAsia="Times New Roman" w:hAnsi="Calibri" w:cs="Times New Roman"/>
                <w:b/>
                <w:bCs/>
                <w:lang w:val="en-GB" w:eastAsia="en-GB"/>
              </w:rPr>
              <w:t>Species</w:t>
            </w:r>
          </w:p>
        </w:tc>
        <w:tc>
          <w:tcPr>
            <w:tcW w:w="1533"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eastAsia="Times New Roman" w:hAnsi="Calibri" w:cs="Times New Roman"/>
                <w:b/>
                <w:bCs/>
                <w:lang w:val="en-GB" w:eastAsia="en-GB"/>
              </w:rPr>
              <w:t>Water type</w:t>
            </w:r>
          </w:p>
        </w:tc>
        <w:tc>
          <w:tcPr>
            <w:tcW w:w="978"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eastAsia="Times New Roman" w:hAnsi="Calibri" w:cs="Times New Roman"/>
                <w:b/>
                <w:bCs/>
                <w:lang w:val="en-GB" w:eastAsia="en-GB"/>
              </w:rPr>
              <w:t>Polymer type</w:t>
            </w:r>
          </w:p>
        </w:tc>
        <w:tc>
          <w:tcPr>
            <w:tcW w:w="986"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eastAsia="Times New Roman" w:hAnsi="Calibri" w:cs="Times New Roman"/>
                <w:b/>
                <w:bCs/>
                <w:lang w:val="en-GB" w:eastAsia="en-GB"/>
              </w:rPr>
              <w:t>Particle shape</w:t>
            </w:r>
          </w:p>
        </w:tc>
        <w:tc>
          <w:tcPr>
            <w:tcW w:w="997"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eastAsia="Times New Roman" w:hAnsi="Calibri" w:cs="Times New Roman"/>
                <w:b/>
                <w:bCs/>
                <w:lang w:val="en-GB" w:eastAsia="en-GB"/>
              </w:rPr>
              <w:t>Particle size range (µm)</w:t>
            </w:r>
          </w:p>
        </w:tc>
        <w:tc>
          <w:tcPr>
            <w:tcW w:w="1434"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eastAsia="Times New Roman" w:hAnsi="Calibri" w:cs="Times New Roman"/>
                <w:b/>
                <w:bCs/>
                <w:lang w:val="en-GB" w:eastAsia="en-GB"/>
              </w:rPr>
              <w:t>Endpoint</w:t>
            </w:r>
          </w:p>
        </w:tc>
        <w:tc>
          <w:tcPr>
            <w:tcW w:w="1071"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eastAsia="Times New Roman" w:hAnsi="Calibri" w:cs="Times New Roman"/>
                <w:b/>
                <w:bCs/>
                <w:lang w:val="en-GB" w:eastAsia="en-GB"/>
              </w:rPr>
              <w:t>Reported effect level</w:t>
            </w:r>
          </w:p>
        </w:tc>
        <w:tc>
          <w:tcPr>
            <w:tcW w:w="1056"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eastAsia="Times New Roman" w:hAnsi="Calibri" w:cs="Times New Roman"/>
                <w:b/>
                <w:bCs/>
                <w:lang w:val="en-GB" w:eastAsia="en-GB"/>
              </w:rPr>
              <w:t>Exposure duration (d)</w:t>
            </w:r>
          </w:p>
        </w:tc>
        <w:tc>
          <w:tcPr>
            <w:tcW w:w="1454"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eastAsia="Times New Roman" w:hAnsi="Calibri" w:cs="Times New Roman"/>
                <w:b/>
                <w:bCs/>
                <w:lang w:val="en-GB" w:eastAsia="en-GB"/>
              </w:rPr>
              <w:t>Extrapolation factor</w:t>
            </w:r>
          </w:p>
        </w:tc>
        <w:tc>
          <w:tcPr>
            <w:tcW w:w="2356"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eastAsia="Times New Roman" w:hAnsi="Calibri" w:cs="Times New Roman"/>
                <w:b/>
                <w:bCs/>
                <w:lang w:val="en-GB" w:eastAsia="en-GB"/>
              </w:rPr>
              <w:t>Reported effect threshold</w:t>
            </w:r>
          </w:p>
        </w:tc>
        <w:tc>
          <w:tcPr>
            <w:tcW w:w="2410"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eastAsia="Times New Roman" w:hAnsi="Calibri" w:cs="Times New Roman"/>
                <w:b/>
                <w:bCs/>
                <w:lang w:val="en-GB" w:eastAsia="en-GB"/>
              </w:rPr>
              <w:t>Chronic LOEC after extrapolation (ng/L)</w:t>
            </w:r>
          </w:p>
        </w:tc>
        <w:tc>
          <w:tcPr>
            <w:tcW w:w="3402"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eastAsia="Times New Roman" w:hAnsi="Calibri" w:cs="Times New Roman"/>
                <w:b/>
                <w:bCs/>
                <w:lang w:val="en-GB" w:eastAsia="en-GB"/>
              </w:rPr>
              <w:t>Reference</w:t>
            </w:r>
          </w:p>
        </w:tc>
      </w:tr>
      <w:tr w:rsidR="009C4422" w:rsidRPr="00EB55BB" w:rsidTr="006D3FEF">
        <w:trPr>
          <w:trHeight w:val="288"/>
        </w:trPr>
        <w:tc>
          <w:tcPr>
            <w:tcW w:w="1577" w:type="dxa"/>
            <w:tcBorders>
              <w:top w:val="single" w:sz="12" w:space="0" w:color="auto"/>
            </w:tcBorders>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Angiospermae</w:t>
            </w:r>
          </w:p>
        </w:tc>
        <w:tc>
          <w:tcPr>
            <w:tcW w:w="1442" w:type="dxa"/>
            <w:tcBorders>
              <w:top w:val="single" w:sz="12" w:space="0" w:color="auto"/>
            </w:tcBorders>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i/>
                <w:iCs/>
                <w:lang w:val="en-GB" w:eastAsia="en-GB"/>
              </w:rPr>
            </w:pPr>
            <w:r w:rsidRPr="00526D2A">
              <w:rPr>
                <w:rFonts w:ascii="Calibri" w:hAnsi="Calibri"/>
                <w:i/>
                <w:iCs/>
                <w:lang w:val="en-GB"/>
              </w:rPr>
              <w:t>Lemna minor</w:t>
            </w:r>
          </w:p>
        </w:tc>
        <w:tc>
          <w:tcPr>
            <w:tcW w:w="1533" w:type="dxa"/>
            <w:tcBorders>
              <w:top w:val="single" w:sz="12" w:space="0" w:color="auto"/>
            </w:tcBorders>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Fresh</w:t>
            </w:r>
          </w:p>
        </w:tc>
        <w:tc>
          <w:tcPr>
            <w:tcW w:w="978" w:type="dxa"/>
            <w:tcBorders>
              <w:top w:val="single" w:sz="12" w:space="0" w:color="auto"/>
            </w:tcBorders>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PE</w:t>
            </w:r>
          </w:p>
        </w:tc>
        <w:tc>
          <w:tcPr>
            <w:tcW w:w="986" w:type="dxa"/>
            <w:tcBorders>
              <w:top w:val="single" w:sz="12" w:space="0" w:color="auto"/>
            </w:tcBorders>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Sphere</w:t>
            </w:r>
          </w:p>
        </w:tc>
        <w:tc>
          <w:tcPr>
            <w:tcW w:w="997" w:type="dxa"/>
            <w:tcBorders>
              <w:top w:val="single" w:sz="12" w:space="0" w:color="auto"/>
            </w:tcBorders>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30 - 600</w:t>
            </w:r>
          </w:p>
        </w:tc>
        <w:tc>
          <w:tcPr>
            <w:tcW w:w="1434" w:type="dxa"/>
            <w:tcBorders>
              <w:top w:val="single" w:sz="12" w:space="0" w:color="auto"/>
            </w:tcBorders>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Growth</w:t>
            </w:r>
          </w:p>
        </w:tc>
        <w:tc>
          <w:tcPr>
            <w:tcW w:w="1071" w:type="dxa"/>
            <w:tcBorders>
              <w:top w:val="single" w:sz="12" w:space="0" w:color="auto"/>
            </w:tcBorders>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LOEC</w:t>
            </w:r>
          </w:p>
        </w:tc>
        <w:tc>
          <w:tcPr>
            <w:tcW w:w="1056" w:type="dxa"/>
            <w:tcBorders>
              <w:top w:val="single" w:sz="12" w:space="0" w:color="auto"/>
            </w:tcBorders>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7</w:t>
            </w:r>
          </w:p>
        </w:tc>
        <w:tc>
          <w:tcPr>
            <w:tcW w:w="1454" w:type="dxa"/>
            <w:tcBorders>
              <w:top w:val="single" w:sz="12" w:space="0" w:color="auto"/>
            </w:tcBorders>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6.5</w:t>
            </w:r>
          </w:p>
        </w:tc>
        <w:tc>
          <w:tcPr>
            <w:tcW w:w="2356" w:type="dxa"/>
            <w:tcBorders>
              <w:top w:val="single" w:sz="12" w:space="0" w:color="auto"/>
            </w:tcBorders>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10 mg/L</w:t>
            </w:r>
          </w:p>
        </w:tc>
        <w:tc>
          <w:tcPr>
            <w:tcW w:w="2410" w:type="dxa"/>
            <w:tcBorders>
              <w:top w:val="single" w:sz="12" w:space="0" w:color="auto"/>
            </w:tcBorders>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1.54E+06</w:t>
            </w:r>
          </w:p>
        </w:tc>
        <w:tc>
          <w:tcPr>
            <w:tcW w:w="3402" w:type="dxa"/>
            <w:tcBorders>
              <w:top w:val="single" w:sz="12" w:space="0" w:color="auto"/>
            </w:tcBorders>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Kalčíková et al., 2017</w:t>
            </w:r>
          </w:p>
        </w:tc>
      </w:tr>
      <w:tr w:rsidR="009C4422" w:rsidRPr="00EB55BB" w:rsidTr="006D3FEF">
        <w:trPr>
          <w:trHeight w:val="288"/>
        </w:trPr>
        <w:tc>
          <w:tcPr>
            <w:tcW w:w="1577"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Diatomea</w:t>
            </w:r>
          </w:p>
        </w:tc>
        <w:tc>
          <w:tcPr>
            <w:tcW w:w="1442"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i/>
                <w:iCs/>
                <w:lang w:val="en-GB" w:eastAsia="en-GB"/>
              </w:rPr>
            </w:pPr>
            <w:r w:rsidRPr="00526D2A">
              <w:rPr>
                <w:rFonts w:ascii="Calibri" w:hAnsi="Calibri"/>
                <w:i/>
                <w:iCs/>
                <w:lang w:val="en-GB"/>
              </w:rPr>
              <w:t>Skeletonema costatum</w:t>
            </w:r>
          </w:p>
        </w:tc>
        <w:tc>
          <w:tcPr>
            <w:tcW w:w="1533"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Marine</w:t>
            </w:r>
          </w:p>
        </w:tc>
        <w:tc>
          <w:tcPr>
            <w:tcW w:w="97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PVC</w:t>
            </w:r>
          </w:p>
        </w:tc>
        <w:tc>
          <w:tcPr>
            <w:tcW w:w="98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Sphere</w:t>
            </w:r>
          </w:p>
        </w:tc>
        <w:tc>
          <w:tcPr>
            <w:tcW w:w="997"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1</w:t>
            </w:r>
          </w:p>
        </w:tc>
        <w:tc>
          <w:tcPr>
            <w:tcW w:w="143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Growth</w:t>
            </w:r>
          </w:p>
        </w:tc>
        <w:tc>
          <w:tcPr>
            <w:tcW w:w="1071"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LOEC</w:t>
            </w:r>
          </w:p>
        </w:tc>
        <w:tc>
          <w:tcPr>
            <w:tcW w:w="105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3</w:t>
            </w:r>
          </w:p>
        </w:tc>
        <w:tc>
          <w:tcPr>
            <w:tcW w:w="145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10</w:t>
            </w:r>
          </w:p>
        </w:tc>
        <w:tc>
          <w:tcPr>
            <w:tcW w:w="235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1 mg/L</w:t>
            </w:r>
          </w:p>
        </w:tc>
        <w:tc>
          <w:tcPr>
            <w:tcW w:w="241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1.00E+05</w:t>
            </w:r>
          </w:p>
        </w:tc>
        <w:tc>
          <w:tcPr>
            <w:tcW w:w="3402"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Zhang et al., 2017</w:t>
            </w:r>
          </w:p>
        </w:tc>
      </w:tr>
      <w:tr w:rsidR="009C4422" w:rsidRPr="00EB55BB" w:rsidTr="006D3FEF">
        <w:trPr>
          <w:trHeight w:val="288"/>
        </w:trPr>
        <w:tc>
          <w:tcPr>
            <w:tcW w:w="1577"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Bivalvia</w:t>
            </w:r>
          </w:p>
        </w:tc>
        <w:tc>
          <w:tcPr>
            <w:tcW w:w="1442"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i/>
                <w:iCs/>
                <w:lang w:val="en-GB" w:eastAsia="en-GB"/>
              </w:rPr>
            </w:pPr>
            <w:r w:rsidRPr="00526D2A">
              <w:rPr>
                <w:rFonts w:ascii="Calibri" w:hAnsi="Calibri"/>
                <w:i/>
                <w:iCs/>
                <w:lang w:val="en-GB"/>
              </w:rPr>
              <w:t>Crassostrea gigas</w:t>
            </w:r>
          </w:p>
        </w:tc>
        <w:tc>
          <w:tcPr>
            <w:tcW w:w="1533"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Marine</w:t>
            </w:r>
          </w:p>
        </w:tc>
        <w:tc>
          <w:tcPr>
            <w:tcW w:w="97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PS</w:t>
            </w:r>
          </w:p>
        </w:tc>
        <w:tc>
          <w:tcPr>
            <w:tcW w:w="98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Sphere</w:t>
            </w:r>
          </w:p>
        </w:tc>
        <w:tc>
          <w:tcPr>
            <w:tcW w:w="997"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2, 6</w:t>
            </w:r>
          </w:p>
        </w:tc>
        <w:tc>
          <w:tcPr>
            <w:tcW w:w="143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Growth, reproduction</w:t>
            </w:r>
          </w:p>
        </w:tc>
        <w:tc>
          <w:tcPr>
            <w:tcW w:w="1071"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LOEC</w:t>
            </w:r>
          </w:p>
        </w:tc>
        <w:tc>
          <w:tcPr>
            <w:tcW w:w="1056" w:type="dxa"/>
            <w:shd w:val="clear" w:color="auto" w:fill="auto"/>
            <w:noWrap/>
            <w:vAlign w:val="center"/>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60</w:t>
            </w:r>
          </w:p>
        </w:tc>
        <w:tc>
          <w:tcPr>
            <w:tcW w:w="145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1</w:t>
            </w:r>
          </w:p>
        </w:tc>
        <w:tc>
          <w:tcPr>
            <w:tcW w:w="235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0.023 mg/L</w:t>
            </w:r>
          </w:p>
        </w:tc>
        <w:tc>
          <w:tcPr>
            <w:tcW w:w="241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2.30E+04</w:t>
            </w:r>
          </w:p>
        </w:tc>
        <w:tc>
          <w:tcPr>
            <w:tcW w:w="3402"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Sussarellu et al., 2016</w:t>
            </w:r>
          </w:p>
        </w:tc>
      </w:tr>
      <w:tr w:rsidR="009C4422" w:rsidRPr="00EB55BB" w:rsidTr="006D3FEF">
        <w:trPr>
          <w:trHeight w:val="288"/>
        </w:trPr>
        <w:tc>
          <w:tcPr>
            <w:tcW w:w="1577"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Amphipoda</w:t>
            </w:r>
          </w:p>
        </w:tc>
        <w:tc>
          <w:tcPr>
            <w:tcW w:w="1442"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i/>
                <w:iCs/>
                <w:lang w:val="en-GB" w:eastAsia="en-GB"/>
              </w:rPr>
            </w:pPr>
            <w:r w:rsidRPr="00526D2A">
              <w:rPr>
                <w:rFonts w:ascii="Calibri" w:hAnsi="Calibri"/>
                <w:i/>
                <w:iCs/>
                <w:lang w:val="en-GB"/>
              </w:rPr>
              <w:t>Gammarus fossarum</w:t>
            </w:r>
          </w:p>
        </w:tc>
        <w:tc>
          <w:tcPr>
            <w:tcW w:w="1533"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Fresh</w:t>
            </w:r>
          </w:p>
        </w:tc>
        <w:tc>
          <w:tcPr>
            <w:tcW w:w="97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PMMA</w:t>
            </w:r>
          </w:p>
        </w:tc>
        <w:tc>
          <w:tcPr>
            <w:tcW w:w="98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Irregular</w:t>
            </w:r>
          </w:p>
        </w:tc>
        <w:tc>
          <w:tcPr>
            <w:tcW w:w="997"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32 - 250</w:t>
            </w:r>
          </w:p>
        </w:tc>
        <w:tc>
          <w:tcPr>
            <w:tcW w:w="143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Growth</w:t>
            </w:r>
          </w:p>
        </w:tc>
        <w:tc>
          <w:tcPr>
            <w:tcW w:w="1071"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LOEC</w:t>
            </w:r>
          </w:p>
        </w:tc>
        <w:tc>
          <w:tcPr>
            <w:tcW w:w="1056" w:type="dxa"/>
            <w:shd w:val="clear" w:color="auto" w:fill="auto"/>
            <w:noWrap/>
            <w:vAlign w:val="center"/>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28</w:t>
            </w:r>
          </w:p>
        </w:tc>
        <w:tc>
          <w:tcPr>
            <w:tcW w:w="145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1</w:t>
            </w:r>
          </w:p>
        </w:tc>
        <w:tc>
          <w:tcPr>
            <w:tcW w:w="235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333.3 Particles/ml</w:t>
            </w:r>
          </w:p>
        </w:tc>
        <w:tc>
          <w:tcPr>
            <w:tcW w:w="241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2.91E+08</w:t>
            </w:r>
          </w:p>
        </w:tc>
        <w:tc>
          <w:tcPr>
            <w:tcW w:w="3402"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Straub et al., 2017</w:t>
            </w:r>
          </w:p>
        </w:tc>
      </w:tr>
      <w:tr w:rsidR="009C4422" w:rsidRPr="00EB55BB" w:rsidTr="006D3FEF">
        <w:trPr>
          <w:trHeight w:val="312"/>
        </w:trPr>
        <w:tc>
          <w:tcPr>
            <w:tcW w:w="1577"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Amphipoda</w:t>
            </w:r>
          </w:p>
        </w:tc>
        <w:tc>
          <w:tcPr>
            <w:tcW w:w="1442"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i/>
                <w:iCs/>
                <w:lang w:val="en-GB" w:eastAsia="en-GB"/>
              </w:rPr>
            </w:pPr>
            <w:r w:rsidRPr="00526D2A">
              <w:rPr>
                <w:rFonts w:ascii="Calibri" w:hAnsi="Calibri"/>
                <w:i/>
                <w:iCs/>
                <w:lang w:val="en-GB"/>
              </w:rPr>
              <w:t>Gammarus fossarum</w:t>
            </w:r>
          </w:p>
        </w:tc>
        <w:tc>
          <w:tcPr>
            <w:tcW w:w="1533"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Fresh</w:t>
            </w:r>
          </w:p>
        </w:tc>
        <w:tc>
          <w:tcPr>
            <w:tcW w:w="97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PHB</w:t>
            </w:r>
          </w:p>
        </w:tc>
        <w:tc>
          <w:tcPr>
            <w:tcW w:w="98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Irregular</w:t>
            </w:r>
          </w:p>
        </w:tc>
        <w:tc>
          <w:tcPr>
            <w:tcW w:w="997"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32 - 250</w:t>
            </w:r>
          </w:p>
        </w:tc>
        <w:tc>
          <w:tcPr>
            <w:tcW w:w="143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Growth</w:t>
            </w:r>
          </w:p>
        </w:tc>
        <w:tc>
          <w:tcPr>
            <w:tcW w:w="1071"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LOEC</w:t>
            </w:r>
          </w:p>
        </w:tc>
        <w:tc>
          <w:tcPr>
            <w:tcW w:w="105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28</w:t>
            </w:r>
          </w:p>
        </w:tc>
        <w:tc>
          <w:tcPr>
            <w:tcW w:w="145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1</w:t>
            </w:r>
          </w:p>
        </w:tc>
        <w:tc>
          <w:tcPr>
            <w:tcW w:w="235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333.3 Particles/ml</w:t>
            </w:r>
          </w:p>
        </w:tc>
        <w:tc>
          <w:tcPr>
            <w:tcW w:w="241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3.03E+08</w:t>
            </w:r>
          </w:p>
        </w:tc>
        <w:tc>
          <w:tcPr>
            <w:tcW w:w="3402"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Straub et al., 2017</w:t>
            </w:r>
          </w:p>
        </w:tc>
      </w:tr>
      <w:tr w:rsidR="009C4422" w:rsidRPr="00EB55BB" w:rsidTr="006D3FEF">
        <w:trPr>
          <w:trHeight w:val="312"/>
        </w:trPr>
        <w:tc>
          <w:tcPr>
            <w:tcW w:w="1577"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Amphipoda</w:t>
            </w:r>
          </w:p>
        </w:tc>
        <w:tc>
          <w:tcPr>
            <w:tcW w:w="1442"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i/>
                <w:iCs/>
                <w:lang w:val="en-GB" w:eastAsia="en-GB"/>
              </w:rPr>
            </w:pPr>
            <w:r w:rsidRPr="00526D2A">
              <w:rPr>
                <w:rFonts w:ascii="Calibri" w:hAnsi="Calibri"/>
                <w:i/>
                <w:iCs/>
                <w:lang w:val="en-GB"/>
              </w:rPr>
              <w:t>Hyalella azteca</w:t>
            </w:r>
          </w:p>
        </w:tc>
        <w:tc>
          <w:tcPr>
            <w:tcW w:w="1533"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Fresh/brackish</w:t>
            </w:r>
          </w:p>
        </w:tc>
        <w:tc>
          <w:tcPr>
            <w:tcW w:w="97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PE</w:t>
            </w:r>
          </w:p>
        </w:tc>
        <w:tc>
          <w:tcPr>
            <w:tcW w:w="98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Sphere</w:t>
            </w:r>
          </w:p>
        </w:tc>
        <w:tc>
          <w:tcPr>
            <w:tcW w:w="997"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10 - 27</w:t>
            </w:r>
          </w:p>
        </w:tc>
        <w:tc>
          <w:tcPr>
            <w:tcW w:w="143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Survival</w:t>
            </w:r>
          </w:p>
        </w:tc>
        <w:tc>
          <w:tcPr>
            <w:tcW w:w="1071"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LC</w:t>
            </w:r>
            <w:r w:rsidRPr="00526D2A">
              <w:rPr>
                <w:rFonts w:ascii="Calibri" w:hAnsi="Calibri"/>
                <w:vertAlign w:val="subscript"/>
                <w:lang w:val="en-GB"/>
              </w:rPr>
              <w:t>50</w:t>
            </w:r>
          </w:p>
        </w:tc>
        <w:tc>
          <w:tcPr>
            <w:tcW w:w="105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10</w:t>
            </w:r>
          </w:p>
        </w:tc>
        <w:tc>
          <w:tcPr>
            <w:tcW w:w="145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20</w:t>
            </w:r>
          </w:p>
        </w:tc>
        <w:tc>
          <w:tcPr>
            <w:tcW w:w="235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46000 Particles/ml</w:t>
            </w:r>
          </w:p>
        </w:tc>
        <w:tc>
          <w:tcPr>
            <w:tcW w:w="241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8.62E+06</w:t>
            </w:r>
          </w:p>
        </w:tc>
        <w:tc>
          <w:tcPr>
            <w:tcW w:w="3402"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Au et al., 2015</w:t>
            </w:r>
          </w:p>
        </w:tc>
      </w:tr>
      <w:tr w:rsidR="009C4422" w:rsidRPr="00EB55BB" w:rsidTr="006D3FEF">
        <w:trPr>
          <w:trHeight w:val="288"/>
        </w:trPr>
        <w:tc>
          <w:tcPr>
            <w:tcW w:w="1577"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Amphipoda</w:t>
            </w:r>
          </w:p>
        </w:tc>
        <w:tc>
          <w:tcPr>
            <w:tcW w:w="1442"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i/>
                <w:iCs/>
                <w:lang w:val="en-GB" w:eastAsia="en-GB"/>
              </w:rPr>
            </w:pPr>
            <w:r w:rsidRPr="00526D2A">
              <w:rPr>
                <w:rFonts w:ascii="Calibri" w:hAnsi="Calibri"/>
                <w:i/>
                <w:iCs/>
                <w:lang w:val="en-GB"/>
              </w:rPr>
              <w:t>Hyalella azteca</w:t>
            </w:r>
          </w:p>
        </w:tc>
        <w:tc>
          <w:tcPr>
            <w:tcW w:w="1533"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Fresh/brackish</w:t>
            </w:r>
          </w:p>
        </w:tc>
        <w:tc>
          <w:tcPr>
            <w:tcW w:w="97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PP</w:t>
            </w:r>
          </w:p>
        </w:tc>
        <w:tc>
          <w:tcPr>
            <w:tcW w:w="98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Fibre</w:t>
            </w:r>
          </w:p>
        </w:tc>
        <w:tc>
          <w:tcPr>
            <w:tcW w:w="997"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20 x 75</w:t>
            </w:r>
          </w:p>
        </w:tc>
        <w:tc>
          <w:tcPr>
            <w:tcW w:w="143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Survival</w:t>
            </w:r>
          </w:p>
        </w:tc>
        <w:tc>
          <w:tcPr>
            <w:tcW w:w="1071"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LC</w:t>
            </w:r>
            <w:r w:rsidRPr="00526D2A">
              <w:rPr>
                <w:rFonts w:ascii="Calibri" w:hAnsi="Calibri"/>
                <w:vertAlign w:val="subscript"/>
                <w:lang w:val="en-GB"/>
              </w:rPr>
              <w:t>50</w:t>
            </w:r>
          </w:p>
        </w:tc>
        <w:tc>
          <w:tcPr>
            <w:tcW w:w="1056"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val="en-GB" w:eastAsia="en-GB"/>
              </w:rPr>
            </w:pPr>
            <w:r w:rsidRPr="00C55B26">
              <w:rPr>
                <w:rFonts w:ascii="Calibri" w:hAnsi="Calibri"/>
                <w:lang w:val="en-GB"/>
              </w:rPr>
              <w:t>10</w:t>
            </w:r>
          </w:p>
        </w:tc>
        <w:tc>
          <w:tcPr>
            <w:tcW w:w="1454"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val="en-GB" w:eastAsia="en-GB"/>
              </w:rPr>
            </w:pPr>
            <w:r w:rsidRPr="00C55B26">
              <w:rPr>
                <w:rFonts w:ascii="Calibri" w:hAnsi="Calibri"/>
                <w:lang w:val="en-GB"/>
              </w:rPr>
              <w:t>20</w:t>
            </w:r>
          </w:p>
        </w:tc>
        <w:tc>
          <w:tcPr>
            <w:tcW w:w="2356"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val="en-GB" w:eastAsia="en-GB"/>
              </w:rPr>
            </w:pPr>
            <w:r w:rsidRPr="00C55B26">
              <w:rPr>
                <w:rFonts w:ascii="Calibri" w:hAnsi="Calibri"/>
                <w:lang w:val="en-GB"/>
              </w:rPr>
              <w:t>71 Particles/ml</w:t>
            </w:r>
          </w:p>
        </w:tc>
        <w:tc>
          <w:tcPr>
            <w:tcW w:w="2410"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val="en-GB" w:eastAsia="en-GB"/>
              </w:rPr>
            </w:pPr>
            <w:r w:rsidRPr="00C55B26">
              <w:rPr>
                <w:rFonts w:ascii="Calibri" w:hAnsi="Calibri"/>
                <w:lang w:val="en-GB"/>
              </w:rPr>
              <w:t>2.63E+05</w:t>
            </w:r>
          </w:p>
        </w:tc>
        <w:tc>
          <w:tcPr>
            <w:tcW w:w="3402"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val="en-GB" w:eastAsia="en-GB"/>
              </w:rPr>
            </w:pPr>
            <w:r w:rsidRPr="00C55B26">
              <w:rPr>
                <w:rFonts w:ascii="Calibri" w:hAnsi="Calibri"/>
                <w:lang w:val="en-GB"/>
              </w:rPr>
              <w:t>Au et al., 2015</w:t>
            </w:r>
          </w:p>
        </w:tc>
      </w:tr>
      <w:tr w:rsidR="009C4422" w:rsidRPr="00397119" w:rsidTr="006D3FEF">
        <w:trPr>
          <w:trHeight w:val="288"/>
        </w:trPr>
        <w:tc>
          <w:tcPr>
            <w:tcW w:w="1577"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Amphipoda</w:t>
            </w:r>
          </w:p>
        </w:tc>
        <w:tc>
          <w:tcPr>
            <w:tcW w:w="1442"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i/>
                <w:iCs/>
                <w:lang w:val="en-GB" w:eastAsia="en-GB"/>
              </w:rPr>
            </w:pPr>
            <w:r w:rsidRPr="00526D2A">
              <w:rPr>
                <w:rFonts w:ascii="Calibri" w:hAnsi="Calibri"/>
                <w:i/>
                <w:iCs/>
                <w:lang w:val="en-GB"/>
              </w:rPr>
              <w:t>Hyalella azteca</w:t>
            </w:r>
          </w:p>
        </w:tc>
        <w:tc>
          <w:tcPr>
            <w:tcW w:w="1533"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Fresh/brackish</w:t>
            </w:r>
          </w:p>
        </w:tc>
        <w:tc>
          <w:tcPr>
            <w:tcW w:w="97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PE</w:t>
            </w:r>
          </w:p>
        </w:tc>
        <w:tc>
          <w:tcPr>
            <w:tcW w:w="98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Sphere</w:t>
            </w:r>
          </w:p>
        </w:tc>
        <w:tc>
          <w:tcPr>
            <w:tcW w:w="997"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10 - 27</w:t>
            </w:r>
          </w:p>
        </w:tc>
        <w:tc>
          <w:tcPr>
            <w:tcW w:w="143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Growth, reproduction</w:t>
            </w:r>
          </w:p>
        </w:tc>
        <w:tc>
          <w:tcPr>
            <w:tcW w:w="1071"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LOEC</w:t>
            </w:r>
          </w:p>
        </w:tc>
        <w:tc>
          <w:tcPr>
            <w:tcW w:w="1056"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val="en-GB" w:eastAsia="en-GB"/>
              </w:rPr>
            </w:pPr>
            <w:r w:rsidRPr="00C55B26">
              <w:rPr>
                <w:rFonts w:ascii="Calibri" w:hAnsi="Calibri"/>
                <w:lang w:val="en-GB"/>
              </w:rPr>
              <w:t>28</w:t>
            </w:r>
          </w:p>
        </w:tc>
        <w:tc>
          <w:tcPr>
            <w:tcW w:w="1454"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val="en-GB" w:eastAsia="en-GB"/>
              </w:rPr>
            </w:pPr>
            <w:r w:rsidRPr="00C55B26">
              <w:rPr>
                <w:rFonts w:ascii="Calibri" w:hAnsi="Calibri"/>
                <w:lang w:val="en-GB"/>
              </w:rPr>
              <w:t>1</w:t>
            </w:r>
          </w:p>
        </w:tc>
        <w:tc>
          <w:tcPr>
            <w:tcW w:w="2356"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val="en-GB" w:eastAsia="en-GB"/>
              </w:rPr>
            </w:pPr>
            <w:r w:rsidRPr="00C55B26">
              <w:rPr>
                <w:rFonts w:ascii="Calibri" w:hAnsi="Calibri"/>
                <w:lang w:val="en-GB"/>
              </w:rPr>
              <w:t>5</w:t>
            </w:r>
            <w:r w:rsidR="00F32107" w:rsidRPr="00C55B26">
              <w:rPr>
                <w:rFonts w:ascii="Calibri" w:hAnsi="Calibri"/>
                <w:lang w:val="en-GB"/>
              </w:rPr>
              <w:t>000</w:t>
            </w:r>
            <w:r w:rsidRPr="00C55B26">
              <w:rPr>
                <w:rFonts w:ascii="Calibri" w:hAnsi="Calibri"/>
                <w:lang w:val="en-GB"/>
              </w:rPr>
              <w:t xml:space="preserve"> Particles/ml</w:t>
            </w:r>
          </w:p>
        </w:tc>
        <w:tc>
          <w:tcPr>
            <w:tcW w:w="2410" w:type="dxa"/>
            <w:shd w:val="clear" w:color="auto" w:fill="auto"/>
            <w:noWrap/>
            <w:vAlign w:val="center"/>
            <w:hideMark/>
          </w:tcPr>
          <w:p w:rsidR="009C4422" w:rsidRPr="00C55B26" w:rsidRDefault="00F32107" w:rsidP="00885900">
            <w:pPr>
              <w:spacing w:line="240" w:lineRule="auto"/>
              <w:jc w:val="center"/>
              <w:rPr>
                <w:rFonts w:ascii="Calibri" w:eastAsia="Times New Roman" w:hAnsi="Calibri" w:cs="Times New Roman"/>
                <w:lang w:val="en-GB" w:eastAsia="en-GB"/>
              </w:rPr>
            </w:pPr>
            <w:r w:rsidRPr="00C55B26">
              <w:rPr>
                <w:rFonts w:ascii="Calibri" w:hAnsi="Calibri"/>
                <w:lang w:val="en-GB"/>
              </w:rPr>
              <w:t>1.87E+07</w:t>
            </w:r>
          </w:p>
        </w:tc>
        <w:tc>
          <w:tcPr>
            <w:tcW w:w="3402"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val="en-GB" w:eastAsia="en-GB"/>
              </w:rPr>
            </w:pPr>
            <w:r w:rsidRPr="00C55B26">
              <w:rPr>
                <w:rFonts w:ascii="Calibri" w:hAnsi="Calibri"/>
                <w:lang w:val="en-GB"/>
              </w:rPr>
              <w:t>Au et al., 2015</w:t>
            </w:r>
          </w:p>
        </w:tc>
      </w:tr>
      <w:tr w:rsidR="009C4422" w:rsidRPr="00397119" w:rsidTr="006D3FEF">
        <w:trPr>
          <w:trHeight w:val="312"/>
        </w:trPr>
        <w:tc>
          <w:tcPr>
            <w:tcW w:w="1577"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Amphipoda</w:t>
            </w:r>
          </w:p>
        </w:tc>
        <w:tc>
          <w:tcPr>
            <w:tcW w:w="1442"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i/>
                <w:iCs/>
                <w:lang w:val="en-GB" w:eastAsia="en-GB"/>
              </w:rPr>
            </w:pPr>
            <w:r w:rsidRPr="00526D2A">
              <w:rPr>
                <w:rFonts w:ascii="Calibri" w:hAnsi="Calibri"/>
                <w:i/>
                <w:iCs/>
                <w:lang w:val="en-GB"/>
              </w:rPr>
              <w:t>Hyalella azteca</w:t>
            </w:r>
          </w:p>
        </w:tc>
        <w:tc>
          <w:tcPr>
            <w:tcW w:w="1533"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Fresh/brackish</w:t>
            </w:r>
          </w:p>
        </w:tc>
        <w:tc>
          <w:tcPr>
            <w:tcW w:w="97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PE</w:t>
            </w:r>
          </w:p>
        </w:tc>
        <w:tc>
          <w:tcPr>
            <w:tcW w:w="98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Sphere</w:t>
            </w:r>
          </w:p>
        </w:tc>
        <w:tc>
          <w:tcPr>
            <w:tcW w:w="997"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10 - 27</w:t>
            </w:r>
          </w:p>
        </w:tc>
        <w:tc>
          <w:tcPr>
            <w:tcW w:w="143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Growth, reproduction</w:t>
            </w:r>
          </w:p>
        </w:tc>
        <w:tc>
          <w:tcPr>
            <w:tcW w:w="1071"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LOEC</w:t>
            </w:r>
          </w:p>
        </w:tc>
        <w:tc>
          <w:tcPr>
            <w:tcW w:w="1056"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val="en-GB" w:eastAsia="en-GB"/>
              </w:rPr>
            </w:pPr>
            <w:r w:rsidRPr="00C55B26">
              <w:rPr>
                <w:rFonts w:ascii="Calibri" w:hAnsi="Calibri"/>
                <w:lang w:val="en-GB"/>
              </w:rPr>
              <w:t>28</w:t>
            </w:r>
          </w:p>
        </w:tc>
        <w:tc>
          <w:tcPr>
            <w:tcW w:w="1454"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val="en-GB" w:eastAsia="en-GB"/>
              </w:rPr>
            </w:pPr>
            <w:r w:rsidRPr="00C55B26">
              <w:rPr>
                <w:rFonts w:ascii="Calibri" w:hAnsi="Calibri"/>
                <w:lang w:val="en-GB"/>
              </w:rPr>
              <w:t>1</w:t>
            </w:r>
          </w:p>
        </w:tc>
        <w:tc>
          <w:tcPr>
            <w:tcW w:w="2356"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val="en-GB" w:eastAsia="en-GB"/>
              </w:rPr>
            </w:pPr>
            <w:r w:rsidRPr="00C55B26">
              <w:rPr>
                <w:rFonts w:ascii="Calibri" w:hAnsi="Calibri"/>
                <w:lang w:val="en-GB"/>
              </w:rPr>
              <w:t>10</w:t>
            </w:r>
            <w:r w:rsidR="00F32107" w:rsidRPr="00C55B26">
              <w:rPr>
                <w:rFonts w:ascii="Calibri" w:hAnsi="Calibri"/>
                <w:lang w:val="en-GB"/>
              </w:rPr>
              <w:t>000</w:t>
            </w:r>
            <w:r w:rsidRPr="00C55B26">
              <w:rPr>
                <w:rFonts w:ascii="Calibri" w:hAnsi="Calibri"/>
                <w:lang w:val="en-GB"/>
              </w:rPr>
              <w:t xml:space="preserve"> Particles/ml</w:t>
            </w:r>
          </w:p>
        </w:tc>
        <w:tc>
          <w:tcPr>
            <w:tcW w:w="2410" w:type="dxa"/>
            <w:shd w:val="clear" w:color="auto" w:fill="auto"/>
            <w:noWrap/>
            <w:vAlign w:val="center"/>
            <w:hideMark/>
          </w:tcPr>
          <w:p w:rsidR="009C4422" w:rsidRPr="00C55B26" w:rsidRDefault="00F32107" w:rsidP="00885900">
            <w:pPr>
              <w:spacing w:line="240" w:lineRule="auto"/>
              <w:jc w:val="center"/>
              <w:rPr>
                <w:rFonts w:ascii="Calibri" w:eastAsia="Times New Roman" w:hAnsi="Calibri" w:cs="Times New Roman"/>
                <w:lang w:val="en-GB" w:eastAsia="en-GB"/>
              </w:rPr>
            </w:pPr>
            <w:r w:rsidRPr="00C55B26">
              <w:rPr>
                <w:rFonts w:ascii="Calibri" w:hAnsi="Calibri"/>
                <w:lang w:val="en-GB"/>
              </w:rPr>
              <w:t>3.75E+07</w:t>
            </w:r>
          </w:p>
        </w:tc>
        <w:tc>
          <w:tcPr>
            <w:tcW w:w="3402"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val="en-GB" w:eastAsia="en-GB"/>
              </w:rPr>
            </w:pPr>
            <w:r w:rsidRPr="00C55B26">
              <w:rPr>
                <w:rFonts w:ascii="Calibri" w:hAnsi="Calibri"/>
                <w:lang w:val="en-GB"/>
              </w:rPr>
              <w:t>Au et al., 2015</w:t>
            </w:r>
          </w:p>
        </w:tc>
      </w:tr>
      <w:tr w:rsidR="009C4422" w:rsidRPr="00397119" w:rsidTr="006D3FEF">
        <w:trPr>
          <w:trHeight w:val="312"/>
        </w:trPr>
        <w:tc>
          <w:tcPr>
            <w:tcW w:w="1577"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Amphipoda</w:t>
            </w:r>
          </w:p>
        </w:tc>
        <w:tc>
          <w:tcPr>
            <w:tcW w:w="1442"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i/>
                <w:iCs/>
                <w:lang w:val="en-GB" w:eastAsia="en-GB"/>
              </w:rPr>
            </w:pPr>
            <w:r w:rsidRPr="00526D2A">
              <w:rPr>
                <w:rFonts w:ascii="Calibri" w:hAnsi="Calibri"/>
                <w:i/>
                <w:iCs/>
                <w:lang w:val="en-GB"/>
              </w:rPr>
              <w:t>Hyalella azteca</w:t>
            </w:r>
          </w:p>
        </w:tc>
        <w:tc>
          <w:tcPr>
            <w:tcW w:w="1533"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Fresh/brackish</w:t>
            </w:r>
          </w:p>
        </w:tc>
        <w:tc>
          <w:tcPr>
            <w:tcW w:w="97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PP</w:t>
            </w:r>
          </w:p>
        </w:tc>
        <w:tc>
          <w:tcPr>
            <w:tcW w:w="98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Fibre</w:t>
            </w:r>
          </w:p>
        </w:tc>
        <w:tc>
          <w:tcPr>
            <w:tcW w:w="997"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20 x 75</w:t>
            </w:r>
          </w:p>
        </w:tc>
        <w:tc>
          <w:tcPr>
            <w:tcW w:w="143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Growth, reproduction</w:t>
            </w:r>
          </w:p>
        </w:tc>
        <w:tc>
          <w:tcPr>
            <w:tcW w:w="1071"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EC</w:t>
            </w:r>
            <w:r w:rsidRPr="00526D2A">
              <w:rPr>
                <w:rFonts w:ascii="Calibri" w:hAnsi="Calibri"/>
                <w:vertAlign w:val="subscript"/>
                <w:lang w:val="en-GB"/>
              </w:rPr>
              <w:t>50</w:t>
            </w:r>
          </w:p>
        </w:tc>
        <w:tc>
          <w:tcPr>
            <w:tcW w:w="1056"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val="en-GB" w:eastAsia="en-GB"/>
              </w:rPr>
            </w:pPr>
            <w:r w:rsidRPr="00C55B26">
              <w:rPr>
                <w:rFonts w:ascii="Calibri" w:hAnsi="Calibri"/>
                <w:lang w:val="en-GB"/>
              </w:rPr>
              <w:t>10</w:t>
            </w:r>
          </w:p>
        </w:tc>
        <w:tc>
          <w:tcPr>
            <w:tcW w:w="1454"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val="en-GB" w:eastAsia="en-GB"/>
              </w:rPr>
            </w:pPr>
            <w:r w:rsidRPr="00C55B26">
              <w:rPr>
                <w:rFonts w:ascii="Calibri" w:hAnsi="Calibri"/>
                <w:lang w:val="en-GB"/>
              </w:rPr>
              <w:t>10</w:t>
            </w:r>
          </w:p>
        </w:tc>
        <w:tc>
          <w:tcPr>
            <w:tcW w:w="2356"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val="en-GB" w:eastAsia="en-GB"/>
              </w:rPr>
            </w:pPr>
            <w:r w:rsidRPr="00C55B26">
              <w:rPr>
                <w:rFonts w:ascii="Calibri" w:hAnsi="Calibri"/>
                <w:lang w:val="en-GB"/>
              </w:rPr>
              <w:t>45 Particles/ml</w:t>
            </w:r>
          </w:p>
        </w:tc>
        <w:tc>
          <w:tcPr>
            <w:tcW w:w="2410"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val="en-GB" w:eastAsia="en-GB"/>
              </w:rPr>
            </w:pPr>
            <w:r w:rsidRPr="00C55B26">
              <w:rPr>
                <w:rFonts w:ascii="Calibri" w:hAnsi="Calibri"/>
                <w:lang w:val="en-GB"/>
              </w:rPr>
              <w:t>3.34E+05</w:t>
            </w:r>
          </w:p>
        </w:tc>
        <w:tc>
          <w:tcPr>
            <w:tcW w:w="3402"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val="en-GB" w:eastAsia="en-GB"/>
              </w:rPr>
            </w:pPr>
            <w:r w:rsidRPr="00C55B26">
              <w:rPr>
                <w:rFonts w:ascii="Calibri" w:hAnsi="Calibri"/>
                <w:lang w:val="en-GB"/>
              </w:rPr>
              <w:t>Au et al., 2015</w:t>
            </w:r>
          </w:p>
        </w:tc>
      </w:tr>
      <w:tr w:rsidR="009C4422" w:rsidRPr="008C323D" w:rsidTr="006D3FEF">
        <w:trPr>
          <w:trHeight w:val="288"/>
        </w:trPr>
        <w:tc>
          <w:tcPr>
            <w:tcW w:w="1577"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Cladocera</w:t>
            </w:r>
          </w:p>
        </w:tc>
        <w:tc>
          <w:tcPr>
            <w:tcW w:w="1442"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i/>
                <w:iCs/>
                <w:lang w:eastAsia="en-GB"/>
              </w:rPr>
            </w:pPr>
            <w:r w:rsidRPr="00526D2A">
              <w:rPr>
                <w:rFonts w:ascii="Calibri" w:hAnsi="Calibri"/>
                <w:i/>
                <w:iCs/>
                <w:lang w:val="en-GB"/>
              </w:rPr>
              <w:t>Daphnia mag</w:t>
            </w:r>
            <w:r w:rsidRPr="008C323D">
              <w:rPr>
                <w:rFonts w:ascii="Calibri" w:hAnsi="Calibri"/>
                <w:i/>
                <w:iCs/>
              </w:rPr>
              <w:t>na</w:t>
            </w:r>
          </w:p>
        </w:tc>
        <w:tc>
          <w:tcPr>
            <w:tcW w:w="1533"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Fresh</w:t>
            </w:r>
          </w:p>
        </w:tc>
        <w:tc>
          <w:tcPr>
            <w:tcW w:w="97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PE</w:t>
            </w:r>
          </w:p>
        </w:tc>
        <w:tc>
          <w:tcPr>
            <w:tcW w:w="986"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Irregular</w:t>
            </w:r>
          </w:p>
        </w:tc>
        <w:tc>
          <w:tcPr>
            <w:tcW w:w="997"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2.6</w:t>
            </w:r>
          </w:p>
        </w:tc>
        <w:tc>
          <w:tcPr>
            <w:tcW w:w="143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Reproduction</w:t>
            </w:r>
          </w:p>
        </w:tc>
        <w:tc>
          <w:tcPr>
            <w:tcW w:w="1071"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EC</w:t>
            </w:r>
            <w:r w:rsidRPr="008C323D">
              <w:rPr>
                <w:rFonts w:ascii="Calibri" w:hAnsi="Calibri"/>
                <w:vertAlign w:val="subscript"/>
              </w:rPr>
              <w:t>50</w:t>
            </w:r>
          </w:p>
        </w:tc>
        <w:tc>
          <w:tcPr>
            <w:tcW w:w="1056"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eastAsia="en-GB"/>
              </w:rPr>
            </w:pPr>
            <w:r w:rsidRPr="00C55B26">
              <w:rPr>
                <w:rFonts w:ascii="Calibri" w:hAnsi="Calibri"/>
              </w:rPr>
              <w:t>21</w:t>
            </w:r>
          </w:p>
        </w:tc>
        <w:tc>
          <w:tcPr>
            <w:tcW w:w="1454"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eastAsia="en-GB"/>
              </w:rPr>
            </w:pPr>
            <w:r w:rsidRPr="00C55B26">
              <w:rPr>
                <w:rFonts w:ascii="Calibri" w:hAnsi="Calibri"/>
              </w:rPr>
              <w:t>5</w:t>
            </w:r>
          </w:p>
        </w:tc>
        <w:tc>
          <w:tcPr>
            <w:tcW w:w="2356"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eastAsia="en-GB"/>
              </w:rPr>
            </w:pPr>
            <w:r w:rsidRPr="00C55B26">
              <w:rPr>
                <w:rFonts w:ascii="Calibri" w:hAnsi="Calibri"/>
              </w:rPr>
              <w:t>86000 Particles/ml</w:t>
            </w:r>
          </w:p>
        </w:tc>
        <w:tc>
          <w:tcPr>
            <w:tcW w:w="2410"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eastAsia="en-GB"/>
              </w:rPr>
            </w:pPr>
            <w:r w:rsidRPr="00C55B26">
              <w:rPr>
                <w:rFonts w:ascii="Calibri" w:hAnsi="Calibri"/>
              </w:rPr>
              <w:t>7.91E+04</w:t>
            </w:r>
          </w:p>
        </w:tc>
        <w:tc>
          <w:tcPr>
            <w:tcW w:w="3402"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eastAsia="en-GB"/>
              </w:rPr>
            </w:pPr>
            <w:r w:rsidRPr="00C55B26">
              <w:rPr>
                <w:rFonts w:ascii="Calibri" w:hAnsi="Calibri"/>
              </w:rPr>
              <w:t>Ogonowski et al., 2016</w:t>
            </w:r>
          </w:p>
        </w:tc>
      </w:tr>
      <w:tr w:rsidR="009C4422" w:rsidRPr="008C323D" w:rsidTr="006D3FEF">
        <w:trPr>
          <w:trHeight w:val="288"/>
        </w:trPr>
        <w:tc>
          <w:tcPr>
            <w:tcW w:w="1577"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Copepoda</w:t>
            </w:r>
          </w:p>
        </w:tc>
        <w:tc>
          <w:tcPr>
            <w:tcW w:w="1442"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i/>
                <w:iCs/>
                <w:lang w:eastAsia="en-GB"/>
              </w:rPr>
            </w:pPr>
            <w:r w:rsidRPr="008C323D">
              <w:rPr>
                <w:rFonts w:ascii="Calibri" w:hAnsi="Calibri"/>
                <w:i/>
                <w:iCs/>
              </w:rPr>
              <w:t>Calanus helgolandicus</w:t>
            </w:r>
          </w:p>
        </w:tc>
        <w:tc>
          <w:tcPr>
            <w:tcW w:w="1533"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Marine</w:t>
            </w:r>
          </w:p>
        </w:tc>
        <w:tc>
          <w:tcPr>
            <w:tcW w:w="97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PS</w:t>
            </w:r>
          </w:p>
        </w:tc>
        <w:tc>
          <w:tcPr>
            <w:tcW w:w="986"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Sphere</w:t>
            </w:r>
          </w:p>
        </w:tc>
        <w:tc>
          <w:tcPr>
            <w:tcW w:w="997"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20</w:t>
            </w:r>
          </w:p>
        </w:tc>
        <w:tc>
          <w:tcPr>
            <w:tcW w:w="143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Reproduction</w:t>
            </w:r>
          </w:p>
        </w:tc>
        <w:tc>
          <w:tcPr>
            <w:tcW w:w="1071"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LOEC</w:t>
            </w:r>
          </w:p>
        </w:tc>
        <w:tc>
          <w:tcPr>
            <w:tcW w:w="1056" w:type="dxa"/>
            <w:shd w:val="clear" w:color="auto" w:fill="auto"/>
            <w:noWrap/>
            <w:vAlign w:val="center"/>
            <w:hideMark/>
          </w:tcPr>
          <w:p w:rsidR="009C4422" w:rsidRPr="00C55B26" w:rsidRDefault="00F32107" w:rsidP="00885900">
            <w:pPr>
              <w:spacing w:line="240" w:lineRule="auto"/>
              <w:jc w:val="center"/>
              <w:rPr>
                <w:rFonts w:ascii="Calibri" w:eastAsia="Times New Roman" w:hAnsi="Calibri" w:cs="Times New Roman"/>
                <w:lang w:eastAsia="en-GB"/>
              </w:rPr>
            </w:pPr>
            <w:r w:rsidRPr="00C55B26">
              <w:rPr>
                <w:rFonts w:ascii="Calibri" w:hAnsi="Calibri"/>
              </w:rPr>
              <w:t>9</w:t>
            </w:r>
          </w:p>
        </w:tc>
        <w:tc>
          <w:tcPr>
            <w:tcW w:w="1454"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eastAsia="en-GB"/>
              </w:rPr>
            </w:pPr>
            <w:r w:rsidRPr="00C55B26">
              <w:rPr>
                <w:rFonts w:ascii="Calibri" w:hAnsi="Calibri"/>
              </w:rPr>
              <w:t>10</w:t>
            </w:r>
          </w:p>
        </w:tc>
        <w:tc>
          <w:tcPr>
            <w:tcW w:w="2356"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eastAsia="en-GB"/>
              </w:rPr>
            </w:pPr>
            <w:r w:rsidRPr="00C55B26">
              <w:rPr>
                <w:rFonts w:ascii="Calibri" w:hAnsi="Calibri"/>
              </w:rPr>
              <w:t>75 Particles/ml</w:t>
            </w:r>
          </w:p>
        </w:tc>
        <w:tc>
          <w:tcPr>
            <w:tcW w:w="2410"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eastAsia="en-GB"/>
              </w:rPr>
            </w:pPr>
            <w:r w:rsidRPr="00C55B26">
              <w:rPr>
                <w:rFonts w:ascii="Calibri" w:hAnsi="Calibri"/>
              </w:rPr>
              <w:t>3.30E+04</w:t>
            </w:r>
          </w:p>
        </w:tc>
        <w:tc>
          <w:tcPr>
            <w:tcW w:w="3402"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eastAsia="en-GB"/>
              </w:rPr>
            </w:pPr>
            <w:r w:rsidRPr="00C55B26">
              <w:rPr>
                <w:rFonts w:ascii="Calibri" w:hAnsi="Calibri"/>
              </w:rPr>
              <w:t>Cole et al., 2015</w:t>
            </w:r>
          </w:p>
        </w:tc>
      </w:tr>
      <w:tr w:rsidR="009C4422" w:rsidRPr="008C323D" w:rsidTr="006D3FEF">
        <w:trPr>
          <w:trHeight w:val="312"/>
        </w:trPr>
        <w:tc>
          <w:tcPr>
            <w:tcW w:w="1577"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Copepoda</w:t>
            </w:r>
          </w:p>
        </w:tc>
        <w:tc>
          <w:tcPr>
            <w:tcW w:w="1442"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i/>
                <w:iCs/>
                <w:lang w:eastAsia="en-GB"/>
              </w:rPr>
            </w:pPr>
            <w:r w:rsidRPr="008C323D">
              <w:rPr>
                <w:rFonts w:ascii="Calibri" w:hAnsi="Calibri"/>
                <w:i/>
                <w:iCs/>
              </w:rPr>
              <w:t>Tigriopus japonicus</w:t>
            </w:r>
          </w:p>
        </w:tc>
        <w:tc>
          <w:tcPr>
            <w:tcW w:w="1533"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Brackish</w:t>
            </w:r>
          </w:p>
        </w:tc>
        <w:tc>
          <w:tcPr>
            <w:tcW w:w="97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PS</w:t>
            </w:r>
          </w:p>
        </w:tc>
        <w:tc>
          <w:tcPr>
            <w:tcW w:w="986"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Sphere</w:t>
            </w:r>
          </w:p>
        </w:tc>
        <w:tc>
          <w:tcPr>
            <w:tcW w:w="997"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0.5</w:t>
            </w:r>
          </w:p>
        </w:tc>
        <w:tc>
          <w:tcPr>
            <w:tcW w:w="143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Survival</w:t>
            </w:r>
          </w:p>
        </w:tc>
        <w:tc>
          <w:tcPr>
            <w:tcW w:w="1071"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LC</w:t>
            </w:r>
            <w:r w:rsidRPr="008C323D">
              <w:rPr>
                <w:rFonts w:ascii="Calibri" w:hAnsi="Calibri"/>
                <w:vertAlign w:val="subscript"/>
              </w:rPr>
              <w:t>50</w:t>
            </w:r>
          </w:p>
        </w:tc>
        <w:tc>
          <w:tcPr>
            <w:tcW w:w="1056"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eastAsia="en-GB"/>
              </w:rPr>
            </w:pPr>
            <w:r w:rsidRPr="00C55B26">
              <w:rPr>
                <w:rFonts w:ascii="Calibri" w:hAnsi="Calibri"/>
              </w:rPr>
              <w:t>14</w:t>
            </w:r>
          </w:p>
        </w:tc>
        <w:tc>
          <w:tcPr>
            <w:tcW w:w="1454"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eastAsia="en-GB"/>
              </w:rPr>
            </w:pPr>
            <w:r w:rsidRPr="00C55B26">
              <w:rPr>
                <w:rFonts w:ascii="Calibri" w:hAnsi="Calibri"/>
              </w:rPr>
              <w:t>20</w:t>
            </w:r>
          </w:p>
        </w:tc>
        <w:tc>
          <w:tcPr>
            <w:tcW w:w="2356"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eastAsia="en-GB"/>
              </w:rPr>
            </w:pPr>
            <w:r w:rsidRPr="00C55B26">
              <w:rPr>
                <w:rFonts w:ascii="Calibri" w:hAnsi="Calibri"/>
              </w:rPr>
              <w:t>23.5 mg/L</w:t>
            </w:r>
          </w:p>
        </w:tc>
        <w:tc>
          <w:tcPr>
            <w:tcW w:w="2410"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eastAsia="en-GB"/>
              </w:rPr>
            </w:pPr>
            <w:r w:rsidRPr="00C55B26">
              <w:rPr>
                <w:rFonts w:ascii="Calibri" w:hAnsi="Calibri"/>
              </w:rPr>
              <w:t>1.18E+06</w:t>
            </w:r>
          </w:p>
        </w:tc>
        <w:tc>
          <w:tcPr>
            <w:tcW w:w="3402"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eastAsia="en-GB"/>
              </w:rPr>
            </w:pPr>
            <w:r w:rsidRPr="00C55B26">
              <w:rPr>
                <w:rFonts w:ascii="Calibri" w:hAnsi="Calibri"/>
              </w:rPr>
              <w:t>Lee et al., 2013</w:t>
            </w:r>
          </w:p>
        </w:tc>
      </w:tr>
      <w:tr w:rsidR="009C4422" w:rsidRPr="008C323D" w:rsidTr="006D3FEF">
        <w:trPr>
          <w:trHeight w:val="312"/>
        </w:trPr>
        <w:tc>
          <w:tcPr>
            <w:tcW w:w="1577"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Copepoda</w:t>
            </w:r>
          </w:p>
        </w:tc>
        <w:tc>
          <w:tcPr>
            <w:tcW w:w="1442"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i/>
                <w:iCs/>
                <w:lang w:eastAsia="en-GB"/>
              </w:rPr>
            </w:pPr>
            <w:r w:rsidRPr="008C323D">
              <w:rPr>
                <w:rFonts w:ascii="Calibri" w:hAnsi="Calibri"/>
                <w:i/>
                <w:iCs/>
              </w:rPr>
              <w:t>Tigriopus japonicus</w:t>
            </w:r>
          </w:p>
        </w:tc>
        <w:tc>
          <w:tcPr>
            <w:tcW w:w="1533"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Brackish</w:t>
            </w:r>
          </w:p>
        </w:tc>
        <w:tc>
          <w:tcPr>
            <w:tcW w:w="97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PS</w:t>
            </w:r>
          </w:p>
        </w:tc>
        <w:tc>
          <w:tcPr>
            <w:tcW w:w="986"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Sphere</w:t>
            </w:r>
          </w:p>
        </w:tc>
        <w:tc>
          <w:tcPr>
            <w:tcW w:w="997"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0.5</w:t>
            </w:r>
          </w:p>
        </w:tc>
        <w:tc>
          <w:tcPr>
            <w:tcW w:w="143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Reproduction</w:t>
            </w:r>
          </w:p>
        </w:tc>
        <w:tc>
          <w:tcPr>
            <w:tcW w:w="1071"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EC</w:t>
            </w:r>
            <w:r w:rsidRPr="008C323D">
              <w:rPr>
                <w:rFonts w:ascii="Calibri" w:hAnsi="Calibri"/>
                <w:vertAlign w:val="subscript"/>
              </w:rPr>
              <w:t>50</w:t>
            </w:r>
          </w:p>
        </w:tc>
        <w:tc>
          <w:tcPr>
            <w:tcW w:w="1056"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eastAsia="en-GB"/>
              </w:rPr>
            </w:pPr>
            <w:r w:rsidRPr="00C55B26">
              <w:rPr>
                <w:rFonts w:ascii="Calibri" w:hAnsi="Calibri"/>
              </w:rPr>
              <w:t>14</w:t>
            </w:r>
          </w:p>
        </w:tc>
        <w:tc>
          <w:tcPr>
            <w:tcW w:w="1454"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eastAsia="en-GB"/>
              </w:rPr>
            </w:pPr>
            <w:r w:rsidRPr="00C55B26">
              <w:rPr>
                <w:rFonts w:ascii="Calibri" w:hAnsi="Calibri"/>
              </w:rPr>
              <w:t>10</w:t>
            </w:r>
          </w:p>
        </w:tc>
        <w:tc>
          <w:tcPr>
            <w:tcW w:w="2356"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eastAsia="en-GB"/>
              </w:rPr>
            </w:pPr>
            <w:r w:rsidRPr="00C55B26">
              <w:rPr>
                <w:rFonts w:ascii="Calibri" w:hAnsi="Calibri"/>
              </w:rPr>
              <w:t>0.07 mg/L</w:t>
            </w:r>
          </w:p>
        </w:tc>
        <w:tc>
          <w:tcPr>
            <w:tcW w:w="2410"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eastAsia="en-GB"/>
              </w:rPr>
            </w:pPr>
            <w:r w:rsidRPr="00C55B26">
              <w:rPr>
                <w:rFonts w:ascii="Calibri" w:hAnsi="Calibri"/>
              </w:rPr>
              <w:t>7.00E+03</w:t>
            </w:r>
          </w:p>
        </w:tc>
        <w:tc>
          <w:tcPr>
            <w:tcW w:w="3402"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eastAsia="en-GB"/>
              </w:rPr>
            </w:pPr>
            <w:r w:rsidRPr="00C55B26">
              <w:rPr>
                <w:rFonts w:ascii="Calibri" w:hAnsi="Calibri"/>
              </w:rPr>
              <w:t>Lee et al., 2013</w:t>
            </w:r>
          </w:p>
        </w:tc>
      </w:tr>
      <w:tr w:rsidR="009C4422" w:rsidRPr="008C323D" w:rsidTr="006D3FEF">
        <w:trPr>
          <w:trHeight w:val="288"/>
        </w:trPr>
        <w:tc>
          <w:tcPr>
            <w:tcW w:w="1577"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Copepoda</w:t>
            </w:r>
          </w:p>
        </w:tc>
        <w:tc>
          <w:tcPr>
            <w:tcW w:w="1442"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i/>
                <w:iCs/>
                <w:lang w:eastAsia="en-GB"/>
              </w:rPr>
            </w:pPr>
            <w:r w:rsidRPr="008C323D">
              <w:rPr>
                <w:rFonts w:ascii="Calibri" w:hAnsi="Calibri"/>
                <w:i/>
                <w:iCs/>
              </w:rPr>
              <w:t>Tigriopus japonicus</w:t>
            </w:r>
          </w:p>
        </w:tc>
        <w:tc>
          <w:tcPr>
            <w:tcW w:w="1533"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Brackish</w:t>
            </w:r>
          </w:p>
        </w:tc>
        <w:tc>
          <w:tcPr>
            <w:tcW w:w="97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PS</w:t>
            </w:r>
          </w:p>
        </w:tc>
        <w:tc>
          <w:tcPr>
            <w:tcW w:w="986"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Sphere</w:t>
            </w:r>
          </w:p>
        </w:tc>
        <w:tc>
          <w:tcPr>
            <w:tcW w:w="997"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6</w:t>
            </w:r>
          </w:p>
        </w:tc>
        <w:tc>
          <w:tcPr>
            <w:tcW w:w="143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Reproduction</w:t>
            </w:r>
          </w:p>
        </w:tc>
        <w:tc>
          <w:tcPr>
            <w:tcW w:w="1071"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EC</w:t>
            </w:r>
            <w:r w:rsidRPr="008C323D">
              <w:rPr>
                <w:rFonts w:ascii="Calibri" w:hAnsi="Calibri"/>
                <w:vertAlign w:val="subscript"/>
              </w:rPr>
              <w:t>50</w:t>
            </w:r>
          </w:p>
        </w:tc>
        <w:tc>
          <w:tcPr>
            <w:tcW w:w="1056"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eastAsia="en-GB"/>
              </w:rPr>
            </w:pPr>
            <w:r w:rsidRPr="00C55B26">
              <w:rPr>
                <w:rFonts w:ascii="Calibri" w:hAnsi="Calibri"/>
              </w:rPr>
              <w:t>14</w:t>
            </w:r>
          </w:p>
        </w:tc>
        <w:tc>
          <w:tcPr>
            <w:tcW w:w="1454"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eastAsia="en-GB"/>
              </w:rPr>
            </w:pPr>
            <w:r w:rsidRPr="00C55B26">
              <w:rPr>
                <w:rFonts w:ascii="Calibri" w:hAnsi="Calibri"/>
              </w:rPr>
              <w:t>10</w:t>
            </w:r>
          </w:p>
        </w:tc>
        <w:tc>
          <w:tcPr>
            <w:tcW w:w="2356"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eastAsia="en-GB"/>
              </w:rPr>
            </w:pPr>
            <w:r w:rsidRPr="00C55B26">
              <w:rPr>
                <w:rFonts w:ascii="Calibri" w:hAnsi="Calibri"/>
              </w:rPr>
              <w:t>0.04 mg/L</w:t>
            </w:r>
          </w:p>
        </w:tc>
        <w:tc>
          <w:tcPr>
            <w:tcW w:w="2410"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eastAsia="en-GB"/>
              </w:rPr>
            </w:pPr>
            <w:r w:rsidRPr="00C55B26">
              <w:rPr>
                <w:rFonts w:ascii="Calibri" w:hAnsi="Calibri"/>
              </w:rPr>
              <w:t>4.00E+03</w:t>
            </w:r>
          </w:p>
        </w:tc>
        <w:tc>
          <w:tcPr>
            <w:tcW w:w="3402"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eastAsia="en-GB"/>
              </w:rPr>
            </w:pPr>
            <w:r w:rsidRPr="00C55B26">
              <w:rPr>
                <w:rFonts w:ascii="Calibri" w:hAnsi="Calibri"/>
              </w:rPr>
              <w:t>Lee et al., 2013</w:t>
            </w:r>
          </w:p>
        </w:tc>
      </w:tr>
      <w:tr w:rsidR="009C4422" w:rsidRPr="008C323D" w:rsidTr="006D3FEF">
        <w:trPr>
          <w:trHeight w:val="288"/>
        </w:trPr>
        <w:tc>
          <w:tcPr>
            <w:tcW w:w="1577"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Copepoda</w:t>
            </w:r>
          </w:p>
        </w:tc>
        <w:tc>
          <w:tcPr>
            <w:tcW w:w="1442"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i/>
                <w:iCs/>
                <w:lang w:eastAsia="en-GB"/>
              </w:rPr>
            </w:pPr>
            <w:r w:rsidRPr="008C323D">
              <w:rPr>
                <w:rFonts w:ascii="Calibri" w:hAnsi="Calibri"/>
                <w:i/>
                <w:iCs/>
              </w:rPr>
              <w:t>Tigriopus japonicus</w:t>
            </w:r>
          </w:p>
        </w:tc>
        <w:tc>
          <w:tcPr>
            <w:tcW w:w="1533"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Brackish</w:t>
            </w:r>
          </w:p>
        </w:tc>
        <w:tc>
          <w:tcPr>
            <w:tcW w:w="97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PS</w:t>
            </w:r>
          </w:p>
        </w:tc>
        <w:tc>
          <w:tcPr>
            <w:tcW w:w="986"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Sphere</w:t>
            </w:r>
          </w:p>
        </w:tc>
        <w:tc>
          <w:tcPr>
            <w:tcW w:w="997"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0.5</w:t>
            </w:r>
          </w:p>
        </w:tc>
        <w:tc>
          <w:tcPr>
            <w:tcW w:w="143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Reproduction</w:t>
            </w:r>
          </w:p>
        </w:tc>
        <w:tc>
          <w:tcPr>
            <w:tcW w:w="1071"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EC</w:t>
            </w:r>
            <w:r w:rsidRPr="008C323D">
              <w:rPr>
                <w:rFonts w:ascii="Calibri" w:hAnsi="Calibri"/>
                <w:vertAlign w:val="subscript"/>
              </w:rPr>
              <w:t>50</w:t>
            </w:r>
          </w:p>
        </w:tc>
        <w:tc>
          <w:tcPr>
            <w:tcW w:w="1056"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eastAsia="en-GB"/>
              </w:rPr>
            </w:pPr>
            <w:r w:rsidRPr="00C55B26">
              <w:rPr>
                <w:rFonts w:ascii="Calibri" w:hAnsi="Calibri"/>
              </w:rPr>
              <w:t>14</w:t>
            </w:r>
          </w:p>
        </w:tc>
        <w:tc>
          <w:tcPr>
            <w:tcW w:w="1454"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eastAsia="en-GB"/>
              </w:rPr>
            </w:pPr>
            <w:r w:rsidRPr="00C55B26">
              <w:rPr>
                <w:rFonts w:ascii="Calibri" w:hAnsi="Calibri"/>
              </w:rPr>
              <w:t>10</w:t>
            </w:r>
          </w:p>
        </w:tc>
        <w:tc>
          <w:tcPr>
            <w:tcW w:w="2356"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eastAsia="en-GB"/>
              </w:rPr>
            </w:pPr>
            <w:r w:rsidRPr="00C55B26">
              <w:rPr>
                <w:rFonts w:ascii="Calibri" w:hAnsi="Calibri"/>
              </w:rPr>
              <w:t>0.1 mg/L</w:t>
            </w:r>
          </w:p>
        </w:tc>
        <w:tc>
          <w:tcPr>
            <w:tcW w:w="2410"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eastAsia="en-GB"/>
              </w:rPr>
            </w:pPr>
            <w:r w:rsidRPr="00C55B26">
              <w:rPr>
                <w:rFonts w:ascii="Calibri" w:hAnsi="Calibri"/>
              </w:rPr>
              <w:t>1.00E+04</w:t>
            </w:r>
          </w:p>
        </w:tc>
        <w:tc>
          <w:tcPr>
            <w:tcW w:w="3402"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eastAsia="en-GB"/>
              </w:rPr>
            </w:pPr>
            <w:r w:rsidRPr="00C55B26">
              <w:rPr>
                <w:rFonts w:ascii="Calibri" w:hAnsi="Calibri"/>
              </w:rPr>
              <w:t>Lee et al., 2013</w:t>
            </w:r>
          </w:p>
        </w:tc>
      </w:tr>
      <w:tr w:rsidR="009C4422" w:rsidRPr="008C323D" w:rsidTr="006D3FEF">
        <w:trPr>
          <w:trHeight w:val="288"/>
        </w:trPr>
        <w:tc>
          <w:tcPr>
            <w:tcW w:w="1577"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Echinodermata</w:t>
            </w:r>
          </w:p>
        </w:tc>
        <w:tc>
          <w:tcPr>
            <w:tcW w:w="1442"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i/>
                <w:iCs/>
                <w:lang w:eastAsia="en-GB"/>
              </w:rPr>
            </w:pPr>
            <w:r w:rsidRPr="008C323D">
              <w:rPr>
                <w:rFonts w:ascii="Calibri" w:hAnsi="Calibri"/>
                <w:i/>
                <w:iCs/>
              </w:rPr>
              <w:t>Tripneustes gratilla</w:t>
            </w:r>
          </w:p>
        </w:tc>
        <w:tc>
          <w:tcPr>
            <w:tcW w:w="1533"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Marine</w:t>
            </w:r>
          </w:p>
        </w:tc>
        <w:tc>
          <w:tcPr>
            <w:tcW w:w="97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PE</w:t>
            </w:r>
          </w:p>
        </w:tc>
        <w:tc>
          <w:tcPr>
            <w:tcW w:w="986"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Sphere</w:t>
            </w:r>
          </w:p>
        </w:tc>
        <w:tc>
          <w:tcPr>
            <w:tcW w:w="997"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10 - 45</w:t>
            </w:r>
          </w:p>
        </w:tc>
        <w:tc>
          <w:tcPr>
            <w:tcW w:w="143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Growth</w:t>
            </w:r>
          </w:p>
        </w:tc>
        <w:tc>
          <w:tcPr>
            <w:tcW w:w="1071"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LOEC</w:t>
            </w:r>
          </w:p>
        </w:tc>
        <w:tc>
          <w:tcPr>
            <w:tcW w:w="1056"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eastAsia="en-GB"/>
              </w:rPr>
            </w:pPr>
            <w:r w:rsidRPr="00C55B26">
              <w:rPr>
                <w:rFonts w:ascii="Calibri" w:hAnsi="Calibri"/>
              </w:rPr>
              <w:t>5</w:t>
            </w:r>
          </w:p>
        </w:tc>
        <w:tc>
          <w:tcPr>
            <w:tcW w:w="1454"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eastAsia="en-GB"/>
              </w:rPr>
            </w:pPr>
            <w:r w:rsidRPr="00C55B26">
              <w:rPr>
                <w:rFonts w:ascii="Calibri" w:hAnsi="Calibri"/>
              </w:rPr>
              <w:t>10</w:t>
            </w:r>
          </w:p>
        </w:tc>
        <w:tc>
          <w:tcPr>
            <w:tcW w:w="2356"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eastAsia="en-GB"/>
              </w:rPr>
            </w:pPr>
            <w:r w:rsidRPr="00C55B26">
              <w:rPr>
                <w:rFonts w:ascii="Calibri" w:hAnsi="Calibri"/>
              </w:rPr>
              <w:t>300 Particles/ml</w:t>
            </w:r>
          </w:p>
        </w:tc>
        <w:tc>
          <w:tcPr>
            <w:tcW w:w="2410"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eastAsia="en-GB"/>
              </w:rPr>
            </w:pPr>
            <w:r w:rsidRPr="00C55B26">
              <w:rPr>
                <w:rFonts w:ascii="Calibri" w:hAnsi="Calibri"/>
              </w:rPr>
              <w:t>3.28E+05</w:t>
            </w:r>
          </w:p>
        </w:tc>
        <w:tc>
          <w:tcPr>
            <w:tcW w:w="3402"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eastAsia="en-GB"/>
              </w:rPr>
            </w:pPr>
            <w:r w:rsidRPr="00C55B26">
              <w:rPr>
                <w:rFonts w:ascii="Calibri" w:hAnsi="Calibri"/>
              </w:rPr>
              <w:t>Kaposi et al., 2014</w:t>
            </w:r>
          </w:p>
        </w:tc>
      </w:tr>
      <w:tr w:rsidR="009C4422" w:rsidRPr="008C323D" w:rsidTr="006D3FEF">
        <w:trPr>
          <w:trHeight w:val="288"/>
        </w:trPr>
        <w:tc>
          <w:tcPr>
            <w:tcW w:w="1577"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Rotifera</w:t>
            </w:r>
          </w:p>
        </w:tc>
        <w:tc>
          <w:tcPr>
            <w:tcW w:w="1442"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i/>
                <w:iCs/>
                <w:lang w:eastAsia="en-GB"/>
              </w:rPr>
            </w:pPr>
            <w:r w:rsidRPr="008C323D">
              <w:rPr>
                <w:rFonts w:ascii="Calibri" w:hAnsi="Calibri"/>
                <w:i/>
                <w:iCs/>
              </w:rPr>
              <w:t>Brachionus koreanus</w:t>
            </w:r>
          </w:p>
        </w:tc>
        <w:tc>
          <w:tcPr>
            <w:tcW w:w="1533"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Fresh/brackish</w:t>
            </w:r>
          </w:p>
        </w:tc>
        <w:tc>
          <w:tcPr>
            <w:tcW w:w="97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PS</w:t>
            </w:r>
          </w:p>
        </w:tc>
        <w:tc>
          <w:tcPr>
            <w:tcW w:w="986"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Sphere</w:t>
            </w:r>
          </w:p>
        </w:tc>
        <w:tc>
          <w:tcPr>
            <w:tcW w:w="997"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0.5</w:t>
            </w:r>
          </w:p>
        </w:tc>
        <w:tc>
          <w:tcPr>
            <w:tcW w:w="143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Growth</w:t>
            </w:r>
          </w:p>
        </w:tc>
        <w:tc>
          <w:tcPr>
            <w:tcW w:w="1071"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LOEC</w:t>
            </w:r>
          </w:p>
        </w:tc>
        <w:tc>
          <w:tcPr>
            <w:tcW w:w="1056"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eastAsia="en-GB"/>
              </w:rPr>
            </w:pPr>
            <w:r w:rsidRPr="00C55B26">
              <w:rPr>
                <w:rFonts w:ascii="Calibri" w:hAnsi="Calibri"/>
              </w:rPr>
              <w:t>12</w:t>
            </w:r>
          </w:p>
        </w:tc>
        <w:tc>
          <w:tcPr>
            <w:tcW w:w="1454"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eastAsia="en-GB"/>
              </w:rPr>
            </w:pPr>
            <w:r w:rsidRPr="00C55B26">
              <w:rPr>
                <w:rFonts w:ascii="Calibri" w:hAnsi="Calibri"/>
              </w:rPr>
              <w:t>6.5</w:t>
            </w:r>
          </w:p>
        </w:tc>
        <w:tc>
          <w:tcPr>
            <w:tcW w:w="2356" w:type="dxa"/>
            <w:shd w:val="clear" w:color="auto" w:fill="auto"/>
            <w:noWrap/>
            <w:vAlign w:val="center"/>
            <w:hideMark/>
          </w:tcPr>
          <w:p w:rsidR="009C4422" w:rsidRPr="00C55B26" w:rsidRDefault="00F32107" w:rsidP="00C55B26">
            <w:pPr>
              <w:spacing w:line="240" w:lineRule="auto"/>
              <w:jc w:val="center"/>
              <w:rPr>
                <w:rFonts w:ascii="Calibri" w:eastAsia="Times New Roman" w:hAnsi="Calibri" w:cs="Times New Roman"/>
                <w:lang w:eastAsia="en-GB"/>
              </w:rPr>
            </w:pPr>
            <w:r w:rsidRPr="00C55B26">
              <w:rPr>
                <w:rFonts w:ascii="Calibri" w:hAnsi="Calibri"/>
              </w:rPr>
              <w:t>0.1 mg</w:t>
            </w:r>
            <w:r w:rsidR="009C4422" w:rsidRPr="00C55B26">
              <w:rPr>
                <w:rFonts w:ascii="Calibri" w:hAnsi="Calibri"/>
              </w:rPr>
              <w:t>/</w:t>
            </w:r>
            <w:r w:rsidR="00C55B26" w:rsidRPr="00C55B26">
              <w:rPr>
                <w:rFonts w:ascii="Calibri" w:hAnsi="Calibri"/>
              </w:rPr>
              <w:t>L</w:t>
            </w:r>
          </w:p>
        </w:tc>
        <w:tc>
          <w:tcPr>
            <w:tcW w:w="2410" w:type="dxa"/>
            <w:shd w:val="clear" w:color="auto" w:fill="auto"/>
            <w:noWrap/>
            <w:vAlign w:val="center"/>
            <w:hideMark/>
          </w:tcPr>
          <w:p w:rsidR="009C4422" w:rsidRPr="00C55B26" w:rsidRDefault="00F32107" w:rsidP="00885900">
            <w:pPr>
              <w:spacing w:line="240" w:lineRule="auto"/>
              <w:jc w:val="center"/>
              <w:rPr>
                <w:rFonts w:ascii="Calibri" w:eastAsia="Times New Roman" w:hAnsi="Calibri" w:cs="Times New Roman"/>
                <w:lang w:eastAsia="en-GB"/>
              </w:rPr>
            </w:pPr>
            <w:r w:rsidRPr="00C55B26">
              <w:rPr>
                <w:rFonts w:ascii="Calibri" w:hAnsi="Calibri"/>
              </w:rPr>
              <w:t>1.54E+04</w:t>
            </w:r>
          </w:p>
        </w:tc>
        <w:tc>
          <w:tcPr>
            <w:tcW w:w="3402"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eastAsia="en-GB"/>
              </w:rPr>
            </w:pPr>
            <w:r w:rsidRPr="00C55B26">
              <w:rPr>
                <w:rFonts w:ascii="Calibri" w:hAnsi="Calibri"/>
              </w:rPr>
              <w:t>Jeong et al., 2016</w:t>
            </w:r>
          </w:p>
        </w:tc>
      </w:tr>
      <w:tr w:rsidR="009C4422" w:rsidRPr="008C323D" w:rsidTr="006D3FEF">
        <w:trPr>
          <w:trHeight w:val="288"/>
        </w:trPr>
        <w:tc>
          <w:tcPr>
            <w:tcW w:w="1577"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Rotifera</w:t>
            </w:r>
          </w:p>
        </w:tc>
        <w:tc>
          <w:tcPr>
            <w:tcW w:w="1442"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i/>
                <w:iCs/>
                <w:lang w:eastAsia="en-GB"/>
              </w:rPr>
            </w:pPr>
            <w:r w:rsidRPr="008C323D">
              <w:rPr>
                <w:rFonts w:ascii="Calibri" w:hAnsi="Calibri"/>
                <w:i/>
                <w:iCs/>
              </w:rPr>
              <w:t>Brachionus koreanus</w:t>
            </w:r>
          </w:p>
        </w:tc>
        <w:tc>
          <w:tcPr>
            <w:tcW w:w="1533"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Fresh/brackish</w:t>
            </w:r>
          </w:p>
        </w:tc>
        <w:tc>
          <w:tcPr>
            <w:tcW w:w="97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PS</w:t>
            </w:r>
          </w:p>
        </w:tc>
        <w:tc>
          <w:tcPr>
            <w:tcW w:w="986"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Sphere</w:t>
            </w:r>
          </w:p>
        </w:tc>
        <w:tc>
          <w:tcPr>
            <w:tcW w:w="997"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0.5</w:t>
            </w:r>
          </w:p>
        </w:tc>
        <w:tc>
          <w:tcPr>
            <w:tcW w:w="143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Survival</w:t>
            </w:r>
          </w:p>
        </w:tc>
        <w:tc>
          <w:tcPr>
            <w:tcW w:w="1071"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LOEC</w:t>
            </w:r>
          </w:p>
        </w:tc>
        <w:tc>
          <w:tcPr>
            <w:tcW w:w="1056"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eastAsia="en-GB"/>
              </w:rPr>
            </w:pPr>
            <w:r w:rsidRPr="00C55B26">
              <w:rPr>
                <w:rFonts w:ascii="Calibri" w:hAnsi="Calibri"/>
              </w:rPr>
              <w:t>12</w:t>
            </w:r>
          </w:p>
        </w:tc>
        <w:tc>
          <w:tcPr>
            <w:tcW w:w="1454"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eastAsia="en-GB"/>
              </w:rPr>
            </w:pPr>
            <w:r w:rsidRPr="00C55B26">
              <w:rPr>
                <w:rFonts w:ascii="Calibri" w:hAnsi="Calibri"/>
              </w:rPr>
              <w:t>6.5</w:t>
            </w:r>
          </w:p>
        </w:tc>
        <w:tc>
          <w:tcPr>
            <w:tcW w:w="2356" w:type="dxa"/>
            <w:shd w:val="clear" w:color="auto" w:fill="auto"/>
            <w:noWrap/>
            <w:vAlign w:val="center"/>
            <w:hideMark/>
          </w:tcPr>
          <w:p w:rsidR="009C4422" w:rsidRPr="00C55B26" w:rsidRDefault="00F32107" w:rsidP="00C55B26">
            <w:pPr>
              <w:spacing w:line="240" w:lineRule="auto"/>
              <w:jc w:val="center"/>
              <w:rPr>
                <w:rFonts w:ascii="Calibri" w:eastAsia="Times New Roman" w:hAnsi="Calibri" w:cs="Times New Roman"/>
                <w:lang w:eastAsia="en-GB"/>
              </w:rPr>
            </w:pPr>
            <w:r w:rsidRPr="00C55B26">
              <w:rPr>
                <w:rFonts w:ascii="Calibri" w:hAnsi="Calibri"/>
              </w:rPr>
              <w:t>20 mg</w:t>
            </w:r>
            <w:r w:rsidR="009C4422" w:rsidRPr="00C55B26">
              <w:rPr>
                <w:rFonts w:ascii="Calibri" w:hAnsi="Calibri"/>
              </w:rPr>
              <w:t>/</w:t>
            </w:r>
            <w:r w:rsidR="00C55B26" w:rsidRPr="00C55B26">
              <w:rPr>
                <w:rFonts w:ascii="Calibri" w:hAnsi="Calibri"/>
              </w:rPr>
              <w:t>L</w:t>
            </w:r>
          </w:p>
        </w:tc>
        <w:tc>
          <w:tcPr>
            <w:tcW w:w="2410" w:type="dxa"/>
            <w:shd w:val="clear" w:color="auto" w:fill="auto"/>
            <w:noWrap/>
            <w:vAlign w:val="center"/>
            <w:hideMark/>
          </w:tcPr>
          <w:p w:rsidR="009C4422" w:rsidRPr="00C55B26" w:rsidRDefault="00F32107" w:rsidP="00885900">
            <w:pPr>
              <w:spacing w:line="240" w:lineRule="auto"/>
              <w:jc w:val="center"/>
              <w:rPr>
                <w:rFonts w:ascii="Calibri" w:eastAsia="Times New Roman" w:hAnsi="Calibri" w:cs="Times New Roman"/>
                <w:lang w:eastAsia="en-GB"/>
              </w:rPr>
            </w:pPr>
            <w:r w:rsidRPr="00C55B26">
              <w:rPr>
                <w:rFonts w:ascii="Calibri" w:hAnsi="Calibri"/>
              </w:rPr>
              <w:t>3.08E+06</w:t>
            </w:r>
          </w:p>
        </w:tc>
        <w:tc>
          <w:tcPr>
            <w:tcW w:w="3402" w:type="dxa"/>
            <w:shd w:val="clear" w:color="auto" w:fill="auto"/>
            <w:noWrap/>
            <w:vAlign w:val="center"/>
            <w:hideMark/>
          </w:tcPr>
          <w:p w:rsidR="009C4422" w:rsidRPr="00C55B26" w:rsidRDefault="009C4422" w:rsidP="00885900">
            <w:pPr>
              <w:spacing w:line="240" w:lineRule="auto"/>
              <w:jc w:val="center"/>
              <w:rPr>
                <w:rFonts w:ascii="Calibri" w:eastAsia="Times New Roman" w:hAnsi="Calibri" w:cs="Times New Roman"/>
                <w:lang w:eastAsia="en-GB"/>
              </w:rPr>
            </w:pPr>
            <w:r w:rsidRPr="00C55B26">
              <w:rPr>
                <w:rFonts w:ascii="Calibri" w:hAnsi="Calibri"/>
              </w:rPr>
              <w:t>Jeong et al., 2016</w:t>
            </w:r>
          </w:p>
        </w:tc>
      </w:tr>
      <w:tr w:rsidR="00F32107" w:rsidRPr="008C323D" w:rsidTr="006D3FEF">
        <w:trPr>
          <w:trHeight w:val="288"/>
        </w:trPr>
        <w:tc>
          <w:tcPr>
            <w:tcW w:w="1577" w:type="dxa"/>
            <w:shd w:val="clear" w:color="auto" w:fill="auto"/>
            <w:noWrap/>
            <w:vAlign w:val="center"/>
            <w:hideMark/>
          </w:tcPr>
          <w:p w:rsidR="00F32107" w:rsidRPr="008C323D" w:rsidRDefault="00F32107" w:rsidP="00F32107">
            <w:pPr>
              <w:spacing w:line="240" w:lineRule="auto"/>
              <w:jc w:val="center"/>
              <w:rPr>
                <w:rFonts w:ascii="Calibri" w:eastAsia="Times New Roman" w:hAnsi="Calibri" w:cs="Times New Roman"/>
                <w:lang w:eastAsia="en-GB"/>
              </w:rPr>
            </w:pPr>
            <w:r w:rsidRPr="008C323D">
              <w:rPr>
                <w:rFonts w:ascii="Calibri" w:hAnsi="Calibri"/>
              </w:rPr>
              <w:t>Rotifera</w:t>
            </w:r>
          </w:p>
        </w:tc>
        <w:tc>
          <w:tcPr>
            <w:tcW w:w="1442" w:type="dxa"/>
            <w:shd w:val="clear" w:color="auto" w:fill="auto"/>
            <w:noWrap/>
            <w:vAlign w:val="center"/>
            <w:hideMark/>
          </w:tcPr>
          <w:p w:rsidR="00F32107" w:rsidRPr="008C323D" w:rsidRDefault="00F32107" w:rsidP="00F32107">
            <w:pPr>
              <w:spacing w:line="240" w:lineRule="auto"/>
              <w:jc w:val="center"/>
              <w:rPr>
                <w:rFonts w:ascii="Calibri" w:eastAsia="Times New Roman" w:hAnsi="Calibri" w:cs="Times New Roman"/>
                <w:i/>
                <w:iCs/>
                <w:lang w:eastAsia="en-GB"/>
              </w:rPr>
            </w:pPr>
            <w:r w:rsidRPr="008C323D">
              <w:rPr>
                <w:rFonts w:ascii="Calibri" w:hAnsi="Calibri"/>
                <w:i/>
                <w:iCs/>
              </w:rPr>
              <w:t>Brachionus koreanus</w:t>
            </w:r>
          </w:p>
        </w:tc>
        <w:tc>
          <w:tcPr>
            <w:tcW w:w="1533" w:type="dxa"/>
            <w:shd w:val="clear" w:color="auto" w:fill="auto"/>
            <w:noWrap/>
            <w:vAlign w:val="center"/>
            <w:hideMark/>
          </w:tcPr>
          <w:p w:rsidR="00F32107" w:rsidRPr="008C323D" w:rsidRDefault="00F32107" w:rsidP="00F32107">
            <w:pPr>
              <w:spacing w:line="240" w:lineRule="auto"/>
              <w:jc w:val="center"/>
              <w:rPr>
                <w:rFonts w:ascii="Calibri" w:eastAsia="Times New Roman" w:hAnsi="Calibri" w:cs="Times New Roman"/>
                <w:lang w:eastAsia="en-GB"/>
              </w:rPr>
            </w:pPr>
            <w:r w:rsidRPr="008C323D">
              <w:rPr>
                <w:rFonts w:ascii="Calibri" w:hAnsi="Calibri"/>
              </w:rPr>
              <w:t>Fresh/brackish</w:t>
            </w:r>
          </w:p>
        </w:tc>
        <w:tc>
          <w:tcPr>
            <w:tcW w:w="978" w:type="dxa"/>
            <w:shd w:val="clear" w:color="auto" w:fill="auto"/>
            <w:noWrap/>
            <w:vAlign w:val="center"/>
            <w:hideMark/>
          </w:tcPr>
          <w:p w:rsidR="00F32107" w:rsidRPr="008C323D" w:rsidRDefault="00F32107" w:rsidP="00F32107">
            <w:pPr>
              <w:spacing w:line="240" w:lineRule="auto"/>
              <w:jc w:val="center"/>
              <w:rPr>
                <w:rFonts w:ascii="Calibri" w:eastAsia="Times New Roman" w:hAnsi="Calibri" w:cs="Times New Roman"/>
                <w:lang w:eastAsia="en-GB"/>
              </w:rPr>
            </w:pPr>
            <w:r w:rsidRPr="008C323D">
              <w:rPr>
                <w:rFonts w:ascii="Calibri" w:hAnsi="Calibri"/>
              </w:rPr>
              <w:t>PS</w:t>
            </w:r>
          </w:p>
        </w:tc>
        <w:tc>
          <w:tcPr>
            <w:tcW w:w="986" w:type="dxa"/>
            <w:shd w:val="clear" w:color="auto" w:fill="auto"/>
            <w:noWrap/>
            <w:vAlign w:val="center"/>
            <w:hideMark/>
          </w:tcPr>
          <w:p w:rsidR="00F32107" w:rsidRPr="008C323D" w:rsidRDefault="00F32107" w:rsidP="00F32107">
            <w:pPr>
              <w:spacing w:line="240" w:lineRule="auto"/>
              <w:jc w:val="center"/>
              <w:rPr>
                <w:rFonts w:ascii="Calibri" w:eastAsia="Times New Roman" w:hAnsi="Calibri" w:cs="Times New Roman"/>
                <w:lang w:eastAsia="en-GB"/>
              </w:rPr>
            </w:pPr>
            <w:r w:rsidRPr="008C323D">
              <w:rPr>
                <w:rFonts w:ascii="Calibri" w:hAnsi="Calibri"/>
              </w:rPr>
              <w:t>Sphere</w:t>
            </w:r>
          </w:p>
        </w:tc>
        <w:tc>
          <w:tcPr>
            <w:tcW w:w="997" w:type="dxa"/>
            <w:shd w:val="clear" w:color="auto" w:fill="auto"/>
            <w:noWrap/>
            <w:vAlign w:val="center"/>
            <w:hideMark/>
          </w:tcPr>
          <w:p w:rsidR="00F32107" w:rsidRPr="008C323D" w:rsidRDefault="00F32107" w:rsidP="00F32107">
            <w:pPr>
              <w:spacing w:line="240" w:lineRule="auto"/>
              <w:jc w:val="center"/>
              <w:rPr>
                <w:rFonts w:ascii="Calibri" w:eastAsia="Times New Roman" w:hAnsi="Calibri" w:cs="Times New Roman"/>
                <w:lang w:eastAsia="en-GB"/>
              </w:rPr>
            </w:pPr>
            <w:r w:rsidRPr="008C323D">
              <w:rPr>
                <w:rFonts w:ascii="Calibri" w:hAnsi="Calibri"/>
              </w:rPr>
              <w:t>6</w:t>
            </w:r>
          </w:p>
        </w:tc>
        <w:tc>
          <w:tcPr>
            <w:tcW w:w="1434" w:type="dxa"/>
            <w:shd w:val="clear" w:color="auto" w:fill="auto"/>
            <w:noWrap/>
            <w:vAlign w:val="center"/>
            <w:hideMark/>
          </w:tcPr>
          <w:p w:rsidR="00F32107" w:rsidRPr="008C323D" w:rsidRDefault="00F32107" w:rsidP="00F32107">
            <w:pPr>
              <w:spacing w:line="240" w:lineRule="auto"/>
              <w:jc w:val="center"/>
              <w:rPr>
                <w:rFonts w:ascii="Calibri" w:eastAsia="Times New Roman" w:hAnsi="Calibri" w:cs="Times New Roman"/>
                <w:lang w:eastAsia="en-GB"/>
              </w:rPr>
            </w:pPr>
            <w:r w:rsidRPr="008C323D">
              <w:rPr>
                <w:rFonts w:ascii="Calibri" w:hAnsi="Calibri"/>
              </w:rPr>
              <w:t>Growth</w:t>
            </w:r>
          </w:p>
        </w:tc>
        <w:tc>
          <w:tcPr>
            <w:tcW w:w="1071" w:type="dxa"/>
            <w:shd w:val="clear" w:color="auto" w:fill="auto"/>
            <w:noWrap/>
            <w:vAlign w:val="center"/>
            <w:hideMark/>
          </w:tcPr>
          <w:p w:rsidR="00F32107" w:rsidRPr="008C323D" w:rsidRDefault="00F32107" w:rsidP="00F32107">
            <w:pPr>
              <w:spacing w:line="240" w:lineRule="auto"/>
              <w:jc w:val="center"/>
              <w:rPr>
                <w:rFonts w:ascii="Calibri" w:eastAsia="Times New Roman" w:hAnsi="Calibri" w:cs="Times New Roman"/>
                <w:lang w:eastAsia="en-GB"/>
              </w:rPr>
            </w:pPr>
            <w:r w:rsidRPr="008C323D">
              <w:rPr>
                <w:rFonts w:ascii="Calibri" w:hAnsi="Calibri"/>
              </w:rPr>
              <w:t>LOEC</w:t>
            </w:r>
          </w:p>
        </w:tc>
        <w:tc>
          <w:tcPr>
            <w:tcW w:w="1056" w:type="dxa"/>
            <w:shd w:val="clear" w:color="auto" w:fill="auto"/>
            <w:noWrap/>
            <w:vAlign w:val="center"/>
            <w:hideMark/>
          </w:tcPr>
          <w:p w:rsidR="00F32107" w:rsidRPr="00C55B26" w:rsidRDefault="00F32107" w:rsidP="00F32107">
            <w:pPr>
              <w:spacing w:line="240" w:lineRule="auto"/>
              <w:jc w:val="center"/>
              <w:rPr>
                <w:rFonts w:ascii="Calibri" w:eastAsia="Times New Roman" w:hAnsi="Calibri" w:cs="Times New Roman"/>
                <w:lang w:eastAsia="en-GB"/>
              </w:rPr>
            </w:pPr>
            <w:r w:rsidRPr="00C55B26">
              <w:rPr>
                <w:rFonts w:ascii="Calibri" w:hAnsi="Calibri"/>
              </w:rPr>
              <w:t>12</w:t>
            </w:r>
          </w:p>
        </w:tc>
        <w:tc>
          <w:tcPr>
            <w:tcW w:w="1454" w:type="dxa"/>
            <w:shd w:val="clear" w:color="auto" w:fill="auto"/>
            <w:noWrap/>
            <w:vAlign w:val="center"/>
            <w:hideMark/>
          </w:tcPr>
          <w:p w:rsidR="00F32107" w:rsidRPr="00C55B26" w:rsidRDefault="00F32107" w:rsidP="00F32107">
            <w:pPr>
              <w:spacing w:line="240" w:lineRule="auto"/>
              <w:jc w:val="center"/>
              <w:rPr>
                <w:rFonts w:ascii="Calibri" w:eastAsia="Times New Roman" w:hAnsi="Calibri" w:cs="Times New Roman"/>
                <w:lang w:eastAsia="en-GB"/>
              </w:rPr>
            </w:pPr>
            <w:r w:rsidRPr="00C55B26">
              <w:rPr>
                <w:rFonts w:ascii="Calibri" w:hAnsi="Calibri"/>
              </w:rPr>
              <w:t>6.5</w:t>
            </w:r>
          </w:p>
        </w:tc>
        <w:tc>
          <w:tcPr>
            <w:tcW w:w="2356" w:type="dxa"/>
            <w:shd w:val="clear" w:color="auto" w:fill="auto"/>
            <w:noWrap/>
            <w:vAlign w:val="center"/>
            <w:hideMark/>
          </w:tcPr>
          <w:p w:rsidR="00F32107" w:rsidRPr="00C55B26" w:rsidRDefault="00F32107" w:rsidP="00C55B26">
            <w:pPr>
              <w:spacing w:line="240" w:lineRule="auto"/>
              <w:jc w:val="center"/>
              <w:rPr>
                <w:rFonts w:ascii="Calibri" w:eastAsia="Times New Roman" w:hAnsi="Calibri" w:cs="Times New Roman"/>
                <w:lang w:eastAsia="en-GB"/>
              </w:rPr>
            </w:pPr>
            <w:r w:rsidRPr="00C55B26">
              <w:rPr>
                <w:rFonts w:ascii="Calibri" w:hAnsi="Calibri"/>
              </w:rPr>
              <w:t>0.1 mg/</w:t>
            </w:r>
            <w:r w:rsidR="00C55B26" w:rsidRPr="00C55B26">
              <w:rPr>
                <w:rFonts w:ascii="Calibri" w:hAnsi="Calibri"/>
              </w:rPr>
              <w:t>L</w:t>
            </w:r>
          </w:p>
        </w:tc>
        <w:tc>
          <w:tcPr>
            <w:tcW w:w="2410" w:type="dxa"/>
            <w:shd w:val="clear" w:color="auto" w:fill="auto"/>
            <w:noWrap/>
            <w:vAlign w:val="center"/>
            <w:hideMark/>
          </w:tcPr>
          <w:p w:rsidR="00F32107" w:rsidRPr="00C55B26" w:rsidRDefault="00F32107" w:rsidP="00F32107">
            <w:pPr>
              <w:spacing w:line="240" w:lineRule="auto"/>
              <w:jc w:val="center"/>
              <w:rPr>
                <w:rFonts w:ascii="Calibri" w:eastAsia="Times New Roman" w:hAnsi="Calibri" w:cs="Times New Roman"/>
                <w:lang w:eastAsia="en-GB"/>
              </w:rPr>
            </w:pPr>
            <w:r w:rsidRPr="00C55B26">
              <w:rPr>
                <w:rFonts w:ascii="Calibri" w:hAnsi="Calibri"/>
              </w:rPr>
              <w:t>1.54E+04</w:t>
            </w:r>
          </w:p>
        </w:tc>
        <w:tc>
          <w:tcPr>
            <w:tcW w:w="3402" w:type="dxa"/>
            <w:shd w:val="clear" w:color="auto" w:fill="auto"/>
            <w:noWrap/>
            <w:vAlign w:val="center"/>
            <w:hideMark/>
          </w:tcPr>
          <w:p w:rsidR="00F32107" w:rsidRPr="00C55B26" w:rsidRDefault="00F32107" w:rsidP="00F32107">
            <w:pPr>
              <w:spacing w:line="240" w:lineRule="auto"/>
              <w:jc w:val="center"/>
              <w:rPr>
                <w:rFonts w:ascii="Calibri" w:eastAsia="Times New Roman" w:hAnsi="Calibri" w:cs="Times New Roman"/>
                <w:lang w:eastAsia="en-GB"/>
              </w:rPr>
            </w:pPr>
            <w:r w:rsidRPr="00C55B26">
              <w:rPr>
                <w:rFonts w:ascii="Calibri" w:hAnsi="Calibri"/>
              </w:rPr>
              <w:t>Jeong et al., 2016</w:t>
            </w:r>
          </w:p>
        </w:tc>
      </w:tr>
      <w:tr w:rsidR="00F32107" w:rsidRPr="008C323D" w:rsidTr="006D3FEF">
        <w:trPr>
          <w:trHeight w:val="288"/>
        </w:trPr>
        <w:tc>
          <w:tcPr>
            <w:tcW w:w="1577" w:type="dxa"/>
            <w:shd w:val="clear" w:color="auto" w:fill="auto"/>
            <w:noWrap/>
            <w:vAlign w:val="center"/>
            <w:hideMark/>
          </w:tcPr>
          <w:p w:rsidR="00F32107" w:rsidRPr="008C323D" w:rsidRDefault="00F32107" w:rsidP="00F32107">
            <w:pPr>
              <w:spacing w:line="240" w:lineRule="auto"/>
              <w:jc w:val="center"/>
              <w:rPr>
                <w:rFonts w:ascii="Calibri" w:eastAsia="Times New Roman" w:hAnsi="Calibri" w:cs="Times New Roman"/>
                <w:lang w:eastAsia="en-GB"/>
              </w:rPr>
            </w:pPr>
            <w:r w:rsidRPr="008C323D">
              <w:rPr>
                <w:rFonts w:ascii="Calibri" w:hAnsi="Calibri"/>
              </w:rPr>
              <w:t>Rotifera</w:t>
            </w:r>
          </w:p>
        </w:tc>
        <w:tc>
          <w:tcPr>
            <w:tcW w:w="1442" w:type="dxa"/>
            <w:shd w:val="clear" w:color="auto" w:fill="auto"/>
            <w:noWrap/>
            <w:vAlign w:val="center"/>
            <w:hideMark/>
          </w:tcPr>
          <w:p w:rsidR="00F32107" w:rsidRPr="008C323D" w:rsidRDefault="00F32107" w:rsidP="00F32107">
            <w:pPr>
              <w:spacing w:line="240" w:lineRule="auto"/>
              <w:jc w:val="center"/>
              <w:rPr>
                <w:rFonts w:ascii="Calibri" w:eastAsia="Times New Roman" w:hAnsi="Calibri" w:cs="Times New Roman"/>
                <w:i/>
                <w:iCs/>
                <w:lang w:eastAsia="en-GB"/>
              </w:rPr>
            </w:pPr>
            <w:r w:rsidRPr="008C323D">
              <w:rPr>
                <w:rFonts w:ascii="Calibri" w:hAnsi="Calibri"/>
                <w:i/>
                <w:iCs/>
              </w:rPr>
              <w:t>Brachionus koreanus</w:t>
            </w:r>
          </w:p>
        </w:tc>
        <w:tc>
          <w:tcPr>
            <w:tcW w:w="1533" w:type="dxa"/>
            <w:shd w:val="clear" w:color="auto" w:fill="auto"/>
            <w:noWrap/>
            <w:vAlign w:val="center"/>
            <w:hideMark/>
          </w:tcPr>
          <w:p w:rsidR="00F32107" w:rsidRPr="008C323D" w:rsidRDefault="00F32107" w:rsidP="00F32107">
            <w:pPr>
              <w:spacing w:line="240" w:lineRule="auto"/>
              <w:jc w:val="center"/>
              <w:rPr>
                <w:rFonts w:ascii="Calibri" w:eastAsia="Times New Roman" w:hAnsi="Calibri" w:cs="Times New Roman"/>
                <w:lang w:eastAsia="en-GB"/>
              </w:rPr>
            </w:pPr>
            <w:r w:rsidRPr="008C323D">
              <w:rPr>
                <w:rFonts w:ascii="Calibri" w:hAnsi="Calibri"/>
              </w:rPr>
              <w:t>Fresh/brackish</w:t>
            </w:r>
          </w:p>
        </w:tc>
        <w:tc>
          <w:tcPr>
            <w:tcW w:w="978" w:type="dxa"/>
            <w:shd w:val="clear" w:color="auto" w:fill="auto"/>
            <w:noWrap/>
            <w:vAlign w:val="center"/>
            <w:hideMark/>
          </w:tcPr>
          <w:p w:rsidR="00F32107" w:rsidRPr="008C323D" w:rsidRDefault="00F32107" w:rsidP="00F32107">
            <w:pPr>
              <w:spacing w:line="240" w:lineRule="auto"/>
              <w:jc w:val="center"/>
              <w:rPr>
                <w:rFonts w:ascii="Calibri" w:eastAsia="Times New Roman" w:hAnsi="Calibri" w:cs="Times New Roman"/>
                <w:lang w:eastAsia="en-GB"/>
              </w:rPr>
            </w:pPr>
            <w:r w:rsidRPr="008C323D">
              <w:rPr>
                <w:rFonts w:ascii="Calibri" w:hAnsi="Calibri"/>
              </w:rPr>
              <w:t>PS</w:t>
            </w:r>
          </w:p>
        </w:tc>
        <w:tc>
          <w:tcPr>
            <w:tcW w:w="986" w:type="dxa"/>
            <w:shd w:val="clear" w:color="auto" w:fill="auto"/>
            <w:noWrap/>
            <w:vAlign w:val="center"/>
            <w:hideMark/>
          </w:tcPr>
          <w:p w:rsidR="00F32107" w:rsidRPr="008C323D" w:rsidRDefault="00F32107" w:rsidP="00F32107">
            <w:pPr>
              <w:spacing w:line="240" w:lineRule="auto"/>
              <w:jc w:val="center"/>
              <w:rPr>
                <w:rFonts w:ascii="Calibri" w:eastAsia="Times New Roman" w:hAnsi="Calibri" w:cs="Times New Roman"/>
                <w:lang w:eastAsia="en-GB"/>
              </w:rPr>
            </w:pPr>
            <w:r w:rsidRPr="008C323D">
              <w:rPr>
                <w:rFonts w:ascii="Calibri" w:hAnsi="Calibri"/>
              </w:rPr>
              <w:t>Sphere</w:t>
            </w:r>
          </w:p>
        </w:tc>
        <w:tc>
          <w:tcPr>
            <w:tcW w:w="997" w:type="dxa"/>
            <w:shd w:val="clear" w:color="auto" w:fill="auto"/>
            <w:noWrap/>
            <w:vAlign w:val="center"/>
            <w:hideMark/>
          </w:tcPr>
          <w:p w:rsidR="00F32107" w:rsidRPr="008C323D" w:rsidRDefault="00F32107" w:rsidP="00F32107">
            <w:pPr>
              <w:spacing w:line="240" w:lineRule="auto"/>
              <w:jc w:val="center"/>
              <w:rPr>
                <w:rFonts w:ascii="Calibri" w:eastAsia="Times New Roman" w:hAnsi="Calibri" w:cs="Times New Roman"/>
                <w:lang w:eastAsia="en-GB"/>
              </w:rPr>
            </w:pPr>
            <w:r w:rsidRPr="008C323D">
              <w:rPr>
                <w:rFonts w:ascii="Calibri" w:hAnsi="Calibri"/>
              </w:rPr>
              <w:t>0.5</w:t>
            </w:r>
          </w:p>
        </w:tc>
        <w:tc>
          <w:tcPr>
            <w:tcW w:w="1434" w:type="dxa"/>
            <w:shd w:val="clear" w:color="auto" w:fill="auto"/>
            <w:noWrap/>
            <w:vAlign w:val="center"/>
            <w:hideMark/>
          </w:tcPr>
          <w:p w:rsidR="00F32107" w:rsidRPr="008C323D" w:rsidRDefault="00F32107" w:rsidP="00F32107">
            <w:pPr>
              <w:spacing w:line="240" w:lineRule="auto"/>
              <w:jc w:val="center"/>
              <w:rPr>
                <w:rFonts w:ascii="Calibri" w:eastAsia="Times New Roman" w:hAnsi="Calibri" w:cs="Times New Roman"/>
                <w:lang w:eastAsia="en-GB"/>
              </w:rPr>
            </w:pPr>
            <w:r w:rsidRPr="008C323D">
              <w:rPr>
                <w:rFonts w:ascii="Calibri" w:hAnsi="Calibri"/>
              </w:rPr>
              <w:t>Reproduction</w:t>
            </w:r>
          </w:p>
        </w:tc>
        <w:tc>
          <w:tcPr>
            <w:tcW w:w="1071" w:type="dxa"/>
            <w:shd w:val="clear" w:color="auto" w:fill="auto"/>
            <w:noWrap/>
            <w:vAlign w:val="center"/>
            <w:hideMark/>
          </w:tcPr>
          <w:p w:rsidR="00F32107" w:rsidRPr="008C323D" w:rsidRDefault="00F32107" w:rsidP="00F32107">
            <w:pPr>
              <w:spacing w:line="240" w:lineRule="auto"/>
              <w:jc w:val="center"/>
              <w:rPr>
                <w:rFonts w:ascii="Calibri" w:eastAsia="Times New Roman" w:hAnsi="Calibri" w:cs="Times New Roman"/>
                <w:lang w:eastAsia="en-GB"/>
              </w:rPr>
            </w:pPr>
            <w:r w:rsidRPr="008C323D">
              <w:rPr>
                <w:rFonts w:ascii="Calibri" w:hAnsi="Calibri"/>
              </w:rPr>
              <w:t>LOEC</w:t>
            </w:r>
          </w:p>
        </w:tc>
        <w:tc>
          <w:tcPr>
            <w:tcW w:w="1056" w:type="dxa"/>
            <w:shd w:val="clear" w:color="auto" w:fill="auto"/>
            <w:noWrap/>
            <w:vAlign w:val="center"/>
            <w:hideMark/>
          </w:tcPr>
          <w:p w:rsidR="00F32107" w:rsidRPr="00C55B26" w:rsidRDefault="00F32107" w:rsidP="00F32107">
            <w:pPr>
              <w:spacing w:line="240" w:lineRule="auto"/>
              <w:jc w:val="center"/>
              <w:rPr>
                <w:rFonts w:ascii="Calibri" w:eastAsia="Times New Roman" w:hAnsi="Calibri" w:cs="Times New Roman"/>
                <w:lang w:eastAsia="en-GB"/>
              </w:rPr>
            </w:pPr>
            <w:r w:rsidRPr="00C55B26">
              <w:rPr>
                <w:rFonts w:ascii="Calibri" w:hAnsi="Calibri"/>
              </w:rPr>
              <w:t>12</w:t>
            </w:r>
          </w:p>
        </w:tc>
        <w:tc>
          <w:tcPr>
            <w:tcW w:w="1454" w:type="dxa"/>
            <w:shd w:val="clear" w:color="auto" w:fill="auto"/>
            <w:noWrap/>
            <w:vAlign w:val="center"/>
            <w:hideMark/>
          </w:tcPr>
          <w:p w:rsidR="00F32107" w:rsidRPr="00C55B26" w:rsidRDefault="00F32107" w:rsidP="00F32107">
            <w:pPr>
              <w:spacing w:line="240" w:lineRule="auto"/>
              <w:jc w:val="center"/>
              <w:rPr>
                <w:rFonts w:ascii="Calibri" w:eastAsia="Times New Roman" w:hAnsi="Calibri" w:cs="Times New Roman"/>
                <w:lang w:eastAsia="en-GB"/>
              </w:rPr>
            </w:pPr>
            <w:r w:rsidRPr="00C55B26">
              <w:rPr>
                <w:rFonts w:ascii="Calibri" w:hAnsi="Calibri"/>
              </w:rPr>
              <w:t>6.5</w:t>
            </w:r>
          </w:p>
        </w:tc>
        <w:tc>
          <w:tcPr>
            <w:tcW w:w="2356" w:type="dxa"/>
            <w:shd w:val="clear" w:color="auto" w:fill="auto"/>
            <w:noWrap/>
            <w:vAlign w:val="center"/>
            <w:hideMark/>
          </w:tcPr>
          <w:p w:rsidR="00F32107" w:rsidRPr="00C55B26" w:rsidRDefault="00F32107" w:rsidP="00C55B26">
            <w:pPr>
              <w:spacing w:line="240" w:lineRule="auto"/>
              <w:jc w:val="center"/>
              <w:rPr>
                <w:rFonts w:ascii="Calibri" w:eastAsia="Times New Roman" w:hAnsi="Calibri" w:cs="Times New Roman"/>
                <w:lang w:eastAsia="en-GB"/>
              </w:rPr>
            </w:pPr>
            <w:r w:rsidRPr="00C55B26">
              <w:rPr>
                <w:rFonts w:ascii="Calibri" w:hAnsi="Calibri"/>
              </w:rPr>
              <w:t>20 mg/</w:t>
            </w:r>
            <w:r w:rsidR="00C55B26" w:rsidRPr="00C55B26">
              <w:rPr>
                <w:rFonts w:ascii="Calibri" w:hAnsi="Calibri"/>
              </w:rPr>
              <w:t>L</w:t>
            </w:r>
          </w:p>
        </w:tc>
        <w:tc>
          <w:tcPr>
            <w:tcW w:w="2410" w:type="dxa"/>
            <w:shd w:val="clear" w:color="auto" w:fill="auto"/>
            <w:noWrap/>
            <w:vAlign w:val="center"/>
            <w:hideMark/>
          </w:tcPr>
          <w:p w:rsidR="00F32107" w:rsidRPr="00C55B26" w:rsidRDefault="00F32107" w:rsidP="00F32107">
            <w:pPr>
              <w:spacing w:line="240" w:lineRule="auto"/>
              <w:jc w:val="center"/>
              <w:rPr>
                <w:rFonts w:ascii="Calibri" w:eastAsia="Times New Roman" w:hAnsi="Calibri" w:cs="Times New Roman"/>
                <w:lang w:eastAsia="en-GB"/>
              </w:rPr>
            </w:pPr>
            <w:r w:rsidRPr="00C55B26">
              <w:rPr>
                <w:rFonts w:ascii="Calibri" w:hAnsi="Calibri"/>
              </w:rPr>
              <w:t>3.08E+06</w:t>
            </w:r>
          </w:p>
        </w:tc>
        <w:tc>
          <w:tcPr>
            <w:tcW w:w="3402" w:type="dxa"/>
            <w:shd w:val="clear" w:color="auto" w:fill="auto"/>
            <w:noWrap/>
            <w:vAlign w:val="center"/>
            <w:hideMark/>
          </w:tcPr>
          <w:p w:rsidR="00F32107" w:rsidRPr="00C55B26" w:rsidRDefault="00F32107" w:rsidP="00F32107">
            <w:pPr>
              <w:spacing w:line="240" w:lineRule="auto"/>
              <w:jc w:val="center"/>
              <w:rPr>
                <w:rFonts w:ascii="Calibri" w:eastAsia="Times New Roman" w:hAnsi="Calibri" w:cs="Times New Roman"/>
                <w:lang w:eastAsia="en-GB"/>
              </w:rPr>
            </w:pPr>
            <w:r w:rsidRPr="00C55B26">
              <w:rPr>
                <w:rFonts w:ascii="Calibri" w:hAnsi="Calibri"/>
              </w:rPr>
              <w:t>Jeong et al., 2016</w:t>
            </w:r>
          </w:p>
        </w:tc>
      </w:tr>
    </w:tbl>
    <w:p w:rsidR="009C4422" w:rsidRPr="00C41605" w:rsidRDefault="009C4422" w:rsidP="009C4422">
      <w:pPr>
        <w:pStyle w:val="Caption"/>
        <w:spacing w:after="0"/>
        <w:rPr>
          <w:rStyle w:val="IntenseEmphasis"/>
          <w:i/>
          <w:color w:val="auto"/>
          <w:sz w:val="24"/>
        </w:rPr>
      </w:pPr>
      <w:r w:rsidRPr="00C41605">
        <w:rPr>
          <w:b/>
          <w:i w:val="0"/>
          <w:color w:val="auto"/>
          <w:sz w:val="24"/>
          <w:lang w:val="en-GB"/>
        </w:rPr>
        <w:lastRenderedPageBreak/>
        <w:t>Table A2.</w:t>
      </w:r>
      <w:r w:rsidRPr="00C41605">
        <w:rPr>
          <w:i w:val="0"/>
          <w:color w:val="auto"/>
          <w:sz w:val="24"/>
          <w:lang w:val="en-GB"/>
        </w:rPr>
        <w:t xml:space="preserve"> Nanoplastic effect thresholds extrapolated to chronic LOECs. Exposure via the water. Species from the marine, estuarine and freshwater environments. Included endpoints are growth, survival and reproduction. </w:t>
      </w:r>
      <w:r w:rsidRPr="00C41605">
        <w:rPr>
          <w:i w:val="0"/>
          <w:color w:val="auto"/>
          <w:sz w:val="24"/>
          <w:szCs w:val="17"/>
          <w:lang w:val="en-GB"/>
        </w:rPr>
        <w:t>Abbreviations used: LOEC: lowest observed effect concentration, LC</w:t>
      </w:r>
      <w:r w:rsidRPr="00C41605">
        <w:rPr>
          <w:i w:val="0"/>
          <w:color w:val="auto"/>
          <w:sz w:val="24"/>
          <w:szCs w:val="17"/>
          <w:vertAlign w:val="subscript"/>
          <w:lang w:val="en-GB"/>
        </w:rPr>
        <w:t>50</w:t>
      </w:r>
      <w:r w:rsidRPr="00C41605">
        <w:rPr>
          <w:i w:val="0"/>
          <w:color w:val="auto"/>
          <w:sz w:val="24"/>
          <w:szCs w:val="17"/>
          <w:lang w:val="en-GB"/>
        </w:rPr>
        <w:t>: lethal dose 50%, EC</w:t>
      </w:r>
      <w:r w:rsidRPr="00C41605">
        <w:rPr>
          <w:i w:val="0"/>
          <w:color w:val="auto"/>
          <w:sz w:val="24"/>
          <w:szCs w:val="17"/>
          <w:vertAlign w:val="subscript"/>
          <w:lang w:val="en-GB"/>
        </w:rPr>
        <w:t>50</w:t>
      </w:r>
      <w:r w:rsidRPr="00C41605">
        <w:rPr>
          <w:i w:val="0"/>
          <w:color w:val="auto"/>
          <w:sz w:val="24"/>
          <w:szCs w:val="17"/>
          <w:lang w:val="en-GB"/>
        </w:rPr>
        <w:t xml:space="preserve">: effect concentration 50%. PS: polystyrene, PEI: polyethyleneimine </w:t>
      </w:r>
      <w:r w:rsidRPr="00C41605">
        <w:rPr>
          <w:rStyle w:val="IntenseEmphasis"/>
          <w:i/>
          <w:color w:val="auto"/>
          <w:sz w:val="24"/>
          <w:lang w:val="en-GB"/>
        </w:rPr>
        <w:fldChar w:fldCharType="begin" w:fldLock="1"/>
      </w:r>
      <w:r w:rsidRPr="00C41605">
        <w:rPr>
          <w:rStyle w:val="IntenseEmphasis"/>
          <w:i/>
          <w:color w:val="auto"/>
          <w:sz w:val="24"/>
          <w:lang w:val="en-GB"/>
        </w:rPr>
        <w:instrText>ADDIN CSL_CITATION {"citationItems":[{"id":"ITEM-1","itemData":{"DOI":"10.1007/s11051-015-2876-x","ISSN":"1388-0764","author":[{"dropping-particle":"","family":"Tussellino","given":"Margherita","non-dropping-particle":"","parse-names":false,"suffix":""},{"dropping-particle":"","family":"Ronca","given":"Raffaele","non-dropping-particle":"","parse-names":false,"suffix":""},{"dropping-particle":"","family":"Formiggini","given":"Fabio","non-dropping-particle":"","parse-names":false,"suffix":""},{"dropping-particle":"De","family":"Marco","given":"Nadia","non-dropping-particle":"","parse-names":false,"suffix":""},{"dropping-particle":"","family":"Fusco","given":"Sabato","non-dropping-particle":"","parse-names":false,"suffix":""},{"dropping-particle":"","family":"Netti","given":"Paolo Antonio","non-dropping-particle":"","parse-names":false,"suffix":""},{"dropping-particle":"","family":"Carotenuto","given":"Rosa","non-dropping-particle":"","parse-names":false,"suffix":""}],"container-title":"Journal of Nanoparticle Research","id":"ITEM-1","issue":"2","issued":{"date-parts":[["2015","2","4"]]},"page":"70","publisher":"Springer Netherlands","title":"Polystyrene nanoparticles affect Xenopus laevis development","type":"article-journal","volume":"17"},"uris":["http://www.mendeley.com/documents/?uuid=5a4efb7d-b0f6-4fe9-ac6c-3720204dbce5"]},{"id":"ITEM-2","itemData":{"DOI":"10.1016/j.aquatox.2015.12.002","ISSN":"18791514","PMID":"26675372","abstract":"The unbridled increase in plastic pollution of the world's oceans raises concerns about potential effects these materials may have on microalgae, which are primary producers at the basis of the food chain and a major global source of oxygen. Our current understanding about the potential modes and mechanisms of toxic action that plastic particles exert on microalgae is extremely limited. How effects might vary with particle size and the physico-chemical properties of the specific plastic material in question are equally unelucidated, but may hold clues to how toxicity, if observed, is exerted. In this study we selected polystyrene particles, both negatively charged and uncharged, and three different sizes (0.05, 0.5 and 6 μm) for testing the effects of size and material properties. Microalgae were exposed to different polystyrene particle sizes and surface charges for 72 h. Effects on microalgal photosynthesis and growth were determined by pulse amplitude modulation fluorometry and flow cytometry, respectively. None of the treatments tested in these experiments had an effect on microalgal photosynthesis. Microalgal growth was negatively affected (up to 45%) by uncharged polystyrene particles, but only at high concentrations (250 mg/L). Additionally, these adverse effects were demonstrated to increase with decreasing particle size.","author":[{"dropping-particle":"","family":"Sjollema","given":"Sascha B.","non-dropping-particle":"","parse-names":false,"suffix":""},{"dropping-particle":"","family":"Redondo-Hasselerharm","given":"Paula","non-dropping-particle":"","parse-names":false,"suffix":""},{"dropping-particle":"","family":"Leslie","given":"Heather A.","non-dropping-particle":"","parse-names":false,"suffix":""},{"dropping-particle":"","family":"Kraak","given":"Michiel H S","non-dropping-particle":"","parse-names":false,"suffix":""},{"dropping-particle":"","family":"Vethaak","given":"A. Dick","non-dropping-particle":"","parse-names":false,"suffix":""}],"container-title":"Aquatic Toxicology","id":"ITEM-2","issued":{"date-parts":[["2016"]]},"page":"259-261","publisher":"Elsevier B.V.","title":"Do plastic particles affect microalgal photosynthesis and growth?","type":"article-journal","volume":"170"},"uris":["http://www.mendeley.com/documents/?uuid=10c900c8-9f9e-4ba5-9100-5ca67c780323"]},{"id":"ITEM-3","itemData":{"DOI":"10.1016/j.envint.2012.11.001.This","author":[{"dropping-particle":"","family":"Casado","given":"M.","non-dropping-particle":"","parse-names":false,"suffix":""},{"dropping-particle":"","family":"Macken","given":"A.","non-dropping-particle":"","parse-names":false,"suffix":""},{"dropping-particle":"","family":"Byrne","given":"H.J.","non-dropping-particle":"","parse-names":false,"suffix":""}],"container-title":"Environment international","id":"ITEM-3","issued":{"date-parts":[["2013"]]},"page":"97-105","title":"Ecotoxicological assessment of silica and polystyrene nanoparticles assessed by a multitrophic test battery","type":"article-journal","volume":"51"},"uris":["http://www.mendeley.com/documents/?uuid=ec4fbe2b-6099-4d19-874a-11dc333bfd8c"]},{"id":"ITEM-4","itemData":{"DOI":"10.1016/j.ecoenv.2015.09.021","ISSN":"01476513","author":[{"dropping-particle":"","family":"Bergami","given":"Elisa","non-dropping-particle":"","parse-names":false,"suffix":""},{"dropping-particle":"","family":"Bocci","given":"Elena","non-dropping-particle":"","parse-names":false,"suffix":""},{"dropping-particle":"","family":"Vannuccini","given":"Maria Luisa","non-dropping-particle":"","parse-names":false,"suffix":""},{"dropping-particle":"","family":"Monopoli","given":"Marco","non-dropping-particle":"","parse-names":false,"suffix":""},{"dropping-particle":"","family":"Salvati","given":"Anna","non-dropping-particle":"","parse-names":false,"suffix":""},{"dropping-particle":"","family":"Dawson","given":"Kenneth A.","non-dropping-particle":"","parse-names":false,"suffix":""},{"dropping-particle":"","family":"Corsi","given":"Ilaria","non-dropping-particle":"","parse-names":false,"suffix":""}],"container-title":"Ecotoxicology and Environmental Safety","id":"ITEM-4","issued":{"date-parts":[["2016","1"]]},"page":"18-25","title":"Nano-sized polystyrene affects feeding, behavior and physiology of brine shrimp Artemia franciscana larvae","type":"article-journal","volume":"123"},"uris":["http://www.mendeley.com/documents/?uuid=e355127b-52e6-36ef-a315-8c594c3cdd5e"]},{"id":"ITEM-5","itemData":{"DOI":"10.1016/j.aquatox.2017.06.008","abstract":"A B S T R A C T Plastic pollution has been globally recognized as a critical issue for marine ecosystems and nanoplastics con-stitute one of the last unexplored areas to understand the magnitude of this threat. However, current difficulties in sampling and identifying nano-sized debris make hard to assess their occurrence in marine environment. Polystyrene nanoparticles (PS NPs) are largely used as nanoplastics in ecotoxicological studies and although acute exposures have been already investigated, long-term toxicity on marine organisms is unknown. Our study aims at evaluating the effects of 40 nm PS anionic carboxylated (PS-COOH) and 50 nm cationic amino-modified (PS-NH 2) NPs in two planktonic species, the green microalga Dunaliella tertiolecta and the brine shrimp Artemia franciscana, respectively prey and predator. PS NP behaviour in exposure media was determined through DLS, while their toxicity to microalgae and brine shrimps evaluated through 72 h growth inhibition test and 14 d long-term toxicity test respectively. Moreover, the expression of target genes (i.e. clap and cstb), having a role in brine shrimp larval growth and molting, was measured in 48 h brine shrimp larvae. A different behaviour of the two PS NPs in exposure media as well as diverse toxicity to the two planktonic species was observed. PS-COOH formed micro-scale aggregates (Z-Average &gt; 1 μm) and did not affect the growth of microalgae up to 50 μg/ml or that of brine shrimps up to 10 μg/ml. However, these negatively charged NPs were adsorbed on microalgae and accumulated (and excreted) in brine shrimps, suggesting a potential trophic transfer from prey to predator. On the opposite, PS-NH 2 -formed nano-scale aggregates (Z-Average &lt; 200 nm), caused inhibition of algal growth (EC 50 = 12.97 μg/ml) and mortality in brine shrimps at 14 d (LC 50 = 0.83 μg/ml). Moreover, 1 μg/ml PS-NH 2 significantly induced clap and cstb genes, explaining the physiological alterations (e.g. increase in molting) previously observed in 48 h larvae, but also suggesting an apoptotic pathway triggered by cathepsin L-like protease in brine shrimps upon PS-NH 2 exposure. These findings provide a first insight into long-term toxicity of nanoplastics to marine plankton, underlining the role of the surface chemistry in determining the behaviour and effects of PS NPs, in terms of adsorption, growth inhibition, accumulation, gene modulation and mortality. The use of long-term end-point has been identified as valua…","author":[{"dropping-particle":"","family":"Bergami","given":"E","non-dropping-particle":"","parse-names":false,"suffix":""},{"dropping-particle":"","family":"Pugnalini","given":"S","non-dropping-particle":"","parse-names":false,"suffix":""},{"dropping-particle":"","family":"Vannuccini","given":"M L","non-dropping-particle":"","parse-names":false,"suffix":""},{"dropping-particle":"","family":"Manfra","given":"L","non-dropping-particle":"","parse-names":false,"suffix":""},{"dropping-particle":"","family":"Faleri","given":"C","non-dropping-particle":"","parse-names":false,"suffix":""},{"dropping-particle":"","family":"Savorelli","given":"F","non-dropping-particle":"","parse-names":false,"suffix":""},{"dropping-particle":"","family":"Dawson","given":"K A","non-dropping-particle":"","parse-names":false,"suffix":""},{"dropping-particle":"","family":"Corsi","given":"I","non-dropping-particle":"","parse-names":false,"suffix":""}],"id":"ITEM-5","issued":{"date-parts":[["2017"]]},"title":"Long-term toxicity of surface-charged polystyrene nanoplastics to marine planktonic species Dunaliella tertiolecta and Artemia franciscana","type":"article-journal"},"uris":["http://www.mendeley.com/documents/?uuid=499dc18f-6c6a-3afc-8db6-d363806ef16f"]},{"id":"ITEM-6","itemData":{"DOI":"10.1021/es503001d","author":[{"dropping-particle":"","family":"Besseling","given":"E.","non-dropping-particle":"","parse-names":false,"suffix":""},{"dropping-particle":"","family":"Wang","given":"B.","non-dropping-particle":"","parse-names":false,"suffix":""},{"dropping-particle":"","family":"Lürling","given":"M.","non-dropping-particle":"","parse-names":false,"suffix":""},{"dropping-particle":"","family":"Koelmans","given":"A.A.","non-dropping-particle":"","parse-names":false,"suffix":""}],"container-title":"Environmental science &amp; technology","id":"ITEM-6","issue":"20","issued":{"date-parts":[["2014"]]},"page":"12336–12343","title":"Nanoplastic affects growth of S. obliquus and reproduction of D. magna","type":"article-journal","volume":"48"},"uris":["http://www.mendeley.com/documents/?uuid=509e087b-1554-444f-93f9-2faf0939dc72"]},{"id":"ITEM-7","itemData":{"DOI":"10.1016/j.jprot.2015.09.005","abstract":"a b s t r a c t Nanoparticles (NPs) are defined as having at least one external dimension between 1 and 100 nm. Due to their small size, NPs have a large surface area to volume ratio giving them unique characteristics that differ from bulk material of the same chemical composition. As a result these novel materials have found numerous applica-tions in medical and industrial fields with the result that environmental exposure to NPs is increasingly likely. Similarly, increased reliance on plastic, which degrades extremely slowly in the environment, is resulting in in-creased accumulation of micro-/nano-plastics in fresh and marine waters, whose ecotoxicological impacts are as yet poorly understood. Although NPs are well known to adsorb macromolecules from their environment, forming a biomolecule corona which changes the NP identity and how it interacts with organisms, significantly less research has been performed on the ecological corona (eco-corona). Secretion of biomolecules is a well established predator–prey response in aquatic food chains, raising the question of whether NPs interact with se-creted proteins, and the impact of such interaction on NP uptake and ecotoxicity. We report here initial studies, including optimisation of protocols using carboxylic-acid and amino modified spherical polystyrene NPs, to as-sess interaction of NPs with biomolecules secreted by Daphnia magna and the impact of these interactions on NP uptake, retention and toxicity towards Daphnia magna. Biological Significance: Daphnia magna are an important environmental indicator species who may be especially sensitive to nanoparticles (NPs) as a result of being filter-feeders. This paper demonstrates for the first time that proteins released by Daphnia magna create an eco-corona around polystyrene NPs which causes heightened uptake of the NPs and consequently increases toxicity. The secreted protein eco-corona also causes the NPs to be less efficiently removed from the gut of D. magna and NPs remaining in the gut of D. magna affected the rate of subsequent feeding. Thus, fate of NPs in the environment should be evaluated and monitored under more realistic exposure scenarios.","author":[{"dropping-particle":"","family":"Nasser","given":"Fatima","non-dropping-particle":"","parse-names":false,"suffix":""},{"dropping-particle":"","family":"Lynch","given":"Iseult","non-dropping-particle":"","parse-names":false,"suffix":""}],"id":"ITEM-7","issued":{"date-parts":[["2016"]]},"title":"Secreted protein eco-corona mediates uptake and impacts of polystyrene nanoparticles on Daphnia magna","type":"article-journal"},"uris":["http://www.mendeley.com/documents/?uuid=53e3b3c5-93b4-3720-a984-dce287d91135"]},{"id":"ITEM-8","itemData":{"DOI":"10.1021/es401932b","abstract":"We investigated the effects of three sizes of polystyrene (PS) microbeads (0.05, 0.5, and 6-μm diameter) on the survival, development, and fecundity of the copepod Tigriopus japonicus using acute and chronic toxicity tests. T. japonicus ingested and egested all three sizes of PS beads used and exhibited no selective feeding when phytoplankton were added. The copepods (nauplius and adult females) survived all sizes of PS beads and the various concentrations tested in the acute toxicity test for 96 h. In the two-generation chronic toxicity test, 0.05-μm PS beads at a concentration greater than 12.5 μg/mL caused the mortality of nauplii and copepodites in the F 0 generation and even triggered mortality at a concentration of 1.25 μg/mL in the next generation. In the 0.5-μm PS bead treatment, despite there being no significant effect on the F 0 generation, the highest concentration (25 μg/mL) induced a significant decrease in survival compared with the control population in the F 1 generation. The 6-μm PS beads did not affect the survival of T. japonicus over two generations. The 0.5-and 6-μm PS beads caused a significant decrease in fecundity at all concentrations. These results suggest that microplastics such as micro-or nanosized PS beads may have negative impacts on marine copepods.","author":[{"dropping-particle":"","family":"Lee","given":"Kyun-Woo","non-dropping-particle":"","parse-names":false,"suffix":""},{"dropping-particle":"","family":"Shim","given":"Won Joon","non-dropping-particle":"","parse-names":false,"suffix":""},{"dropping-particle":"","family":"Kwon","given":"Oh Youn","non-dropping-particle":"","parse-names":false,"suffix":""},{"dropping-particle":"","family":"Kang","given":"Jung-Hoon","non-dropping-particle":"","parse-names":false,"suffix":""}],"container-title":"Environ Sci Technol","id":"ITEM-8","issued":{"date-parts":[["2013"]]},"page":"11278-11283","title":"Size-Dependent Effects of Micro Polystyrene Particles in the Marine Copepod Tigriopus japonicus","type":"article-journal","volume":"47"},"uris":["http://www.mendeley.com/documents/?uuid=8c9cdc5f-b34e-36ba-995c-fe9b4c03c6e0"]},{"id":"ITEM-9","itemData":{"DOI":"10.1021/es502569w","ISBN":"0013-936X","ISSN":"0013-936X","PMID":"25260196","abstract":"Nanoplastic debris, resulted from runoff and weathering breakdown of macro- and microplastics, represents an emerging concern for marine ecosystems. The aim of the present study was to investigate disposition and toxicity of polystyrene nanoparticles (NPs) in early development of sea urchin embryos (Paracentrotus lividus). NPs with two different surface charges where chosen, carboxylated (PS-COOH) and amine (PS-NH2) polystyrene, the latter being a less common variant, known to induce cell death in several in vitro cell systems. NPs stability in natural seawater (NSW) was measured while disposition and embryotoxicity were monitored within 48 h of postfertilization (hpf). Modulation of genes involved in cellular stress response (cas8, 14-3-3ε, p-38 MAPK, Abcb1, Abcc5) was investigated. PS-COOH forms microaggregates (PDI &gt; 0.4) in NSW, whereas PS-NH2 results are better dispersed (89 ± 2 nm) initially, though they also aggregated partially with time. Their respectively anionic and cationic nature was confirmed by ζ-potential measurements. No embryotoxicity was observed for PS-COOH up to 50 μg mL(-1) whereas PS-NH2 caused severe developmental defects (EC50 3.85 μg mL(-1) 24 hpf and EC50 2.61 μg mL(-1) 48 hpf). PS-COOH accumulated inside embryo's digestive tract while PS-NH2 were more dispersed. Abcb1 gene resulted up-regulated at 48 hpf by PS-COOH whereas PS-NH2 induced cas8 gene at 24 hpf, suggesting an apoptotic pathway. In line with the results obtained with the same PS NPs in several human cell lines, also in sea urchin embryos, differences in surface charges and aggregation in seawater strongly affect their embryotoxicity.","author":[{"dropping-particle":"","family":"Torre","given":"C","non-dropping-particle":"Della","parse-names":false,"suffix":""},{"dropping-particle":"","family":"Bergami","given":"E","non-dropping-particle":"","parse-names":false,"suffix":""},{"dropping-particle":"","family":"Salvati","given":"A","non-dropping-particle":"","parse-names":false,"suffix":""},{"dropping-particle":"","family":"Faleri","given":"C","non-dropping-particle":"","parse-names":false,"suffix":""},{"dropping-particle":"","family":"Cirino","given":"P","non-dropping-particle":"","parse-names":false,"suffix":""},{"dropping-particle":"","family":"Dawson","given":"K A","non-dropping-particle":"","parse-names":false,"suffix":""},{"dropping-particle":"","family":"Corsi","given":"I","non-dropping-particle":"","parse-names":false,"suffix":""}],"container-title":"Environmental Science &amp; Technology","id":"ITEM-9","issue":"20","issued":{"date-parts":[["2014"]]},"page":"12302-12311","title":"Accumulation and Embryotoxicity of Polystyrene Nanoparticles at Early Stage of Development of Sea Urchin Embryos Paracentrotus lividus","type":"article-journal","volume":"48"},"uris":["http://www.mendeley.com/documents/?uuid=92334c6e-fc47-4152-b1ab-d06c5f8f3181"]},{"id":"ITEM-10","itemData":{"DOI":"10.1021/acs.est.6b01441","ISSN":"15205851","PMID":"27438693","abstract":"In this study, we evaluated accumulation and adverse effects on ingestion of microplastic in the monogonont rotifer (Brachionus koreanus). The dependence of microplastic toxicity on particle size was investigated by measuring several in vivo endpoints and studying the ingestion and egestion using 0.05, 0.5, and 6 µm non-functionalized polystyrene microbeads. To identify the defense mechanisms activated in response to microplastic exposure, the activities of several antioxidant-related enzymes and the phosphorylation status of mitogen-activated protein kinases (MAPKs) were determined. Exposure to polystyrene microbeads of all sizes led to significant size-dependent effects, including reduced growth rate, reduced fecundity, decreased lifespan and longer reproduction time. Rotifers exposed to 6 µm fluorescently-labeled microbeads did not exhibit almost any fluorescence after 24 h, while rotifers exposed to 0.05 and 0.5 µm fluorescently labeled microbeads displayed fluorescence until 48 h, suggesting that 6 µ...","author":[{"dropping-particle":"","family":"Jeong","given":"Chang Bum","non-dropping-particle":"","parse-names":false,"suffix":""},{"dropping-particle":"","family":"Won","given":"Eun Ji","non-dropping-particle":"","parse-names":false,"suffix":""},{"dropping-particle":"","family":"Kang","given":"Hye Min","non-dropping-particle":"","parse-names":false,"suffix":""},{"dropping-particle":"","family":"Lee","given":"Min Chul","non-dropping-particle":"","parse-names":false,"suffix":""},{"dropping-particle":"","family":"Hwang","given":"Dae Sik","non-dropping-particle":"","parse-names":false,"suffix":""},{"dropping-particle":"","family":"Hwang","given":"Un Ki","non-dropping-particle":"","parse-names":false,"suffix":""},{"dropping-particle":"","family":"Zhou","given":"Bingsheng","non-dropping-particle":"","parse-names":false,"suffix":""},{"dropping-particle":"","family":"Souissi","given":"Sami","non-dropping-particle":"","parse-names":false,"suffix":""},{"dropping-particle":"","family":"Lee","given":"Su Jae","non-dropping-particle":"","parse-names":false,"suffix":""},{"dropping-particle":"","family":"Lee","given":"Jae Seong","non-dropping-particle":"","parse-names":false,"suffix":""}],"container-t</w:instrText>
      </w:r>
      <w:r w:rsidRPr="00C41605">
        <w:rPr>
          <w:rStyle w:val="IntenseEmphasis"/>
          <w:i/>
          <w:color w:val="auto"/>
          <w:sz w:val="24"/>
        </w:rPr>
        <w:instrText>itle":"Environmental Science and Technology","id":"ITEM-10","issue":"16","issued":{"date-parts":[["2016"]]},"page":"8849-8857","title":"Microplastic size-dependent toxicity, oxidative stress induction, and p-JNK and p-p38 activation in the monogonont rotifer (Brachionus koreanus)","type":"article-journal","volume":"50"},"uris":["http://www.mendeley.com/documents/?uuid=4a03ad28-5a2a-4f47-98be-903a5409da52"]}],"mendeley":{"formattedCitation":"(E Bergami et al., 2017; Elisa Bergami et al., 2016; E. Besseling et al., 2014b; Casado, Macken, &amp; Byrne, 2013; C. Della Torre et al., 2014; Jeong et al., 2016; Lee et al., 2013; Nasser &amp; Lynch, 2016; Sjollema, Redondo-Hasselerharm, Leslie, Kraak, &amp; Vethaak, 2016; Tussellino et al., 2015)","plainTextFormattedCitation":"(E Bergami et al., 2017; Elisa Bergami et al., 2016; E. Besseling et al., 2014b; Casado, Macken, &amp; Byrne, 2013; C. Della Torre et al., 2014; Jeong et al., 2016; Lee et al., 2013; Nasser &amp; Lynch, 2016; Sjollema, Redondo-Hasselerharm, Leslie, Kraak, &amp; Vethaak, 2016; Tussellino et al., 2015)","previouslyFormattedCitation":"(E Bergami et al., 2017; Elisa Bergami et al., 2016; E. Besseling et al., 2014b; Casado, Macken, &amp; Byrne, 2013; C. Della Torre et al., 2014; Jeong et al., 2016; Lee et al., 2013; Nasser &amp; Lynch, 2016; Sjollema, Redondo-Hasselerharm, Leslie, Kraak, &amp; Vethaak, 2016; Tussellino et al., 2015)"},"properties":{"noteIndex":0},"schema":"https://github.com/citation-style-language/schema/raw/master/csl-citation.json"}</w:instrText>
      </w:r>
      <w:r w:rsidRPr="00C41605">
        <w:rPr>
          <w:rStyle w:val="IntenseEmphasis"/>
          <w:i/>
          <w:color w:val="auto"/>
          <w:sz w:val="24"/>
          <w:lang w:val="en-GB"/>
        </w:rPr>
        <w:fldChar w:fldCharType="separate"/>
      </w:r>
      <w:r w:rsidRPr="00C41605">
        <w:rPr>
          <w:rStyle w:val="IntenseEmphasis"/>
          <w:noProof/>
          <w:color w:val="auto"/>
          <w:sz w:val="24"/>
        </w:rPr>
        <w:t>(Bergami et al., 2017; Elisa Bergami et al., 2016; E. Besseling et al., 2014b; Casado, Macken, &amp; Byrne, 2013; C. Della Torre et al., 2014; Jeong et al., 2016; Lee et al., 2013; Nasser &amp; Lynch, 2016; Sjollema, Redondo-Hasselerharm, Leslie, Kraak, &amp; Vethaak, 2016; Tussellino et al., 2015)</w:t>
      </w:r>
      <w:r w:rsidRPr="00C41605">
        <w:rPr>
          <w:rStyle w:val="IntenseEmphasis"/>
          <w:i/>
          <w:color w:val="auto"/>
          <w:sz w:val="24"/>
          <w:lang w:val="en-GB"/>
        </w:rPr>
        <w:fldChar w:fldCharType="end"/>
      </w:r>
      <w:r w:rsidRPr="00C41605">
        <w:rPr>
          <w:rStyle w:val="IntenseEmphasis"/>
          <w:i/>
          <w:color w:val="auto"/>
          <w:sz w:val="24"/>
        </w:rPr>
        <w:t>.</w:t>
      </w:r>
    </w:p>
    <w:tbl>
      <w:tblPr>
        <w:tblW w:w="20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954"/>
        <w:gridCol w:w="1180"/>
        <w:gridCol w:w="978"/>
        <w:gridCol w:w="908"/>
        <w:gridCol w:w="1200"/>
        <w:gridCol w:w="1434"/>
        <w:gridCol w:w="1071"/>
        <w:gridCol w:w="1056"/>
        <w:gridCol w:w="1454"/>
        <w:gridCol w:w="2072"/>
        <w:gridCol w:w="2410"/>
        <w:gridCol w:w="3402"/>
      </w:tblGrid>
      <w:tr w:rsidR="009C4422" w:rsidRPr="00EB55BB" w:rsidTr="006D3FEF">
        <w:trPr>
          <w:trHeight w:val="288"/>
        </w:trPr>
        <w:tc>
          <w:tcPr>
            <w:tcW w:w="1577"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9C4422">
              <w:rPr>
                <w:szCs w:val="17"/>
              </w:rPr>
              <w:t xml:space="preserve"> </w:t>
            </w:r>
            <w:r>
              <w:rPr>
                <w:lang w:val="en-GB"/>
              </w:rPr>
              <w:t>.</w:t>
            </w:r>
            <w:r w:rsidRPr="00526D2A">
              <w:rPr>
                <w:rFonts w:ascii="Calibri" w:eastAsia="Times New Roman" w:hAnsi="Calibri" w:cs="Times New Roman"/>
                <w:b/>
                <w:bCs/>
                <w:lang w:val="en-GB" w:eastAsia="en-GB"/>
              </w:rPr>
              <w:t>Taxonomic group</w:t>
            </w:r>
          </w:p>
        </w:tc>
        <w:tc>
          <w:tcPr>
            <w:tcW w:w="1954"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eastAsia="Times New Roman" w:hAnsi="Calibri" w:cs="Times New Roman"/>
                <w:b/>
                <w:bCs/>
                <w:lang w:val="en-GB" w:eastAsia="en-GB"/>
              </w:rPr>
              <w:t>Species</w:t>
            </w:r>
          </w:p>
        </w:tc>
        <w:tc>
          <w:tcPr>
            <w:tcW w:w="1180"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eastAsia="Times New Roman" w:hAnsi="Calibri" w:cs="Times New Roman"/>
                <w:b/>
                <w:bCs/>
                <w:lang w:val="en-GB" w:eastAsia="en-GB"/>
              </w:rPr>
              <w:t>Water type</w:t>
            </w:r>
          </w:p>
        </w:tc>
        <w:tc>
          <w:tcPr>
            <w:tcW w:w="978"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eastAsia="Times New Roman" w:hAnsi="Calibri" w:cs="Times New Roman"/>
                <w:b/>
                <w:bCs/>
                <w:lang w:val="en-GB" w:eastAsia="en-GB"/>
              </w:rPr>
              <w:t>Polymer type</w:t>
            </w:r>
          </w:p>
        </w:tc>
        <w:tc>
          <w:tcPr>
            <w:tcW w:w="908"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eastAsia="Times New Roman" w:hAnsi="Calibri" w:cs="Times New Roman"/>
                <w:b/>
                <w:bCs/>
                <w:lang w:val="en-GB" w:eastAsia="en-GB"/>
              </w:rPr>
              <w:t>Particle shape</w:t>
            </w:r>
          </w:p>
        </w:tc>
        <w:tc>
          <w:tcPr>
            <w:tcW w:w="1200"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eastAsia="Times New Roman" w:hAnsi="Calibri" w:cs="Times New Roman"/>
                <w:b/>
                <w:bCs/>
                <w:lang w:val="en-GB" w:eastAsia="en-GB"/>
              </w:rPr>
              <w:t>Particle size range (nm)</w:t>
            </w:r>
          </w:p>
        </w:tc>
        <w:tc>
          <w:tcPr>
            <w:tcW w:w="1434"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eastAsia="Times New Roman" w:hAnsi="Calibri" w:cs="Times New Roman"/>
                <w:b/>
                <w:bCs/>
                <w:lang w:val="en-GB" w:eastAsia="en-GB"/>
              </w:rPr>
              <w:t>Endpoint</w:t>
            </w:r>
          </w:p>
        </w:tc>
        <w:tc>
          <w:tcPr>
            <w:tcW w:w="1071"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eastAsia="Times New Roman" w:hAnsi="Calibri" w:cs="Times New Roman"/>
                <w:b/>
                <w:bCs/>
                <w:lang w:val="en-GB" w:eastAsia="en-GB"/>
              </w:rPr>
              <w:t>Reported effect level</w:t>
            </w:r>
          </w:p>
        </w:tc>
        <w:tc>
          <w:tcPr>
            <w:tcW w:w="1056"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eastAsia="Times New Roman" w:hAnsi="Calibri" w:cs="Times New Roman"/>
                <w:b/>
                <w:bCs/>
                <w:lang w:val="en-GB" w:eastAsia="en-GB"/>
              </w:rPr>
              <w:t>Exposure duration (d)</w:t>
            </w:r>
          </w:p>
        </w:tc>
        <w:tc>
          <w:tcPr>
            <w:tcW w:w="1454"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eastAsia="Times New Roman" w:hAnsi="Calibri" w:cs="Times New Roman"/>
                <w:b/>
                <w:bCs/>
                <w:lang w:val="en-GB" w:eastAsia="en-GB"/>
              </w:rPr>
              <w:t>Extrapolation factor</w:t>
            </w:r>
          </w:p>
        </w:tc>
        <w:tc>
          <w:tcPr>
            <w:tcW w:w="2072"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eastAsia="Times New Roman" w:hAnsi="Calibri" w:cs="Times New Roman"/>
                <w:b/>
                <w:bCs/>
                <w:lang w:val="en-GB" w:eastAsia="en-GB"/>
              </w:rPr>
              <w:t>Reported effect threshold (mg/L)</w:t>
            </w:r>
          </w:p>
        </w:tc>
        <w:tc>
          <w:tcPr>
            <w:tcW w:w="2410"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eastAsia="Times New Roman" w:hAnsi="Calibri" w:cs="Times New Roman"/>
                <w:b/>
                <w:bCs/>
                <w:lang w:val="en-GB" w:eastAsia="en-GB"/>
              </w:rPr>
              <w:t>Chronic LOEC after extrapolation (µg/L)</w:t>
            </w:r>
          </w:p>
        </w:tc>
        <w:tc>
          <w:tcPr>
            <w:tcW w:w="3402"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eastAsia="Times New Roman" w:hAnsi="Calibri" w:cs="Times New Roman"/>
                <w:b/>
                <w:bCs/>
                <w:lang w:val="en-GB" w:eastAsia="en-GB"/>
              </w:rPr>
              <w:t>Reference</w:t>
            </w:r>
          </w:p>
        </w:tc>
      </w:tr>
      <w:tr w:rsidR="009C4422" w:rsidRPr="00EB55BB" w:rsidTr="006D3FEF">
        <w:trPr>
          <w:trHeight w:val="288"/>
        </w:trPr>
        <w:tc>
          <w:tcPr>
            <w:tcW w:w="1577" w:type="dxa"/>
            <w:tcBorders>
              <w:top w:val="single" w:sz="12" w:space="0" w:color="auto"/>
            </w:tcBorders>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Amphibia</w:t>
            </w:r>
          </w:p>
        </w:tc>
        <w:tc>
          <w:tcPr>
            <w:tcW w:w="1954" w:type="dxa"/>
            <w:tcBorders>
              <w:top w:val="single" w:sz="12" w:space="0" w:color="auto"/>
            </w:tcBorders>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i/>
                <w:iCs/>
                <w:lang w:val="en-GB" w:eastAsia="en-GB"/>
              </w:rPr>
            </w:pPr>
            <w:r w:rsidRPr="00526D2A">
              <w:rPr>
                <w:rFonts w:ascii="Calibri" w:hAnsi="Calibri"/>
                <w:i/>
                <w:iCs/>
                <w:lang w:val="en-GB"/>
              </w:rPr>
              <w:t>Xenopus laevis</w:t>
            </w:r>
          </w:p>
        </w:tc>
        <w:tc>
          <w:tcPr>
            <w:tcW w:w="1180" w:type="dxa"/>
            <w:tcBorders>
              <w:top w:val="single" w:sz="12" w:space="0" w:color="auto"/>
            </w:tcBorders>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Fresh</w:t>
            </w:r>
          </w:p>
        </w:tc>
        <w:tc>
          <w:tcPr>
            <w:tcW w:w="978" w:type="dxa"/>
            <w:tcBorders>
              <w:top w:val="single" w:sz="12" w:space="0" w:color="auto"/>
            </w:tcBorders>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PS</w:t>
            </w:r>
          </w:p>
        </w:tc>
        <w:tc>
          <w:tcPr>
            <w:tcW w:w="908" w:type="dxa"/>
            <w:tcBorders>
              <w:top w:val="single" w:sz="12" w:space="0" w:color="auto"/>
            </w:tcBorders>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Sphere</w:t>
            </w:r>
          </w:p>
        </w:tc>
        <w:tc>
          <w:tcPr>
            <w:tcW w:w="1200" w:type="dxa"/>
            <w:tcBorders>
              <w:top w:val="single" w:sz="12" w:space="0" w:color="auto"/>
            </w:tcBorders>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50</w:t>
            </w:r>
          </w:p>
        </w:tc>
        <w:tc>
          <w:tcPr>
            <w:tcW w:w="1434" w:type="dxa"/>
            <w:tcBorders>
              <w:top w:val="single" w:sz="12" w:space="0" w:color="auto"/>
            </w:tcBorders>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Survival, growth</w:t>
            </w:r>
          </w:p>
        </w:tc>
        <w:tc>
          <w:tcPr>
            <w:tcW w:w="1071" w:type="dxa"/>
            <w:tcBorders>
              <w:top w:val="single" w:sz="12" w:space="0" w:color="auto"/>
            </w:tcBorders>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LOEC</w:t>
            </w:r>
          </w:p>
        </w:tc>
        <w:tc>
          <w:tcPr>
            <w:tcW w:w="1056" w:type="dxa"/>
            <w:tcBorders>
              <w:top w:val="single" w:sz="12" w:space="0" w:color="auto"/>
            </w:tcBorders>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7</w:t>
            </w:r>
          </w:p>
        </w:tc>
        <w:tc>
          <w:tcPr>
            <w:tcW w:w="1454" w:type="dxa"/>
            <w:tcBorders>
              <w:top w:val="single" w:sz="12" w:space="0" w:color="auto"/>
            </w:tcBorders>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6.5</w:t>
            </w:r>
          </w:p>
        </w:tc>
        <w:tc>
          <w:tcPr>
            <w:tcW w:w="2072" w:type="dxa"/>
            <w:tcBorders>
              <w:top w:val="single" w:sz="12" w:space="0" w:color="auto"/>
            </w:tcBorders>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4.5</w:t>
            </w:r>
          </w:p>
        </w:tc>
        <w:tc>
          <w:tcPr>
            <w:tcW w:w="2410" w:type="dxa"/>
            <w:tcBorders>
              <w:top w:val="single" w:sz="12" w:space="0" w:color="auto"/>
            </w:tcBorders>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6.92E+02</w:t>
            </w:r>
          </w:p>
        </w:tc>
        <w:tc>
          <w:tcPr>
            <w:tcW w:w="3402" w:type="dxa"/>
            <w:tcBorders>
              <w:top w:val="single" w:sz="12" w:space="0" w:color="auto"/>
            </w:tcBorders>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Tusselino et al., 2015</w:t>
            </w:r>
          </w:p>
        </w:tc>
      </w:tr>
      <w:tr w:rsidR="009C4422" w:rsidRPr="00EB55BB" w:rsidTr="006D3FEF">
        <w:trPr>
          <w:trHeight w:val="264"/>
        </w:trPr>
        <w:tc>
          <w:tcPr>
            <w:tcW w:w="1577"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Chlorophyceae</w:t>
            </w:r>
          </w:p>
        </w:tc>
        <w:tc>
          <w:tcPr>
            <w:tcW w:w="195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i/>
                <w:iCs/>
                <w:lang w:val="en-GB" w:eastAsia="en-GB"/>
              </w:rPr>
            </w:pPr>
            <w:r w:rsidRPr="00526D2A">
              <w:rPr>
                <w:rFonts w:ascii="Calibri" w:hAnsi="Calibri"/>
                <w:i/>
                <w:iCs/>
                <w:lang w:val="en-GB"/>
              </w:rPr>
              <w:t>Dunaliella tertiolecta</w:t>
            </w:r>
          </w:p>
        </w:tc>
        <w:tc>
          <w:tcPr>
            <w:tcW w:w="118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Marine</w:t>
            </w:r>
          </w:p>
        </w:tc>
        <w:tc>
          <w:tcPr>
            <w:tcW w:w="97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PS</w:t>
            </w:r>
          </w:p>
        </w:tc>
        <w:tc>
          <w:tcPr>
            <w:tcW w:w="90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Sphere</w:t>
            </w:r>
          </w:p>
        </w:tc>
        <w:tc>
          <w:tcPr>
            <w:tcW w:w="120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50</w:t>
            </w:r>
          </w:p>
        </w:tc>
        <w:tc>
          <w:tcPr>
            <w:tcW w:w="143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Growth</w:t>
            </w:r>
          </w:p>
        </w:tc>
        <w:tc>
          <w:tcPr>
            <w:tcW w:w="1071"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LOEC</w:t>
            </w:r>
          </w:p>
        </w:tc>
        <w:tc>
          <w:tcPr>
            <w:tcW w:w="105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3</w:t>
            </w:r>
          </w:p>
        </w:tc>
        <w:tc>
          <w:tcPr>
            <w:tcW w:w="145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10</w:t>
            </w:r>
          </w:p>
        </w:tc>
        <w:tc>
          <w:tcPr>
            <w:tcW w:w="2072"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250</w:t>
            </w:r>
          </w:p>
        </w:tc>
        <w:tc>
          <w:tcPr>
            <w:tcW w:w="241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2.50E+04</w:t>
            </w:r>
          </w:p>
        </w:tc>
        <w:tc>
          <w:tcPr>
            <w:tcW w:w="3402"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Sjollema et al. , 2015</w:t>
            </w:r>
          </w:p>
        </w:tc>
      </w:tr>
      <w:tr w:rsidR="009C4422" w:rsidRPr="00EB55BB" w:rsidTr="006D3FEF">
        <w:trPr>
          <w:trHeight w:val="288"/>
        </w:trPr>
        <w:tc>
          <w:tcPr>
            <w:tcW w:w="1577"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Chlorophyceae</w:t>
            </w:r>
          </w:p>
        </w:tc>
        <w:tc>
          <w:tcPr>
            <w:tcW w:w="195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i/>
                <w:iCs/>
                <w:lang w:val="en-GB" w:eastAsia="en-GB"/>
              </w:rPr>
            </w:pPr>
            <w:r w:rsidRPr="00526D2A">
              <w:rPr>
                <w:rFonts w:ascii="Calibri" w:hAnsi="Calibri"/>
                <w:i/>
                <w:iCs/>
                <w:lang w:val="en-GB"/>
              </w:rPr>
              <w:t>Dunaliella tertiolecta</w:t>
            </w:r>
          </w:p>
        </w:tc>
        <w:tc>
          <w:tcPr>
            <w:tcW w:w="118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Marine</w:t>
            </w:r>
          </w:p>
        </w:tc>
        <w:tc>
          <w:tcPr>
            <w:tcW w:w="97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PS</w:t>
            </w:r>
          </w:p>
        </w:tc>
        <w:tc>
          <w:tcPr>
            <w:tcW w:w="90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Sphere</w:t>
            </w:r>
          </w:p>
        </w:tc>
        <w:tc>
          <w:tcPr>
            <w:tcW w:w="120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56</w:t>
            </w:r>
          </w:p>
        </w:tc>
        <w:tc>
          <w:tcPr>
            <w:tcW w:w="143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Growth</w:t>
            </w:r>
          </w:p>
        </w:tc>
        <w:tc>
          <w:tcPr>
            <w:tcW w:w="1071"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EC</w:t>
            </w:r>
            <w:r w:rsidRPr="00526D2A">
              <w:rPr>
                <w:rFonts w:ascii="Calibri" w:hAnsi="Calibri"/>
                <w:vertAlign w:val="subscript"/>
                <w:lang w:val="en-GB"/>
              </w:rPr>
              <w:t>50</w:t>
            </w:r>
          </w:p>
        </w:tc>
        <w:tc>
          <w:tcPr>
            <w:tcW w:w="105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3</w:t>
            </w:r>
          </w:p>
        </w:tc>
        <w:tc>
          <w:tcPr>
            <w:tcW w:w="145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15</w:t>
            </w:r>
          </w:p>
        </w:tc>
        <w:tc>
          <w:tcPr>
            <w:tcW w:w="2072"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12.97</w:t>
            </w:r>
          </w:p>
        </w:tc>
        <w:tc>
          <w:tcPr>
            <w:tcW w:w="241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8.65E+02</w:t>
            </w:r>
          </w:p>
        </w:tc>
        <w:tc>
          <w:tcPr>
            <w:tcW w:w="3402"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Bergami et al., 2017</w:t>
            </w:r>
          </w:p>
        </w:tc>
      </w:tr>
      <w:tr w:rsidR="009C4422" w:rsidRPr="00EB55BB" w:rsidTr="006D3FEF">
        <w:trPr>
          <w:trHeight w:val="288"/>
        </w:trPr>
        <w:tc>
          <w:tcPr>
            <w:tcW w:w="1577"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Chlorophyceae</w:t>
            </w:r>
          </w:p>
        </w:tc>
        <w:tc>
          <w:tcPr>
            <w:tcW w:w="195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i/>
                <w:iCs/>
                <w:lang w:val="en-GB" w:eastAsia="en-GB"/>
              </w:rPr>
            </w:pPr>
            <w:r w:rsidRPr="00526D2A">
              <w:rPr>
                <w:rFonts w:ascii="Calibri" w:hAnsi="Calibri"/>
                <w:i/>
                <w:iCs/>
                <w:lang w:val="en-GB"/>
              </w:rPr>
              <w:t>Pseudokirchneriella subcapitata</w:t>
            </w:r>
          </w:p>
        </w:tc>
        <w:tc>
          <w:tcPr>
            <w:tcW w:w="118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Fresh</w:t>
            </w:r>
          </w:p>
        </w:tc>
        <w:tc>
          <w:tcPr>
            <w:tcW w:w="97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PS, PEI</w:t>
            </w:r>
          </w:p>
        </w:tc>
        <w:tc>
          <w:tcPr>
            <w:tcW w:w="90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Sphere</w:t>
            </w:r>
          </w:p>
        </w:tc>
        <w:tc>
          <w:tcPr>
            <w:tcW w:w="120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55</w:t>
            </w:r>
          </w:p>
        </w:tc>
        <w:tc>
          <w:tcPr>
            <w:tcW w:w="143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Growth</w:t>
            </w:r>
          </w:p>
        </w:tc>
        <w:tc>
          <w:tcPr>
            <w:tcW w:w="1071"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EC</w:t>
            </w:r>
            <w:r w:rsidRPr="00526D2A">
              <w:rPr>
                <w:rFonts w:ascii="Calibri" w:hAnsi="Calibri"/>
                <w:vertAlign w:val="subscript"/>
                <w:lang w:val="en-GB"/>
              </w:rPr>
              <w:t>50</w:t>
            </w:r>
          </w:p>
        </w:tc>
        <w:tc>
          <w:tcPr>
            <w:tcW w:w="105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3</w:t>
            </w:r>
          </w:p>
        </w:tc>
        <w:tc>
          <w:tcPr>
            <w:tcW w:w="145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15</w:t>
            </w:r>
          </w:p>
        </w:tc>
        <w:tc>
          <w:tcPr>
            <w:tcW w:w="2072"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0.58</w:t>
            </w:r>
          </w:p>
        </w:tc>
        <w:tc>
          <w:tcPr>
            <w:tcW w:w="241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3.87E+01</w:t>
            </w:r>
          </w:p>
        </w:tc>
        <w:tc>
          <w:tcPr>
            <w:tcW w:w="3402"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Casado et al., 2012</w:t>
            </w:r>
          </w:p>
        </w:tc>
      </w:tr>
      <w:tr w:rsidR="009C4422" w:rsidRPr="00EB55BB" w:rsidTr="006D3FEF">
        <w:trPr>
          <w:trHeight w:val="312"/>
        </w:trPr>
        <w:tc>
          <w:tcPr>
            <w:tcW w:w="1577"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Chlorophyceae</w:t>
            </w:r>
          </w:p>
        </w:tc>
        <w:tc>
          <w:tcPr>
            <w:tcW w:w="195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i/>
                <w:iCs/>
                <w:lang w:val="en-GB" w:eastAsia="en-GB"/>
              </w:rPr>
            </w:pPr>
            <w:r w:rsidRPr="00526D2A">
              <w:rPr>
                <w:rFonts w:ascii="Calibri" w:hAnsi="Calibri"/>
                <w:i/>
                <w:iCs/>
                <w:lang w:val="en-GB"/>
              </w:rPr>
              <w:t>Pseudokirchneriella subcapitata</w:t>
            </w:r>
          </w:p>
        </w:tc>
        <w:tc>
          <w:tcPr>
            <w:tcW w:w="118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Fresh</w:t>
            </w:r>
          </w:p>
        </w:tc>
        <w:tc>
          <w:tcPr>
            <w:tcW w:w="97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PS, PEI</w:t>
            </w:r>
          </w:p>
        </w:tc>
        <w:tc>
          <w:tcPr>
            <w:tcW w:w="90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Sphere</w:t>
            </w:r>
          </w:p>
        </w:tc>
        <w:tc>
          <w:tcPr>
            <w:tcW w:w="120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100</w:t>
            </w:r>
          </w:p>
        </w:tc>
        <w:tc>
          <w:tcPr>
            <w:tcW w:w="143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Growth</w:t>
            </w:r>
          </w:p>
        </w:tc>
        <w:tc>
          <w:tcPr>
            <w:tcW w:w="1071"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EC</w:t>
            </w:r>
            <w:r w:rsidRPr="00526D2A">
              <w:rPr>
                <w:rFonts w:ascii="Calibri" w:hAnsi="Calibri"/>
                <w:vertAlign w:val="subscript"/>
                <w:lang w:val="en-GB"/>
              </w:rPr>
              <w:t>50</w:t>
            </w:r>
          </w:p>
        </w:tc>
        <w:tc>
          <w:tcPr>
            <w:tcW w:w="105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3</w:t>
            </w:r>
          </w:p>
        </w:tc>
        <w:tc>
          <w:tcPr>
            <w:tcW w:w="145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15</w:t>
            </w:r>
          </w:p>
        </w:tc>
        <w:tc>
          <w:tcPr>
            <w:tcW w:w="2072"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0.54</w:t>
            </w:r>
          </w:p>
        </w:tc>
        <w:tc>
          <w:tcPr>
            <w:tcW w:w="241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3.60E+01</w:t>
            </w:r>
          </w:p>
        </w:tc>
        <w:tc>
          <w:tcPr>
            <w:tcW w:w="3402"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Casado et al., 2012</w:t>
            </w:r>
          </w:p>
        </w:tc>
      </w:tr>
      <w:tr w:rsidR="009C4422" w:rsidRPr="00EB55BB" w:rsidTr="006D3FEF">
        <w:trPr>
          <w:trHeight w:val="288"/>
        </w:trPr>
        <w:tc>
          <w:tcPr>
            <w:tcW w:w="1577"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Chlorophyceae</w:t>
            </w:r>
          </w:p>
        </w:tc>
        <w:tc>
          <w:tcPr>
            <w:tcW w:w="195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i/>
                <w:iCs/>
                <w:lang w:val="en-GB" w:eastAsia="en-GB"/>
              </w:rPr>
            </w:pPr>
            <w:r w:rsidRPr="00526D2A">
              <w:rPr>
                <w:rFonts w:ascii="Calibri" w:hAnsi="Calibri"/>
                <w:i/>
                <w:iCs/>
                <w:lang w:val="en-GB"/>
              </w:rPr>
              <w:t>Scenedesmus obliquus</w:t>
            </w:r>
          </w:p>
        </w:tc>
        <w:tc>
          <w:tcPr>
            <w:tcW w:w="118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Fresh</w:t>
            </w:r>
          </w:p>
        </w:tc>
        <w:tc>
          <w:tcPr>
            <w:tcW w:w="97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PS</w:t>
            </w:r>
          </w:p>
        </w:tc>
        <w:tc>
          <w:tcPr>
            <w:tcW w:w="90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Sphere</w:t>
            </w:r>
          </w:p>
        </w:tc>
        <w:tc>
          <w:tcPr>
            <w:tcW w:w="120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70</w:t>
            </w:r>
          </w:p>
        </w:tc>
        <w:tc>
          <w:tcPr>
            <w:tcW w:w="143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Growth</w:t>
            </w:r>
          </w:p>
        </w:tc>
        <w:tc>
          <w:tcPr>
            <w:tcW w:w="1071"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LOEC</w:t>
            </w:r>
          </w:p>
        </w:tc>
        <w:tc>
          <w:tcPr>
            <w:tcW w:w="105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3</w:t>
            </w:r>
          </w:p>
        </w:tc>
        <w:tc>
          <w:tcPr>
            <w:tcW w:w="145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10</w:t>
            </w:r>
          </w:p>
        </w:tc>
        <w:tc>
          <w:tcPr>
            <w:tcW w:w="2072"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1000</w:t>
            </w:r>
          </w:p>
        </w:tc>
        <w:tc>
          <w:tcPr>
            <w:tcW w:w="241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1.00E+05</w:t>
            </w:r>
          </w:p>
        </w:tc>
        <w:tc>
          <w:tcPr>
            <w:tcW w:w="3402"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Besseling et al., 2014</w:t>
            </w:r>
          </w:p>
        </w:tc>
      </w:tr>
      <w:tr w:rsidR="009C4422" w:rsidRPr="00EB55BB" w:rsidTr="006D3FEF">
        <w:trPr>
          <w:trHeight w:val="288"/>
        </w:trPr>
        <w:tc>
          <w:tcPr>
            <w:tcW w:w="1577"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Anostraca</w:t>
            </w:r>
          </w:p>
        </w:tc>
        <w:tc>
          <w:tcPr>
            <w:tcW w:w="195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i/>
                <w:iCs/>
                <w:lang w:val="en-GB" w:eastAsia="en-GB"/>
              </w:rPr>
            </w:pPr>
            <w:r w:rsidRPr="00526D2A">
              <w:rPr>
                <w:rFonts w:ascii="Calibri" w:hAnsi="Calibri"/>
                <w:i/>
                <w:iCs/>
                <w:lang w:val="en-GB"/>
              </w:rPr>
              <w:t>Artemia franciscana</w:t>
            </w:r>
          </w:p>
        </w:tc>
        <w:tc>
          <w:tcPr>
            <w:tcW w:w="118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Marine</w:t>
            </w:r>
          </w:p>
        </w:tc>
        <w:tc>
          <w:tcPr>
            <w:tcW w:w="97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PS</w:t>
            </w:r>
          </w:p>
        </w:tc>
        <w:tc>
          <w:tcPr>
            <w:tcW w:w="90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Sphere</w:t>
            </w:r>
          </w:p>
        </w:tc>
        <w:tc>
          <w:tcPr>
            <w:tcW w:w="120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56</w:t>
            </w:r>
          </w:p>
        </w:tc>
        <w:tc>
          <w:tcPr>
            <w:tcW w:w="143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Survival</w:t>
            </w:r>
          </w:p>
        </w:tc>
        <w:tc>
          <w:tcPr>
            <w:tcW w:w="1071"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LC</w:t>
            </w:r>
            <w:r w:rsidRPr="00526D2A">
              <w:rPr>
                <w:rFonts w:ascii="Calibri" w:hAnsi="Calibri"/>
                <w:vertAlign w:val="subscript"/>
                <w:lang w:val="en-GB"/>
              </w:rPr>
              <w:t>50</w:t>
            </w:r>
          </w:p>
        </w:tc>
        <w:tc>
          <w:tcPr>
            <w:tcW w:w="105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14</w:t>
            </w:r>
          </w:p>
        </w:tc>
        <w:tc>
          <w:tcPr>
            <w:tcW w:w="145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20</w:t>
            </w:r>
          </w:p>
        </w:tc>
        <w:tc>
          <w:tcPr>
            <w:tcW w:w="2072"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0.83</w:t>
            </w:r>
          </w:p>
        </w:tc>
        <w:tc>
          <w:tcPr>
            <w:tcW w:w="241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4.15E+01</w:t>
            </w:r>
          </w:p>
        </w:tc>
        <w:tc>
          <w:tcPr>
            <w:tcW w:w="3402"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Bergami et al., 2017</w:t>
            </w:r>
          </w:p>
        </w:tc>
      </w:tr>
      <w:tr w:rsidR="009C4422" w:rsidRPr="00EB55BB" w:rsidTr="006D3FEF">
        <w:trPr>
          <w:trHeight w:val="312"/>
        </w:trPr>
        <w:tc>
          <w:tcPr>
            <w:tcW w:w="1577"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Anostraca</w:t>
            </w:r>
          </w:p>
        </w:tc>
        <w:tc>
          <w:tcPr>
            <w:tcW w:w="195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i/>
                <w:iCs/>
                <w:lang w:val="en-GB" w:eastAsia="en-GB"/>
              </w:rPr>
            </w:pPr>
            <w:r w:rsidRPr="00526D2A">
              <w:rPr>
                <w:rFonts w:ascii="Calibri" w:hAnsi="Calibri"/>
                <w:i/>
                <w:iCs/>
                <w:lang w:val="en-GB"/>
              </w:rPr>
              <w:t>Artemia franciscana</w:t>
            </w:r>
          </w:p>
        </w:tc>
        <w:tc>
          <w:tcPr>
            <w:tcW w:w="118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Marine</w:t>
            </w:r>
          </w:p>
        </w:tc>
        <w:tc>
          <w:tcPr>
            <w:tcW w:w="97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PS</w:t>
            </w:r>
          </w:p>
        </w:tc>
        <w:tc>
          <w:tcPr>
            <w:tcW w:w="90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Sphere</w:t>
            </w:r>
          </w:p>
        </w:tc>
        <w:tc>
          <w:tcPr>
            <w:tcW w:w="120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50</w:t>
            </w:r>
          </w:p>
        </w:tc>
        <w:tc>
          <w:tcPr>
            <w:tcW w:w="143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Growth</w:t>
            </w:r>
          </w:p>
        </w:tc>
        <w:tc>
          <w:tcPr>
            <w:tcW w:w="1071"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LOEC</w:t>
            </w:r>
          </w:p>
        </w:tc>
        <w:tc>
          <w:tcPr>
            <w:tcW w:w="105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2</w:t>
            </w:r>
          </w:p>
        </w:tc>
        <w:tc>
          <w:tcPr>
            <w:tcW w:w="145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10</w:t>
            </w:r>
          </w:p>
        </w:tc>
        <w:tc>
          <w:tcPr>
            <w:tcW w:w="2072"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50</w:t>
            </w:r>
          </w:p>
        </w:tc>
        <w:tc>
          <w:tcPr>
            <w:tcW w:w="241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5.00E+03</w:t>
            </w:r>
          </w:p>
        </w:tc>
        <w:tc>
          <w:tcPr>
            <w:tcW w:w="3402"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Bergami et al., 2016</w:t>
            </w:r>
          </w:p>
        </w:tc>
      </w:tr>
      <w:tr w:rsidR="009C4422" w:rsidRPr="00397119" w:rsidTr="006D3FEF">
        <w:trPr>
          <w:trHeight w:val="288"/>
        </w:trPr>
        <w:tc>
          <w:tcPr>
            <w:tcW w:w="1577"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Anostraca</w:t>
            </w:r>
          </w:p>
        </w:tc>
        <w:tc>
          <w:tcPr>
            <w:tcW w:w="195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i/>
                <w:iCs/>
                <w:lang w:val="en-GB" w:eastAsia="en-GB"/>
              </w:rPr>
            </w:pPr>
            <w:r w:rsidRPr="00526D2A">
              <w:rPr>
                <w:rFonts w:ascii="Calibri" w:hAnsi="Calibri"/>
                <w:i/>
                <w:iCs/>
                <w:lang w:val="en-GB"/>
              </w:rPr>
              <w:t>Thamnocephalus platyurus</w:t>
            </w:r>
          </w:p>
        </w:tc>
        <w:tc>
          <w:tcPr>
            <w:tcW w:w="118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Fresh</w:t>
            </w:r>
          </w:p>
        </w:tc>
        <w:tc>
          <w:tcPr>
            <w:tcW w:w="97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PS, PEI</w:t>
            </w:r>
          </w:p>
        </w:tc>
        <w:tc>
          <w:tcPr>
            <w:tcW w:w="90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Sphere</w:t>
            </w:r>
          </w:p>
        </w:tc>
        <w:tc>
          <w:tcPr>
            <w:tcW w:w="120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55</w:t>
            </w:r>
          </w:p>
        </w:tc>
        <w:tc>
          <w:tcPr>
            <w:tcW w:w="143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Survival</w:t>
            </w:r>
          </w:p>
        </w:tc>
        <w:tc>
          <w:tcPr>
            <w:tcW w:w="1071"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LC</w:t>
            </w:r>
            <w:r w:rsidRPr="00526D2A">
              <w:rPr>
                <w:rFonts w:ascii="Calibri" w:hAnsi="Calibri"/>
                <w:vertAlign w:val="subscript"/>
                <w:lang w:val="en-GB"/>
              </w:rPr>
              <w:t>50</w:t>
            </w:r>
          </w:p>
        </w:tc>
        <w:tc>
          <w:tcPr>
            <w:tcW w:w="105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1</w:t>
            </w:r>
          </w:p>
        </w:tc>
        <w:tc>
          <w:tcPr>
            <w:tcW w:w="145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30</w:t>
            </w:r>
          </w:p>
        </w:tc>
        <w:tc>
          <w:tcPr>
            <w:tcW w:w="2072"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5.2</w:t>
            </w:r>
          </w:p>
        </w:tc>
        <w:tc>
          <w:tcPr>
            <w:tcW w:w="241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1.73E+02</w:t>
            </w:r>
          </w:p>
        </w:tc>
        <w:tc>
          <w:tcPr>
            <w:tcW w:w="3402"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Casado et al., 2012</w:t>
            </w:r>
          </w:p>
        </w:tc>
      </w:tr>
      <w:tr w:rsidR="009C4422" w:rsidRPr="00397119" w:rsidTr="006D3FEF">
        <w:trPr>
          <w:trHeight w:val="312"/>
        </w:trPr>
        <w:tc>
          <w:tcPr>
            <w:tcW w:w="1577"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Anostraca</w:t>
            </w:r>
          </w:p>
        </w:tc>
        <w:tc>
          <w:tcPr>
            <w:tcW w:w="195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i/>
                <w:iCs/>
                <w:lang w:val="en-GB" w:eastAsia="en-GB"/>
              </w:rPr>
            </w:pPr>
            <w:r w:rsidRPr="00526D2A">
              <w:rPr>
                <w:rFonts w:ascii="Calibri" w:hAnsi="Calibri"/>
                <w:i/>
                <w:iCs/>
                <w:lang w:val="en-GB"/>
              </w:rPr>
              <w:t>Thamnocephalus platyurus</w:t>
            </w:r>
          </w:p>
        </w:tc>
        <w:tc>
          <w:tcPr>
            <w:tcW w:w="118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Fresh</w:t>
            </w:r>
          </w:p>
        </w:tc>
        <w:tc>
          <w:tcPr>
            <w:tcW w:w="97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PS, PEI</w:t>
            </w:r>
          </w:p>
        </w:tc>
        <w:tc>
          <w:tcPr>
            <w:tcW w:w="90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Sphere</w:t>
            </w:r>
          </w:p>
        </w:tc>
        <w:tc>
          <w:tcPr>
            <w:tcW w:w="120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100</w:t>
            </w:r>
          </w:p>
        </w:tc>
        <w:tc>
          <w:tcPr>
            <w:tcW w:w="143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Survival</w:t>
            </w:r>
          </w:p>
        </w:tc>
        <w:tc>
          <w:tcPr>
            <w:tcW w:w="1071"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LC</w:t>
            </w:r>
            <w:r w:rsidRPr="00526D2A">
              <w:rPr>
                <w:rFonts w:ascii="Calibri" w:hAnsi="Calibri"/>
                <w:vertAlign w:val="subscript"/>
                <w:lang w:val="en-GB"/>
              </w:rPr>
              <w:t>50</w:t>
            </w:r>
          </w:p>
        </w:tc>
        <w:tc>
          <w:tcPr>
            <w:tcW w:w="105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1</w:t>
            </w:r>
          </w:p>
        </w:tc>
        <w:tc>
          <w:tcPr>
            <w:tcW w:w="145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30</w:t>
            </w:r>
          </w:p>
        </w:tc>
        <w:tc>
          <w:tcPr>
            <w:tcW w:w="2072"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4.03</w:t>
            </w:r>
          </w:p>
        </w:tc>
        <w:tc>
          <w:tcPr>
            <w:tcW w:w="241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1.34E+02</w:t>
            </w:r>
          </w:p>
        </w:tc>
        <w:tc>
          <w:tcPr>
            <w:tcW w:w="3402"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Casado et al., 2012</w:t>
            </w:r>
          </w:p>
        </w:tc>
      </w:tr>
      <w:tr w:rsidR="009C4422" w:rsidRPr="00397119" w:rsidTr="006D3FEF">
        <w:trPr>
          <w:trHeight w:val="312"/>
        </w:trPr>
        <w:tc>
          <w:tcPr>
            <w:tcW w:w="1577"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Cladocera</w:t>
            </w:r>
          </w:p>
        </w:tc>
        <w:tc>
          <w:tcPr>
            <w:tcW w:w="195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i/>
                <w:iCs/>
                <w:lang w:val="en-GB" w:eastAsia="en-GB"/>
              </w:rPr>
            </w:pPr>
            <w:r w:rsidRPr="00526D2A">
              <w:rPr>
                <w:rFonts w:ascii="Calibri" w:hAnsi="Calibri"/>
                <w:i/>
                <w:iCs/>
                <w:lang w:val="en-GB"/>
              </w:rPr>
              <w:t>Daphnia magna</w:t>
            </w:r>
          </w:p>
        </w:tc>
        <w:tc>
          <w:tcPr>
            <w:tcW w:w="118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Fresh</w:t>
            </w:r>
          </w:p>
        </w:tc>
        <w:tc>
          <w:tcPr>
            <w:tcW w:w="97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PS</w:t>
            </w:r>
          </w:p>
        </w:tc>
        <w:tc>
          <w:tcPr>
            <w:tcW w:w="90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Sphere</w:t>
            </w:r>
          </w:p>
        </w:tc>
        <w:tc>
          <w:tcPr>
            <w:tcW w:w="120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70</w:t>
            </w:r>
          </w:p>
        </w:tc>
        <w:tc>
          <w:tcPr>
            <w:tcW w:w="143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Survival</w:t>
            </w:r>
          </w:p>
        </w:tc>
        <w:tc>
          <w:tcPr>
            <w:tcW w:w="1071"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LOEC</w:t>
            </w:r>
          </w:p>
        </w:tc>
        <w:tc>
          <w:tcPr>
            <w:tcW w:w="105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21</w:t>
            </w:r>
          </w:p>
        </w:tc>
        <w:tc>
          <w:tcPr>
            <w:tcW w:w="145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1</w:t>
            </w:r>
          </w:p>
        </w:tc>
        <w:tc>
          <w:tcPr>
            <w:tcW w:w="2072"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32</w:t>
            </w:r>
          </w:p>
        </w:tc>
        <w:tc>
          <w:tcPr>
            <w:tcW w:w="241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3.20E+04</w:t>
            </w:r>
          </w:p>
        </w:tc>
        <w:tc>
          <w:tcPr>
            <w:tcW w:w="3402"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Besseling et al., 2014</w:t>
            </w:r>
          </w:p>
        </w:tc>
      </w:tr>
      <w:tr w:rsidR="009C4422" w:rsidRPr="008C323D" w:rsidTr="006D3FEF">
        <w:trPr>
          <w:trHeight w:val="288"/>
        </w:trPr>
        <w:tc>
          <w:tcPr>
            <w:tcW w:w="1577" w:type="dxa"/>
            <w:shd w:val="clear" w:color="auto" w:fill="auto"/>
            <w:noWrap/>
            <w:vAlign w:val="center"/>
            <w:hideMark/>
          </w:tcPr>
          <w:p w:rsidR="009C4422" w:rsidRPr="00801A9C"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Cladocer</w:t>
            </w:r>
            <w:r w:rsidRPr="00801A9C">
              <w:rPr>
                <w:rFonts w:ascii="Calibri" w:hAnsi="Calibri"/>
                <w:lang w:val="en-GB"/>
              </w:rPr>
              <w:t>a</w:t>
            </w:r>
          </w:p>
        </w:tc>
        <w:tc>
          <w:tcPr>
            <w:tcW w:w="195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i/>
                <w:iCs/>
                <w:lang w:eastAsia="en-GB"/>
              </w:rPr>
            </w:pPr>
            <w:r w:rsidRPr="008C323D">
              <w:rPr>
                <w:rFonts w:ascii="Calibri" w:hAnsi="Calibri"/>
                <w:i/>
                <w:iCs/>
              </w:rPr>
              <w:t>Daphnia magna</w:t>
            </w:r>
          </w:p>
        </w:tc>
        <w:tc>
          <w:tcPr>
            <w:tcW w:w="1180"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Fresh</w:t>
            </w:r>
          </w:p>
        </w:tc>
        <w:tc>
          <w:tcPr>
            <w:tcW w:w="97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PS</w:t>
            </w:r>
          </w:p>
        </w:tc>
        <w:tc>
          <w:tcPr>
            <w:tcW w:w="90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Sphere</w:t>
            </w:r>
          </w:p>
        </w:tc>
        <w:tc>
          <w:tcPr>
            <w:tcW w:w="1200"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85.51 - 89.09</w:t>
            </w:r>
          </w:p>
        </w:tc>
        <w:tc>
          <w:tcPr>
            <w:tcW w:w="143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Survival</w:t>
            </w:r>
          </w:p>
        </w:tc>
        <w:tc>
          <w:tcPr>
            <w:tcW w:w="1071"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LC</w:t>
            </w:r>
            <w:r w:rsidRPr="008C323D">
              <w:rPr>
                <w:rFonts w:ascii="Calibri" w:hAnsi="Calibri"/>
                <w:vertAlign w:val="subscript"/>
              </w:rPr>
              <w:t>50</w:t>
            </w:r>
          </w:p>
        </w:tc>
        <w:tc>
          <w:tcPr>
            <w:tcW w:w="1056"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1</w:t>
            </w:r>
          </w:p>
        </w:tc>
        <w:tc>
          <w:tcPr>
            <w:tcW w:w="145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30</w:t>
            </w:r>
          </w:p>
        </w:tc>
        <w:tc>
          <w:tcPr>
            <w:tcW w:w="2072"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36.3</w:t>
            </w:r>
          </w:p>
        </w:tc>
        <w:tc>
          <w:tcPr>
            <w:tcW w:w="2410"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1.21E+03</w:t>
            </w:r>
          </w:p>
        </w:tc>
        <w:tc>
          <w:tcPr>
            <w:tcW w:w="3402"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Nasser and Lynch, 2016</w:t>
            </w:r>
          </w:p>
        </w:tc>
      </w:tr>
      <w:tr w:rsidR="009C4422" w:rsidRPr="008C323D" w:rsidTr="006D3FEF">
        <w:trPr>
          <w:trHeight w:val="288"/>
        </w:trPr>
        <w:tc>
          <w:tcPr>
            <w:tcW w:w="1577"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Cladocera</w:t>
            </w:r>
          </w:p>
        </w:tc>
        <w:tc>
          <w:tcPr>
            <w:tcW w:w="195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i/>
                <w:iCs/>
                <w:lang w:eastAsia="en-GB"/>
              </w:rPr>
            </w:pPr>
            <w:r w:rsidRPr="008C323D">
              <w:rPr>
                <w:rFonts w:ascii="Calibri" w:hAnsi="Calibri"/>
                <w:i/>
                <w:iCs/>
              </w:rPr>
              <w:t>Daphnia magna</w:t>
            </w:r>
          </w:p>
        </w:tc>
        <w:tc>
          <w:tcPr>
            <w:tcW w:w="1180"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Fresh</w:t>
            </w:r>
          </w:p>
        </w:tc>
        <w:tc>
          <w:tcPr>
            <w:tcW w:w="97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PS</w:t>
            </w:r>
          </w:p>
        </w:tc>
        <w:tc>
          <w:tcPr>
            <w:tcW w:w="90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Sphere</w:t>
            </w:r>
          </w:p>
        </w:tc>
        <w:tc>
          <w:tcPr>
            <w:tcW w:w="1200"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85.51 - 89.09</w:t>
            </w:r>
          </w:p>
        </w:tc>
        <w:tc>
          <w:tcPr>
            <w:tcW w:w="143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Survival</w:t>
            </w:r>
          </w:p>
        </w:tc>
        <w:tc>
          <w:tcPr>
            <w:tcW w:w="1071"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LC</w:t>
            </w:r>
            <w:r w:rsidRPr="008C323D">
              <w:rPr>
                <w:rFonts w:ascii="Calibri" w:hAnsi="Calibri"/>
                <w:vertAlign w:val="subscript"/>
              </w:rPr>
              <w:t>50</w:t>
            </w:r>
          </w:p>
        </w:tc>
        <w:tc>
          <w:tcPr>
            <w:tcW w:w="1056"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1</w:t>
            </w:r>
          </w:p>
        </w:tc>
        <w:tc>
          <w:tcPr>
            <w:tcW w:w="145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30</w:t>
            </w:r>
          </w:p>
        </w:tc>
        <w:tc>
          <w:tcPr>
            <w:tcW w:w="2072"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25.8</w:t>
            </w:r>
          </w:p>
        </w:tc>
        <w:tc>
          <w:tcPr>
            <w:tcW w:w="2410"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8.60E+02</w:t>
            </w:r>
          </w:p>
        </w:tc>
        <w:tc>
          <w:tcPr>
            <w:tcW w:w="3402"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Nasser and Lynch, 2016</w:t>
            </w:r>
          </w:p>
        </w:tc>
      </w:tr>
      <w:tr w:rsidR="009C4422" w:rsidRPr="008C323D" w:rsidTr="006D3FEF">
        <w:trPr>
          <w:trHeight w:val="288"/>
        </w:trPr>
        <w:tc>
          <w:tcPr>
            <w:tcW w:w="1577"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Cladocera</w:t>
            </w:r>
          </w:p>
        </w:tc>
        <w:tc>
          <w:tcPr>
            <w:tcW w:w="195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i/>
                <w:iCs/>
                <w:lang w:eastAsia="en-GB"/>
              </w:rPr>
            </w:pPr>
            <w:r w:rsidRPr="008C323D">
              <w:rPr>
                <w:rFonts w:ascii="Calibri" w:hAnsi="Calibri"/>
                <w:i/>
                <w:iCs/>
              </w:rPr>
              <w:t>Daphnia magna</w:t>
            </w:r>
          </w:p>
        </w:tc>
        <w:tc>
          <w:tcPr>
            <w:tcW w:w="1180"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Fresh</w:t>
            </w:r>
          </w:p>
        </w:tc>
        <w:tc>
          <w:tcPr>
            <w:tcW w:w="97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PS</w:t>
            </w:r>
          </w:p>
        </w:tc>
        <w:tc>
          <w:tcPr>
            <w:tcW w:w="90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Sphere</w:t>
            </w:r>
          </w:p>
        </w:tc>
        <w:tc>
          <w:tcPr>
            <w:tcW w:w="1200"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70</w:t>
            </w:r>
          </w:p>
        </w:tc>
        <w:tc>
          <w:tcPr>
            <w:tcW w:w="143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Growth</w:t>
            </w:r>
          </w:p>
        </w:tc>
        <w:tc>
          <w:tcPr>
            <w:tcW w:w="1071"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LOEC</w:t>
            </w:r>
          </w:p>
        </w:tc>
        <w:tc>
          <w:tcPr>
            <w:tcW w:w="1056"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21</w:t>
            </w:r>
          </w:p>
        </w:tc>
        <w:tc>
          <w:tcPr>
            <w:tcW w:w="145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1</w:t>
            </w:r>
          </w:p>
        </w:tc>
        <w:tc>
          <w:tcPr>
            <w:tcW w:w="2072"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1</w:t>
            </w:r>
          </w:p>
        </w:tc>
        <w:tc>
          <w:tcPr>
            <w:tcW w:w="2410"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1.00E+03</w:t>
            </w:r>
          </w:p>
        </w:tc>
        <w:tc>
          <w:tcPr>
            <w:tcW w:w="3402"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Besseling et al., 2014</w:t>
            </w:r>
          </w:p>
        </w:tc>
      </w:tr>
      <w:tr w:rsidR="009C4422" w:rsidRPr="008C323D" w:rsidTr="006D3FEF">
        <w:trPr>
          <w:trHeight w:val="288"/>
        </w:trPr>
        <w:tc>
          <w:tcPr>
            <w:tcW w:w="1577"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Cladocera</w:t>
            </w:r>
          </w:p>
        </w:tc>
        <w:tc>
          <w:tcPr>
            <w:tcW w:w="195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i/>
                <w:iCs/>
                <w:lang w:eastAsia="en-GB"/>
              </w:rPr>
            </w:pPr>
            <w:r w:rsidRPr="008C323D">
              <w:rPr>
                <w:rFonts w:ascii="Calibri" w:hAnsi="Calibri"/>
                <w:i/>
                <w:iCs/>
              </w:rPr>
              <w:t>Daphnia magna</w:t>
            </w:r>
          </w:p>
        </w:tc>
        <w:tc>
          <w:tcPr>
            <w:tcW w:w="1180"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Fresh</w:t>
            </w:r>
          </w:p>
        </w:tc>
        <w:tc>
          <w:tcPr>
            <w:tcW w:w="97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PS</w:t>
            </w:r>
          </w:p>
        </w:tc>
        <w:tc>
          <w:tcPr>
            <w:tcW w:w="90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Sphere</w:t>
            </w:r>
          </w:p>
        </w:tc>
        <w:tc>
          <w:tcPr>
            <w:tcW w:w="1200"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70</w:t>
            </w:r>
          </w:p>
        </w:tc>
        <w:tc>
          <w:tcPr>
            <w:tcW w:w="143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Growth</w:t>
            </w:r>
          </w:p>
        </w:tc>
        <w:tc>
          <w:tcPr>
            <w:tcW w:w="1071"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LOEC</w:t>
            </w:r>
          </w:p>
        </w:tc>
        <w:tc>
          <w:tcPr>
            <w:tcW w:w="1056"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21</w:t>
            </w:r>
          </w:p>
        </w:tc>
        <w:tc>
          <w:tcPr>
            <w:tcW w:w="145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1</w:t>
            </w:r>
          </w:p>
        </w:tc>
        <w:tc>
          <w:tcPr>
            <w:tcW w:w="2072"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100</w:t>
            </w:r>
          </w:p>
        </w:tc>
        <w:tc>
          <w:tcPr>
            <w:tcW w:w="2410"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1.00E+05</w:t>
            </w:r>
          </w:p>
        </w:tc>
        <w:tc>
          <w:tcPr>
            <w:tcW w:w="3402"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Besseling et al., 2014</w:t>
            </w:r>
          </w:p>
        </w:tc>
      </w:tr>
      <w:tr w:rsidR="009C4422" w:rsidRPr="008C323D" w:rsidTr="006D3FEF">
        <w:trPr>
          <w:trHeight w:val="312"/>
        </w:trPr>
        <w:tc>
          <w:tcPr>
            <w:tcW w:w="1577"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Cladocera</w:t>
            </w:r>
          </w:p>
        </w:tc>
        <w:tc>
          <w:tcPr>
            <w:tcW w:w="195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i/>
                <w:iCs/>
                <w:lang w:eastAsia="en-GB"/>
              </w:rPr>
            </w:pPr>
            <w:r w:rsidRPr="008C323D">
              <w:rPr>
                <w:rFonts w:ascii="Calibri" w:hAnsi="Calibri"/>
                <w:i/>
                <w:iCs/>
              </w:rPr>
              <w:t>Daphnia magna</w:t>
            </w:r>
          </w:p>
        </w:tc>
        <w:tc>
          <w:tcPr>
            <w:tcW w:w="1180"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Fresh</w:t>
            </w:r>
          </w:p>
        </w:tc>
        <w:tc>
          <w:tcPr>
            <w:tcW w:w="97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PS</w:t>
            </w:r>
          </w:p>
        </w:tc>
        <w:tc>
          <w:tcPr>
            <w:tcW w:w="90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Sphere</w:t>
            </w:r>
          </w:p>
        </w:tc>
        <w:tc>
          <w:tcPr>
            <w:tcW w:w="1200"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70</w:t>
            </w:r>
          </w:p>
        </w:tc>
        <w:tc>
          <w:tcPr>
            <w:tcW w:w="143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Reproduction</w:t>
            </w:r>
          </w:p>
        </w:tc>
        <w:tc>
          <w:tcPr>
            <w:tcW w:w="1071"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LOEC</w:t>
            </w:r>
          </w:p>
        </w:tc>
        <w:tc>
          <w:tcPr>
            <w:tcW w:w="1056"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21</w:t>
            </w:r>
          </w:p>
        </w:tc>
        <w:tc>
          <w:tcPr>
            <w:tcW w:w="145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1</w:t>
            </w:r>
          </w:p>
        </w:tc>
        <w:tc>
          <w:tcPr>
            <w:tcW w:w="2072"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100</w:t>
            </w:r>
          </w:p>
        </w:tc>
        <w:tc>
          <w:tcPr>
            <w:tcW w:w="2410"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1.00E+05</w:t>
            </w:r>
          </w:p>
        </w:tc>
        <w:tc>
          <w:tcPr>
            <w:tcW w:w="3402"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Besseling et al., 2014</w:t>
            </w:r>
          </w:p>
        </w:tc>
      </w:tr>
      <w:tr w:rsidR="009C4422" w:rsidRPr="008C323D" w:rsidTr="006D3FEF">
        <w:trPr>
          <w:trHeight w:val="312"/>
        </w:trPr>
        <w:tc>
          <w:tcPr>
            <w:tcW w:w="1577"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Copepoda</w:t>
            </w:r>
          </w:p>
        </w:tc>
        <w:tc>
          <w:tcPr>
            <w:tcW w:w="195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i/>
                <w:iCs/>
                <w:lang w:eastAsia="en-GB"/>
              </w:rPr>
            </w:pPr>
            <w:r w:rsidRPr="008C323D">
              <w:rPr>
                <w:rFonts w:ascii="Calibri" w:hAnsi="Calibri"/>
                <w:i/>
                <w:iCs/>
              </w:rPr>
              <w:t>Tigriopus japonicus</w:t>
            </w:r>
          </w:p>
        </w:tc>
        <w:tc>
          <w:tcPr>
            <w:tcW w:w="1180"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Brackish</w:t>
            </w:r>
          </w:p>
        </w:tc>
        <w:tc>
          <w:tcPr>
            <w:tcW w:w="97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PS</w:t>
            </w:r>
          </w:p>
        </w:tc>
        <w:tc>
          <w:tcPr>
            <w:tcW w:w="90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Sphere</w:t>
            </w:r>
          </w:p>
        </w:tc>
        <w:tc>
          <w:tcPr>
            <w:tcW w:w="1200"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50</w:t>
            </w:r>
          </w:p>
        </w:tc>
        <w:tc>
          <w:tcPr>
            <w:tcW w:w="143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Survival</w:t>
            </w:r>
          </w:p>
        </w:tc>
        <w:tc>
          <w:tcPr>
            <w:tcW w:w="1071"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LC</w:t>
            </w:r>
            <w:r w:rsidRPr="008C323D">
              <w:rPr>
                <w:rFonts w:ascii="Calibri" w:hAnsi="Calibri"/>
                <w:vertAlign w:val="subscript"/>
              </w:rPr>
              <w:t>50</w:t>
            </w:r>
          </w:p>
        </w:tc>
        <w:tc>
          <w:tcPr>
            <w:tcW w:w="1056"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14</w:t>
            </w:r>
          </w:p>
        </w:tc>
        <w:tc>
          <w:tcPr>
            <w:tcW w:w="145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20</w:t>
            </w:r>
          </w:p>
        </w:tc>
        <w:tc>
          <w:tcPr>
            <w:tcW w:w="2072"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2.15</w:t>
            </w:r>
          </w:p>
        </w:tc>
        <w:tc>
          <w:tcPr>
            <w:tcW w:w="2410"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1.08E+02</w:t>
            </w:r>
          </w:p>
        </w:tc>
        <w:tc>
          <w:tcPr>
            <w:tcW w:w="3402"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Lee et al., 2013</w:t>
            </w:r>
          </w:p>
        </w:tc>
      </w:tr>
      <w:tr w:rsidR="009C4422" w:rsidRPr="008C323D" w:rsidTr="006D3FEF">
        <w:trPr>
          <w:trHeight w:val="312"/>
        </w:trPr>
        <w:tc>
          <w:tcPr>
            <w:tcW w:w="1577"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Copepoda</w:t>
            </w:r>
          </w:p>
        </w:tc>
        <w:tc>
          <w:tcPr>
            <w:tcW w:w="195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i/>
                <w:iCs/>
                <w:lang w:eastAsia="en-GB"/>
              </w:rPr>
            </w:pPr>
            <w:r w:rsidRPr="008C323D">
              <w:rPr>
                <w:rFonts w:ascii="Calibri" w:hAnsi="Calibri"/>
                <w:i/>
                <w:iCs/>
              </w:rPr>
              <w:t>Tigriopus japonicus</w:t>
            </w:r>
          </w:p>
        </w:tc>
        <w:tc>
          <w:tcPr>
            <w:tcW w:w="1180"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Brackish</w:t>
            </w:r>
          </w:p>
        </w:tc>
        <w:tc>
          <w:tcPr>
            <w:tcW w:w="97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PS</w:t>
            </w:r>
          </w:p>
        </w:tc>
        <w:tc>
          <w:tcPr>
            <w:tcW w:w="90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Sphere</w:t>
            </w:r>
          </w:p>
        </w:tc>
        <w:tc>
          <w:tcPr>
            <w:tcW w:w="1200"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50</w:t>
            </w:r>
          </w:p>
        </w:tc>
        <w:tc>
          <w:tcPr>
            <w:tcW w:w="143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Survival</w:t>
            </w:r>
          </w:p>
        </w:tc>
        <w:tc>
          <w:tcPr>
            <w:tcW w:w="1071"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LC</w:t>
            </w:r>
            <w:r w:rsidRPr="008C323D">
              <w:rPr>
                <w:rFonts w:ascii="Calibri" w:hAnsi="Calibri"/>
                <w:vertAlign w:val="subscript"/>
              </w:rPr>
              <w:t>50</w:t>
            </w:r>
          </w:p>
        </w:tc>
        <w:tc>
          <w:tcPr>
            <w:tcW w:w="1056"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14</w:t>
            </w:r>
          </w:p>
        </w:tc>
        <w:tc>
          <w:tcPr>
            <w:tcW w:w="145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20</w:t>
            </w:r>
          </w:p>
        </w:tc>
        <w:tc>
          <w:tcPr>
            <w:tcW w:w="2072"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0.16</w:t>
            </w:r>
          </w:p>
        </w:tc>
        <w:tc>
          <w:tcPr>
            <w:tcW w:w="2410"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8.00E+00</w:t>
            </w:r>
          </w:p>
        </w:tc>
        <w:tc>
          <w:tcPr>
            <w:tcW w:w="3402"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Lee et al., 2013</w:t>
            </w:r>
          </w:p>
        </w:tc>
      </w:tr>
      <w:tr w:rsidR="009C4422" w:rsidRPr="008C323D" w:rsidTr="006D3FEF">
        <w:trPr>
          <w:trHeight w:val="312"/>
        </w:trPr>
        <w:tc>
          <w:tcPr>
            <w:tcW w:w="1577"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Echinodermata</w:t>
            </w:r>
          </w:p>
        </w:tc>
        <w:tc>
          <w:tcPr>
            <w:tcW w:w="195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i/>
                <w:iCs/>
                <w:lang w:eastAsia="en-GB"/>
              </w:rPr>
            </w:pPr>
            <w:r w:rsidRPr="008C323D">
              <w:rPr>
                <w:rFonts w:ascii="Calibri" w:hAnsi="Calibri"/>
                <w:i/>
                <w:iCs/>
              </w:rPr>
              <w:t>Paracentrotus lividus</w:t>
            </w:r>
          </w:p>
        </w:tc>
        <w:tc>
          <w:tcPr>
            <w:tcW w:w="1180"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Marine</w:t>
            </w:r>
          </w:p>
        </w:tc>
        <w:tc>
          <w:tcPr>
            <w:tcW w:w="97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PS</w:t>
            </w:r>
          </w:p>
        </w:tc>
        <w:tc>
          <w:tcPr>
            <w:tcW w:w="90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Sphere</w:t>
            </w:r>
          </w:p>
        </w:tc>
        <w:tc>
          <w:tcPr>
            <w:tcW w:w="1200"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40</w:t>
            </w:r>
          </w:p>
        </w:tc>
        <w:tc>
          <w:tcPr>
            <w:tcW w:w="143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Survival</w:t>
            </w:r>
          </w:p>
        </w:tc>
        <w:tc>
          <w:tcPr>
            <w:tcW w:w="1071"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LOEC</w:t>
            </w:r>
          </w:p>
        </w:tc>
        <w:tc>
          <w:tcPr>
            <w:tcW w:w="1056"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2</w:t>
            </w:r>
          </w:p>
        </w:tc>
        <w:tc>
          <w:tcPr>
            <w:tcW w:w="145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10</w:t>
            </w:r>
          </w:p>
        </w:tc>
        <w:tc>
          <w:tcPr>
            <w:tcW w:w="2072"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50</w:t>
            </w:r>
          </w:p>
        </w:tc>
        <w:tc>
          <w:tcPr>
            <w:tcW w:w="2410"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5.00E+03</w:t>
            </w:r>
          </w:p>
        </w:tc>
        <w:tc>
          <w:tcPr>
            <w:tcW w:w="3402"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Della Torre et al., 2014</w:t>
            </w:r>
          </w:p>
        </w:tc>
      </w:tr>
      <w:tr w:rsidR="009C4422" w:rsidRPr="008C323D" w:rsidTr="006D3FEF">
        <w:trPr>
          <w:trHeight w:val="312"/>
        </w:trPr>
        <w:tc>
          <w:tcPr>
            <w:tcW w:w="1577"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Echinodermata</w:t>
            </w:r>
          </w:p>
        </w:tc>
        <w:tc>
          <w:tcPr>
            <w:tcW w:w="195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i/>
                <w:iCs/>
                <w:lang w:eastAsia="en-GB"/>
              </w:rPr>
            </w:pPr>
            <w:r w:rsidRPr="008C323D">
              <w:rPr>
                <w:rFonts w:ascii="Calibri" w:hAnsi="Calibri"/>
                <w:i/>
                <w:iCs/>
              </w:rPr>
              <w:t>Paracentrotus lividus</w:t>
            </w:r>
          </w:p>
        </w:tc>
        <w:tc>
          <w:tcPr>
            <w:tcW w:w="1180"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Marine</w:t>
            </w:r>
          </w:p>
        </w:tc>
        <w:tc>
          <w:tcPr>
            <w:tcW w:w="97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PS</w:t>
            </w:r>
          </w:p>
        </w:tc>
        <w:tc>
          <w:tcPr>
            <w:tcW w:w="90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Sphere</w:t>
            </w:r>
          </w:p>
        </w:tc>
        <w:tc>
          <w:tcPr>
            <w:tcW w:w="1200"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50</w:t>
            </w:r>
          </w:p>
        </w:tc>
        <w:tc>
          <w:tcPr>
            <w:tcW w:w="143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Survival</w:t>
            </w:r>
          </w:p>
        </w:tc>
        <w:tc>
          <w:tcPr>
            <w:tcW w:w="1071"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LC</w:t>
            </w:r>
            <w:r w:rsidRPr="008C323D">
              <w:rPr>
                <w:rFonts w:ascii="Calibri" w:hAnsi="Calibri"/>
                <w:vertAlign w:val="subscript"/>
              </w:rPr>
              <w:t>50</w:t>
            </w:r>
          </w:p>
        </w:tc>
        <w:tc>
          <w:tcPr>
            <w:tcW w:w="1056"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1</w:t>
            </w:r>
          </w:p>
        </w:tc>
        <w:tc>
          <w:tcPr>
            <w:tcW w:w="145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30</w:t>
            </w:r>
          </w:p>
        </w:tc>
        <w:tc>
          <w:tcPr>
            <w:tcW w:w="2072"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3.85</w:t>
            </w:r>
          </w:p>
        </w:tc>
        <w:tc>
          <w:tcPr>
            <w:tcW w:w="2410"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1.28E+02</w:t>
            </w:r>
          </w:p>
        </w:tc>
        <w:tc>
          <w:tcPr>
            <w:tcW w:w="3402"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Della Torre et al., 2014</w:t>
            </w:r>
          </w:p>
        </w:tc>
      </w:tr>
      <w:tr w:rsidR="009C4422" w:rsidRPr="008C323D" w:rsidTr="006D3FEF">
        <w:trPr>
          <w:trHeight w:val="312"/>
        </w:trPr>
        <w:tc>
          <w:tcPr>
            <w:tcW w:w="1577"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Echinodermata</w:t>
            </w:r>
          </w:p>
        </w:tc>
        <w:tc>
          <w:tcPr>
            <w:tcW w:w="195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i/>
                <w:iCs/>
                <w:lang w:eastAsia="en-GB"/>
              </w:rPr>
            </w:pPr>
            <w:r w:rsidRPr="008C323D">
              <w:rPr>
                <w:rFonts w:ascii="Calibri" w:hAnsi="Calibri"/>
                <w:i/>
                <w:iCs/>
              </w:rPr>
              <w:t>Paracentrotus lividus</w:t>
            </w:r>
          </w:p>
        </w:tc>
        <w:tc>
          <w:tcPr>
            <w:tcW w:w="1180"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Marine</w:t>
            </w:r>
          </w:p>
        </w:tc>
        <w:tc>
          <w:tcPr>
            <w:tcW w:w="97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PS</w:t>
            </w:r>
          </w:p>
        </w:tc>
        <w:tc>
          <w:tcPr>
            <w:tcW w:w="90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Sphere</w:t>
            </w:r>
          </w:p>
        </w:tc>
        <w:tc>
          <w:tcPr>
            <w:tcW w:w="1200"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50</w:t>
            </w:r>
          </w:p>
        </w:tc>
        <w:tc>
          <w:tcPr>
            <w:tcW w:w="143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Survival</w:t>
            </w:r>
          </w:p>
        </w:tc>
        <w:tc>
          <w:tcPr>
            <w:tcW w:w="1071"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LC</w:t>
            </w:r>
            <w:r w:rsidRPr="008C323D">
              <w:rPr>
                <w:rFonts w:ascii="Calibri" w:hAnsi="Calibri"/>
                <w:vertAlign w:val="subscript"/>
              </w:rPr>
              <w:t>50</w:t>
            </w:r>
          </w:p>
        </w:tc>
        <w:tc>
          <w:tcPr>
            <w:tcW w:w="1056"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2</w:t>
            </w:r>
          </w:p>
        </w:tc>
        <w:tc>
          <w:tcPr>
            <w:tcW w:w="145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30</w:t>
            </w:r>
          </w:p>
        </w:tc>
        <w:tc>
          <w:tcPr>
            <w:tcW w:w="2072"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2.61</w:t>
            </w:r>
          </w:p>
        </w:tc>
        <w:tc>
          <w:tcPr>
            <w:tcW w:w="2410"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8.70E+01</w:t>
            </w:r>
          </w:p>
        </w:tc>
        <w:tc>
          <w:tcPr>
            <w:tcW w:w="3402"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Della Torre et al., 2014</w:t>
            </w:r>
          </w:p>
        </w:tc>
      </w:tr>
      <w:tr w:rsidR="009C4422" w:rsidRPr="008C323D" w:rsidTr="006D3FEF">
        <w:trPr>
          <w:trHeight w:val="312"/>
        </w:trPr>
        <w:tc>
          <w:tcPr>
            <w:tcW w:w="1577"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Rotifera</w:t>
            </w:r>
          </w:p>
        </w:tc>
        <w:tc>
          <w:tcPr>
            <w:tcW w:w="195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i/>
                <w:iCs/>
                <w:lang w:eastAsia="en-GB"/>
              </w:rPr>
            </w:pPr>
            <w:r w:rsidRPr="008C323D">
              <w:rPr>
                <w:rFonts w:ascii="Calibri" w:hAnsi="Calibri"/>
                <w:i/>
                <w:iCs/>
              </w:rPr>
              <w:t>Brachionus koreanus</w:t>
            </w:r>
          </w:p>
        </w:tc>
        <w:tc>
          <w:tcPr>
            <w:tcW w:w="1180"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Marine</w:t>
            </w:r>
          </w:p>
        </w:tc>
        <w:tc>
          <w:tcPr>
            <w:tcW w:w="97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PS</w:t>
            </w:r>
          </w:p>
        </w:tc>
        <w:tc>
          <w:tcPr>
            <w:tcW w:w="90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Sphere</w:t>
            </w:r>
          </w:p>
        </w:tc>
        <w:tc>
          <w:tcPr>
            <w:tcW w:w="1200"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50</w:t>
            </w:r>
          </w:p>
        </w:tc>
        <w:tc>
          <w:tcPr>
            <w:tcW w:w="143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Growth</w:t>
            </w:r>
          </w:p>
        </w:tc>
        <w:tc>
          <w:tcPr>
            <w:tcW w:w="1071"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LOEC</w:t>
            </w:r>
          </w:p>
        </w:tc>
        <w:tc>
          <w:tcPr>
            <w:tcW w:w="1056"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12</w:t>
            </w:r>
          </w:p>
        </w:tc>
        <w:tc>
          <w:tcPr>
            <w:tcW w:w="145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6.5</w:t>
            </w:r>
          </w:p>
        </w:tc>
        <w:tc>
          <w:tcPr>
            <w:tcW w:w="2072"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0.1</w:t>
            </w:r>
          </w:p>
        </w:tc>
        <w:tc>
          <w:tcPr>
            <w:tcW w:w="2410"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1.54E+01</w:t>
            </w:r>
          </w:p>
        </w:tc>
        <w:tc>
          <w:tcPr>
            <w:tcW w:w="3402"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Jeong et al., 2016</w:t>
            </w:r>
          </w:p>
        </w:tc>
      </w:tr>
      <w:tr w:rsidR="009C4422" w:rsidRPr="008C323D" w:rsidTr="006D3FEF">
        <w:trPr>
          <w:trHeight w:val="312"/>
        </w:trPr>
        <w:tc>
          <w:tcPr>
            <w:tcW w:w="1577"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Rotifera</w:t>
            </w:r>
          </w:p>
        </w:tc>
        <w:tc>
          <w:tcPr>
            <w:tcW w:w="195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i/>
                <w:iCs/>
                <w:lang w:eastAsia="en-GB"/>
              </w:rPr>
            </w:pPr>
            <w:r w:rsidRPr="008C323D">
              <w:rPr>
                <w:rFonts w:ascii="Calibri" w:hAnsi="Calibri"/>
                <w:i/>
                <w:iCs/>
              </w:rPr>
              <w:t>Brachionus koreanus</w:t>
            </w:r>
          </w:p>
        </w:tc>
        <w:tc>
          <w:tcPr>
            <w:tcW w:w="1180"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Marine</w:t>
            </w:r>
          </w:p>
        </w:tc>
        <w:tc>
          <w:tcPr>
            <w:tcW w:w="97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PS</w:t>
            </w:r>
          </w:p>
        </w:tc>
        <w:tc>
          <w:tcPr>
            <w:tcW w:w="90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Sphere</w:t>
            </w:r>
          </w:p>
        </w:tc>
        <w:tc>
          <w:tcPr>
            <w:tcW w:w="1200"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50</w:t>
            </w:r>
          </w:p>
        </w:tc>
        <w:tc>
          <w:tcPr>
            <w:tcW w:w="143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Reproduction</w:t>
            </w:r>
          </w:p>
        </w:tc>
        <w:tc>
          <w:tcPr>
            <w:tcW w:w="1071"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LOEC</w:t>
            </w:r>
          </w:p>
        </w:tc>
        <w:tc>
          <w:tcPr>
            <w:tcW w:w="1056"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12</w:t>
            </w:r>
          </w:p>
        </w:tc>
        <w:tc>
          <w:tcPr>
            <w:tcW w:w="145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6.5</w:t>
            </w:r>
          </w:p>
        </w:tc>
        <w:tc>
          <w:tcPr>
            <w:tcW w:w="2072"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1</w:t>
            </w:r>
          </w:p>
        </w:tc>
        <w:tc>
          <w:tcPr>
            <w:tcW w:w="2410"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1.54E+02</w:t>
            </w:r>
          </w:p>
        </w:tc>
        <w:tc>
          <w:tcPr>
            <w:tcW w:w="3402"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Jeong et al., 2016</w:t>
            </w:r>
          </w:p>
        </w:tc>
      </w:tr>
      <w:tr w:rsidR="009C4422" w:rsidRPr="008C323D" w:rsidTr="006D3FEF">
        <w:trPr>
          <w:trHeight w:val="312"/>
        </w:trPr>
        <w:tc>
          <w:tcPr>
            <w:tcW w:w="1577"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Rotifera</w:t>
            </w:r>
          </w:p>
        </w:tc>
        <w:tc>
          <w:tcPr>
            <w:tcW w:w="195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i/>
                <w:iCs/>
                <w:lang w:eastAsia="en-GB"/>
              </w:rPr>
            </w:pPr>
            <w:r w:rsidRPr="008C323D">
              <w:rPr>
                <w:rFonts w:ascii="Calibri" w:hAnsi="Calibri"/>
                <w:i/>
                <w:iCs/>
              </w:rPr>
              <w:t>Brachionus koreanus</w:t>
            </w:r>
          </w:p>
        </w:tc>
        <w:tc>
          <w:tcPr>
            <w:tcW w:w="1180"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Marine</w:t>
            </w:r>
          </w:p>
        </w:tc>
        <w:tc>
          <w:tcPr>
            <w:tcW w:w="97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PS</w:t>
            </w:r>
          </w:p>
        </w:tc>
        <w:tc>
          <w:tcPr>
            <w:tcW w:w="90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Sphere</w:t>
            </w:r>
          </w:p>
        </w:tc>
        <w:tc>
          <w:tcPr>
            <w:tcW w:w="1200"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50</w:t>
            </w:r>
          </w:p>
        </w:tc>
        <w:tc>
          <w:tcPr>
            <w:tcW w:w="143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Survival</w:t>
            </w:r>
          </w:p>
        </w:tc>
        <w:tc>
          <w:tcPr>
            <w:tcW w:w="1071"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LOEC</w:t>
            </w:r>
          </w:p>
        </w:tc>
        <w:tc>
          <w:tcPr>
            <w:tcW w:w="1056"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12</w:t>
            </w:r>
          </w:p>
        </w:tc>
        <w:tc>
          <w:tcPr>
            <w:tcW w:w="145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6.5</w:t>
            </w:r>
          </w:p>
        </w:tc>
        <w:tc>
          <w:tcPr>
            <w:tcW w:w="2072"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0.1</w:t>
            </w:r>
          </w:p>
        </w:tc>
        <w:tc>
          <w:tcPr>
            <w:tcW w:w="2410"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1.54E+01</w:t>
            </w:r>
          </w:p>
        </w:tc>
        <w:tc>
          <w:tcPr>
            <w:tcW w:w="3402"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hAnsi="Calibri"/>
              </w:rPr>
              <w:t>Jeong et al., 2016</w:t>
            </w:r>
          </w:p>
        </w:tc>
      </w:tr>
    </w:tbl>
    <w:p w:rsidR="006D3FEF" w:rsidRDefault="006D3FEF" w:rsidP="009C4422">
      <w:pPr>
        <w:pStyle w:val="Caption"/>
        <w:rPr>
          <w:b/>
          <w:i w:val="0"/>
          <w:color w:val="auto"/>
          <w:sz w:val="24"/>
          <w:lang w:val="en-GB"/>
        </w:rPr>
      </w:pPr>
    </w:p>
    <w:p w:rsidR="006D3FEF" w:rsidRDefault="006D3FEF" w:rsidP="009C4422">
      <w:pPr>
        <w:pStyle w:val="Caption"/>
        <w:rPr>
          <w:b/>
          <w:i w:val="0"/>
          <w:color w:val="auto"/>
          <w:sz w:val="24"/>
          <w:lang w:val="en-GB"/>
        </w:rPr>
      </w:pPr>
    </w:p>
    <w:p w:rsidR="006D3FEF" w:rsidRDefault="006D3FEF" w:rsidP="009C4422">
      <w:pPr>
        <w:pStyle w:val="Caption"/>
        <w:rPr>
          <w:b/>
          <w:i w:val="0"/>
          <w:color w:val="auto"/>
          <w:sz w:val="24"/>
          <w:lang w:val="en-GB"/>
        </w:rPr>
      </w:pPr>
    </w:p>
    <w:p w:rsidR="009C4422" w:rsidRPr="007008C9" w:rsidRDefault="009C4422" w:rsidP="009C4422">
      <w:pPr>
        <w:pStyle w:val="Caption"/>
        <w:rPr>
          <w:i w:val="0"/>
          <w:color w:val="auto"/>
          <w:sz w:val="24"/>
          <w:lang w:val="en-GB"/>
        </w:rPr>
      </w:pPr>
      <w:r w:rsidRPr="00C41605">
        <w:rPr>
          <w:b/>
          <w:i w:val="0"/>
          <w:color w:val="auto"/>
          <w:sz w:val="24"/>
          <w:lang w:val="en-GB"/>
        </w:rPr>
        <w:t>Table A3</w:t>
      </w:r>
      <w:r w:rsidRPr="00C41605">
        <w:rPr>
          <w:i w:val="0"/>
          <w:color w:val="auto"/>
          <w:sz w:val="24"/>
          <w:lang w:val="en-GB"/>
        </w:rPr>
        <w:t>.</w:t>
      </w:r>
      <w:r w:rsidRPr="00C41605">
        <w:rPr>
          <w:b/>
          <w:i w:val="0"/>
          <w:color w:val="auto"/>
          <w:sz w:val="24"/>
          <w:lang w:val="en-GB"/>
        </w:rPr>
        <w:t xml:space="preserve"> </w:t>
      </w:r>
      <w:r w:rsidRPr="00C41605">
        <w:rPr>
          <w:i w:val="0"/>
          <w:color w:val="auto"/>
          <w:sz w:val="24"/>
          <w:lang w:val="en-GB"/>
        </w:rPr>
        <w:t xml:space="preserve">Micro- and nanoplastic effect thresholds extrapolated to chronic LOECs. Exposure via the food or sediment. Species from the marine and freshwater environments. Included endpoints are growth and survival. </w:t>
      </w:r>
      <w:r w:rsidRPr="00C41605">
        <w:rPr>
          <w:i w:val="0"/>
          <w:color w:val="auto"/>
          <w:sz w:val="24"/>
          <w:szCs w:val="17"/>
          <w:lang w:val="en-GB"/>
        </w:rPr>
        <w:t xml:space="preserve">Abbreviations used: LOEC: lowest observed effect concentration, PS: polystyrene, PE: polyethylene. Exposure concentrations of plastic particles in sediment are expressed for DW sediment. No conversions to DW were made for food, as the information on WW/DW food mass provided by the articles was often unclear </w:t>
      </w:r>
      <w:r w:rsidRPr="00C41605">
        <w:rPr>
          <w:i w:val="0"/>
          <w:iCs w:val="0"/>
          <w:color w:val="auto"/>
          <w:sz w:val="24"/>
          <w:vertAlign w:val="superscript"/>
        </w:rPr>
        <w:fldChar w:fldCharType="begin" w:fldLock="1"/>
      </w:r>
      <w:r w:rsidRPr="00C41605">
        <w:rPr>
          <w:i w:val="0"/>
          <w:iCs w:val="0"/>
          <w:color w:val="auto"/>
          <w:sz w:val="24"/>
          <w:vertAlign w:val="superscript"/>
          <w:lang w:val="en-GB"/>
        </w:rPr>
        <w:instrText>ADDIN CSL_CITATION {"citationItems":[{"id":"ITEM-1","itemData":{"DOI":"10.1371/journal.pone.0032254","ISSN":"1932-6203","author":[{"dropping-particle":"","family":"Cedervall","given":"Tommy","non-dropping-particle":"","parse-names":false,"suffix":""},{"dropping-particle":"","family":"Hansson","given":"Lars-Anders","non-dropping-particle":"","parse-names":false,"suffix":""},{"dropping-particle":"","family":"Lard","given":"Mercy","non-dropping-particle":"","parse-names":false,"suffix":""},{"dropping-particle":"","family":"Frohm","given":"Birgitta","non-dropping-particle":"","parse-names":false,"suffix":""},{"dropping-particle":"","family":"Linse","given":"Sara","non-dropping-particle":"","parse-names":false,"suffix":""}],"container-title":"PLoS ONE","editor":[{"dropping-particle":"","family":"Bansal","given":"Vipul","non-dropping-particle":"","parse-names":false,"suffix":""}],"id":"ITEM-1","issue":"2","issued":{"date-parts":[["2012","2","22"]]},"page":"e32254","publisher":"Public Library of Science","title":"Food Chain Transport of Nanoparticles Affects Behaviour and Fat Metabolism in Fish","type":"article-journal","volume":"7"},"uris":["http://www.mendeley.com/documents/?uuid=fd2694a4-187d-3010-8834-21701dfcfe87"]},{"id":"ITEM-2","itemData":{"DOI":"10.1021/es302763x","ISSN":"1520-5851","PMID":"23181424","abstract":"It has been speculated that marine microplastics may cause negative effects on benthic marine organisms and increase bioaccumulation of persistent organic pollutants (POPs). Here, we provide the first controlled study of plastic effects on benthic organisms including transfer of POPs. The effects of polystyrene (PS) microplastic on survival, activity, and bodyweight, as well as the transfer of 19 polychlorinated biphenyls (PCBs), were assessed in bioassays with Arenicola marina (L.). PS was pre-equilibrated in natively contaminated sediment. A positive relation was observed between microplastic concentration in the sediment and both uptake of plastic particles and weight loss by A. marina. Furthermore, a reduction in feeding activity was observed at a PS dose of 7.4% dry weight. A low PS dose of 0.074% increased bioaccumulation of PCBs by a factor of 1.1-3.6, an effect that was significant for ΣPCBs and several individual congeners. At higher doses, bioaccumulation decreased compared to the low dose, which however, was only significant for PCB105. PS had statistically significant effects on the organisms' fitness and bioaccumulation, but the magnitude of the effects was not high. This may be different for sites with different plastic concentrations, or plastics with a higher affinity for POPs.","author":[{"dropping-particle":"","family":"Besseling","given":"E.","non-dropping-particle":"","parse-names":false,"suffix":""},{"dropping-particle":"","family":"Wegner","given":"A.","non-dropping-particle":"","parse-names":false,"suffix":""},{"dropping-particle":"","family":"Foekema","given":"E. M.","non-dropping-particle":"","parse-names":false,"suffix":""},{"dropping-particle":"","family":"Heuvel-Greve","given":"M. J.","non-dropping-particle":"Van den","parse-names":false,"suffix":""},{"dropping-particle":"","family":"Koelmans","given":"A. A.","non-dropping-particle":"","parse-names":false,"suffix":""}],"container-title":"Environmental science &amp; technology","id":"ITEM-2","issue":"1","issued":{"date-parts":[["2013","1"]]},"page":"593-600","title":"Effects of microplastic on fitness and PCB bioaccumulation by the lugworm Arenicola marina (L.)","type":"article-journal","volume":"47"},"uris":["http://www.mendeley.com/documents/?uuid=d5c35d11-3f67-430a-97c7-d313b6a346ce"]},{"id":"ITEM-3","itemData":{"DOI":"10.1016/j.marenvres.2015.09.009","ISSN":"18790291","PMID":"26412109","abstract":"Microplastics are present in marine habitats worldwide and may be ingested by low trophic organisms such as fish larvae, with uncertain physiological consequences. The present study aims at assessing the impact of polyethylene (PE 10-45 μM) microbeads ingestion in European sea bass (Dicentrarchus labrax) larvae. Fish were fed an inert diet including 0, 104 and 105 fluorescent microbeads per gram from 7 until 43 days post-hatching (dph). Microbeads were detected in the gastrointestinal tract in all fish fed diet incorporating PE. Our data revealed an efficient elimination of PE beads from the gut since no fluorescent was observed in the larvae after 48 h depuration. While the mortality rate increased significantly with the amount of microbeads scored per larvae at 14 and 20 dph, only ingestion of the highest concentration slightly impacted mortality rates. Larval growth and inflammatory response through Interleukine-1-beta (IL-1β) gene expression were not found to be affected while cytochrome-P450-1A1 (cyp1a1) expression level was significantly positively correlated with the number of microbeads scored per larva at 20 dph. Overall, these results suggest that ingestion of PE microbeads had limited impact on sea bass larvae possibly due to their high potential of egestion.","author":[{"dropping-particle":"","family":"Mazurais","given":"D.","non-dropping-particle":"","parse-names":false,"suffix":""},{"dropping-particle":"","family":"Ernande","given":"B.","non-dropping-particle":"","parse-names":false,"suffix":""},{"dropping-particle":"","family":"Quazuguel","given":"P.","non-dropping-particle":"","parse-names":false,"suffix":""},{"dropping-particle":"","family":"Severe","given":"A.","non-dropping-particle":"","parse-names":false,"suffix":""},{"dropping-particle":"","family":"Huelvan","given":"C.","non-dropping-particle":"","parse-names":false,"suffix":""},{"dropping-particle":"","family":"Madec","given":"L.","non-dropping-particle":"","parse-names":false,"suffix":""},{"dropping-particle":"","family":"Mouchel","given":"O.","non-dropping-particle":"","parse-names":false,"suffix":""},{"dropping-particle":"","family":"Soudant","given":"P.","non-dropping-particle":"","parse-names":false,"suffix":""},{"dropping-particle":"","family":"Robbens","given":"J.","non-dropping-particle":"","parse-names":false,"suffix":""},{"dropping-particle":"","family":"Huvet","given":"A.","non-dropping-particle":"","parse-names":false,"suffix":""},{"dropping-particle":"","family":"Zambonino-Infante","given":"J.","non-dropping-particle":"","parse-names":false,"suffix":""}],"container-title":"Marine Environmental Research","id":"ITEM-3","issued":{"date-parts":[["2015"]]},"title":"Evaluation of the impact of polyethylene microbeads ingestion in European sea bass (Dicentrarchus labrax) larvae","type":"article-journal"},"uris":["http://www.mendeley.com/documents/?uuid=06e8dc97-1ccc-364f-9555-97659d106a6f"]}],"mendeley":{"formattedCitation":"(E. Besseling et al., 2013; Cedervall et al., 2012; Mazurais et al., 2015)","manualFormatting":"(Besseling et al., 2013; Cedervall et al., 2012; Mazurais et al., 2015)","plainTextFormattedCitation":"(E. Besseling et al., 2013; Cedervall et al., 2012; Mazurais et al., 2015)","previouslyFormattedCitation":"(E. Besseling et al., 2013; Cedervall et al., 2012; Mazurais et al., 2015)"},"properties":{"noteIndex":0},"schema":"https://github.com/citation-style-language/schema/raw/master/csl-citation.json"}</w:instrText>
      </w:r>
      <w:r w:rsidRPr="00C41605">
        <w:rPr>
          <w:i w:val="0"/>
          <w:iCs w:val="0"/>
          <w:color w:val="auto"/>
          <w:sz w:val="24"/>
          <w:vertAlign w:val="superscript"/>
        </w:rPr>
        <w:fldChar w:fldCharType="separate"/>
      </w:r>
      <w:r w:rsidRPr="00C41605">
        <w:rPr>
          <w:i w:val="0"/>
          <w:iCs w:val="0"/>
          <w:noProof/>
          <w:color w:val="auto"/>
          <w:sz w:val="24"/>
          <w:lang w:val="en-GB"/>
        </w:rPr>
        <w:t>(Besseling et al., 2013; Cedervall et al., 2012; Mazurais et al., 2015)</w:t>
      </w:r>
      <w:r w:rsidRPr="00C41605">
        <w:rPr>
          <w:i w:val="0"/>
          <w:iCs w:val="0"/>
          <w:color w:val="auto"/>
          <w:sz w:val="24"/>
          <w:vertAlign w:val="superscript"/>
        </w:rPr>
        <w:fldChar w:fldCharType="end"/>
      </w:r>
      <w:r w:rsidR="007008C9">
        <w:rPr>
          <w:i w:val="0"/>
          <w:iCs w:val="0"/>
          <w:color w:val="auto"/>
          <w:sz w:val="24"/>
        </w:rPr>
        <w:t>.</w:t>
      </w:r>
    </w:p>
    <w:tbl>
      <w:tblPr>
        <w:tblW w:w="17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84"/>
        <w:gridCol w:w="1180"/>
        <w:gridCol w:w="978"/>
        <w:gridCol w:w="908"/>
        <w:gridCol w:w="1187"/>
        <w:gridCol w:w="1417"/>
        <w:gridCol w:w="1071"/>
        <w:gridCol w:w="1056"/>
        <w:gridCol w:w="1462"/>
        <w:gridCol w:w="1096"/>
        <w:gridCol w:w="1457"/>
        <w:gridCol w:w="1068"/>
        <w:gridCol w:w="1324"/>
      </w:tblGrid>
      <w:tr w:rsidR="009C4422" w:rsidRPr="00B16DB1" w:rsidTr="00885900">
        <w:trPr>
          <w:trHeight w:val="288"/>
        </w:trPr>
        <w:tc>
          <w:tcPr>
            <w:tcW w:w="1560"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hAnsi="Calibri"/>
                <w:b/>
                <w:bCs/>
                <w:lang w:val="en-GB"/>
              </w:rPr>
              <w:t>Taxonomic group</w:t>
            </w:r>
          </w:p>
        </w:tc>
        <w:tc>
          <w:tcPr>
            <w:tcW w:w="1984"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hAnsi="Calibri"/>
                <w:b/>
                <w:bCs/>
                <w:lang w:val="en-GB"/>
              </w:rPr>
              <w:t>Species</w:t>
            </w:r>
          </w:p>
        </w:tc>
        <w:tc>
          <w:tcPr>
            <w:tcW w:w="1180"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eastAsia="Times New Roman" w:hAnsi="Calibri" w:cs="Times New Roman"/>
                <w:b/>
                <w:bCs/>
                <w:lang w:val="en-GB" w:eastAsia="en-GB"/>
              </w:rPr>
              <w:t>Water type</w:t>
            </w:r>
          </w:p>
        </w:tc>
        <w:tc>
          <w:tcPr>
            <w:tcW w:w="978"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hAnsi="Calibri"/>
                <w:b/>
                <w:bCs/>
                <w:lang w:val="en-GB"/>
              </w:rPr>
              <w:t>Polymer type</w:t>
            </w:r>
          </w:p>
        </w:tc>
        <w:tc>
          <w:tcPr>
            <w:tcW w:w="908"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hAnsi="Calibri"/>
                <w:b/>
                <w:bCs/>
                <w:lang w:val="en-GB"/>
              </w:rPr>
              <w:t>Particle shape</w:t>
            </w:r>
          </w:p>
        </w:tc>
        <w:tc>
          <w:tcPr>
            <w:tcW w:w="1187"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hAnsi="Calibri"/>
                <w:b/>
                <w:bCs/>
                <w:lang w:val="en-GB"/>
              </w:rPr>
              <w:t>Particle size range</w:t>
            </w:r>
          </w:p>
        </w:tc>
        <w:tc>
          <w:tcPr>
            <w:tcW w:w="1417"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hAnsi="Calibri"/>
                <w:b/>
                <w:bCs/>
                <w:lang w:val="en-GB"/>
              </w:rPr>
              <w:t>Endpoint</w:t>
            </w:r>
          </w:p>
        </w:tc>
        <w:tc>
          <w:tcPr>
            <w:tcW w:w="1071"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hAnsi="Calibri"/>
                <w:b/>
                <w:bCs/>
                <w:lang w:val="en-GB"/>
              </w:rPr>
              <w:t>Reported effect level</w:t>
            </w:r>
          </w:p>
        </w:tc>
        <w:tc>
          <w:tcPr>
            <w:tcW w:w="1056"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hAnsi="Calibri"/>
                <w:b/>
                <w:bCs/>
                <w:lang w:val="en-GB"/>
              </w:rPr>
              <w:t>Exposure duration (d)</w:t>
            </w:r>
          </w:p>
        </w:tc>
        <w:tc>
          <w:tcPr>
            <w:tcW w:w="1462"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hAnsi="Calibri"/>
                <w:b/>
                <w:bCs/>
                <w:lang w:val="en-GB"/>
              </w:rPr>
              <w:t>Extrapolation factor</w:t>
            </w:r>
          </w:p>
        </w:tc>
        <w:tc>
          <w:tcPr>
            <w:tcW w:w="1096"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hAnsi="Calibri"/>
                <w:b/>
                <w:bCs/>
                <w:lang w:val="en-GB"/>
              </w:rPr>
              <w:t>Effect threshold (g/kg DW)</w:t>
            </w:r>
          </w:p>
        </w:tc>
        <w:tc>
          <w:tcPr>
            <w:tcW w:w="1457"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hAnsi="Calibri"/>
                <w:b/>
                <w:bCs/>
                <w:lang w:val="en-GB"/>
              </w:rPr>
              <w:t>Chronic LOEC after extrapolation (g/kg DW)</w:t>
            </w:r>
          </w:p>
        </w:tc>
        <w:tc>
          <w:tcPr>
            <w:tcW w:w="1068"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hAnsi="Calibri"/>
                <w:b/>
                <w:bCs/>
                <w:lang w:val="en-GB"/>
              </w:rPr>
              <w:t>Exposure medium</w:t>
            </w:r>
          </w:p>
        </w:tc>
        <w:tc>
          <w:tcPr>
            <w:tcW w:w="1324" w:type="dxa"/>
            <w:tcBorders>
              <w:bottom w:val="single" w:sz="12" w:space="0" w:color="auto"/>
            </w:tcBorders>
            <w:shd w:val="clear" w:color="auto" w:fill="A6A6A6" w:themeFill="background1" w:themeFillShade="A6"/>
            <w:vAlign w:val="center"/>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hAnsi="Calibri"/>
                <w:b/>
                <w:bCs/>
                <w:lang w:val="en-GB"/>
              </w:rPr>
              <w:t>Reference</w:t>
            </w:r>
          </w:p>
        </w:tc>
      </w:tr>
      <w:tr w:rsidR="009C4422" w:rsidRPr="00B16DB1" w:rsidTr="00885900">
        <w:trPr>
          <w:trHeight w:val="288"/>
        </w:trPr>
        <w:tc>
          <w:tcPr>
            <w:tcW w:w="1560" w:type="dxa"/>
            <w:tcBorders>
              <w:top w:val="single" w:sz="12" w:space="0" w:color="auto"/>
            </w:tcBorders>
            <w:shd w:val="clear" w:color="auto" w:fill="D9D9D9" w:themeFill="background1" w:themeFillShade="D9"/>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Annelida</w:t>
            </w:r>
          </w:p>
        </w:tc>
        <w:tc>
          <w:tcPr>
            <w:tcW w:w="1984" w:type="dxa"/>
            <w:tcBorders>
              <w:top w:val="single" w:sz="12" w:space="0" w:color="auto"/>
            </w:tcBorders>
            <w:shd w:val="clear" w:color="auto" w:fill="D9D9D9" w:themeFill="background1" w:themeFillShade="D9"/>
            <w:noWrap/>
            <w:vAlign w:val="center"/>
            <w:hideMark/>
          </w:tcPr>
          <w:p w:rsidR="009C4422" w:rsidRPr="00526D2A" w:rsidRDefault="009C4422" w:rsidP="00885900">
            <w:pPr>
              <w:spacing w:line="240" w:lineRule="auto"/>
              <w:jc w:val="center"/>
              <w:rPr>
                <w:rFonts w:ascii="Calibri" w:eastAsia="Times New Roman" w:hAnsi="Calibri" w:cs="Times New Roman"/>
                <w:i/>
                <w:iCs/>
                <w:color w:val="000000"/>
                <w:lang w:val="en-GB" w:eastAsia="en-GB"/>
              </w:rPr>
            </w:pPr>
            <w:r w:rsidRPr="00526D2A">
              <w:rPr>
                <w:rFonts w:ascii="Calibri" w:hAnsi="Calibri"/>
                <w:i/>
                <w:iCs/>
                <w:color w:val="000000"/>
                <w:lang w:val="en-GB"/>
              </w:rPr>
              <w:t>Arenicola marina</w:t>
            </w:r>
          </w:p>
        </w:tc>
        <w:tc>
          <w:tcPr>
            <w:tcW w:w="1180" w:type="dxa"/>
            <w:tcBorders>
              <w:top w:val="single" w:sz="12" w:space="0" w:color="auto"/>
            </w:tcBorders>
            <w:shd w:val="clear" w:color="auto" w:fill="D9D9D9" w:themeFill="background1" w:themeFillShade="D9"/>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hAnsi="Calibri"/>
                <w:color w:val="000000"/>
                <w:lang w:val="en-GB"/>
              </w:rPr>
              <w:t>Marine</w:t>
            </w:r>
          </w:p>
        </w:tc>
        <w:tc>
          <w:tcPr>
            <w:tcW w:w="978" w:type="dxa"/>
            <w:tcBorders>
              <w:top w:val="single" w:sz="12" w:space="0" w:color="auto"/>
            </w:tcBorders>
            <w:shd w:val="clear" w:color="auto" w:fill="D9D9D9" w:themeFill="background1" w:themeFillShade="D9"/>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hAnsi="Calibri"/>
                <w:color w:val="000000"/>
                <w:lang w:val="en-GB"/>
              </w:rPr>
              <w:t>PS</w:t>
            </w:r>
          </w:p>
        </w:tc>
        <w:tc>
          <w:tcPr>
            <w:tcW w:w="908" w:type="dxa"/>
            <w:tcBorders>
              <w:top w:val="single" w:sz="12" w:space="0" w:color="auto"/>
            </w:tcBorders>
            <w:shd w:val="clear" w:color="auto" w:fill="D9D9D9" w:themeFill="background1" w:themeFillShade="D9"/>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hAnsi="Calibri"/>
                <w:color w:val="000000"/>
                <w:lang w:val="en-GB"/>
              </w:rPr>
              <w:t>Sphere</w:t>
            </w:r>
          </w:p>
        </w:tc>
        <w:tc>
          <w:tcPr>
            <w:tcW w:w="1187" w:type="dxa"/>
            <w:tcBorders>
              <w:top w:val="single" w:sz="12" w:space="0" w:color="auto"/>
            </w:tcBorders>
            <w:shd w:val="clear" w:color="auto" w:fill="D9D9D9" w:themeFill="background1" w:themeFillShade="D9"/>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hAnsi="Calibri"/>
                <w:color w:val="000000"/>
                <w:lang w:val="en-GB"/>
              </w:rPr>
              <w:t>0.4 - 1.3 mm</w:t>
            </w:r>
          </w:p>
        </w:tc>
        <w:tc>
          <w:tcPr>
            <w:tcW w:w="1417" w:type="dxa"/>
            <w:tcBorders>
              <w:top w:val="single" w:sz="12" w:space="0" w:color="auto"/>
            </w:tcBorders>
            <w:shd w:val="clear" w:color="auto" w:fill="D9D9D9" w:themeFill="background1" w:themeFillShade="D9"/>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Growth</w:t>
            </w:r>
          </w:p>
        </w:tc>
        <w:tc>
          <w:tcPr>
            <w:tcW w:w="1071" w:type="dxa"/>
            <w:tcBorders>
              <w:top w:val="single" w:sz="12" w:space="0" w:color="auto"/>
            </w:tcBorders>
            <w:shd w:val="clear" w:color="auto" w:fill="D9D9D9" w:themeFill="background1" w:themeFillShade="D9"/>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hAnsi="Calibri"/>
                <w:color w:val="000000"/>
                <w:lang w:val="en-GB"/>
              </w:rPr>
              <w:t>LOEC</w:t>
            </w:r>
          </w:p>
        </w:tc>
        <w:tc>
          <w:tcPr>
            <w:tcW w:w="1056" w:type="dxa"/>
            <w:tcBorders>
              <w:top w:val="single" w:sz="12" w:space="0" w:color="auto"/>
            </w:tcBorders>
            <w:shd w:val="clear" w:color="auto" w:fill="D9D9D9" w:themeFill="background1" w:themeFillShade="D9"/>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28</w:t>
            </w:r>
          </w:p>
        </w:tc>
        <w:tc>
          <w:tcPr>
            <w:tcW w:w="1462" w:type="dxa"/>
            <w:tcBorders>
              <w:top w:val="single" w:sz="12" w:space="0" w:color="auto"/>
            </w:tcBorders>
            <w:shd w:val="clear" w:color="auto" w:fill="D9D9D9" w:themeFill="background1" w:themeFillShade="D9"/>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1</w:t>
            </w:r>
          </w:p>
        </w:tc>
        <w:tc>
          <w:tcPr>
            <w:tcW w:w="1096" w:type="dxa"/>
            <w:tcBorders>
              <w:top w:val="single" w:sz="12" w:space="0" w:color="auto"/>
            </w:tcBorders>
            <w:shd w:val="clear" w:color="auto" w:fill="D9D9D9" w:themeFill="background1" w:themeFillShade="D9"/>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74</w:t>
            </w:r>
          </w:p>
        </w:tc>
        <w:tc>
          <w:tcPr>
            <w:tcW w:w="1457" w:type="dxa"/>
            <w:tcBorders>
              <w:top w:val="single" w:sz="12" w:space="0" w:color="auto"/>
            </w:tcBorders>
            <w:shd w:val="clear" w:color="auto" w:fill="D9D9D9" w:themeFill="background1" w:themeFillShade="D9"/>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74</w:t>
            </w:r>
          </w:p>
        </w:tc>
        <w:tc>
          <w:tcPr>
            <w:tcW w:w="1068" w:type="dxa"/>
            <w:tcBorders>
              <w:top w:val="single" w:sz="12" w:space="0" w:color="auto"/>
            </w:tcBorders>
            <w:shd w:val="clear" w:color="auto" w:fill="D9D9D9" w:themeFill="background1" w:themeFillShade="D9"/>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hAnsi="Calibri"/>
                <w:lang w:val="en-GB"/>
              </w:rPr>
              <w:t>Sediment</w:t>
            </w:r>
          </w:p>
        </w:tc>
        <w:tc>
          <w:tcPr>
            <w:tcW w:w="1324" w:type="dxa"/>
            <w:tcBorders>
              <w:top w:val="single" w:sz="12" w:space="0" w:color="auto"/>
            </w:tcBorders>
            <w:shd w:val="clear" w:color="auto" w:fill="D9D9D9" w:themeFill="background1" w:themeFillShade="D9"/>
            <w:vAlign w:val="center"/>
          </w:tcPr>
          <w:p w:rsidR="009C4422" w:rsidRPr="00526D2A" w:rsidRDefault="009C4422" w:rsidP="00885900">
            <w:pPr>
              <w:spacing w:line="240" w:lineRule="auto"/>
              <w:jc w:val="center"/>
              <w:rPr>
                <w:rFonts w:ascii="Calibri" w:hAnsi="Calibri"/>
                <w:lang w:val="en-GB"/>
              </w:rPr>
            </w:pPr>
            <w:r w:rsidRPr="00526D2A">
              <w:rPr>
                <w:rFonts w:ascii="Calibri" w:hAnsi="Calibri"/>
                <w:color w:val="000000"/>
                <w:lang w:val="en-GB"/>
              </w:rPr>
              <w:t>Besseling et al., 2013</w:t>
            </w:r>
          </w:p>
        </w:tc>
      </w:tr>
      <w:tr w:rsidR="009C4422" w:rsidRPr="00B16DB1" w:rsidTr="00885900">
        <w:trPr>
          <w:trHeight w:val="288"/>
        </w:trPr>
        <w:tc>
          <w:tcPr>
            <w:tcW w:w="1560" w:type="dxa"/>
            <w:shd w:val="clear" w:color="auto" w:fill="F2F2F2" w:themeFill="background1" w:themeFillShade="F2"/>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Chordata</w:t>
            </w:r>
          </w:p>
        </w:tc>
        <w:tc>
          <w:tcPr>
            <w:tcW w:w="1984" w:type="dxa"/>
            <w:shd w:val="clear" w:color="auto" w:fill="F2F2F2" w:themeFill="background1" w:themeFillShade="F2"/>
            <w:noWrap/>
            <w:vAlign w:val="center"/>
            <w:hideMark/>
          </w:tcPr>
          <w:p w:rsidR="009C4422" w:rsidRPr="00526D2A" w:rsidRDefault="009C4422" w:rsidP="00885900">
            <w:pPr>
              <w:spacing w:line="240" w:lineRule="auto"/>
              <w:jc w:val="center"/>
              <w:rPr>
                <w:rFonts w:ascii="Calibri" w:eastAsia="Times New Roman" w:hAnsi="Calibri" w:cs="Times New Roman"/>
                <w:i/>
                <w:iCs/>
                <w:color w:val="000000"/>
                <w:lang w:val="en-GB" w:eastAsia="en-GB"/>
              </w:rPr>
            </w:pPr>
            <w:r w:rsidRPr="00526D2A">
              <w:rPr>
                <w:rFonts w:ascii="Calibri" w:hAnsi="Calibri"/>
                <w:i/>
                <w:iCs/>
                <w:color w:val="000000"/>
                <w:lang w:val="en-GB"/>
              </w:rPr>
              <w:t>Dicentrarchus labrax</w:t>
            </w:r>
          </w:p>
        </w:tc>
        <w:tc>
          <w:tcPr>
            <w:tcW w:w="1180" w:type="dxa"/>
            <w:shd w:val="clear" w:color="auto" w:fill="F2F2F2" w:themeFill="background1" w:themeFillShade="F2"/>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hAnsi="Calibri"/>
                <w:color w:val="000000"/>
                <w:lang w:val="en-GB"/>
              </w:rPr>
              <w:t>Marine</w:t>
            </w:r>
          </w:p>
        </w:tc>
        <w:tc>
          <w:tcPr>
            <w:tcW w:w="978" w:type="dxa"/>
            <w:shd w:val="clear" w:color="auto" w:fill="F2F2F2" w:themeFill="background1" w:themeFillShade="F2"/>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hAnsi="Calibri"/>
                <w:color w:val="000000"/>
                <w:lang w:val="en-GB"/>
              </w:rPr>
              <w:t>PE</w:t>
            </w:r>
          </w:p>
        </w:tc>
        <w:tc>
          <w:tcPr>
            <w:tcW w:w="908" w:type="dxa"/>
            <w:shd w:val="clear" w:color="auto" w:fill="F2F2F2" w:themeFill="background1" w:themeFillShade="F2"/>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hAnsi="Calibri"/>
                <w:color w:val="000000"/>
                <w:lang w:val="en-GB"/>
              </w:rPr>
              <w:t>Sphere</w:t>
            </w:r>
          </w:p>
        </w:tc>
        <w:tc>
          <w:tcPr>
            <w:tcW w:w="1187" w:type="dxa"/>
            <w:shd w:val="clear" w:color="auto" w:fill="F2F2F2" w:themeFill="background1" w:themeFillShade="F2"/>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hAnsi="Calibri"/>
                <w:color w:val="000000"/>
                <w:lang w:val="en-GB"/>
              </w:rPr>
              <w:t>10 - 45 µm</w:t>
            </w:r>
          </w:p>
        </w:tc>
        <w:tc>
          <w:tcPr>
            <w:tcW w:w="1417" w:type="dxa"/>
            <w:shd w:val="clear" w:color="auto" w:fill="F2F2F2" w:themeFill="background1" w:themeFillShade="F2"/>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Survival</w:t>
            </w:r>
          </w:p>
        </w:tc>
        <w:tc>
          <w:tcPr>
            <w:tcW w:w="1071" w:type="dxa"/>
            <w:shd w:val="clear" w:color="auto" w:fill="F2F2F2" w:themeFill="background1" w:themeFillShade="F2"/>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hAnsi="Calibri"/>
                <w:color w:val="000000"/>
                <w:lang w:val="en-GB"/>
              </w:rPr>
              <w:t>LOEC</w:t>
            </w:r>
          </w:p>
        </w:tc>
        <w:tc>
          <w:tcPr>
            <w:tcW w:w="1056" w:type="dxa"/>
            <w:shd w:val="clear" w:color="auto" w:fill="F2F2F2" w:themeFill="background1" w:themeFillShade="F2"/>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36</w:t>
            </w:r>
          </w:p>
        </w:tc>
        <w:tc>
          <w:tcPr>
            <w:tcW w:w="1462" w:type="dxa"/>
            <w:shd w:val="clear" w:color="auto" w:fill="F2F2F2" w:themeFill="background1" w:themeFillShade="F2"/>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1</w:t>
            </w:r>
          </w:p>
        </w:tc>
        <w:tc>
          <w:tcPr>
            <w:tcW w:w="1096" w:type="dxa"/>
            <w:shd w:val="clear" w:color="auto" w:fill="F2F2F2" w:themeFill="background1" w:themeFillShade="F2"/>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12</w:t>
            </w:r>
          </w:p>
        </w:tc>
        <w:tc>
          <w:tcPr>
            <w:tcW w:w="1457" w:type="dxa"/>
            <w:shd w:val="clear" w:color="auto" w:fill="F2F2F2" w:themeFill="background1" w:themeFillShade="F2"/>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12</w:t>
            </w:r>
          </w:p>
        </w:tc>
        <w:tc>
          <w:tcPr>
            <w:tcW w:w="1068" w:type="dxa"/>
            <w:shd w:val="clear" w:color="auto" w:fill="F2F2F2" w:themeFill="background1" w:themeFillShade="F2"/>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hAnsi="Calibri"/>
                <w:lang w:val="en-GB"/>
              </w:rPr>
              <w:t>Food</w:t>
            </w:r>
          </w:p>
        </w:tc>
        <w:tc>
          <w:tcPr>
            <w:tcW w:w="1324" w:type="dxa"/>
            <w:shd w:val="clear" w:color="auto" w:fill="F2F2F2" w:themeFill="background1" w:themeFillShade="F2"/>
            <w:vAlign w:val="center"/>
          </w:tcPr>
          <w:p w:rsidR="009C4422" w:rsidRPr="00526D2A" w:rsidRDefault="009C4422" w:rsidP="00885900">
            <w:pPr>
              <w:spacing w:line="240" w:lineRule="auto"/>
              <w:jc w:val="center"/>
              <w:rPr>
                <w:rFonts w:ascii="Calibri" w:hAnsi="Calibri"/>
                <w:lang w:val="en-GB"/>
              </w:rPr>
            </w:pPr>
            <w:r w:rsidRPr="00526D2A">
              <w:rPr>
                <w:rFonts w:ascii="Calibri" w:hAnsi="Calibri"/>
                <w:color w:val="000000"/>
                <w:lang w:val="en-GB"/>
              </w:rPr>
              <w:t>Mazurais et al., 2015</w:t>
            </w:r>
          </w:p>
        </w:tc>
      </w:tr>
      <w:tr w:rsidR="009C4422" w:rsidRPr="00B16DB1" w:rsidTr="00885900">
        <w:trPr>
          <w:trHeight w:val="288"/>
        </w:trPr>
        <w:tc>
          <w:tcPr>
            <w:tcW w:w="1560" w:type="dxa"/>
            <w:shd w:val="clear" w:color="auto" w:fill="F2F2F2" w:themeFill="background1" w:themeFillShade="F2"/>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Chordata</w:t>
            </w:r>
          </w:p>
        </w:tc>
        <w:tc>
          <w:tcPr>
            <w:tcW w:w="1984" w:type="dxa"/>
            <w:shd w:val="clear" w:color="auto" w:fill="F2F2F2" w:themeFill="background1" w:themeFillShade="F2"/>
            <w:noWrap/>
            <w:vAlign w:val="center"/>
            <w:hideMark/>
          </w:tcPr>
          <w:p w:rsidR="009C4422" w:rsidRPr="00526D2A" w:rsidRDefault="009C4422" w:rsidP="00885900">
            <w:pPr>
              <w:spacing w:line="240" w:lineRule="auto"/>
              <w:jc w:val="center"/>
              <w:rPr>
                <w:rFonts w:ascii="Calibri" w:eastAsia="Times New Roman" w:hAnsi="Calibri" w:cs="Times New Roman"/>
                <w:i/>
                <w:iCs/>
                <w:color w:val="000000"/>
                <w:lang w:val="en-GB" w:eastAsia="en-GB"/>
              </w:rPr>
            </w:pPr>
            <w:r w:rsidRPr="00526D2A">
              <w:rPr>
                <w:rFonts w:ascii="Calibri" w:hAnsi="Calibri"/>
                <w:i/>
                <w:iCs/>
                <w:color w:val="000000"/>
                <w:lang w:val="en-GB"/>
              </w:rPr>
              <w:t>Carassius carassius</w:t>
            </w:r>
          </w:p>
        </w:tc>
        <w:tc>
          <w:tcPr>
            <w:tcW w:w="1180" w:type="dxa"/>
            <w:shd w:val="clear" w:color="auto" w:fill="F2F2F2" w:themeFill="background1" w:themeFillShade="F2"/>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hAnsi="Calibri"/>
                <w:color w:val="000000"/>
                <w:lang w:val="en-GB"/>
              </w:rPr>
              <w:t>Fresh</w:t>
            </w:r>
          </w:p>
        </w:tc>
        <w:tc>
          <w:tcPr>
            <w:tcW w:w="978" w:type="dxa"/>
            <w:shd w:val="clear" w:color="auto" w:fill="F2F2F2" w:themeFill="background1" w:themeFillShade="F2"/>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hAnsi="Calibri"/>
                <w:color w:val="000000"/>
                <w:lang w:val="en-GB"/>
              </w:rPr>
              <w:t>PS</w:t>
            </w:r>
          </w:p>
        </w:tc>
        <w:tc>
          <w:tcPr>
            <w:tcW w:w="908" w:type="dxa"/>
            <w:shd w:val="clear" w:color="auto" w:fill="F2F2F2" w:themeFill="background1" w:themeFillShade="F2"/>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hAnsi="Calibri"/>
                <w:color w:val="000000"/>
                <w:lang w:val="en-GB"/>
              </w:rPr>
              <w:t>Sphere</w:t>
            </w:r>
          </w:p>
        </w:tc>
        <w:tc>
          <w:tcPr>
            <w:tcW w:w="1187" w:type="dxa"/>
            <w:shd w:val="clear" w:color="auto" w:fill="F2F2F2" w:themeFill="background1" w:themeFillShade="F2"/>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hAnsi="Calibri"/>
                <w:color w:val="000000"/>
                <w:lang w:val="en-GB"/>
              </w:rPr>
              <w:t>24 nm</w:t>
            </w:r>
          </w:p>
        </w:tc>
        <w:tc>
          <w:tcPr>
            <w:tcW w:w="1417" w:type="dxa"/>
            <w:shd w:val="clear" w:color="auto" w:fill="F2F2F2" w:themeFill="background1" w:themeFillShade="F2"/>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Growth</w:t>
            </w:r>
          </w:p>
        </w:tc>
        <w:tc>
          <w:tcPr>
            <w:tcW w:w="1071" w:type="dxa"/>
            <w:shd w:val="clear" w:color="auto" w:fill="F2F2F2" w:themeFill="background1" w:themeFillShade="F2"/>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hAnsi="Calibri"/>
                <w:color w:val="000000"/>
                <w:lang w:val="en-GB"/>
              </w:rPr>
              <w:t>LOEC</w:t>
            </w:r>
          </w:p>
        </w:tc>
        <w:tc>
          <w:tcPr>
            <w:tcW w:w="1056" w:type="dxa"/>
            <w:shd w:val="clear" w:color="auto" w:fill="F2F2F2" w:themeFill="background1" w:themeFillShade="F2"/>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30</w:t>
            </w:r>
          </w:p>
        </w:tc>
        <w:tc>
          <w:tcPr>
            <w:tcW w:w="1462" w:type="dxa"/>
            <w:shd w:val="clear" w:color="auto" w:fill="F2F2F2" w:themeFill="background1" w:themeFillShade="F2"/>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1</w:t>
            </w:r>
          </w:p>
        </w:tc>
        <w:tc>
          <w:tcPr>
            <w:tcW w:w="1096" w:type="dxa"/>
            <w:shd w:val="clear" w:color="auto" w:fill="F2F2F2" w:themeFill="background1" w:themeFillShade="F2"/>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1</w:t>
            </w:r>
          </w:p>
        </w:tc>
        <w:tc>
          <w:tcPr>
            <w:tcW w:w="1457" w:type="dxa"/>
            <w:shd w:val="clear" w:color="auto" w:fill="F2F2F2" w:themeFill="background1" w:themeFillShade="F2"/>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hAnsi="Calibri"/>
                <w:lang w:val="en-GB"/>
              </w:rPr>
              <w:t>1</w:t>
            </w:r>
          </w:p>
        </w:tc>
        <w:tc>
          <w:tcPr>
            <w:tcW w:w="1068" w:type="dxa"/>
            <w:shd w:val="clear" w:color="auto" w:fill="F2F2F2" w:themeFill="background1" w:themeFillShade="F2"/>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hAnsi="Calibri"/>
                <w:lang w:val="en-GB"/>
              </w:rPr>
              <w:t>Food</w:t>
            </w:r>
          </w:p>
        </w:tc>
        <w:tc>
          <w:tcPr>
            <w:tcW w:w="1324" w:type="dxa"/>
            <w:shd w:val="clear" w:color="auto" w:fill="F2F2F2" w:themeFill="background1" w:themeFillShade="F2"/>
            <w:vAlign w:val="center"/>
          </w:tcPr>
          <w:p w:rsidR="009C4422" w:rsidRPr="00526D2A" w:rsidRDefault="009C4422" w:rsidP="00885900">
            <w:pPr>
              <w:spacing w:line="240" w:lineRule="auto"/>
              <w:jc w:val="center"/>
              <w:rPr>
                <w:rFonts w:ascii="Calibri" w:hAnsi="Calibri"/>
                <w:lang w:val="en-GB"/>
              </w:rPr>
            </w:pPr>
            <w:r w:rsidRPr="00526D2A">
              <w:rPr>
                <w:rFonts w:ascii="Calibri" w:hAnsi="Calibri"/>
                <w:color w:val="000000"/>
                <w:lang w:val="en-GB"/>
              </w:rPr>
              <w:t>Cedervall et al., 2012</w:t>
            </w:r>
          </w:p>
        </w:tc>
      </w:tr>
    </w:tbl>
    <w:p w:rsidR="009C4422" w:rsidRDefault="009C4422" w:rsidP="009C4422">
      <w:pPr>
        <w:rPr>
          <w:rStyle w:val="IntenseEmphasis"/>
          <w:lang w:val="en-GB"/>
        </w:rPr>
      </w:pPr>
    </w:p>
    <w:p w:rsidR="009C4422" w:rsidRDefault="009C4422" w:rsidP="009C4422">
      <w:pPr>
        <w:ind w:firstLine="708"/>
        <w:rPr>
          <w:rStyle w:val="IntenseEmphasis"/>
          <w:lang w:val="en-GB"/>
        </w:rPr>
      </w:pPr>
    </w:p>
    <w:p w:rsidR="009C4422" w:rsidRDefault="009C4422" w:rsidP="009C4422">
      <w:pPr>
        <w:ind w:firstLine="708"/>
        <w:rPr>
          <w:rStyle w:val="IntenseEmphasis"/>
          <w:lang w:val="en-GB"/>
        </w:rPr>
      </w:pPr>
    </w:p>
    <w:p w:rsidR="009C4422" w:rsidRDefault="009C4422" w:rsidP="009C4422">
      <w:pPr>
        <w:rPr>
          <w:b/>
          <w:i/>
          <w:iCs/>
          <w:color w:val="1F497D" w:themeColor="text2"/>
          <w:sz w:val="18"/>
          <w:szCs w:val="18"/>
          <w:lang w:val="en-GB"/>
        </w:rPr>
      </w:pPr>
      <w:r>
        <w:rPr>
          <w:b/>
          <w:lang w:val="en-GB"/>
        </w:rPr>
        <w:br w:type="page"/>
      </w:r>
    </w:p>
    <w:p w:rsidR="009C4422" w:rsidRPr="007008C9" w:rsidRDefault="009C4422" w:rsidP="009C4422">
      <w:pPr>
        <w:pStyle w:val="Caption"/>
        <w:spacing w:after="0"/>
        <w:rPr>
          <w:i w:val="0"/>
          <w:color w:val="auto"/>
          <w:sz w:val="24"/>
          <w:szCs w:val="17"/>
          <w:lang w:val="en-GB"/>
        </w:rPr>
      </w:pPr>
      <w:r w:rsidRPr="007008C9">
        <w:rPr>
          <w:b/>
          <w:i w:val="0"/>
          <w:color w:val="auto"/>
          <w:sz w:val="24"/>
          <w:lang w:val="en-GB"/>
        </w:rPr>
        <w:lastRenderedPageBreak/>
        <w:t>Table A4</w:t>
      </w:r>
      <w:r w:rsidRPr="007008C9">
        <w:rPr>
          <w:i w:val="0"/>
          <w:color w:val="auto"/>
          <w:sz w:val="24"/>
          <w:lang w:val="en-GB"/>
        </w:rPr>
        <w:t>.</w:t>
      </w:r>
      <w:r w:rsidRPr="007008C9">
        <w:rPr>
          <w:b/>
          <w:i w:val="0"/>
          <w:color w:val="auto"/>
          <w:sz w:val="24"/>
          <w:lang w:val="en-GB"/>
        </w:rPr>
        <w:t xml:space="preserve"> </w:t>
      </w:r>
      <w:r w:rsidRPr="007008C9">
        <w:rPr>
          <w:i w:val="0"/>
          <w:color w:val="auto"/>
          <w:sz w:val="24"/>
          <w:lang w:val="en-GB"/>
        </w:rPr>
        <w:t xml:space="preserve">Microplastic effect thresholds extrapolated to chronic LOECs. Exposure via </w:t>
      </w:r>
      <w:r w:rsidR="006D3FEF">
        <w:rPr>
          <w:i w:val="0"/>
          <w:color w:val="auto"/>
          <w:sz w:val="24"/>
          <w:lang w:val="en-GB"/>
        </w:rPr>
        <w:t>sediment (white rows) or food (grey rows)</w:t>
      </w:r>
      <w:r w:rsidRPr="007008C9">
        <w:rPr>
          <w:i w:val="0"/>
          <w:color w:val="auto"/>
          <w:sz w:val="24"/>
          <w:lang w:val="en-GB"/>
        </w:rPr>
        <w:t xml:space="preserve">. Species from the marine environment. Wide variety of endpoints included. </w:t>
      </w:r>
      <w:r w:rsidRPr="007008C9">
        <w:rPr>
          <w:i w:val="0"/>
          <w:color w:val="auto"/>
          <w:sz w:val="24"/>
          <w:szCs w:val="17"/>
          <w:lang w:val="en-GB"/>
        </w:rPr>
        <w:t>Abbreviations used: LOEC: lowest observed effect concentration, (U)PVC: (unplasticised) polyvinylchloride, PS: polystyrene, (HD or LD)PE: (high or low density) polyethylene, PLA: polylactic acid (nylon). Exposure concentrations of plastic particles in sediment are expressed for DW sediment. No conversions to DW were made for food, as the information on WW/DW food mass provided by the articles was often unclear (</w:t>
      </w:r>
      <w:r w:rsidRPr="007008C9">
        <w:rPr>
          <w:i w:val="0"/>
          <w:iCs w:val="0"/>
          <w:color w:val="auto"/>
          <w:sz w:val="24"/>
          <w:szCs w:val="17"/>
          <w:vertAlign w:val="superscript"/>
        </w:rPr>
        <w:fldChar w:fldCharType="begin" w:fldLock="1"/>
      </w:r>
      <w:r w:rsidRPr="007008C9">
        <w:rPr>
          <w:i w:val="0"/>
          <w:iCs w:val="0"/>
          <w:color w:val="auto"/>
          <w:sz w:val="24"/>
          <w:szCs w:val="17"/>
          <w:vertAlign w:val="superscript"/>
          <w:lang w:val="en-GB"/>
        </w:rPr>
        <w:instrText>ADDIN CSL_CITATION {"citationItems":[{"id":"ITEM-1","itemData":{"DOI":"10.1016/j.envpol.2016.05.043","abstract":"a b s t r a c t Plastic pollution is recognised as an emerging threat to aquatic ecosystems, with microplastics now the most abundant type of marine debris. Health effects caused by microplastics have been demonstrated at the species level, but impacts on ecological communities remain unknown. In this study, impacts of microplastics on the health and biological functioning of European flat oysters (Ostrea edulis) and on the structure of associated macrofaunal assemblages were assessed in an outdoor mesocosm experiment using intact sediment cores. Biodegradable and conventional microplastics were added at low (0.8 mg L À1) and high (80 mg L À1) doses in the water column repeatedly for 60 days. Effects on the oysters were minimal, but benthic assemblage structures differed and species richness and the total number of organisms were ~1.2 and 1.5 times greater in control mesocosms than in those exposed to high doses of microplastics. Notably, abundances of juvenile Littorina sp. (periwinkles) and Idotea balthica (an isopod) were ~2 and 8 times greater in controls than in mesocosms with the high dose of either type of microplastic. In addition, the biomass of Scrobicularia plana (peppery furrow shell clam) was ~1.5 times greater in controls than in mesocosms with the high dose of microplastics. This work indicates that repeated exposure to high concentrations of microplastics could alter assemblages in an important marine habitat by reducing the abundance of benthic fauna.","author":[{"dropping-particle":"","family":"Senga Green","given":"Dannielle","non-dropping-particle":"","parse-names":false,"suffix":""}],"container-title":"Environmental Pollution","id":"ITEM-1","issued":{"date-parts":[["2016"]]},"page":"95-103","title":"Effects of microplastics on European flat oysters, Ostrea edulis and their associated benthic communities","type":"article-journal","volume":"216"},"uris":["http://www.mendeley.com/documents/?uuid=0d272096-7943-3227-898d-2dc6916f3de7"]},{"id":"ITEM-2","itemData":{"DOI":"10.1016/j.envpol.2016.01.083","abstract":"a b s t r a c t This study investigates, for the first time, the intestinal responses of European sea bass Dicentrarchus labrax chronically exposed to microplastics through ingestion. Fish (n ¼ 162) were fed with 3 different treatment diets for 90 days: control, native polyvinyl chloride (PVC) and polluted polyvinyl chloride (PVC) pellets. Intestines were fixed and processed for histological analysis using standard techniques. Histopathological alterations were examined using a score value (from 0 to 4). The distal part of intestine in all samples proved to be the most affected by pathological alterations, showing a gradual change varying from moderate to severe related to exposure times. The histological picture that characterizes both groups especially after 90 days of exposure, suggests that the intestinal functions can be in some cases totally compromised. The worst condition is increasingly evident in the distal intestine of fish fed with polluted PVC pellets respect to control groups (p &lt; 0.05) to different exposure times. These first results underline the need to assess the impact of increasing microplastics pollution on the marine trophic web.","author":[{"dropping-particle":"","family":"Ped","given":"Cristina","non-dropping-particle":"","parse-names":false,"suffix":""},{"dropping-particle":"","family":"Caccamo","given":"Letteria","non-dropping-particle":"","parse-names":false,"suffix":""},{"dropping-particle":"","family":"Fossi","given":"Maria Cristina","non-dropping-particle":"","parse-names":false,"suffix":""},{"dropping-particle":"","family":"Gai","given":"Francesco","non-dropping-particle":"","parse-names":false,"suffix":""},{"dropping-particle":"","family":"Andaloro","given":"Franco","non-dropping-particle":"","parse-names":false,"suffix":""},{"dropping-particle":"","family":"Genovese","given":"Lucrezia","non-dropping-particle":"","parse-names":false,"suffix":""},{"dropping-particle":"","family":"Perdichizzi","given":"Anna","non-dropping-particle":"","parse-names":false,"suffix":""},{"dropping-particle":"","family":"Romeo","given":"Teresa","non-dropping-particle":"","parse-names":false,"suffix":""},{"dropping-particle":"","family":"Maricchiolo","given":"Giulia","non-dropping-particle":"","parse-names":false,"suffix":""}],"id":"ITEM-2","issued":{"date-parts":[["2016"]]},"title":"Intestinal alterations in European sea bass Dicentrarchus labrax (Linnaeus, 1758) exposed to microplastics: Preliminary results","type":"article-journal"},"uris":["http://www.mendeley.com/documents/?uuid=4c3c16d0-33f6-3f20-af7d-6117c0783e7a"]},{"id":"ITEM-3","itemData":{"DOI":"10.1016/j.scitotenv.2014.06.051","ISSN":"1879-1026","PMID":"24995635","abstract":"Plastic debris is associated with several chemical pollutants known to disrupt the functioning of the endocrine system. To determine if the exposure to plastic debris and associated chemicals promotes endocrine-disrupting effects in fish, we conducted a chronic two-month dietary exposure using Japanese medaka (Oryzias latipes) and environmentally relevant concentrations of microplastic (&lt;1mm) and associated chemicals. We exposed fish to three treatments: a no-plastic (i.e. negative control), virgin-plastic (i.e. virgin polyethylene pre-production pellets) and marine-plastic treatment (i.e. polyethylene pellets deployed in San Diego Bay, CA for 3months). Altered gene expression was observed in male fish exposed to the marine-plastic treatment, whereas altered gene expression was observed in female fish exposed to both the marine- and virgin-plastic treatment. Significant down-regulation of choriogenin (Chg H) gene expression was observed in males and significant down-regulation of vitellogenin (Vtg I), Chg H and the estrogen receptor (ERα) gene expression was observed in females. In addition, histological observation revealed abnormal proliferation of germ cells in one male fish from the marine-plastic treatment. Overall, our study suggests that the ingestion of plastic debris at environmentally relevant concentrations may alter endocrine system function in adult fish and warrants further research.","author":[{"dropping-particle":"","family":"Rochman","given":"Chelsea M","non-dropping-particle":"","parse-names":false,"suffix":""},{"dropping-particle":"","family":"Kurobe","given":"Tomofumi","non-dropping-particle":"","parse-names":false,"suffix":""},{"dropping-particle":"","family":"Flores","given":"Ida","non-dropping-particle":"","parse-names":false,"suffix":""},{"dropping-particle":"","family":"Teh","given":"Swee J","non-dropping-particle":"","parse-names":false,"suffix":""}],"container-title":"The Science of the total environment","id":"ITEM-3","issued":{"date-parts":[["2014","7"]]},"page":"656-661","publisher":"Elsevier B.V.","title":"Early warning signs of endocrine disruption in adult fish from the ingestion of polyethylene with and without sorbed chemical pollutants from the marine environment.","type":"article-journal","volume":"493C"},"uris":["http://www.mendeley.com/documents/?uuid=3b8e3faf-3e2b-41de-94ac-cc46483ede84"]},{"id":"ITEM-4","itemData":{"DOI":"10.1016/j.fsi.2017.07.006","ISSN":"10504648","abstract":"It is a long-recognized fact that marine plastic debris contaminates the oceans and seas of the entire world. Even though their effects on the aquatic biota are not well documented or understood. The effects of dietary polyvinylchloride microparticles (PVC-MPs) on the general health, immune status and some stress markers were studied using gilthead seabream (Sparus aurata) as a model of marine fish. Thirty specimens were randomly placed in three running sea water aquaria and fish in each aquarium received an experimental diet containing 0 (control), 100 or 500 mg kg−1 of PVC-MPs for 30 days. Metabolic parameters in serum indicated that the dietary intake of PVC-MPs negatively affected several vital organs. Humoral immune parameters were determined in serum and skin mucus. Cellular immune parameters were determined in head-kidney leucocytes. Concomitantly, the expression of different genes related to stress was studied in head-kidney and liver. Regarding head-kidney gene expression, prdx5 was significantly decreased by PVC-MPs intake for 15 and 30 days, respect to the values found in control fish. On the other hand, the expression of prdx1 and prdx3 were significantly increased by the PVC-MPs intake during 15 and 30 days, compared with the values found in control fish. Furthermore, the expression of hsp90 and ucp1 genes decreased and increased, respectively, in the liver of fish fed 500 mg kg−1 of PVC-MPs for 30 days. Although ingestion of PVC-MPs provoked few significant effects (mostly increases) in the main immune activities of gilthead seabream compared with the values found in control fish, PVC-MPs are recognized by the fish as stressors. Continued exposure of fish to high concentrations of PVC-MPs could have a negative impact on fish physiology due to the chronic stress produced.","author":[{"dropping-particle":"","family":"Espinosa","given":"Cristóbal","non-dropping-particle":"","parse-names":false,"suffix":""},{"dropping-particle":"","family":"Cuesta","given":"Alberto","non-dropping-particle":"","parse-names":false,"suffix":""},{"dropping-particle":"","family":"Esteban","given":"María Ángeles","non-dropping-particle":"","parse-names":false,"suffix":""}],"container-title":"Fish &amp; Shellfish Immunology","id":"ITEM-4","issued":{"date-parts":[["2017"]]},"page":"251-259","title":"Effects of dietary polyvinylchloride microparticles on general health, immune status and expression of several genes related to stress in gilthead seabream (Sparus aurata L.)","type":"article-journal","volume":"68"},"uris":["http://www.mendeley.com/documents/?uuid=d7f51904-707b-4eca-b7ba-ed4331050d6f"]},{"id":"ITEM-5","itemData":{"DOI":"10.1016/j.marpolbul.2014.12.050","ISSN":"18793363","PMID":"25662316","abstract":"Apart from the physiological impacts on marine organisms caused by ingesting microplastics, the toxicity caused by substances leaching from these particles into the environment requires investigation. To understand this potential risk, we evaluated the toxicity of virgin (raw) and beach-stranded plastic pellets to the development of embryos of Lytechinus variegatus, simulating transfers of chemical compounds to interstitial water and water column by assays of pellet-water interface and elutriate, respectively. Both assays showed that virgin pellets had toxic effects, increasing anomalous embryonic development by 58.1% and 66.5%, respectively. The toxicity of stranded pellets was lower than virgin pellets, and was observed only for pellet-water interface assay. These results show that (i) plastic pellets act as a vector of pollutants, especially for plastic additives found on virgin particles; and that (ii) the toxicity of leached chemicals from pellets depends on the exposure pathway and on the environmental compartment in which pellets accumulate.","author":[{"dropping-particle":"","family":"Nobre","given":"C. R.","non-dropping-particle":"","parse-names":false,"suffix":""},{"dropping-particle":"","family":"Santana","given":"M. F M","non-dropping-particle":"","parse-names":false,"suffix":""},{"dropping-particle":"","family":"Maluf","given":"A.","non-dropping-particle":"","parse-names":false,"suffix":""},{"dropping-particle":"","family":"Cortez","given":"F. S.","non-dropping-particle":"","parse-names":false,"suffix":""},{"dropping-particle":"","family":"Cesar","given":"A.","non-dropping-particle":"","parse-names":false,"suffix":""},{"dropping-particle":"","family":"Pereira","given":"C. D S","non-dropping-particle":"","parse-names":false,"suffix":""},{"dropping-particle":"","family":"Turra","given":"A.","non-dropping-particle":"","parse-names":false,"suffix":""}],"container-title":"Marine Pollution Bulletin","id":"ITEM-5","issue":"1-2","issued":{"date-parts":[["2015"]]},"page":"99-104","publisher":"Elsevier Ltd","title":"Assessment of microplastic toxicity to embryonic development of the sea urchin Lytechinus variegatus (Echinodermata: Echinoidea)","type":"article-journal","volume":"92"},"uris":["http://www.mendeley.com/documents/?uuid=5e098e6d-3e9a-44f6-9cf1-09b5e36e6582"]},{"id":"ITEM-6","itemData":{"DOI":"10.1016/j.cub.2013.10.068","ISBN":"1879-0445 (Electronic)\\r0960-9822 (Linking)","ISSN":"09609822","PMID":"24309274","abstract":"The indiscriminate disposal of plastic to the environment is of concern. Microscopic plastic litter (&lt;5 mm diameter; 'microplastic') is increasing in abundance in the marine environment, originating from the fragmentation of plastic items and from industry and personal-care products [1]. On highly impacted beaches, microplastic concentrations (&lt;1mm) can reach 3% by weight, presenting a global conservation issue [2]. Microplastics are a novel substrate for the adherence of hydrophobic contaminants [1], deposition of eggs [3], and colonization by unique bacterial assemblages [4]. Ingestion by indiscriminate deposit-feeders has been reported, yet physical impacts remain understudied [1]. Here, we show that deposit-feeding marine worms maintained in sediments spiked with microscopic unplasticised polyvinylchloride (UPVC) at concentrations overlapping those in the environment had significantly depleted energy reserves by up to 50% (Figure 1). Our results suggest that depleted energy reserves arise from a combination of reduced feeding activity, longer gut residence times of ingested material and inflammation. ?? 2013 Elsevier Ltd.","author":[{"dropping-particle":"","family":"Wright","given":"Stephanie L.","non-dropping-particle":"","parse-names":false,"suffix":""},{"dropping-particle":"","family":"Rowe","given":"Darren","non-dropping-particle":"","parse-names":false,"suffix":""},{"dropping-particle":"","family":"Thompson","given":"Richard C.","non-dropping-particle":"","parse-names":false,"suffix":""},{"dropping-particle":"","family":"Galloway","given":"Tamara S.","non-dropping-particle":"","parse-names":false,"suffix":""}],"container-title":"Current Biology","id":"ITEM-6","issue":"23","issued":{"date-parts":[["2013"]]},"page":"R1031-R1033","title":"Microplastic ingestion decreases energy reserves in marine worms","type":"article-journal","volume":"23"},"uris":["http://www.mendeley.com/documents/?uuid=30c98a9a-c93d-43cd-b453-8f75ded4d9b0"]},{"id":"ITEM-7","itemData":{"DOI":"10.1021/es302763x","ISSN":"1520-5851","PMID":"23181424","abstract":"It has been speculated that marine microplastics may cause negative effects on benthic marine organisms and increase bioaccumulation of persistent organic pollutants (POPs). Here, we provide the first controlled study of plastic effects on benthic organisms including transfer of POPs. The effects of polystyrene (PS) microplastic on survival, activity, and bodyweight, as well as the transfer of 19 polychlorinated biphenyls (PCBs), were assessed in bioassays with Arenicola marina (L.). PS was pre-equilibrated in natively contaminated sediment. A positive relation was observed between microplastic concentration in the sediment and both uptake of plastic particles and weight loss by A. marina. Furthermore, a reduction in feeding activity was observed at a PS dose of 7.4% dry weight. A low PS dose of 0.074% increased bioaccumulation of PCBs by a factor of 1.1-3.6, an effect that was significant for ΣPCBs and several individual congeners. At higher doses, bioaccumulation decreased compared to the low dose, which however, was only significant for PCB105. PS had statistically significant effects on the organisms' fitness and bioaccumulation, but the magnitude of the effects was not high. This may be different for sites with different plastic concentrations, or plastics with a higher affinity for POPs.","author":[{"dropping-particle":"","family":"Besseling","given":"E.","non-dropping-particle":"","parse-names":false,"suffix":""},{"dropping-particle":"","family":"Wegner","given":"A.","non-dropping-particle":"","parse-names":false,"suffix":""},{"dropping-particle":"","family":"Foekema","given":"E. M.","non-dropping-particle":"","parse-names":false,"suffix":""},{"dropping-particle":"","family":"Heuvel-Greve","given":"M. J.","non-dropping-particle":"Van den","parse-names":false,"suffix":""},{"dropping-particle":"","family":"Koelmans","given":"A. A.","non-dropping-particle":"","parse-names":false,"suffix":""}],"container-title":"Environmental science &amp; technology","id":"ITEM-7","issue":"1","issued":{"date-parts":[["2013","1"]]},"page":"593-600","title":"Effects of microplastic on fitness and PCB bioaccumulation by the lugworm Arenicola marina (L.)","type":"article-journal","volume":"47"},"uris":["http://www.mendeley.com/documents/?uuid=d5c35d11-3f67-430a-97c7-d313b6a346ce"]},{"id":"ITEM-8","itemData":{"DOI":"10.1016/j.envpol.2013.01.046","ISBN":"02697491 (ISSN)","ISSN":"02697491","PMID":"23434827","abstract":"This study investigated the trophic transfer of microplastic from mussels to crabs. Mussels (Mytilus edulis) were exposed to 0.5 ??m fluorescent polystyrene microspheres, then fed to crabs (Carcinus maenas). Tissue samples were then taken at intervals up to 21 days. The number of microspheres in the haemolymph of the crabs was highest at 24 h (15 033 ml-1 ?? SE 3146), and was almost gone after 21 days (267 ml-1 ?? SE 120). The maximum amount of microspheres in the haemolymph was 0.04% of the amount to which the mussels were exposed. Microspheres were also found in the stomach, hepatopancreas, ovary and gills of the crabs, in decreasing numbers over the trial period. This study is the first to show 'natural' trophic transfer of microplastic, and its translocation to haemolymph and tissues of a crab. This has implications for the health of marine organisms, the wider food web and humans. ?? 2013 Elsevier Ltd. All rights reserved.","author":[{"dropping-particle":"","family":"Farrell","given":"Paul","non-dropping-particle":"","parse-names":false,"suffix":""},{"dropping-particle":"","family":"Nelson","given":"Kathryn","non-dropping-particle":"","parse-names":false,"suffix":""}],"container-title":"Environmental Pollution","id":"ITEM-8","issued":{"date-parts":[["2013"]]},"title":"Trophic level transfer of microplastic: Mytilus edulis (L.) to Carcinus maenas (L.)","type":"article-journal"},"uris":["http://www.mendeley.com/documents/?uuid=45c8324a-8299-3bcd-ab26-eca647818d28"]}],"mendeley":{"formattedCitation":"(E. Besseling et al., 2013; Espinosa, Cuesta, &amp; Esteban, 2017; Farrell &amp; Nelson, 2013; Nobre et al., 2015; Ped et al., 2016; Rochman, Kurobe, Flores, &amp; Teh, 2014; Senga Green, 2016; Wright, Rowe, et al., 2013)","manualFormatting":"Besseling et al., 2013; Espinosa, Cuesta, &amp; Esteban, 2017; Farrell &amp; Nelson, 2013; Nobre et al., 2015; Ped et al., 2016; Rochman, Kurobe, Flores, &amp; Teh, 2014; Senga Green, 2016; Wright, Rowe, et al., 2013)","plainTextFormattedCitation":"(E. Besseling et al., 2013; Espinosa, Cuesta, &amp; Esteban, 2017; Farrell &amp; Nelson, 2013; Nobre et al., 2015; Ped et al., 2016; Rochman, Kurobe, Flores, &amp; Teh, 2014; Senga Green, 2016; Wright, Rowe, et al., 2013)","previouslyFormattedCitation":"(E. Besseling et al., 2013; Espinosa, Cuesta, &amp; Esteban, 2017; Farrell &amp; Nelson, 2013; Nobre et al., 2015; Ped et al., 2016; Rochman, Kurobe, Flores, &amp; Teh, 2014; Senga Green, 2016; Wright, Rowe, et al., 2013)"},"properties":{"noteIndex":0},"schema":"https://github.com/citation-style-language/schema/raw/master/csl-citation.json"}</w:instrText>
      </w:r>
      <w:r w:rsidRPr="007008C9">
        <w:rPr>
          <w:i w:val="0"/>
          <w:iCs w:val="0"/>
          <w:color w:val="auto"/>
          <w:sz w:val="24"/>
          <w:szCs w:val="17"/>
          <w:vertAlign w:val="superscript"/>
        </w:rPr>
        <w:fldChar w:fldCharType="separate"/>
      </w:r>
      <w:r w:rsidRPr="007008C9">
        <w:rPr>
          <w:i w:val="0"/>
          <w:iCs w:val="0"/>
          <w:noProof/>
          <w:color w:val="auto"/>
          <w:sz w:val="24"/>
          <w:szCs w:val="17"/>
          <w:lang w:val="en-GB"/>
        </w:rPr>
        <w:t>Besseling et al., 2013; Espinosa, Cuesta, &amp; Esteban, 2017; Farrell &amp; Nelson, 2013; Nobre et al., 2015; Ped et al., 2016; Rochman, Kurobe, Flores, &amp; Teh, 2014; Senga Green, 2016; Wright, Rowe, et al., 2013)</w:t>
      </w:r>
      <w:r w:rsidRPr="007008C9">
        <w:rPr>
          <w:i w:val="0"/>
          <w:iCs w:val="0"/>
          <w:color w:val="auto"/>
          <w:sz w:val="24"/>
          <w:szCs w:val="17"/>
          <w:vertAlign w:val="superscript"/>
        </w:rPr>
        <w:fldChar w:fldCharType="end"/>
      </w:r>
      <w:r w:rsidR="007008C9" w:rsidRPr="007008C9">
        <w:rPr>
          <w:i w:val="0"/>
          <w:iCs w:val="0"/>
          <w:color w:val="auto"/>
          <w:sz w:val="24"/>
          <w:szCs w:val="17"/>
          <w:lang w:val="en-GB"/>
        </w:rPr>
        <w:t>.</w:t>
      </w:r>
    </w:p>
    <w:tbl>
      <w:tblPr>
        <w:tblW w:w="17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993"/>
        <w:gridCol w:w="1180"/>
        <w:gridCol w:w="978"/>
        <w:gridCol w:w="986"/>
        <w:gridCol w:w="1048"/>
        <w:gridCol w:w="1428"/>
        <w:gridCol w:w="1071"/>
        <w:gridCol w:w="1056"/>
        <w:gridCol w:w="1454"/>
        <w:gridCol w:w="1096"/>
        <w:gridCol w:w="1457"/>
        <w:gridCol w:w="1074"/>
        <w:gridCol w:w="1338"/>
      </w:tblGrid>
      <w:tr w:rsidR="009C4422" w:rsidRPr="00B16DB1" w:rsidTr="006D3FEF">
        <w:trPr>
          <w:trHeight w:val="288"/>
        </w:trPr>
        <w:tc>
          <w:tcPr>
            <w:tcW w:w="1612"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eastAsia="Times New Roman" w:hAnsi="Calibri" w:cs="Times New Roman"/>
                <w:b/>
                <w:bCs/>
                <w:lang w:val="en-GB" w:eastAsia="en-GB"/>
              </w:rPr>
              <w:t>Taxonomic group</w:t>
            </w:r>
          </w:p>
        </w:tc>
        <w:tc>
          <w:tcPr>
            <w:tcW w:w="1993"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eastAsia="Times New Roman" w:hAnsi="Calibri" w:cs="Times New Roman"/>
                <w:b/>
                <w:bCs/>
                <w:lang w:val="en-GB" w:eastAsia="en-GB"/>
              </w:rPr>
              <w:t>Species</w:t>
            </w:r>
          </w:p>
        </w:tc>
        <w:tc>
          <w:tcPr>
            <w:tcW w:w="1180"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eastAsia="Times New Roman" w:hAnsi="Calibri" w:cs="Times New Roman"/>
                <w:b/>
                <w:bCs/>
                <w:lang w:val="en-GB" w:eastAsia="en-GB"/>
              </w:rPr>
              <w:t>Water type</w:t>
            </w:r>
          </w:p>
        </w:tc>
        <w:tc>
          <w:tcPr>
            <w:tcW w:w="978"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eastAsia="Times New Roman" w:hAnsi="Calibri" w:cs="Times New Roman"/>
                <w:b/>
                <w:bCs/>
                <w:lang w:val="en-GB" w:eastAsia="en-GB"/>
              </w:rPr>
              <w:t>Polymer type</w:t>
            </w:r>
          </w:p>
        </w:tc>
        <w:tc>
          <w:tcPr>
            <w:tcW w:w="986"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eastAsia="Times New Roman" w:hAnsi="Calibri" w:cs="Times New Roman"/>
                <w:b/>
                <w:bCs/>
                <w:lang w:val="en-GB" w:eastAsia="en-GB"/>
              </w:rPr>
              <w:t>Particle shape</w:t>
            </w:r>
          </w:p>
        </w:tc>
        <w:tc>
          <w:tcPr>
            <w:tcW w:w="1048"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eastAsia="Times New Roman" w:hAnsi="Calibri" w:cs="Times New Roman"/>
                <w:b/>
                <w:bCs/>
                <w:lang w:val="en-GB" w:eastAsia="en-GB"/>
              </w:rPr>
              <w:t>Particle size range</w:t>
            </w:r>
          </w:p>
        </w:tc>
        <w:tc>
          <w:tcPr>
            <w:tcW w:w="1428"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eastAsia="Times New Roman" w:hAnsi="Calibri" w:cs="Times New Roman"/>
                <w:b/>
                <w:bCs/>
                <w:lang w:val="en-GB" w:eastAsia="en-GB"/>
              </w:rPr>
              <w:t>Endpoint</w:t>
            </w:r>
          </w:p>
        </w:tc>
        <w:tc>
          <w:tcPr>
            <w:tcW w:w="1071"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eastAsia="Times New Roman" w:hAnsi="Calibri" w:cs="Times New Roman"/>
                <w:b/>
                <w:bCs/>
                <w:lang w:val="en-GB" w:eastAsia="en-GB"/>
              </w:rPr>
              <w:t>Reported effect level</w:t>
            </w:r>
          </w:p>
        </w:tc>
        <w:tc>
          <w:tcPr>
            <w:tcW w:w="1056"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eastAsia="Times New Roman" w:hAnsi="Calibri" w:cs="Times New Roman"/>
                <w:b/>
                <w:bCs/>
                <w:lang w:val="en-GB" w:eastAsia="en-GB"/>
              </w:rPr>
              <w:t>Exposure duration (d)</w:t>
            </w:r>
          </w:p>
        </w:tc>
        <w:tc>
          <w:tcPr>
            <w:tcW w:w="1454"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eastAsia="Times New Roman" w:hAnsi="Calibri" w:cs="Times New Roman"/>
                <w:b/>
                <w:bCs/>
                <w:lang w:val="en-GB" w:eastAsia="en-GB"/>
              </w:rPr>
              <w:t>Extrapolation factor</w:t>
            </w:r>
          </w:p>
        </w:tc>
        <w:tc>
          <w:tcPr>
            <w:tcW w:w="1096"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eastAsia="Times New Roman" w:hAnsi="Calibri" w:cs="Times New Roman"/>
                <w:b/>
                <w:bCs/>
                <w:lang w:val="en-GB" w:eastAsia="en-GB"/>
              </w:rPr>
              <w:t>Effect threshold (g/kg DW)</w:t>
            </w:r>
          </w:p>
        </w:tc>
        <w:tc>
          <w:tcPr>
            <w:tcW w:w="1457"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eastAsia="Times New Roman" w:hAnsi="Calibri" w:cs="Times New Roman"/>
                <w:b/>
                <w:bCs/>
                <w:lang w:val="en-GB" w:eastAsia="en-GB"/>
              </w:rPr>
              <w:t>Chronic LOEC after extrapolation (g/kg DW)</w:t>
            </w:r>
          </w:p>
        </w:tc>
        <w:tc>
          <w:tcPr>
            <w:tcW w:w="1068"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eastAsia="Times New Roman" w:hAnsi="Calibri" w:cs="Times New Roman"/>
                <w:b/>
                <w:bCs/>
                <w:lang w:val="en-GB" w:eastAsia="en-GB"/>
              </w:rPr>
              <w:t>Exposure medium</w:t>
            </w:r>
          </w:p>
        </w:tc>
        <w:tc>
          <w:tcPr>
            <w:tcW w:w="1338" w:type="dxa"/>
            <w:tcBorders>
              <w:bottom w:val="single" w:sz="12" w:space="0" w:color="auto"/>
            </w:tcBorders>
            <w:shd w:val="clear" w:color="auto" w:fill="A6A6A6" w:themeFill="background1" w:themeFillShade="A6"/>
            <w:noWrap/>
            <w:vAlign w:val="center"/>
            <w:hideMark/>
          </w:tcPr>
          <w:p w:rsidR="009C4422" w:rsidRPr="00526D2A" w:rsidRDefault="009C4422" w:rsidP="00885900">
            <w:pPr>
              <w:spacing w:line="240" w:lineRule="auto"/>
              <w:jc w:val="center"/>
              <w:rPr>
                <w:rFonts w:ascii="Calibri" w:eastAsia="Times New Roman" w:hAnsi="Calibri" w:cs="Times New Roman"/>
                <w:b/>
                <w:bCs/>
                <w:lang w:val="en-GB" w:eastAsia="en-GB"/>
              </w:rPr>
            </w:pPr>
            <w:r w:rsidRPr="00526D2A">
              <w:rPr>
                <w:rFonts w:ascii="Calibri" w:eastAsia="Times New Roman" w:hAnsi="Calibri" w:cs="Times New Roman"/>
                <w:b/>
                <w:bCs/>
                <w:lang w:val="en-GB" w:eastAsia="en-GB"/>
              </w:rPr>
              <w:t>Reference</w:t>
            </w:r>
          </w:p>
        </w:tc>
      </w:tr>
      <w:tr w:rsidR="009C4422" w:rsidRPr="00B16DB1" w:rsidTr="006D3FEF">
        <w:trPr>
          <w:trHeight w:val="288"/>
        </w:trPr>
        <w:tc>
          <w:tcPr>
            <w:tcW w:w="1612" w:type="dxa"/>
            <w:tcBorders>
              <w:top w:val="single" w:sz="12" w:space="0" w:color="auto"/>
            </w:tcBorders>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Annelida</w:t>
            </w:r>
          </w:p>
        </w:tc>
        <w:tc>
          <w:tcPr>
            <w:tcW w:w="1993" w:type="dxa"/>
            <w:tcBorders>
              <w:top w:val="single" w:sz="12" w:space="0" w:color="auto"/>
            </w:tcBorders>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i/>
                <w:iCs/>
                <w:color w:val="000000"/>
                <w:lang w:val="en-GB" w:eastAsia="en-GB"/>
              </w:rPr>
            </w:pPr>
            <w:r w:rsidRPr="00526D2A">
              <w:rPr>
                <w:rFonts w:ascii="Calibri" w:eastAsia="Times New Roman" w:hAnsi="Calibri" w:cs="Times New Roman"/>
                <w:i/>
                <w:iCs/>
                <w:color w:val="000000"/>
                <w:lang w:val="en-GB" w:eastAsia="en-GB"/>
              </w:rPr>
              <w:t>Arenicola marina</w:t>
            </w:r>
          </w:p>
        </w:tc>
        <w:tc>
          <w:tcPr>
            <w:tcW w:w="1180" w:type="dxa"/>
            <w:tcBorders>
              <w:top w:val="single" w:sz="12" w:space="0" w:color="auto"/>
            </w:tcBorders>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Marine</w:t>
            </w:r>
          </w:p>
        </w:tc>
        <w:tc>
          <w:tcPr>
            <w:tcW w:w="978" w:type="dxa"/>
            <w:tcBorders>
              <w:top w:val="single" w:sz="12" w:space="0" w:color="auto"/>
            </w:tcBorders>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UPVC</w:t>
            </w:r>
          </w:p>
        </w:tc>
        <w:tc>
          <w:tcPr>
            <w:tcW w:w="986" w:type="dxa"/>
            <w:tcBorders>
              <w:top w:val="single" w:sz="12" w:space="0" w:color="auto"/>
            </w:tcBorders>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Irregular</w:t>
            </w:r>
          </w:p>
        </w:tc>
        <w:tc>
          <w:tcPr>
            <w:tcW w:w="1048" w:type="dxa"/>
            <w:tcBorders>
              <w:top w:val="single" w:sz="12" w:space="0" w:color="auto"/>
            </w:tcBorders>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37.5 - 500 µm</w:t>
            </w:r>
          </w:p>
        </w:tc>
        <w:tc>
          <w:tcPr>
            <w:tcW w:w="1428" w:type="dxa"/>
            <w:tcBorders>
              <w:top w:val="single" w:sz="12" w:space="0" w:color="auto"/>
            </w:tcBorders>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Egestion</w:t>
            </w:r>
          </w:p>
        </w:tc>
        <w:tc>
          <w:tcPr>
            <w:tcW w:w="1071" w:type="dxa"/>
            <w:tcBorders>
              <w:top w:val="single" w:sz="12" w:space="0" w:color="auto"/>
            </w:tcBorders>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LOEC</w:t>
            </w:r>
          </w:p>
        </w:tc>
        <w:tc>
          <w:tcPr>
            <w:tcW w:w="1056" w:type="dxa"/>
            <w:tcBorders>
              <w:top w:val="single" w:sz="12" w:space="0" w:color="auto"/>
            </w:tcBorders>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2</w:t>
            </w:r>
          </w:p>
        </w:tc>
        <w:tc>
          <w:tcPr>
            <w:tcW w:w="1454" w:type="dxa"/>
            <w:tcBorders>
              <w:top w:val="single" w:sz="12" w:space="0" w:color="auto"/>
            </w:tcBorders>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eastAsia="Times New Roman" w:hAnsi="Calibri" w:cs="Times New Roman"/>
                <w:lang w:val="en-GB" w:eastAsia="en-GB"/>
              </w:rPr>
              <w:t>10</w:t>
            </w:r>
          </w:p>
        </w:tc>
        <w:tc>
          <w:tcPr>
            <w:tcW w:w="1096" w:type="dxa"/>
            <w:tcBorders>
              <w:top w:val="single" w:sz="12" w:space="0" w:color="auto"/>
            </w:tcBorders>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62.5</w:t>
            </w:r>
          </w:p>
        </w:tc>
        <w:tc>
          <w:tcPr>
            <w:tcW w:w="1457" w:type="dxa"/>
            <w:tcBorders>
              <w:top w:val="single" w:sz="12" w:space="0" w:color="auto"/>
            </w:tcBorders>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eastAsia="Times New Roman" w:hAnsi="Calibri" w:cs="Times New Roman"/>
                <w:lang w:val="en-GB" w:eastAsia="en-GB"/>
              </w:rPr>
              <w:t>6.25</w:t>
            </w:r>
          </w:p>
        </w:tc>
        <w:tc>
          <w:tcPr>
            <w:tcW w:w="1068" w:type="dxa"/>
            <w:tcBorders>
              <w:top w:val="single" w:sz="12" w:space="0" w:color="auto"/>
            </w:tcBorders>
            <w:shd w:val="clear" w:color="auto" w:fill="auto"/>
            <w:noWrap/>
            <w:vAlign w:val="center"/>
            <w:hideMark/>
          </w:tcPr>
          <w:p w:rsidR="009C4422" w:rsidRPr="006D3FEF" w:rsidRDefault="009C4422" w:rsidP="00885900">
            <w:pPr>
              <w:spacing w:line="240" w:lineRule="auto"/>
              <w:jc w:val="center"/>
              <w:rPr>
                <w:rFonts w:ascii="Calibri" w:eastAsia="Times New Roman" w:hAnsi="Calibri" w:cs="Times New Roman"/>
                <w:b/>
                <w:i/>
                <w:color w:val="000000"/>
                <w:lang w:val="en-GB" w:eastAsia="en-GB"/>
              </w:rPr>
            </w:pPr>
            <w:r w:rsidRPr="006D3FEF">
              <w:rPr>
                <w:rFonts w:ascii="Calibri" w:eastAsia="Times New Roman" w:hAnsi="Calibri" w:cs="Times New Roman"/>
                <w:b/>
                <w:i/>
                <w:color w:val="000000"/>
                <w:lang w:val="en-GB" w:eastAsia="en-GB"/>
              </w:rPr>
              <w:t>Sediment</w:t>
            </w:r>
          </w:p>
        </w:tc>
        <w:tc>
          <w:tcPr>
            <w:tcW w:w="1338" w:type="dxa"/>
            <w:tcBorders>
              <w:top w:val="single" w:sz="12" w:space="0" w:color="auto"/>
            </w:tcBorders>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Wright et al., 2013</w:t>
            </w:r>
          </w:p>
        </w:tc>
      </w:tr>
      <w:tr w:rsidR="009C4422" w:rsidRPr="00B16DB1" w:rsidTr="006D3FEF">
        <w:trPr>
          <w:trHeight w:val="288"/>
        </w:trPr>
        <w:tc>
          <w:tcPr>
            <w:tcW w:w="1612"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Annelida</w:t>
            </w:r>
          </w:p>
        </w:tc>
        <w:tc>
          <w:tcPr>
            <w:tcW w:w="1993"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i/>
                <w:iCs/>
                <w:color w:val="000000"/>
                <w:lang w:val="en-GB" w:eastAsia="en-GB"/>
              </w:rPr>
            </w:pPr>
            <w:r w:rsidRPr="00526D2A">
              <w:rPr>
                <w:rFonts w:ascii="Calibri" w:eastAsia="Times New Roman" w:hAnsi="Calibri" w:cs="Times New Roman"/>
                <w:i/>
                <w:iCs/>
                <w:color w:val="000000"/>
                <w:lang w:val="en-GB" w:eastAsia="en-GB"/>
              </w:rPr>
              <w:t>Arenicola marina</w:t>
            </w:r>
          </w:p>
        </w:tc>
        <w:tc>
          <w:tcPr>
            <w:tcW w:w="118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Marine</w:t>
            </w:r>
          </w:p>
        </w:tc>
        <w:tc>
          <w:tcPr>
            <w:tcW w:w="97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UPVC</w:t>
            </w:r>
          </w:p>
        </w:tc>
        <w:tc>
          <w:tcPr>
            <w:tcW w:w="98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Irregular</w:t>
            </w:r>
          </w:p>
        </w:tc>
        <w:tc>
          <w:tcPr>
            <w:tcW w:w="104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37.5 - 500 µm</w:t>
            </w:r>
          </w:p>
        </w:tc>
        <w:tc>
          <w:tcPr>
            <w:tcW w:w="142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Energy budget</w:t>
            </w:r>
          </w:p>
        </w:tc>
        <w:tc>
          <w:tcPr>
            <w:tcW w:w="1071"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LOEC</w:t>
            </w:r>
          </w:p>
        </w:tc>
        <w:tc>
          <w:tcPr>
            <w:tcW w:w="105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28</w:t>
            </w:r>
          </w:p>
        </w:tc>
        <w:tc>
          <w:tcPr>
            <w:tcW w:w="145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eastAsia="Times New Roman" w:hAnsi="Calibri" w:cs="Times New Roman"/>
                <w:lang w:val="en-GB" w:eastAsia="en-GB"/>
              </w:rPr>
              <w:t>1</w:t>
            </w:r>
          </w:p>
        </w:tc>
        <w:tc>
          <w:tcPr>
            <w:tcW w:w="109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12.5</w:t>
            </w:r>
          </w:p>
        </w:tc>
        <w:tc>
          <w:tcPr>
            <w:tcW w:w="1457"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eastAsia="Times New Roman" w:hAnsi="Calibri" w:cs="Times New Roman"/>
                <w:lang w:val="en-GB" w:eastAsia="en-GB"/>
              </w:rPr>
              <w:t>12.5</w:t>
            </w:r>
          </w:p>
        </w:tc>
        <w:tc>
          <w:tcPr>
            <w:tcW w:w="1068" w:type="dxa"/>
            <w:shd w:val="clear" w:color="auto" w:fill="auto"/>
            <w:noWrap/>
            <w:vAlign w:val="center"/>
            <w:hideMark/>
          </w:tcPr>
          <w:p w:rsidR="009C4422" w:rsidRPr="006D3FEF" w:rsidRDefault="009C4422" w:rsidP="00885900">
            <w:pPr>
              <w:spacing w:line="240" w:lineRule="auto"/>
              <w:jc w:val="center"/>
              <w:rPr>
                <w:rFonts w:ascii="Calibri" w:eastAsia="Times New Roman" w:hAnsi="Calibri" w:cs="Times New Roman"/>
                <w:b/>
                <w:i/>
                <w:color w:val="000000"/>
                <w:lang w:val="en-GB" w:eastAsia="en-GB"/>
              </w:rPr>
            </w:pPr>
            <w:r w:rsidRPr="006D3FEF">
              <w:rPr>
                <w:rFonts w:ascii="Calibri" w:eastAsia="Times New Roman" w:hAnsi="Calibri" w:cs="Times New Roman"/>
                <w:b/>
                <w:i/>
                <w:color w:val="000000"/>
                <w:lang w:val="en-GB" w:eastAsia="en-GB"/>
              </w:rPr>
              <w:t>Sediment</w:t>
            </w:r>
          </w:p>
        </w:tc>
        <w:tc>
          <w:tcPr>
            <w:tcW w:w="133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Wright et al., 2013</w:t>
            </w:r>
          </w:p>
        </w:tc>
      </w:tr>
      <w:tr w:rsidR="009C4422" w:rsidRPr="00B16DB1" w:rsidTr="006D3FEF">
        <w:trPr>
          <w:trHeight w:val="288"/>
        </w:trPr>
        <w:tc>
          <w:tcPr>
            <w:tcW w:w="1612"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Annelida</w:t>
            </w:r>
          </w:p>
        </w:tc>
        <w:tc>
          <w:tcPr>
            <w:tcW w:w="1993"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i/>
                <w:iCs/>
                <w:color w:val="000000"/>
                <w:lang w:val="en-GB" w:eastAsia="en-GB"/>
              </w:rPr>
            </w:pPr>
            <w:r w:rsidRPr="00526D2A">
              <w:rPr>
                <w:rFonts w:ascii="Calibri" w:eastAsia="Times New Roman" w:hAnsi="Calibri" w:cs="Times New Roman"/>
                <w:i/>
                <w:iCs/>
                <w:color w:val="000000"/>
                <w:lang w:val="en-GB" w:eastAsia="en-GB"/>
              </w:rPr>
              <w:t>Arenicola marina</w:t>
            </w:r>
          </w:p>
        </w:tc>
        <w:tc>
          <w:tcPr>
            <w:tcW w:w="118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Marine</w:t>
            </w:r>
          </w:p>
        </w:tc>
        <w:tc>
          <w:tcPr>
            <w:tcW w:w="97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UPVC</w:t>
            </w:r>
          </w:p>
        </w:tc>
        <w:tc>
          <w:tcPr>
            <w:tcW w:w="98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Irregular</w:t>
            </w:r>
          </w:p>
        </w:tc>
        <w:tc>
          <w:tcPr>
            <w:tcW w:w="104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37.5 - 500 µm</w:t>
            </w:r>
          </w:p>
        </w:tc>
        <w:tc>
          <w:tcPr>
            <w:tcW w:w="142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Feeding</w:t>
            </w:r>
          </w:p>
        </w:tc>
        <w:tc>
          <w:tcPr>
            <w:tcW w:w="1071"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LOEC</w:t>
            </w:r>
          </w:p>
        </w:tc>
        <w:tc>
          <w:tcPr>
            <w:tcW w:w="105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28</w:t>
            </w:r>
          </w:p>
        </w:tc>
        <w:tc>
          <w:tcPr>
            <w:tcW w:w="145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eastAsia="Times New Roman" w:hAnsi="Calibri" w:cs="Times New Roman"/>
                <w:lang w:val="en-GB" w:eastAsia="en-GB"/>
              </w:rPr>
              <w:t>1</w:t>
            </w:r>
          </w:p>
        </w:tc>
        <w:tc>
          <w:tcPr>
            <w:tcW w:w="109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62.5</w:t>
            </w:r>
          </w:p>
        </w:tc>
        <w:tc>
          <w:tcPr>
            <w:tcW w:w="1457"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eastAsia="Times New Roman" w:hAnsi="Calibri" w:cs="Times New Roman"/>
                <w:lang w:val="en-GB" w:eastAsia="en-GB"/>
              </w:rPr>
              <w:t>62.5</w:t>
            </w:r>
          </w:p>
        </w:tc>
        <w:tc>
          <w:tcPr>
            <w:tcW w:w="1068" w:type="dxa"/>
            <w:shd w:val="clear" w:color="auto" w:fill="auto"/>
            <w:noWrap/>
            <w:vAlign w:val="center"/>
            <w:hideMark/>
          </w:tcPr>
          <w:p w:rsidR="009C4422" w:rsidRPr="006D3FEF" w:rsidRDefault="009C4422" w:rsidP="00885900">
            <w:pPr>
              <w:spacing w:line="240" w:lineRule="auto"/>
              <w:jc w:val="center"/>
              <w:rPr>
                <w:rFonts w:ascii="Calibri" w:eastAsia="Times New Roman" w:hAnsi="Calibri" w:cs="Times New Roman"/>
                <w:b/>
                <w:i/>
                <w:color w:val="000000"/>
                <w:lang w:val="en-GB" w:eastAsia="en-GB"/>
              </w:rPr>
            </w:pPr>
            <w:r w:rsidRPr="006D3FEF">
              <w:rPr>
                <w:rFonts w:ascii="Calibri" w:eastAsia="Times New Roman" w:hAnsi="Calibri" w:cs="Times New Roman"/>
                <w:b/>
                <w:i/>
                <w:color w:val="000000"/>
                <w:lang w:val="en-GB" w:eastAsia="en-GB"/>
              </w:rPr>
              <w:t>Sediment</w:t>
            </w:r>
          </w:p>
        </w:tc>
        <w:tc>
          <w:tcPr>
            <w:tcW w:w="133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Wright et al., 2013</w:t>
            </w:r>
          </w:p>
        </w:tc>
      </w:tr>
      <w:tr w:rsidR="009C4422" w:rsidRPr="00B16DB1" w:rsidTr="006D3FEF">
        <w:trPr>
          <w:trHeight w:val="288"/>
        </w:trPr>
        <w:tc>
          <w:tcPr>
            <w:tcW w:w="1612"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Annelida</w:t>
            </w:r>
          </w:p>
        </w:tc>
        <w:tc>
          <w:tcPr>
            <w:tcW w:w="1993"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i/>
                <w:iCs/>
                <w:color w:val="000000"/>
                <w:lang w:val="en-GB" w:eastAsia="en-GB"/>
              </w:rPr>
            </w:pPr>
            <w:r w:rsidRPr="00526D2A">
              <w:rPr>
                <w:rFonts w:ascii="Calibri" w:eastAsia="Times New Roman" w:hAnsi="Calibri" w:cs="Times New Roman"/>
                <w:i/>
                <w:iCs/>
                <w:color w:val="000000"/>
                <w:lang w:val="en-GB" w:eastAsia="en-GB"/>
              </w:rPr>
              <w:t>Arenicola marina</w:t>
            </w:r>
          </w:p>
        </w:tc>
        <w:tc>
          <w:tcPr>
            <w:tcW w:w="118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Marine</w:t>
            </w:r>
          </w:p>
        </w:tc>
        <w:tc>
          <w:tcPr>
            <w:tcW w:w="97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PS</w:t>
            </w:r>
          </w:p>
        </w:tc>
        <w:tc>
          <w:tcPr>
            <w:tcW w:w="98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Sphere</w:t>
            </w:r>
          </w:p>
        </w:tc>
        <w:tc>
          <w:tcPr>
            <w:tcW w:w="104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0.4 - 1.3 mm</w:t>
            </w:r>
          </w:p>
        </w:tc>
        <w:tc>
          <w:tcPr>
            <w:tcW w:w="142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Feeding</w:t>
            </w:r>
          </w:p>
        </w:tc>
        <w:tc>
          <w:tcPr>
            <w:tcW w:w="1071"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LOEC</w:t>
            </w:r>
          </w:p>
        </w:tc>
        <w:tc>
          <w:tcPr>
            <w:tcW w:w="105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10</w:t>
            </w:r>
          </w:p>
        </w:tc>
        <w:tc>
          <w:tcPr>
            <w:tcW w:w="145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eastAsia="Times New Roman" w:hAnsi="Calibri" w:cs="Times New Roman"/>
                <w:lang w:val="en-GB" w:eastAsia="en-GB"/>
              </w:rPr>
              <w:t>6.5</w:t>
            </w:r>
          </w:p>
        </w:tc>
        <w:tc>
          <w:tcPr>
            <w:tcW w:w="109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0.74</w:t>
            </w:r>
          </w:p>
        </w:tc>
        <w:tc>
          <w:tcPr>
            <w:tcW w:w="1457"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eastAsia="Times New Roman" w:hAnsi="Calibri" w:cs="Times New Roman"/>
                <w:lang w:val="en-GB" w:eastAsia="en-GB"/>
              </w:rPr>
              <w:t>0.11</w:t>
            </w:r>
          </w:p>
        </w:tc>
        <w:tc>
          <w:tcPr>
            <w:tcW w:w="1068" w:type="dxa"/>
            <w:shd w:val="clear" w:color="auto" w:fill="auto"/>
            <w:noWrap/>
            <w:vAlign w:val="center"/>
            <w:hideMark/>
          </w:tcPr>
          <w:p w:rsidR="009C4422" w:rsidRPr="006D3FEF" w:rsidRDefault="009C4422" w:rsidP="00885900">
            <w:pPr>
              <w:spacing w:line="240" w:lineRule="auto"/>
              <w:jc w:val="center"/>
              <w:rPr>
                <w:rFonts w:ascii="Calibri" w:eastAsia="Times New Roman" w:hAnsi="Calibri" w:cs="Times New Roman"/>
                <w:b/>
                <w:i/>
                <w:color w:val="000000"/>
                <w:lang w:val="en-GB" w:eastAsia="en-GB"/>
              </w:rPr>
            </w:pPr>
            <w:r w:rsidRPr="006D3FEF">
              <w:rPr>
                <w:rFonts w:ascii="Calibri" w:eastAsia="Times New Roman" w:hAnsi="Calibri" w:cs="Times New Roman"/>
                <w:b/>
                <w:i/>
                <w:color w:val="000000"/>
                <w:lang w:val="en-GB" w:eastAsia="en-GB"/>
              </w:rPr>
              <w:t>Sediment</w:t>
            </w:r>
          </w:p>
        </w:tc>
        <w:tc>
          <w:tcPr>
            <w:tcW w:w="133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Besseling et al., 2013</w:t>
            </w:r>
          </w:p>
        </w:tc>
      </w:tr>
      <w:tr w:rsidR="009C4422" w:rsidRPr="00B16DB1" w:rsidTr="006D3FEF">
        <w:trPr>
          <w:trHeight w:val="288"/>
        </w:trPr>
        <w:tc>
          <w:tcPr>
            <w:tcW w:w="1612"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Annelida</w:t>
            </w:r>
          </w:p>
        </w:tc>
        <w:tc>
          <w:tcPr>
            <w:tcW w:w="1993"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i/>
                <w:iCs/>
                <w:color w:val="000000"/>
                <w:lang w:val="en-GB" w:eastAsia="en-GB"/>
              </w:rPr>
            </w:pPr>
            <w:r w:rsidRPr="00526D2A">
              <w:rPr>
                <w:rFonts w:ascii="Calibri" w:eastAsia="Times New Roman" w:hAnsi="Calibri" w:cs="Times New Roman"/>
                <w:i/>
                <w:iCs/>
                <w:color w:val="000000"/>
                <w:lang w:val="en-GB" w:eastAsia="en-GB"/>
              </w:rPr>
              <w:t>Arenicola marina</w:t>
            </w:r>
          </w:p>
        </w:tc>
        <w:tc>
          <w:tcPr>
            <w:tcW w:w="118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Marine</w:t>
            </w:r>
          </w:p>
        </w:tc>
        <w:tc>
          <w:tcPr>
            <w:tcW w:w="97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HDPE</w:t>
            </w:r>
          </w:p>
        </w:tc>
        <w:tc>
          <w:tcPr>
            <w:tcW w:w="98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Sphere</w:t>
            </w:r>
          </w:p>
        </w:tc>
        <w:tc>
          <w:tcPr>
            <w:tcW w:w="104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10 - 180 µm</w:t>
            </w:r>
          </w:p>
        </w:tc>
        <w:tc>
          <w:tcPr>
            <w:tcW w:w="142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Feeding</w:t>
            </w:r>
          </w:p>
        </w:tc>
        <w:tc>
          <w:tcPr>
            <w:tcW w:w="1071"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LOEC</w:t>
            </w:r>
          </w:p>
        </w:tc>
        <w:tc>
          <w:tcPr>
            <w:tcW w:w="105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28</w:t>
            </w:r>
          </w:p>
        </w:tc>
        <w:tc>
          <w:tcPr>
            <w:tcW w:w="145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eastAsia="Times New Roman" w:hAnsi="Calibri" w:cs="Times New Roman"/>
                <w:lang w:val="en-GB" w:eastAsia="en-GB"/>
              </w:rPr>
              <w:t>1</w:t>
            </w:r>
          </w:p>
        </w:tc>
        <w:tc>
          <w:tcPr>
            <w:tcW w:w="109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0.5</w:t>
            </w:r>
          </w:p>
        </w:tc>
        <w:tc>
          <w:tcPr>
            <w:tcW w:w="1457"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eastAsia="Times New Roman" w:hAnsi="Calibri" w:cs="Times New Roman"/>
                <w:lang w:val="en-GB" w:eastAsia="en-GB"/>
              </w:rPr>
              <w:t>0.5</w:t>
            </w:r>
          </w:p>
        </w:tc>
        <w:tc>
          <w:tcPr>
            <w:tcW w:w="1068" w:type="dxa"/>
            <w:shd w:val="clear" w:color="auto" w:fill="auto"/>
            <w:noWrap/>
            <w:vAlign w:val="center"/>
            <w:hideMark/>
          </w:tcPr>
          <w:p w:rsidR="009C4422" w:rsidRPr="006D3FEF" w:rsidRDefault="009C4422" w:rsidP="00885900">
            <w:pPr>
              <w:spacing w:line="240" w:lineRule="auto"/>
              <w:jc w:val="center"/>
              <w:rPr>
                <w:rFonts w:ascii="Calibri" w:eastAsia="Times New Roman" w:hAnsi="Calibri" w:cs="Times New Roman"/>
                <w:b/>
                <w:i/>
                <w:color w:val="000000"/>
                <w:lang w:val="en-GB" w:eastAsia="en-GB"/>
              </w:rPr>
            </w:pPr>
            <w:r w:rsidRPr="006D3FEF">
              <w:rPr>
                <w:rFonts w:ascii="Calibri" w:eastAsia="Times New Roman" w:hAnsi="Calibri" w:cs="Times New Roman"/>
                <w:b/>
                <w:i/>
                <w:color w:val="000000"/>
                <w:lang w:val="en-GB" w:eastAsia="en-GB"/>
              </w:rPr>
              <w:t>Sediment</w:t>
            </w:r>
          </w:p>
        </w:tc>
        <w:tc>
          <w:tcPr>
            <w:tcW w:w="133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Besseling et al., 2017</w:t>
            </w:r>
          </w:p>
        </w:tc>
      </w:tr>
      <w:tr w:rsidR="009C4422" w:rsidRPr="00B16DB1" w:rsidTr="006D3FEF">
        <w:trPr>
          <w:trHeight w:val="288"/>
        </w:trPr>
        <w:tc>
          <w:tcPr>
            <w:tcW w:w="1612"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Annelida</w:t>
            </w:r>
          </w:p>
        </w:tc>
        <w:tc>
          <w:tcPr>
            <w:tcW w:w="1993"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i/>
                <w:iCs/>
                <w:color w:val="000000"/>
                <w:lang w:val="en-GB" w:eastAsia="en-GB"/>
              </w:rPr>
            </w:pPr>
            <w:r w:rsidRPr="00526D2A">
              <w:rPr>
                <w:rFonts w:ascii="Calibri" w:eastAsia="Times New Roman" w:hAnsi="Calibri" w:cs="Times New Roman"/>
                <w:i/>
                <w:iCs/>
                <w:color w:val="000000"/>
                <w:lang w:val="en-GB" w:eastAsia="en-GB"/>
              </w:rPr>
              <w:t>Arenicola marina</w:t>
            </w:r>
          </w:p>
        </w:tc>
        <w:tc>
          <w:tcPr>
            <w:tcW w:w="118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Marine</w:t>
            </w:r>
          </w:p>
        </w:tc>
        <w:tc>
          <w:tcPr>
            <w:tcW w:w="97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PLA</w:t>
            </w:r>
          </w:p>
        </w:tc>
        <w:tc>
          <w:tcPr>
            <w:tcW w:w="98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Sphere</w:t>
            </w:r>
          </w:p>
        </w:tc>
        <w:tc>
          <w:tcPr>
            <w:tcW w:w="104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1.4 - 707 µm</w:t>
            </w:r>
          </w:p>
        </w:tc>
        <w:tc>
          <w:tcPr>
            <w:tcW w:w="142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Metabolism</w:t>
            </w:r>
          </w:p>
        </w:tc>
        <w:tc>
          <w:tcPr>
            <w:tcW w:w="1071"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LOEC</w:t>
            </w:r>
          </w:p>
        </w:tc>
        <w:tc>
          <w:tcPr>
            <w:tcW w:w="105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31</w:t>
            </w:r>
          </w:p>
        </w:tc>
        <w:tc>
          <w:tcPr>
            <w:tcW w:w="145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eastAsia="Times New Roman" w:hAnsi="Calibri" w:cs="Times New Roman"/>
                <w:lang w:val="en-GB" w:eastAsia="en-GB"/>
              </w:rPr>
              <w:t>1</w:t>
            </w:r>
          </w:p>
        </w:tc>
        <w:tc>
          <w:tcPr>
            <w:tcW w:w="109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25</w:t>
            </w:r>
          </w:p>
        </w:tc>
        <w:tc>
          <w:tcPr>
            <w:tcW w:w="1457"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eastAsia="Times New Roman" w:hAnsi="Calibri" w:cs="Times New Roman"/>
                <w:lang w:val="en-GB" w:eastAsia="en-GB"/>
              </w:rPr>
              <w:t>25</w:t>
            </w:r>
          </w:p>
        </w:tc>
        <w:tc>
          <w:tcPr>
            <w:tcW w:w="1068" w:type="dxa"/>
            <w:shd w:val="clear" w:color="auto" w:fill="auto"/>
            <w:noWrap/>
            <w:vAlign w:val="center"/>
            <w:hideMark/>
          </w:tcPr>
          <w:p w:rsidR="009C4422" w:rsidRPr="006D3FEF" w:rsidRDefault="009C4422" w:rsidP="00885900">
            <w:pPr>
              <w:spacing w:line="240" w:lineRule="auto"/>
              <w:jc w:val="center"/>
              <w:rPr>
                <w:rFonts w:ascii="Calibri" w:eastAsia="Times New Roman" w:hAnsi="Calibri" w:cs="Times New Roman"/>
                <w:b/>
                <w:i/>
                <w:color w:val="000000"/>
                <w:lang w:val="en-GB" w:eastAsia="en-GB"/>
              </w:rPr>
            </w:pPr>
            <w:r w:rsidRPr="006D3FEF">
              <w:rPr>
                <w:rFonts w:ascii="Calibri" w:eastAsia="Times New Roman" w:hAnsi="Calibri" w:cs="Times New Roman"/>
                <w:b/>
                <w:i/>
                <w:color w:val="000000"/>
                <w:lang w:val="en-GB" w:eastAsia="en-GB"/>
              </w:rPr>
              <w:t>Sediment</w:t>
            </w:r>
          </w:p>
        </w:tc>
        <w:tc>
          <w:tcPr>
            <w:tcW w:w="133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Green et al., 2016</w:t>
            </w:r>
          </w:p>
        </w:tc>
      </w:tr>
      <w:tr w:rsidR="009C4422" w:rsidRPr="00B16DB1" w:rsidTr="006D3FEF">
        <w:trPr>
          <w:trHeight w:val="288"/>
        </w:trPr>
        <w:tc>
          <w:tcPr>
            <w:tcW w:w="1612"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Annelida</w:t>
            </w:r>
          </w:p>
        </w:tc>
        <w:tc>
          <w:tcPr>
            <w:tcW w:w="1993"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i/>
                <w:iCs/>
                <w:color w:val="000000"/>
                <w:lang w:val="en-GB" w:eastAsia="en-GB"/>
              </w:rPr>
            </w:pPr>
            <w:r w:rsidRPr="00526D2A">
              <w:rPr>
                <w:rFonts w:ascii="Calibri" w:eastAsia="Times New Roman" w:hAnsi="Calibri" w:cs="Times New Roman"/>
                <w:i/>
                <w:iCs/>
                <w:color w:val="000000"/>
                <w:lang w:val="en-GB" w:eastAsia="en-GB"/>
              </w:rPr>
              <w:t>Arenicola marina</w:t>
            </w:r>
          </w:p>
        </w:tc>
        <w:tc>
          <w:tcPr>
            <w:tcW w:w="118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Marine</w:t>
            </w:r>
          </w:p>
        </w:tc>
        <w:tc>
          <w:tcPr>
            <w:tcW w:w="97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HDPE</w:t>
            </w:r>
          </w:p>
        </w:tc>
        <w:tc>
          <w:tcPr>
            <w:tcW w:w="98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Sphere</w:t>
            </w:r>
          </w:p>
        </w:tc>
        <w:tc>
          <w:tcPr>
            <w:tcW w:w="104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2.5 - 316 µm</w:t>
            </w:r>
          </w:p>
        </w:tc>
        <w:tc>
          <w:tcPr>
            <w:tcW w:w="142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Metabolism</w:t>
            </w:r>
          </w:p>
        </w:tc>
        <w:tc>
          <w:tcPr>
            <w:tcW w:w="1071"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LOEC</w:t>
            </w:r>
          </w:p>
        </w:tc>
        <w:tc>
          <w:tcPr>
            <w:tcW w:w="105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31</w:t>
            </w:r>
          </w:p>
        </w:tc>
        <w:tc>
          <w:tcPr>
            <w:tcW w:w="145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eastAsia="Times New Roman" w:hAnsi="Calibri" w:cs="Times New Roman"/>
                <w:lang w:val="en-GB" w:eastAsia="en-GB"/>
              </w:rPr>
              <w:t>1</w:t>
            </w:r>
          </w:p>
        </w:tc>
        <w:tc>
          <w:tcPr>
            <w:tcW w:w="109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25</w:t>
            </w:r>
          </w:p>
        </w:tc>
        <w:tc>
          <w:tcPr>
            <w:tcW w:w="1457"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eastAsia="Times New Roman" w:hAnsi="Calibri" w:cs="Times New Roman"/>
                <w:lang w:val="en-GB" w:eastAsia="en-GB"/>
              </w:rPr>
              <w:t>25</w:t>
            </w:r>
          </w:p>
        </w:tc>
        <w:tc>
          <w:tcPr>
            <w:tcW w:w="1068" w:type="dxa"/>
            <w:shd w:val="clear" w:color="auto" w:fill="auto"/>
            <w:noWrap/>
            <w:vAlign w:val="center"/>
            <w:hideMark/>
          </w:tcPr>
          <w:p w:rsidR="009C4422" w:rsidRPr="006D3FEF" w:rsidRDefault="009C4422" w:rsidP="00885900">
            <w:pPr>
              <w:spacing w:line="240" w:lineRule="auto"/>
              <w:jc w:val="center"/>
              <w:rPr>
                <w:rFonts w:ascii="Calibri" w:eastAsia="Times New Roman" w:hAnsi="Calibri" w:cs="Times New Roman"/>
                <w:b/>
                <w:i/>
                <w:color w:val="000000"/>
                <w:lang w:val="en-GB" w:eastAsia="en-GB"/>
              </w:rPr>
            </w:pPr>
            <w:r w:rsidRPr="006D3FEF">
              <w:rPr>
                <w:rFonts w:ascii="Calibri" w:eastAsia="Times New Roman" w:hAnsi="Calibri" w:cs="Times New Roman"/>
                <w:b/>
                <w:i/>
                <w:color w:val="000000"/>
                <w:lang w:val="en-GB" w:eastAsia="en-GB"/>
              </w:rPr>
              <w:t>Sediment</w:t>
            </w:r>
          </w:p>
        </w:tc>
        <w:tc>
          <w:tcPr>
            <w:tcW w:w="133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Green et al., 2016</w:t>
            </w:r>
          </w:p>
        </w:tc>
      </w:tr>
      <w:tr w:rsidR="009C4422" w:rsidRPr="00B16DB1" w:rsidTr="006D3FEF">
        <w:trPr>
          <w:trHeight w:val="288"/>
        </w:trPr>
        <w:tc>
          <w:tcPr>
            <w:tcW w:w="1612"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Annelida</w:t>
            </w:r>
          </w:p>
        </w:tc>
        <w:tc>
          <w:tcPr>
            <w:tcW w:w="1993"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i/>
                <w:iCs/>
                <w:color w:val="000000"/>
                <w:lang w:val="en-GB" w:eastAsia="en-GB"/>
              </w:rPr>
            </w:pPr>
            <w:r w:rsidRPr="00526D2A">
              <w:rPr>
                <w:rFonts w:ascii="Calibri" w:eastAsia="Times New Roman" w:hAnsi="Calibri" w:cs="Times New Roman"/>
                <w:i/>
                <w:iCs/>
                <w:color w:val="000000"/>
                <w:lang w:val="en-GB" w:eastAsia="en-GB"/>
              </w:rPr>
              <w:t>Arenicola marina</w:t>
            </w:r>
          </w:p>
        </w:tc>
        <w:tc>
          <w:tcPr>
            <w:tcW w:w="118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Marine</w:t>
            </w:r>
          </w:p>
        </w:tc>
        <w:tc>
          <w:tcPr>
            <w:tcW w:w="97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PVC</w:t>
            </w:r>
          </w:p>
        </w:tc>
        <w:tc>
          <w:tcPr>
            <w:tcW w:w="98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Sphere</w:t>
            </w:r>
          </w:p>
        </w:tc>
        <w:tc>
          <w:tcPr>
            <w:tcW w:w="104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8.7 - 478 µm</w:t>
            </w:r>
          </w:p>
        </w:tc>
        <w:tc>
          <w:tcPr>
            <w:tcW w:w="142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Metabolism, feeding</w:t>
            </w:r>
          </w:p>
        </w:tc>
        <w:tc>
          <w:tcPr>
            <w:tcW w:w="1071"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LOEC</w:t>
            </w:r>
          </w:p>
        </w:tc>
        <w:tc>
          <w:tcPr>
            <w:tcW w:w="105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31</w:t>
            </w:r>
          </w:p>
        </w:tc>
        <w:tc>
          <w:tcPr>
            <w:tcW w:w="145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eastAsia="Times New Roman" w:hAnsi="Calibri" w:cs="Times New Roman"/>
                <w:lang w:val="en-GB" w:eastAsia="en-GB"/>
              </w:rPr>
              <w:t>1</w:t>
            </w:r>
          </w:p>
        </w:tc>
        <w:tc>
          <w:tcPr>
            <w:tcW w:w="109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25</w:t>
            </w:r>
          </w:p>
        </w:tc>
        <w:tc>
          <w:tcPr>
            <w:tcW w:w="1457"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eastAsia="Times New Roman" w:hAnsi="Calibri" w:cs="Times New Roman"/>
                <w:lang w:val="en-GB" w:eastAsia="en-GB"/>
              </w:rPr>
              <w:t>25</w:t>
            </w:r>
          </w:p>
        </w:tc>
        <w:tc>
          <w:tcPr>
            <w:tcW w:w="1068" w:type="dxa"/>
            <w:shd w:val="clear" w:color="auto" w:fill="auto"/>
            <w:noWrap/>
            <w:vAlign w:val="center"/>
            <w:hideMark/>
          </w:tcPr>
          <w:p w:rsidR="009C4422" w:rsidRPr="006D3FEF" w:rsidRDefault="009C4422" w:rsidP="00885900">
            <w:pPr>
              <w:spacing w:line="240" w:lineRule="auto"/>
              <w:jc w:val="center"/>
              <w:rPr>
                <w:rFonts w:ascii="Calibri" w:eastAsia="Times New Roman" w:hAnsi="Calibri" w:cs="Times New Roman"/>
                <w:b/>
                <w:i/>
                <w:color w:val="000000"/>
                <w:lang w:val="en-GB" w:eastAsia="en-GB"/>
              </w:rPr>
            </w:pPr>
            <w:r w:rsidRPr="006D3FEF">
              <w:rPr>
                <w:rFonts w:ascii="Calibri" w:eastAsia="Times New Roman" w:hAnsi="Calibri" w:cs="Times New Roman"/>
                <w:b/>
                <w:i/>
                <w:color w:val="000000"/>
                <w:lang w:val="en-GB" w:eastAsia="en-GB"/>
              </w:rPr>
              <w:t>Sediment</w:t>
            </w:r>
          </w:p>
        </w:tc>
        <w:tc>
          <w:tcPr>
            <w:tcW w:w="133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Green et al., 2016</w:t>
            </w:r>
          </w:p>
        </w:tc>
      </w:tr>
      <w:tr w:rsidR="009C4422" w:rsidRPr="00397119" w:rsidTr="006D3FEF">
        <w:trPr>
          <w:trHeight w:val="288"/>
        </w:trPr>
        <w:tc>
          <w:tcPr>
            <w:tcW w:w="1612"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Annelida</w:t>
            </w:r>
          </w:p>
        </w:tc>
        <w:tc>
          <w:tcPr>
            <w:tcW w:w="1993"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i/>
                <w:iCs/>
                <w:color w:val="000000"/>
                <w:lang w:val="en-GB" w:eastAsia="en-GB"/>
              </w:rPr>
            </w:pPr>
            <w:r w:rsidRPr="00526D2A">
              <w:rPr>
                <w:rFonts w:ascii="Calibri" w:eastAsia="Times New Roman" w:hAnsi="Calibri" w:cs="Times New Roman"/>
                <w:i/>
                <w:iCs/>
                <w:color w:val="000000"/>
                <w:lang w:val="en-GB" w:eastAsia="en-GB"/>
              </w:rPr>
              <w:t>Arenicola marina</w:t>
            </w:r>
          </w:p>
        </w:tc>
        <w:tc>
          <w:tcPr>
            <w:tcW w:w="118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Marine</w:t>
            </w:r>
          </w:p>
        </w:tc>
        <w:tc>
          <w:tcPr>
            <w:tcW w:w="97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UPVC</w:t>
            </w:r>
          </w:p>
        </w:tc>
        <w:tc>
          <w:tcPr>
            <w:tcW w:w="98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Irregular</w:t>
            </w:r>
          </w:p>
        </w:tc>
        <w:tc>
          <w:tcPr>
            <w:tcW w:w="104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37.5 - 500 µm</w:t>
            </w:r>
          </w:p>
        </w:tc>
        <w:tc>
          <w:tcPr>
            <w:tcW w:w="142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Phagocytosis</w:t>
            </w:r>
          </w:p>
        </w:tc>
        <w:tc>
          <w:tcPr>
            <w:tcW w:w="1071"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LOEC</w:t>
            </w:r>
          </w:p>
        </w:tc>
        <w:tc>
          <w:tcPr>
            <w:tcW w:w="105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28</w:t>
            </w:r>
          </w:p>
        </w:tc>
        <w:tc>
          <w:tcPr>
            <w:tcW w:w="145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eastAsia="Times New Roman" w:hAnsi="Calibri" w:cs="Times New Roman"/>
                <w:lang w:val="en-GB" w:eastAsia="en-GB"/>
              </w:rPr>
              <w:t>1</w:t>
            </w:r>
          </w:p>
        </w:tc>
        <w:tc>
          <w:tcPr>
            <w:tcW w:w="109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6.25</w:t>
            </w:r>
          </w:p>
        </w:tc>
        <w:tc>
          <w:tcPr>
            <w:tcW w:w="1457"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eastAsia="Times New Roman" w:hAnsi="Calibri" w:cs="Times New Roman"/>
                <w:lang w:val="en-GB" w:eastAsia="en-GB"/>
              </w:rPr>
              <w:t>6.25</w:t>
            </w:r>
          </w:p>
        </w:tc>
        <w:tc>
          <w:tcPr>
            <w:tcW w:w="1068" w:type="dxa"/>
            <w:shd w:val="clear" w:color="auto" w:fill="auto"/>
            <w:noWrap/>
            <w:vAlign w:val="center"/>
            <w:hideMark/>
          </w:tcPr>
          <w:p w:rsidR="009C4422" w:rsidRPr="006D3FEF" w:rsidRDefault="009C4422" w:rsidP="00885900">
            <w:pPr>
              <w:spacing w:line="240" w:lineRule="auto"/>
              <w:jc w:val="center"/>
              <w:rPr>
                <w:rFonts w:ascii="Calibri" w:eastAsia="Times New Roman" w:hAnsi="Calibri" w:cs="Times New Roman"/>
                <w:b/>
                <w:i/>
                <w:color w:val="000000"/>
                <w:lang w:val="en-GB" w:eastAsia="en-GB"/>
              </w:rPr>
            </w:pPr>
            <w:r w:rsidRPr="006D3FEF">
              <w:rPr>
                <w:rFonts w:ascii="Calibri" w:eastAsia="Times New Roman" w:hAnsi="Calibri" w:cs="Times New Roman"/>
                <w:b/>
                <w:i/>
                <w:color w:val="000000"/>
                <w:lang w:val="en-GB" w:eastAsia="en-GB"/>
              </w:rPr>
              <w:t>Sediment</w:t>
            </w:r>
          </w:p>
        </w:tc>
        <w:tc>
          <w:tcPr>
            <w:tcW w:w="133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Wright et al., 2013</w:t>
            </w:r>
          </w:p>
        </w:tc>
      </w:tr>
      <w:tr w:rsidR="009C4422" w:rsidRPr="008C323D" w:rsidTr="006D3FEF">
        <w:trPr>
          <w:trHeight w:val="288"/>
        </w:trPr>
        <w:tc>
          <w:tcPr>
            <w:tcW w:w="1612"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Chlorophyceae, diatomea</w:t>
            </w:r>
          </w:p>
        </w:tc>
        <w:tc>
          <w:tcPr>
            <w:tcW w:w="1993"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Microphytobenthos (microalgae, diatoms)</w:t>
            </w:r>
          </w:p>
        </w:tc>
        <w:tc>
          <w:tcPr>
            <w:tcW w:w="1180"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Marine</w:t>
            </w:r>
          </w:p>
        </w:tc>
        <w:tc>
          <w:tcPr>
            <w:tcW w:w="97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PLA</w:t>
            </w:r>
          </w:p>
        </w:tc>
        <w:tc>
          <w:tcPr>
            <w:tcW w:w="98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Sphere</w:t>
            </w:r>
          </w:p>
        </w:tc>
        <w:tc>
          <w:tcPr>
            <w:tcW w:w="104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1.4 - 707 µm</w:t>
            </w:r>
          </w:p>
        </w:tc>
        <w:tc>
          <w:tcPr>
            <w:tcW w:w="1428"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eastAsia="Times New Roman" w:hAnsi="Calibri" w:cs="Times New Roman"/>
                <w:lang w:val="en-GB" w:eastAsia="en-GB"/>
              </w:rPr>
              <w:t>Biomass, chlorophyll content</w:t>
            </w:r>
          </w:p>
        </w:tc>
        <w:tc>
          <w:tcPr>
            <w:tcW w:w="1071"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LOEC</w:t>
            </w:r>
          </w:p>
        </w:tc>
        <w:tc>
          <w:tcPr>
            <w:tcW w:w="105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31</w:t>
            </w:r>
          </w:p>
        </w:tc>
        <w:tc>
          <w:tcPr>
            <w:tcW w:w="1454"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eastAsia="Times New Roman" w:hAnsi="Calibri" w:cs="Times New Roman"/>
                <w:lang w:val="en-GB" w:eastAsia="en-GB"/>
              </w:rPr>
              <w:t>1</w:t>
            </w:r>
          </w:p>
        </w:tc>
        <w:tc>
          <w:tcPr>
            <w:tcW w:w="1096"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color w:val="000000"/>
                <w:lang w:val="en-GB" w:eastAsia="en-GB"/>
              </w:rPr>
            </w:pPr>
            <w:r w:rsidRPr="00526D2A">
              <w:rPr>
                <w:rFonts w:ascii="Calibri" w:eastAsia="Times New Roman" w:hAnsi="Calibri" w:cs="Times New Roman"/>
                <w:color w:val="000000"/>
                <w:lang w:val="en-GB" w:eastAsia="en-GB"/>
              </w:rPr>
              <w:t>25</w:t>
            </w:r>
          </w:p>
        </w:tc>
        <w:tc>
          <w:tcPr>
            <w:tcW w:w="1457" w:type="dxa"/>
            <w:shd w:val="clear" w:color="auto" w:fill="auto"/>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eastAsia="Times New Roman" w:hAnsi="Calibri" w:cs="Times New Roman"/>
                <w:lang w:val="en-GB" w:eastAsia="en-GB"/>
              </w:rPr>
              <w:t>25</w:t>
            </w:r>
          </w:p>
        </w:tc>
        <w:tc>
          <w:tcPr>
            <w:tcW w:w="1068" w:type="dxa"/>
            <w:shd w:val="clear" w:color="auto" w:fill="auto"/>
            <w:noWrap/>
            <w:vAlign w:val="center"/>
            <w:hideMark/>
          </w:tcPr>
          <w:p w:rsidR="009C4422" w:rsidRPr="006D3FEF" w:rsidRDefault="009C4422" w:rsidP="00885900">
            <w:pPr>
              <w:spacing w:line="240" w:lineRule="auto"/>
              <w:jc w:val="center"/>
              <w:rPr>
                <w:rFonts w:ascii="Calibri" w:eastAsia="Times New Roman" w:hAnsi="Calibri" w:cs="Times New Roman"/>
                <w:b/>
                <w:i/>
                <w:color w:val="000000"/>
                <w:lang w:val="en-GB" w:eastAsia="en-GB"/>
              </w:rPr>
            </w:pPr>
            <w:r w:rsidRPr="006D3FEF">
              <w:rPr>
                <w:rFonts w:ascii="Calibri" w:eastAsia="Times New Roman" w:hAnsi="Calibri" w:cs="Times New Roman"/>
                <w:b/>
                <w:i/>
                <w:color w:val="000000"/>
                <w:lang w:val="en-GB" w:eastAsia="en-GB"/>
              </w:rPr>
              <w:t>Sediment</w:t>
            </w:r>
          </w:p>
        </w:tc>
        <w:tc>
          <w:tcPr>
            <w:tcW w:w="133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Green et al., 2016</w:t>
            </w:r>
          </w:p>
        </w:tc>
      </w:tr>
      <w:tr w:rsidR="009C4422" w:rsidRPr="008C323D" w:rsidTr="006D3FEF">
        <w:trPr>
          <w:trHeight w:val="288"/>
        </w:trPr>
        <w:tc>
          <w:tcPr>
            <w:tcW w:w="1612"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Chlorophyceae, diatomea</w:t>
            </w:r>
          </w:p>
        </w:tc>
        <w:tc>
          <w:tcPr>
            <w:tcW w:w="1993"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Microphytobenthos (microalgae, diatoms)</w:t>
            </w:r>
          </w:p>
        </w:tc>
        <w:tc>
          <w:tcPr>
            <w:tcW w:w="1180"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Marine</w:t>
            </w:r>
          </w:p>
        </w:tc>
        <w:tc>
          <w:tcPr>
            <w:tcW w:w="97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HDPE</w:t>
            </w:r>
          </w:p>
        </w:tc>
        <w:tc>
          <w:tcPr>
            <w:tcW w:w="986"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Sphere</w:t>
            </w:r>
          </w:p>
        </w:tc>
        <w:tc>
          <w:tcPr>
            <w:tcW w:w="104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2.5 - 316 µm</w:t>
            </w:r>
          </w:p>
        </w:tc>
        <w:tc>
          <w:tcPr>
            <w:tcW w:w="142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eastAsia="Times New Roman" w:hAnsi="Calibri" w:cs="Times New Roman"/>
                <w:lang w:eastAsia="en-GB"/>
              </w:rPr>
              <w:t>Biomass, chlorophyll content</w:t>
            </w:r>
          </w:p>
        </w:tc>
        <w:tc>
          <w:tcPr>
            <w:tcW w:w="1071"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LOEC</w:t>
            </w:r>
          </w:p>
        </w:tc>
        <w:tc>
          <w:tcPr>
            <w:tcW w:w="1056"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31</w:t>
            </w:r>
          </w:p>
        </w:tc>
        <w:tc>
          <w:tcPr>
            <w:tcW w:w="145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eastAsia="Times New Roman" w:hAnsi="Calibri" w:cs="Times New Roman"/>
                <w:lang w:eastAsia="en-GB"/>
              </w:rPr>
              <w:t>1</w:t>
            </w:r>
          </w:p>
        </w:tc>
        <w:tc>
          <w:tcPr>
            <w:tcW w:w="1096"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25</w:t>
            </w:r>
          </w:p>
        </w:tc>
        <w:tc>
          <w:tcPr>
            <w:tcW w:w="1457"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eastAsia="Times New Roman" w:hAnsi="Calibri" w:cs="Times New Roman"/>
                <w:lang w:eastAsia="en-GB"/>
              </w:rPr>
              <w:t>25</w:t>
            </w:r>
          </w:p>
        </w:tc>
        <w:tc>
          <w:tcPr>
            <w:tcW w:w="1068" w:type="dxa"/>
            <w:shd w:val="clear" w:color="auto" w:fill="auto"/>
            <w:noWrap/>
            <w:vAlign w:val="center"/>
            <w:hideMark/>
          </w:tcPr>
          <w:p w:rsidR="009C4422" w:rsidRPr="006D3FEF" w:rsidRDefault="009C4422" w:rsidP="00885900">
            <w:pPr>
              <w:spacing w:line="240" w:lineRule="auto"/>
              <w:jc w:val="center"/>
              <w:rPr>
                <w:rFonts w:ascii="Calibri" w:eastAsia="Times New Roman" w:hAnsi="Calibri" w:cs="Times New Roman"/>
                <w:b/>
                <w:i/>
                <w:color w:val="000000"/>
                <w:lang w:eastAsia="en-GB"/>
              </w:rPr>
            </w:pPr>
            <w:r w:rsidRPr="006D3FEF">
              <w:rPr>
                <w:rFonts w:ascii="Calibri" w:eastAsia="Times New Roman" w:hAnsi="Calibri" w:cs="Times New Roman"/>
                <w:b/>
                <w:i/>
                <w:color w:val="000000"/>
                <w:lang w:eastAsia="en-GB"/>
              </w:rPr>
              <w:t>Sediment</w:t>
            </w:r>
          </w:p>
        </w:tc>
        <w:tc>
          <w:tcPr>
            <w:tcW w:w="133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Green et al., 2016</w:t>
            </w:r>
          </w:p>
        </w:tc>
      </w:tr>
      <w:tr w:rsidR="009C4422" w:rsidRPr="008C323D" w:rsidTr="006D3FEF">
        <w:trPr>
          <w:trHeight w:val="288"/>
        </w:trPr>
        <w:tc>
          <w:tcPr>
            <w:tcW w:w="1612"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Chlorophyceae, diatomea</w:t>
            </w:r>
          </w:p>
        </w:tc>
        <w:tc>
          <w:tcPr>
            <w:tcW w:w="1993"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Microphytobenthos (microalgae, diatoms)</w:t>
            </w:r>
          </w:p>
        </w:tc>
        <w:tc>
          <w:tcPr>
            <w:tcW w:w="1180"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Marine</w:t>
            </w:r>
          </w:p>
        </w:tc>
        <w:tc>
          <w:tcPr>
            <w:tcW w:w="97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PVC</w:t>
            </w:r>
          </w:p>
        </w:tc>
        <w:tc>
          <w:tcPr>
            <w:tcW w:w="986"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Sphere</w:t>
            </w:r>
          </w:p>
        </w:tc>
        <w:tc>
          <w:tcPr>
            <w:tcW w:w="104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8.7 - 478 µm</w:t>
            </w:r>
          </w:p>
        </w:tc>
        <w:tc>
          <w:tcPr>
            <w:tcW w:w="142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eastAsia="Times New Roman" w:hAnsi="Calibri" w:cs="Times New Roman"/>
                <w:lang w:eastAsia="en-GB"/>
              </w:rPr>
              <w:t>Biomass, chlorophyll content</w:t>
            </w:r>
          </w:p>
        </w:tc>
        <w:tc>
          <w:tcPr>
            <w:tcW w:w="1071"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LOEC</w:t>
            </w:r>
          </w:p>
        </w:tc>
        <w:tc>
          <w:tcPr>
            <w:tcW w:w="1056"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31</w:t>
            </w:r>
          </w:p>
        </w:tc>
        <w:tc>
          <w:tcPr>
            <w:tcW w:w="1454"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eastAsia="Times New Roman" w:hAnsi="Calibri" w:cs="Times New Roman"/>
                <w:lang w:eastAsia="en-GB"/>
              </w:rPr>
              <w:t>1</w:t>
            </w:r>
          </w:p>
        </w:tc>
        <w:tc>
          <w:tcPr>
            <w:tcW w:w="1096"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25</w:t>
            </w:r>
          </w:p>
        </w:tc>
        <w:tc>
          <w:tcPr>
            <w:tcW w:w="1457"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eastAsia="Times New Roman" w:hAnsi="Calibri" w:cs="Times New Roman"/>
                <w:lang w:eastAsia="en-GB"/>
              </w:rPr>
              <w:t>25</w:t>
            </w:r>
          </w:p>
        </w:tc>
        <w:tc>
          <w:tcPr>
            <w:tcW w:w="1068" w:type="dxa"/>
            <w:shd w:val="clear" w:color="auto" w:fill="auto"/>
            <w:noWrap/>
            <w:vAlign w:val="center"/>
            <w:hideMark/>
          </w:tcPr>
          <w:p w:rsidR="009C4422" w:rsidRPr="006D3FEF" w:rsidRDefault="009C4422" w:rsidP="00885900">
            <w:pPr>
              <w:spacing w:line="240" w:lineRule="auto"/>
              <w:jc w:val="center"/>
              <w:rPr>
                <w:rFonts w:ascii="Calibri" w:eastAsia="Times New Roman" w:hAnsi="Calibri" w:cs="Times New Roman"/>
                <w:b/>
                <w:i/>
                <w:color w:val="000000"/>
                <w:lang w:eastAsia="en-GB"/>
              </w:rPr>
            </w:pPr>
            <w:r w:rsidRPr="006D3FEF">
              <w:rPr>
                <w:rFonts w:ascii="Calibri" w:eastAsia="Times New Roman" w:hAnsi="Calibri" w:cs="Times New Roman"/>
                <w:b/>
                <w:i/>
                <w:color w:val="000000"/>
                <w:lang w:eastAsia="en-GB"/>
              </w:rPr>
              <w:t>Sediment</w:t>
            </w:r>
          </w:p>
        </w:tc>
        <w:tc>
          <w:tcPr>
            <w:tcW w:w="1338" w:type="dxa"/>
            <w:shd w:val="clear" w:color="auto" w:fill="auto"/>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Green et al., 2016</w:t>
            </w:r>
          </w:p>
        </w:tc>
      </w:tr>
      <w:tr w:rsidR="009C4422" w:rsidRPr="008C323D" w:rsidTr="00885900">
        <w:trPr>
          <w:trHeight w:val="288"/>
        </w:trPr>
        <w:tc>
          <w:tcPr>
            <w:tcW w:w="1612"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Chordata</w:t>
            </w:r>
          </w:p>
        </w:tc>
        <w:tc>
          <w:tcPr>
            <w:tcW w:w="1993"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i/>
                <w:iCs/>
                <w:color w:val="000000"/>
                <w:lang w:eastAsia="en-GB"/>
              </w:rPr>
            </w:pPr>
            <w:r w:rsidRPr="008C323D">
              <w:rPr>
                <w:rFonts w:ascii="Calibri" w:eastAsia="Times New Roman" w:hAnsi="Calibri" w:cs="Times New Roman"/>
                <w:i/>
                <w:iCs/>
                <w:color w:val="000000"/>
                <w:lang w:eastAsia="en-GB"/>
              </w:rPr>
              <w:t>Dicentrarchus labrax</w:t>
            </w:r>
          </w:p>
        </w:tc>
        <w:tc>
          <w:tcPr>
            <w:tcW w:w="1180"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Marine</w:t>
            </w:r>
          </w:p>
        </w:tc>
        <w:tc>
          <w:tcPr>
            <w:tcW w:w="978"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PVC</w:t>
            </w:r>
          </w:p>
        </w:tc>
        <w:tc>
          <w:tcPr>
            <w:tcW w:w="986"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Irregular</w:t>
            </w:r>
          </w:p>
        </w:tc>
        <w:tc>
          <w:tcPr>
            <w:tcW w:w="1048"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&lt; 300 µm</w:t>
            </w:r>
          </w:p>
        </w:tc>
        <w:tc>
          <w:tcPr>
            <w:tcW w:w="1428"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eastAsia="Times New Roman" w:hAnsi="Calibri" w:cs="Times New Roman"/>
                <w:lang w:eastAsia="en-GB"/>
              </w:rPr>
              <w:t>Tissue alterations</w:t>
            </w:r>
          </w:p>
        </w:tc>
        <w:tc>
          <w:tcPr>
            <w:tcW w:w="1071"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LOEC</w:t>
            </w:r>
          </w:p>
        </w:tc>
        <w:tc>
          <w:tcPr>
            <w:tcW w:w="1056"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90</w:t>
            </w:r>
          </w:p>
        </w:tc>
        <w:tc>
          <w:tcPr>
            <w:tcW w:w="1454"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eastAsia="Times New Roman" w:hAnsi="Calibri" w:cs="Times New Roman"/>
                <w:lang w:eastAsia="en-GB"/>
              </w:rPr>
              <w:t>1</w:t>
            </w:r>
          </w:p>
        </w:tc>
        <w:tc>
          <w:tcPr>
            <w:tcW w:w="1096"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1</w:t>
            </w:r>
          </w:p>
        </w:tc>
        <w:tc>
          <w:tcPr>
            <w:tcW w:w="1457"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eastAsia="Times New Roman" w:hAnsi="Calibri" w:cs="Times New Roman"/>
                <w:lang w:eastAsia="en-GB"/>
              </w:rPr>
              <w:t>1</w:t>
            </w:r>
          </w:p>
        </w:tc>
        <w:tc>
          <w:tcPr>
            <w:tcW w:w="1068" w:type="dxa"/>
            <w:shd w:val="clear" w:color="auto" w:fill="F2F2F2" w:themeFill="background1" w:themeFillShade="F2"/>
            <w:noWrap/>
            <w:vAlign w:val="center"/>
            <w:hideMark/>
          </w:tcPr>
          <w:p w:rsidR="009C4422" w:rsidRPr="006D3FEF" w:rsidRDefault="009C4422" w:rsidP="00885900">
            <w:pPr>
              <w:spacing w:line="240" w:lineRule="auto"/>
              <w:jc w:val="center"/>
              <w:rPr>
                <w:rFonts w:ascii="Calibri" w:eastAsia="Times New Roman" w:hAnsi="Calibri" w:cs="Times New Roman"/>
                <w:b/>
                <w:i/>
                <w:color w:val="000000"/>
                <w:lang w:eastAsia="en-GB"/>
              </w:rPr>
            </w:pPr>
            <w:r w:rsidRPr="006D3FEF">
              <w:rPr>
                <w:rFonts w:ascii="Calibri" w:eastAsia="Times New Roman" w:hAnsi="Calibri" w:cs="Times New Roman"/>
                <w:b/>
                <w:i/>
                <w:color w:val="000000"/>
                <w:lang w:eastAsia="en-GB"/>
              </w:rPr>
              <w:t>Food</w:t>
            </w:r>
          </w:p>
        </w:tc>
        <w:tc>
          <w:tcPr>
            <w:tcW w:w="1338"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Peda et al., 2016</w:t>
            </w:r>
          </w:p>
        </w:tc>
      </w:tr>
      <w:tr w:rsidR="009C4422" w:rsidRPr="008C323D" w:rsidTr="00885900">
        <w:trPr>
          <w:trHeight w:val="288"/>
        </w:trPr>
        <w:tc>
          <w:tcPr>
            <w:tcW w:w="1612"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Chordata</w:t>
            </w:r>
          </w:p>
        </w:tc>
        <w:tc>
          <w:tcPr>
            <w:tcW w:w="1993"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i/>
                <w:iCs/>
                <w:color w:val="000000"/>
                <w:lang w:eastAsia="en-GB"/>
              </w:rPr>
            </w:pPr>
            <w:r w:rsidRPr="008C323D">
              <w:rPr>
                <w:rFonts w:ascii="Calibri" w:eastAsia="Times New Roman" w:hAnsi="Calibri" w:cs="Times New Roman"/>
                <w:i/>
                <w:iCs/>
                <w:color w:val="000000"/>
                <w:lang w:eastAsia="en-GB"/>
              </w:rPr>
              <w:t>Oryzias latipes</w:t>
            </w:r>
          </w:p>
        </w:tc>
        <w:tc>
          <w:tcPr>
            <w:tcW w:w="1180"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Marine</w:t>
            </w:r>
          </w:p>
        </w:tc>
        <w:tc>
          <w:tcPr>
            <w:tcW w:w="978"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PE</w:t>
            </w:r>
          </w:p>
        </w:tc>
        <w:tc>
          <w:tcPr>
            <w:tcW w:w="986"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Irregular</w:t>
            </w:r>
          </w:p>
        </w:tc>
        <w:tc>
          <w:tcPr>
            <w:tcW w:w="1048"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&lt; 500 µm</w:t>
            </w:r>
          </w:p>
        </w:tc>
        <w:tc>
          <w:tcPr>
            <w:tcW w:w="1428" w:type="dxa"/>
            <w:shd w:val="clear" w:color="auto" w:fill="F2F2F2" w:themeFill="background1" w:themeFillShade="F2"/>
            <w:noWrap/>
            <w:vAlign w:val="center"/>
            <w:hideMark/>
          </w:tcPr>
          <w:p w:rsidR="009C4422" w:rsidRPr="00526D2A" w:rsidRDefault="009C4422" w:rsidP="00885900">
            <w:pPr>
              <w:spacing w:line="240" w:lineRule="auto"/>
              <w:jc w:val="center"/>
              <w:rPr>
                <w:rFonts w:ascii="Calibri" w:eastAsia="Times New Roman" w:hAnsi="Calibri" w:cs="Times New Roman"/>
                <w:lang w:val="en-GB" w:eastAsia="en-GB"/>
              </w:rPr>
            </w:pPr>
            <w:r w:rsidRPr="00526D2A">
              <w:rPr>
                <w:rFonts w:ascii="Calibri" w:eastAsia="Times New Roman" w:hAnsi="Calibri" w:cs="Times New Roman"/>
                <w:lang w:val="en-GB" w:eastAsia="en-GB"/>
              </w:rPr>
              <w:t>Gene expression, germ cell development</w:t>
            </w:r>
          </w:p>
        </w:tc>
        <w:tc>
          <w:tcPr>
            <w:tcW w:w="1071"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LOEC</w:t>
            </w:r>
          </w:p>
        </w:tc>
        <w:tc>
          <w:tcPr>
            <w:tcW w:w="1056"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90</w:t>
            </w:r>
          </w:p>
        </w:tc>
        <w:tc>
          <w:tcPr>
            <w:tcW w:w="1454"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eastAsia="Times New Roman" w:hAnsi="Calibri" w:cs="Times New Roman"/>
                <w:lang w:eastAsia="en-GB"/>
              </w:rPr>
              <w:t>1</w:t>
            </w:r>
          </w:p>
        </w:tc>
        <w:tc>
          <w:tcPr>
            <w:tcW w:w="1096"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100</w:t>
            </w:r>
          </w:p>
        </w:tc>
        <w:tc>
          <w:tcPr>
            <w:tcW w:w="1457"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eastAsia="Times New Roman" w:hAnsi="Calibri" w:cs="Times New Roman"/>
                <w:lang w:eastAsia="en-GB"/>
              </w:rPr>
              <w:t>100</w:t>
            </w:r>
          </w:p>
        </w:tc>
        <w:tc>
          <w:tcPr>
            <w:tcW w:w="1068" w:type="dxa"/>
            <w:shd w:val="clear" w:color="auto" w:fill="F2F2F2" w:themeFill="background1" w:themeFillShade="F2"/>
            <w:noWrap/>
            <w:vAlign w:val="center"/>
            <w:hideMark/>
          </w:tcPr>
          <w:p w:rsidR="009C4422" w:rsidRPr="006D3FEF" w:rsidRDefault="009C4422" w:rsidP="00885900">
            <w:pPr>
              <w:spacing w:line="240" w:lineRule="auto"/>
              <w:jc w:val="center"/>
              <w:rPr>
                <w:rFonts w:ascii="Calibri" w:eastAsia="Times New Roman" w:hAnsi="Calibri" w:cs="Times New Roman"/>
                <w:b/>
                <w:i/>
                <w:color w:val="000000"/>
                <w:lang w:eastAsia="en-GB"/>
              </w:rPr>
            </w:pPr>
            <w:r w:rsidRPr="006D3FEF">
              <w:rPr>
                <w:rFonts w:ascii="Calibri" w:eastAsia="Times New Roman" w:hAnsi="Calibri" w:cs="Times New Roman"/>
                <w:b/>
                <w:i/>
                <w:color w:val="000000"/>
                <w:lang w:eastAsia="en-GB"/>
              </w:rPr>
              <w:t>Food</w:t>
            </w:r>
          </w:p>
        </w:tc>
        <w:tc>
          <w:tcPr>
            <w:tcW w:w="1338"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Rochman et al., 2014</w:t>
            </w:r>
          </w:p>
        </w:tc>
      </w:tr>
      <w:tr w:rsidR="009C4422" w:rsidRPr="008C323D" w:rsidTr="00885900">
        <w:trPr>
          <w:trHeight w:val="288"/>
        </w:trPr>
        <w:tc>
          <w:tcPr>
            <w:tcW w:w="1612"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Chordata</w:t>
            </w:r>
          </w:p>
        </w:tc>
        <w:tc>
          <w:tcPr>
            <w:tcW w:w="1993"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i/>
                <w:iCs/>
                <w:color w:val="000000"/>
                <w:lang w:eastAsia="en-GB"/>
              </w:rPr>
            </w:pPr>
            <w:r w:rsidRPr="008C323D">
              <w:rPr>
                <w:rFonts w:ascii="Calibri" w:eastAsia="Times New Roman" w:hAnsi="Calibri" w:cs="Times New Roman"/>
                <w:i/>
                <w:iCs/>
                <w:color w:val="000000"/>
                <w:lang w:eastAsia="en-GB"/>
              </w:rPr>
              <w:t>Sparus aurata</w:t>
            </w:r>
          </w:p>
        </w:tc>
        <w:tc>
          <w:tcPr>
            <w:tcW w:w="1180"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Marine</w:t>
            </w:r>
          </w:p>
        </w:tc>
        <w:tc>
          <w:tcPr>
            <w:tcW w:w="978"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PVC</w:t>
            </w:r>
          </w:p>
        </w:tc>
        <w:tc>
          <w:tcPr>
            <w:tcW w:w="986"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p>
        </w:tc>
        <w:tc>
          <w:tcPr>
            <w:tcW w:w="1048"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40 - 150 µm</w:t>
            </w:r>
          </w:p>
        </w:tc>
        <w:tc>
          <w:tcPr>
            <w:tcW w:w="1428"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eastAsia="Times New Roman" w:hAnsi="Calibri" w:cs="Times New Roman"/>
                <w:lang w:eastAsia="en-GB"/>
              </w:rPr>
              <w:t>Oxidative stress, liver damage</w:t>
            </w:r>
          </w:p>
        </w:tc>
        <w:tc>
          <w:tcPr>
            <w:tcW w:w="1071"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LOEC</w:t>
            </w:r>
          </w:p>
        </w:tc>
        <w:tc>
          <w:tcPr>
            <w:tcW w:w="1056"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30</w:t>
            </w:r>
          </w:p>
        </w:tc>
        <w:tc>
          <w:tcPr>
            <w:tcW w:w="1454"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eastAsia="Times New Roman" w:hAnsi="Calibri" w:cs="Times New Roman"/>
                <w:lang w:eastAsia="en-GB"/>
              </w:rPr>
              <w:t>1</w:t>
            </w:r>
          </w:p>
        </w:tc>
        <w:tc>
          <w:tcPr>
            <w:tcW w:w="1096"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0.1</w:t>
            </w:r>
          </w:p>
        </w:tc>
        <w:tc>
          <w:tcPr>
            <w:tcW w:w="1457"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eastAsia="Times New Roman" w:hAnsi="Calibri" w:cs="Times New Roman"/>
                <w:lang w:eastAsia="en-GB"/>
              </w:rPr>
              <w:t>0.1</w:t>
            </w:r>
          </w:p>
        </w:tc>
        <w:tc>
          <w:tcPr>
            <w:tcW w:w="1068" w:type="dxa"/>
            <w:shd w:val="clear" w:color="auto" w:fill="F2F2F2" w:themeFill="background1" w:themeFillShade="F2"/>
            <w:noWrap/>
            <w:vAlign w:val="center"/>
            <w:hideMark/>
          </w:tcPr>
          <w:p w:rsidR="009C4422" w:rsidRPr="006D3FEF" w:rsidRDefault="009C4422" w:rsidP="00885900">
            <w:pPr>
              <w:spacing w:line="240" w:lineRule="auto"/>
              <w:jc w:val="center"/>
              <w:rPr>
                <w:rFonts w:ascii="Calibri" w:eastAsia="Times New Roman" w:hAnsi="Calibri" w:cs="Times New Roman"/>
                <w:b/>
                <w:i/>
                <w:color w:val="000000"/>
                <w:lang w:eastAsia="en-GB"/>
              </w:rPr>
            </w:pPr>
            <w:r w:rsidRPr="006D3FEF">
              <w:rPr>
                <w:rFonts w:ascii="Calibri" w:eastAsia="Times New Roman" w:hAnsi="Calibri" w:cs="Times New Roman"/>
                <w:b/>
                <w:i/>
                <w:color w:val="000000"/>
                <w:lang w:eastAsia="en-GB"/>
              </w:rPr>
              <w:t>Food</w:t>
            </w:r>
          </w:p>
        </w:tc>
        <w:tc>
          <w:tcPr>
            <w:tcW w:w="1338"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Espinosa et al., 2017</w:t>
            </w:r>
          </w:p>
        </w:tc>
      </w:tr>
      <w:tr w:rsidR="009C4422" w:rsidRPr="008C323D" w:rsidTr="00885900">
        <w:trPr>
          <w:trHeight w:val="288"/>
        </w:trPr>
        <w:tc>
          <w:tcPr>
            <w:tcW w:w="1612"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eastAsia="Times New Roman" w:hAnsi="Calibri" w:cs="Times New Roman"/>
                <w:lang w:eastAsia="en-GB"/>
              </w:rPr>
              <w:t>Echinodermata</w:t>
            </w:r>
          </w:p>
        </w:tc>
        <w:tc>
          <w:tcPr>
            <w:tcW w:w="1993"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i/>
                <w:iCs/>
                <w:color w:val="000000"/>
                <w:lang w:eastAsia="en-GB"/>
              </w:rPr>
            </w:pPr>
            <w:r w:rsidRPr="008C323D">
              <w:rPr>
                <w:rFonts w:ascii="Calibri" w:eastAsia="Times New Roman" w:hAnsi="Calibri" w:cs="Times New Roman"/>
                <w:i/>
                <w:iCs/>
                <w:color w:val="000000"/>
                <w:lang w:eastAsia="en-GB"/>
              </w:rPr>
              <w:t>Lytechinus variegatus</w:t>
            </w:r>
          </w:p>
        </w:tc>
        <w:tc>
          <w:tcPr>
            <w:tcW w:w="1180"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Marine</w:t>
            </w:r>
          </w:p>
        </w:tc>
        <w:tc>
          <w:tcPr>
            <w:tcW w:w="978"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PE</w:t>
            </w:r>
          </w:p>
        </w:tc>
        <w:tc>
          <w:tcPr>
            <w:tcW w:w="986"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Pellet</w:t>
            </w:r>
          </w:p>
        </w:tc>
        <w:tc>
          <w:tcPr>
            <w:tcW w:w="1048"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&lt; 5 mm</w:t>
            </w:r>
          </w:p>
        </w:tc>
        <w:tc>
          <w:tcPr>
            <w:tcW w:w="1428"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eastAsia="Times New Roman" w:hAnsi="Calibri" w:cs="Times New Roman"/>
                <w:lang w:eastAsia="en-GB"/>
              </w:rPr>
              <w:t>Embryo development</w:t>
            </w:r>
          </w:p>
        </w:tc>
        <w:tc>
          <w:tcPr>
            <w:tcW w:w="1071"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LOEC</w:t>
            </w:r>
          </w:p>
        </w:tc>
        <w:tc>
          <w:tcPr>
            <w:tcW w:w="1056"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1</w:t>
            </w:r>
          </w:p>
        </w:tc>
        <w:tc>
          <w:tcPr>
            <w:tcW w:w="1454"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eastAsia="Times New Roman" w:hAnsi="Calibri" w:cs="Times New Roman"/>
                <w:lang w:eastAsia="en-GB"/>
              </w:rPr>
              <w:t>10</w:t>
            </w:r>
          </w:p>
        </w:tc>
        <w:tc>
          <w:tcPr>
            <w:tcW w:w="1096"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148.8</w:t>
            </w:r>
          </w:p>
        </w:tc>
        <w:tc>
          <w:tcPr>
            <w:tcW w:w="1457"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lang w:eastAsia="en-GB"/>
              </w:rPr>
            </w:pPr>
            <w:r w:rsidRPr="008C323D">
              <w:rPr>
                <w:rFonts w:ascii="Calibri" w:eastAsia="Times New Roman" w:hAnsi="Calibri" w:cs="Times New Roman"/>
                <w:lang w:eastAsia="en-GB"/>
              </w:rPr>
              <w:t>14.88</w:t>
            </w:r>
          </w:p>
        </w:tc>
        <w:tc>
          <w:tcPr>
            <w:tcW w:w="1068" w:type="dxa"/>
            <w:shd w:val="clear" w:color="auto" w:fill="F2F2F2" w:themeFill="background1" w:themeFillShade="F2"/>
            <w:noWrap/>
            <w:vAlign w:val="center"/>
            <w:hideMark/>
          </w:tcPr>
          <w:p w:rsidR="009C4422" w:rsidRPr="006D3FEF" w:rsidRDefault="009C4422" w:rsidP="00885900">
            <w:pPr>
              <w:spacing w:line="240" w:lineRule="auto"/>
              <w:jc w:val="center"/>
              <w:rPr>
                <w:rFonts w:ascii="Calibri" w:eastAsia="Times New Roman" w:hAnsi="Calibri" w:cs="Times New Roman"/>
                <w:b/>
                <w:i/>
                <w:color w:val="000000"/>
                <w:lang w:eastAsia="en-GB"/>
              </w:rPr>
            </w:pPr>
            <w:r w:rsidRPr="006D3FEF">
              <w:rPr>
                <w:rFonts w:ascii="Calibri" w:eastAsia="Times New Roman" w:hAnsi="Calibri" w:cs="Times New Roman"/>
                <w:b/>
                <w:i/>
                <w:color w:val="000000"/>
                <w:lang w:eastAsia="en-GB"/>
              </w:rPr>
              <w:t>Food</w:t>
            </w:r>
          </w:p>
        </w:tc>
        <w:tc>
          <w:tcPr>
            <w:tcW w:w="1338" w:type="dxa"/>
            <w:shd w:val="clear" w:color="auto" w:fill="F2F2F2" w:themeFill="background1" w:themeFillShade="F2"/>
            <w:noWrap/>
            <w:vAlign w:val="center"/>
            <w:hideMark/>
          </w:tcPr>
          <w:p w:rsidR="009C4422" w:rsidRPr="008C323D" w:rsidRDefault="009C4422" w:rsidP="00885900">
            <w:pPr>
              <w:spacing w:line="240" w:lineRule="auto"/>
              <w:jc w:val="center"/>
              <w:rPr>
                <w:rFonts w:ascii="Calibri" w:eastAsia="Times New Roman" w:hAnsi="Calibri" w:cs="Times New Roman"/>
                <w:color w:val="000000"/>
                <w:lang w:eastAsia="en-GB"/>
              </w:rPr>
            </w:pPr>
            <w:r w:rsidRPr="008C323D">
              <w:rPr>
                <w:rFonts w:ascii="Calibri" w:eastAsia="Times New Roman" w:hAnsi="Calibri" w:cs="Times New Roman"/>
                <w:color w:val="000000"/>
                <w:lang w:eastAsia="en-GB"/>
              </w:rPr>
              <w:t>Nobre et al., 2015</w:t>
            </w:r>
          </w:p>
        </w:tc>
      </w:tr>
    </w:tbl>
    <w:p w:rsidR="009C4422" w:rsidRDefault="009C4422" w:rsidP="009C4422">
      <w:pPr>
        <w:rPr>
          <w:rStyle w:val="IntenseEmphasis"/>
          <w:lang w:val="en-GB"/>
        </w:rPr>
        <w:sectPr w:rsidR="009C4422" w:rsidSect="006B784A">
          <w:headerReference w:type="even" r:id="rId10"/>
          <w:headerReference w:type="default" r:id="rId11"/>
          <w:pgSz w:w="23811" w:h="16838" w:orient="landscape" w:code="8"/>
          <w:pgMar w:top="1411" w:right="1411" w:bottom="1411" w:left="1411" w:header="706" w:footer="706" w:gutter="0"/>
          <w:cols w:space="708"/>
          <w:docGrid w:linePitch="360"/>
        </w:sectPr>
      </w:pPr>
    </w:p>
    <w:p w:rsidR="007620B3" w:rsidRDefault="007620B3"/>
    <w:sectPr w:rsidR="007620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45C" w:rsidRDefault="00E3445C">
      <w:pPr>
        <w:spacing w:line="240" w:lineRule="auto"/>
      </w:pPr>
      <w:r>
        <w:separator/>
      </w:r>
    </w:p>
  </w:endnote>
  <w:endnote w:type="continuationSeparator" w:id="0">
    <w:p w:rsidR="00E3445C" w:rsidRDefault="00E344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Arno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095211"/>
      <w:docPartObj>
        <w:docPartGallery w:val="Page Numbers (Bottom of Page)"/>
        <w:docPartUnique/>
      </w:docPartObj>
    </w:sdtPr>
    <w:sdtEndPr/>
    <w:sdtContent>
      <w:p w:rsidR="009F26F9" w:rsidRDefault="009F26F9">
        <w:pPr>
          <w:pStyle w:val="Footer"/>
          <w:jc w:val="center"/>
        </w:pPr>
        <w:r>
          <w:fldChar w:fldCharType="begin"/>
        </w:r>
        <w:r>
          <w:instrText>PAGE   \* MERGEFORMAT</w:instrText>
        </w:r>
        <w:r>
          <w:fldChar w:fldCharType="separate"/>
        </w:r>
        <w:r w:rsidR="00D03DCB">
          <w:rPr>
            <w:noProof/>
          </w:rPr>
          <w:t>1</w:t>
        </w:r>
        <w:r>
          <w:fldChar w:fldCharType="end"/>
        </w:r>
      </w:p>
    </w:sdtContent>
  </w:sdt>
  <w:p w:rsidR="009F26F9" w:rsidRDefault="009F2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45C" w:rsidRDefault="00E3445C">
      <w:pPr>
        <w:spacing w:line="240" w:lineRule="auto"/>
      </w:pPr>
      <w:r>
        <w:separator/>
      </w:r>
    </w:p>
  </w:footnote>
  <w:footnote w:type="continuationSeparator" w:id="0">
    <w:p w:rsidR="00E3445C" w:rsidRDefault="00E344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C0E" w:rsidRPr="00A330D6" w:rsidRDefault="00E3445C" w:rsidP="0083489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C0E" w:rsidRPr="00AA19E0" w:rsidRDefault="009C4422">
    <w:pPr>
      <w:rPr>
        <w:lang w:val="en-GB"/>
      </w:rPr>
    </w:pPr>
    <w:r>
      <w:rPr>
        <w:lang w:val="en-GB"/>
      </w:rPr>
      <w:t>Tables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C0E" w:rsidRPr="00526D2A" w:rsidRDefault="00E3445C" w:rsidP="00526D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B3F9B"/>
    <w:multiLevelType w:val="hybridMultilevel"/>
    <w:tmpl w:val="A16E9B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CC11A3E"/>
    <w:multiLevelType w:val="hybridMultilevel"/>
    <w:tmpl w:val="6E040F68"/>
    <w:lvl w:ilvl="0" w:tplc="7E201E6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07E67E9"/>
    <w:multiLevelType w:val="hybridMultilevel"/>
    <w:tmpl w:val="6A2A44B8"/>
    <w:lvl w:ilvl="0" w:tplc="46F48D0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E637BA6"/>
    <w:multiLevelType w:val="hybridMultilevel"/>
    <w:tmpl w:val="B4F2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665BA0"/>
    <w:multiLevelType w:val="hybridMultilevel"/>
    <w:tmpl w:val="BC9A07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3809E6"/>
    <w:multiLevelType w:val="multilevel"/>
    <w:tmpl w:val="30A0CA2C"/>
    <w:lvl w:ilvl="0">
      <w:start w:val="1"/>
      <w:numFmt w:val="none"/>
      <w:pStyle w:val="Heading1"/>
      <w:suff w:val="space"/>
      <w:lvlText w:val="%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691634AE"/>
    <w:multiLevelType w:val="hybridMultilevel"/>
    <w:tmpl w:val="C15EB5DE"/>
    <w:lvl w:ilvl="0" w:tplc="226E60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2D776B"/>
    <w:multiLevelType w:val="hybridMultilevel"/>
    <w:tmpl w:val="D8C6A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6105FE"/>
    <w:multiLevelType w:val="hybridMultilevel"/>
    <w:tmpl w:val="0E24EE8C"/>
    <w:lvl w:ilvl="0" w:tplc="7D2803FC">
      <w:start w:val="1"/>
      <w:numFmt w:val="bullet"/>
      <w:pStyle w:val="BodyTextIndent"/>
      <w:lvlText w:val=""/>
      <w:lvlJc w:val="left"/>
      <w:pPr>
        <w:tabs>
          <w:tab w:val="num" w:pos="851"/>
        </w:tabs>
        <w:ind w:left="851"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5301A0"/>
    <w:multiLevelType w:val="hybridMultilevel"/>
    <w:tmpl w:val="5FEC49EA"/>
    <w:lvl w:ilvl="0" w:tplc="BF0E05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7"/>
  </w:num>
  <w:num w:numId="5">
    <w:abstractNumId w:val="4"/>
  </w:num>
  <w:num w:numId="6">
    <w:abstractNumId w:val="6"/>
  </w:num>
  <w:num w:numId="7">
    <w:abstractNumId w:val="1"/>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22"/>
    <w:rsid w:val="00217FCC"/>
    <w:rsid w:val="004D1F98"/>
    <w:rsid w:val="004F4FEF"/>
    <w:rsid w:val="006D3FEF"/>
    <w:rsid w:val="006F70CE"/>
    <w:rsid w:val="007008C9"/>
    <w:rsid w:val="007620B3"/>
    <w:rsid w:val="00800738"/>
    <w:rsid w:val="00906C26"/>
    <w:rsid w:val="009C4422"/>
    <w:rsid w:val="009F26F9"/>
    <w:rsid w:val="00C41605"/>
    <w:rsid w:val="00C55B26"/>
    <w:rsid w:val="00D03DCB"/>
    <w:rsid w:val="00D85E16"/>
    <w:rsid w:val="00DD5921"/>
    <w:rsid w:val="00E3445C"/>
    <w:rsid w:val="00F06A98"/>
    <w:rsid w:val="00F21DD9"/>
    <w:rsid w:val="00F32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26819-300E-434C-8209-7BEFA989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422"/>
    <w:pPr>
      <w:spacing w:after="0" w:line="259" w:lineRule="auto"/>
      <w:jc w:val="both"/>
    </w:pPr>
    <w:rPr>
      <w:rFonts w:asciiTheme="minorHAnsi" w:hAnsiTheme="minorHAnsi"/>
      <w:sz w:val="22"/>
      <w:lang w:val="nl-NL"/>
    </w:rPr>
  </w:style>
  <w:style w:type="paragraph" w:styleId="Heading1">
    <w:name w:val="heading 1"/>
    <w:basedOn w:val="Normal"/>
    <w:next w:val="Normal"/>
    <w:link w:val="Heading1Char"/>
    <w:uiPriority w:val="9"/>
    <w:qFormat/>
    <w:rsid w:val="009C4422"/>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C4422"/>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C4422"/>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C4422"/>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C4422"/>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C4422"/>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C4422"/>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C442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C442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422"/>
    <w:rPr>
      <w:rFonts w:asciiTheme="majorHAnsi" w:eastAsiaTheme="majorEastAsia" w:hAnsiTheme="majorHAnsi" w:cstheme="majorBidi"/>
      <w:color w:val="365F91" w:themeColor="accent1" w:themeShade="BF"/>
      <w:sz w:val="32"/>
      <w:szCs w:val="32"/>
      <w:lang w:val="nl-NL"/>
    </w:rPr>
  </w:style>
  <w:style w:type="character" w:customStyle="1" w:styleId="Heading2Char">
    <w:name w:val="Heading 2 Char"/>
    <w:basedOn w:val="DefaultParagraphFont"/>
    <w:link w:val="Heading2"/>
    <w:uiPriority w:val="9"/>
    <w:rsid w:val="009C4422"/>
    <w:rPr>
      <w:rFonts w:asciiTheme="majorHAnsi" w:eastAsiaTheme="majorEastAsia" w:hAnsiTheme="majorHAnsi" w:cstheme="majorBidi"/>
      <w:color w:val="365F91" w:themeColor="accent1" w:themeShade="BF"/>
      <w:sz w:val="26"/>
      <w:szCs w:val="26"/>
      <w:lang w:val="nl-NL"/>
    </w:rPr>
  </w:style>
  <w:style w:type="character" w:customStyle="1" w:styleId="Heading3Char">
    <w:name w:val="Heading 3 Char"/>
    <w:basedOn w:val="DefaultParagraphFont"/>
    <w:link w:val="Heading3"/>
    <w:uiPriority w:val="9"/>
    <w:rsid w:val="009C4422"/>
    <w:rPr>
      <w:rFonts w:asciiTheme="majorHAnsi" w:eastAsiaTheme="majorEastAsia" w:hAnsiTheme="majorHAnsi" w:cstheme="majorBidi"/>
      <w:color w:val="243F60" w:themeColor="accent1" w:themeShade="7F"/>
      <w:sz w:val="24"/>
      <w:szCs w:val="24"/>
      <w:lang w:val="nl-NL"/>
    </w:rPr>
  </w:style>
  <w:style w:type="character" w:customStyle="1" w:styleId="Heading4Char">
    <w:name w:val="Heading 4 Char"/>
    <w:basedOn w:val="DefaultParagraphFont"/>
    <w:link w:val="Heading4"/>
    <w:uiPriority w:val="9"/>
    <w:rsid w:val="009C4422"/>
    <w:rPr>
      <w:rFonts w:asciiTheme="majorHAnsi" w:eastAsiaTheme="majorEastAsia" w:hAnsiTheme="majorHAnsi" w:cstheme="majorBidi"/>
      <w:i/>
      <w:iCs/>
      <w:color w:val="365F91" w:themeColor="accent1" w:themeShade="BF"/>
      <w:sz w:val="22"/>
      <w:lang w:val="nl-NL"/>
    </w:rPr>
  </w:style>
  <w:style w:type="character" w:customStyle="1" w:styleId="Heading5Char">
    <w:name w:val="Heading 5 Char"/>
    <w:basedOn w:val="DefaultParagraphFont"/>
    <w:link w:val="Heading5"/>
    <w:uiPriority w:val="9"/>
    <w:semiHidden/>
    <w:rsid w:val="009C4422"/>
    <w:rPr>
      <w:rFonts w:asciiTheme="majorHAnsi" w:eastAsiaTheme="majorEastAsia" w:hAnsiTheme="majorHAnsi" w:cstheme="majorBidi"/>
      <w:color w:val="365F91" w:themeColor="accent1" w:themeShade="BF"/>
      <w:sz w:val="22"/>
      <w:lang w:val="nl-NL"/>
    </w:rPr>
  </w:style>
  <w:style w:type="character" w:customStyle="1" w:styleId="Heading6Char">
    <w:name w:val="Heading 6 Char"/>
    <w:basedOn w:val="DefaultParagraphFont"/>
    <w:link w:val="Heading6"/>
    <w:uiPriority w:val="9"/>
    <w:semiHidden/>
    <w:rsid w:val="009C4422"/>
    <w:rPr>
      <w:rFonts w:asciiTheme="majorHAnsi" w:eastAsiaTheme="majorEastAsia" w:hAnsiTheme="majorHAnsi" w:cstheme="majorBidi"/>
      <w:color w:val="243F60" w:themeColor="accent1" w:themeShade="7F"/>
      <w:sz w:val="22"/>
      <w:lang w:val="nl-NL"/>
    </w:rPr>
  </w:style>
  <w:style w:type="character" w:customStyle="1" w:styleId="Heading7Char">
    <w:name w:val="Heading 7 Char"/>
    <w:basedOn w:val="DefaultParagraphFont"/>
    <w:link w:val="Heading7"/>
    <w:uiPriority w:val="9"/>
    <w:semiHidden/>
    <w:rsid w:val="009C4422"/>
    <w:rPr>
      <w:rFonts w:asciiTheme="majorHAnsi" w:eastAsiaTheme="majorEastAsia" w:hAnsiTheme="majorHAnsi" w:cstheme="majorBidi"/>
      <w:i/>
      <w:iCs/>
      <w:color w:val="243F60" w:themeColor="accent1" w:themeShade="7F"/>
      <w:sz w:val="22"/>
      <w:lang w:val="nl-NL"/>
    </w:rPr>
  </w:style>
  <w:style w:type="character" w:customStyle="1" w:styleId="Heading8Char">
    <w:name w:val="Heading 8 Char"/>
    <w:basedOn w:val="DefaultParagraphFont"/>
    <w:link w:val="Heading8"/>
    <w:uiPriority w:val="9"/>
    <w:semiHidden/>
    <w:rsid w:val="009C4422"/>
    <w:rPr>
      <w:rFonts w:asciiTheme="majorHAnsi" w:eastAsiaTheme="majorEastAsia" w:hAnsiTheme="majorHAnsi" w:cstheme="majorBidi"/>
      <w:color w:val="272727" w:themeColor="text1" w:themeTint="D8"/>
      <w:sz w:val="21"/>
      <w:szCs w:val="21"/>
      <w:lang w:val="nl-NL"/>
    </w:rPr>
  </w:style>
  <w:style w:type="character" w:customStyle="1" w:styleId="Heading9Char">
    <w:name w:val="Heading 9 Char"/>
    <w:basedOn w:val="DefaultParagraphFont"/>
    <w:link w:val="Heading9"/>
    <w:uiPriority w:val="9"/>
    <w:semiHidden/>
    <w:rsid w:val="009C4422"/>
    <w:rPr>
      <w:rFonts w:asciiTheme="majorHAnsi" w:eastAsiaTheme="majorEastAsia" w:hAnsiTheme="majorHAnsi" w:cstheme="majorBidi"/>
      <w:i/>
      <w:iCs/>
      <w:color w:val="272727" w:themeColor="text1" w:themeTint="D8"/>
      <w:sz w:val="21"/>
      <w:szCs w:val="21"/>
      <w:lang w:val="nl-NL"/>
    </w:rPr>
  </w:style>
  <w:style w:type="paragraph" w:styleId="Title">
    <w:name w:val="Title"/>
    <w:basedOn w:val="Normal"/>
    <w:next w:val="Normal"/>
    <w:link w:val="TitleChar"/>
    <w:uiPriority w:val="10"/>
    <w:qFormat/>
    <w:rsid w:val="009C442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4422"/>
    <w:rPr>
      <w:rFonts w:asciiTheme="majorHAnsi" w:eastAsiaTheme="majorEastAsia" w:hAnsiTheme="majorHAnsi" w:cstheme="majorBidi"/>
      <w:spacing w:val="-10"/>
      <w:kern w:val="28"/>
      <w:sz w:val="56"/>
      <w:szCs w:val="56"/>
      <w:lang w:val="nl-NL"/>
    </w:rPr>
  </w:style>
  <w:style w:type="paragraph" w:styleId="TOCHeading">
    <w:name w:val="TOC Heading"/>
    <w:basedOn w:val="Heading1"/>
    <w:next w:val="Normal"/>
    <w:uiPriority w:val="39"/>
    <w:unhideWhenUsed/>
    <w:qFormat/>
    <w:rsid w:val="009C4422"/>
    <w:pPr>
      <w:outlineLvl w:val="9"/>
    </w:pPr>
    <w:rPr>
      <w:lang w:val="en-US"/>
    </w:rPr>
  </w:style>
  <w:style w:type="paragraph" w:styleId="ListParagraph">
    <w:name w:val="List Paragraph"/>
    <w:basedOn w:val="Normal"/>
    <w:link w:val="ListParagraphChar"/>
    <w:uiPriority w:val="34"/>
    <w:qFormat/>
    <w:rsid w:val="009C4422"/>
    <w:pPr>
      <w:widowControl w:val="0"/>
      <w:spacing w:line="240" w:lineRule="auto"/>
      <w:ind w:left="720"/>
      <w:contextualSpacing/>
    </w:pPr>
    <w:rPr>
      <w:rFonts w:ascii="Courier 10cpi" w:eastAsia="Times New Roman" w:hAnsi="Courier 10cpi" w:cs="Times New Roman"/>
      <w:snapToGrid w:val="0"/>
      <w:sz w:val="20"/>
      <w:szCs w:val="20"/>
      <w:lang w:val="en-GB"/>
    </w:rPr>
  </w:style>
  <w:style w:type="character" w:customStyle="1" w:styleId="ListParagraphChar">
    <w:name w:val="List Paragraph Char"/>
    <w:basedOn w:val="DefaultParagraphFont"/>
    <w:link w:val="ListParagraph"/>
    <w:uiPriority w:val="34"/>
    <w:rsid w:val="009C4422"/>
    <w:rPr>
      <w:rFonts w:ascii="Courier 10cpi" w:eastAsia="Times New Roman" w:hAnsi="Courier 10cpi" w:cs="Times New Roman"/>
      <w:snapToGrid w:val="0"/>
      <w:sz w:val="20"/>
      <w:szCs w:val="20"/>
    </w:rPr>
  </w:style>
  <w:style w:type="table" w:customStyle="1" w:styleId="PlainTable31">
    <w:name w:val="Plain Table 31"/>
    <w:basedOn w:val="TableNormal"/>
    <w:uiPriority w:val="43"/>
    <w:rsid w:val="009C4422"/>
    <w:pPr>
      <w:spacing w:after="0" w:line="240" w:lineRule="auto"/>
      <w:jc w:val="both"/>
    </w:pPr>
    <w:rPr>
      <w:rFonts w:asciiTheme="minorHAnsi" w:hAnsiTheme="minorHAnsi"/>
      <w:sz w:val="22"/>
      <w:lang w:val="nl-N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9C4422"/>
    <w:rPr>
      <w:color w:val="0000FF" w:themeColor="hyperlink"/>
      <w:u w:val="single"/>
    </w:rPr>
  </w:style>
  <w:style w:type="character" w:styleId="CommentReference">
    <w:name w:val="annotation reference"/>
    <w:basedOn w:val="DefaultParagraphFont"/>
    <w:uiPriority w:val="99"/>
    <w:unhideWhenUsed/>
    <w:rsid w:val="009C4422"/>
    <w:rPr>
      <w:sz w:val="16"/>
      <w:szCs w:val="16"/>
    </w:rPr>
  </w:style>
  <w:style w:type="paragraph" w:styleId="CommentText">
    <w:name w:val="annotation text"/>
    <w:basedOn w:val="Normal"/>
    <w:link w:val="CommentTextChar"/>
    <w:uiPriority w:val="99"/>
    <w:unhideWhenUsed/>
    <w:rsid w:val="009C4422"/>
    <w:pPr>
      <w:spacing w:line="240" w:lineRule="auto"/>
    </w:pPr>
    <w:rPr>
      <w:sz w:val="20"/>
      <w:szCs w:val="20"/>
    </w:rPr>
  </w:style>
  <w:style w:type="character" w:customStyle="1" w:styleId="CommentTextChar">
    <w:name w:val="Comment Text Char"/>
    <w:basedOn w:val="DefaultParagraphFont"/>
    <w:link w:val="CommentText"/>
    <w:uiPriority w:val="99"/>
    <w:rsid w:val="009C4422"/>
    <w:rPr>
      <w:rFonts w:asciiTheme="minorHAnsi" w:hAnsiTheme="minorHAnsi"/>
      <w:sz w:val="20"/>
      <w:szCs w:val="20"/>
      <w:lang w:val="nl-NL"/>
    </w:rPr>
  </w:style>
  <w:style w:type="paragraph" w:styleId="CommentSubject">
    <w:name w:val="annotation subject"/>
    <w:basedOn w:val="CommentText"/>
    <w:next w:val="CommentText"/>
    <w:link w:val="CommentSubjectChar"/>
    <w:uiPriority w:val="99"/>
    <w:unhideWhenUsed/>
    <w:rsid w:val="009C4422"/>
    <w:rPr>
      <w:b/>
      <w:bCs/>
    </w:rPr>
  </w:style>
  <w:style w:type="character" w:customStyle="1" w:styleId="CommentSubjectChar">
    <w:name w:val="Comment Subject Char"/>
    <w:basedOn w:val="CommentTextChar"/>
    <w:link w:val="CommentSubject"/>
    <w:uiPriority w:val="99"/>
    <w:rsid w:val="009C4422"/>
    <w:rPr>
      <w:rFonts w:asciiTheme="minorHAnsi" w:hAnsiTheme="minorHAnsi"/>
      <w:b/>
      <w:bCs/>
      <w:sz w:val="20"/>
      <w:szCs w:val="20"/>
      <w:lang w:val="nl-NL"/>
    </w:rPr>
  </w:style>
  <w:style w:type="paragraph" w:styleId="BalloonText">
    <w:name w:val="Balloon Text"/>
    <w:basedOn w:val="Normal"/>
    <w:link w:val="BalloonTextChar"/>
    <w:uiPriority w:val="99"/>
    <w:semiHidden/>
    <w:unhideWhenUsed/>
    <w:rsid w:val="009C44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422"/>
    <w:rPr>
      <w:rFonts w:ascii="Segoe UI" w:hAnsi="Segoe UI" w:cs="Segoe UI"/>
      <w:sz w:val="18"/>
      <w:szCs w:val="18"/>
      <w:lang w:val="nl-NL"/>
    </w:rPr>
  </w:style>
  <w:style w:type="paragraph" w:styleId="Caption">
    <w:name w:val="caption"/>
    <w:basedOn w:val="Normal"/>
    <w:next w:val="Normal"/>
    <w:unhideWhenUsed/>
    <w:qFormat/>
    <w:rsid w:val="009C4422"/>
    <w:pPr>
      <w:spacing w:after="200" w:line="240" w:lineRule="auto"/>
    </w:pPr>
    <w:rPr>
      <w:i/>
      <w:iCs/>
      <w:color w:val="1F497D" w:themeColor="text2"/>
      <w:sz w:val="18"/>
      <w:szCs w:val="18"/>
    </w:rPr>
  </w:style>
  <w:style w:type="table" w:styleId="TableGrid">
    <w:name w:val="Table Grid"/>
    <w:basedOn w:val="TableNormal"/>
    <w:uiPriority w:val="59"/>
    <w:rsid w:val="009C4422"/>
    <w:pPr>
      <w:spacing w:after="0" w:line="240" w:lineRule="auto"/>
      <w:jc w:val="both"/>
    </w:pPr>
    <w:rPr>
      <w:rFonts w:asciiTheme="minorHAnsi" w:hAnsiTheme="minorHAnsi"/>
      <w:sz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C4422"/>
    <w:pPr>
      <w:tabs>
        <w:tab w:val="right" w:leader="dot" w:pos="6806"/>
      </w:tabs>
      <w:spacing w:after="120"/>
    </w:pPr>
    <w:rPr>
      <w:noProof/>
      <w:lang w:val="en-GB"/>
    </w:rPr>
  </w:style>
  <w:style w:type="paragraph" w:styleId="TOC2">
    <w:name w:val="toc 2"/>
    <w:basedOn w:val="Normal"/>
    <w:next w:val="Normal"/>
    <w:autoRedefine/>
    <w:uiPriority w:val="39"/>
    <w:unhideWhenUsed/>
    <w:rsid w:val="009C4422"/>
    <w:pPr>
      <w:spacing w:after="100"/>
      <w:ind w:left="220"/>
    </w:pPr>
  </w:style>
  <w:style w:type="paragraph" w:styleId="Header">
    <w:name w:val="header"/>
    <w:basedOn w:val="Normal"/>
    <w:link w:val="HeaderChar"/>
    <w:uiPriority w:val="99"/>
    <w:unhideWhenUsed/>
    <w:rsid w:val="009C4422"/>
    <w:pPr>
      <w:tabs>
        <w:tab w:val="center" w:pos="4536"/>
        <w:tab w:val="right" w:pos="9072"/>
      </w:tabs>
      <w:spacing w:line="240" w:lineRule="auto"/>
    </w:pPr>
  </w:style>
  <w:style w:type="character" w:customStyle="1" w:styleId="HeaderChar">
    <w:name w:val="Header Char"/>
    <w:basedOn w:val="DefaultParagraphFont"/>
    <w:link w:val="Header"/>
    <w:uiPriority w:val="99"/>
    <w:rsid w:val="009C4422"/>
    <w:rPr>
      <w:rFonts w:asciiTheme="minorHAnsi" w:hAnsiTheme="minorHAnsi"/>
      <w:sz w:val="22"/>
      <w:lang w:val="nl-NL"/>
    </w:rPr>
  </w:style>
  <w:style w:type="paragraph" w:styleId="Footer">
    <w:name w:val="footer"/>
    <w:basedOn w:val="Normal"/>
    <w:link w:val="FooterChar"/>
    <w:uiPriority w:val="99"/>
    <w:unhideWhenUsed/>
    <w:rsid w:val="009C4422"/>
    <w:pPr>
      <w:tabs>
        <w:tab w:val="center" w:pos="4536"/>
        <w:tab w:val="right" w:pos="9072"/>
      </w:tabs>
      <w:spacing w:line="240" w:lineRule="auto"/>
    </w:pPr>
  </w:style>
  <w:style w:type="character" w:customStyle="1" w:styleId="FooterChar">
    <w:name w:val="Footer Char"/>
    <w:basedOn w:val="DefaultParagraphFont"/>
    <w:link w:val="Footer"/>
    <w:uiPriority w:val="99"/>
    <w:rsid w:val="009C4422"/>
    <w:rPr>
      <w:rFonts w:asciiTheme="minorHAnsi" w:hAnsiTheme="minorHAnsi"/>
      <w:sz w:val="22"/>
      <w:lang w:val="nl-NL"/>
    </w:rPr>
  </w:style>
  <w:style w:type="character" w:styleId="IntenseReference">
    <w:name w:val="Intense Reference"/>
    <w:basedOn w:val="DefaultParagraphFont"/>
    <w:uiPriority w:val="32"/>
    <w:qFormat/>
    <w:rsid w:val="009C4422"/>
    <w:rPr>
      <w:b/>
      <w:bCs/>
      <w:smallCaps/>
      <w:color w:val="4F81BD" w:themeColor="accent1"/>
      <w:spacing w:val="5"/>
    </w:rPr>
  </w:style>
  <w:style w:type="character" w:styleId="BookTitle">
    <w:name w:val="Book Title"/>
    <w:basedOn w:val="DefaultParagraphFont"/>
    <w:uiPriority w:val="33"/>
    <w:qFormat/>
    <w:rsid w:val="009C4422"/>
    <w:rPr>
      <w:b/>
      <w:bCs/>
      <w:i/>
      <w:iCs/>
      <w:spacing w:val="5"/>
    </w:rPr>
  </w:style>
  <w:style w:type="character" w:styleId="SubtleEmphasis">
    <w:name w:val="Subtle Emphasis"/>
    <w:basedOn w:val="DefaultParagraphFont"/>
    <w:uiPriority w:val="19"/>
    <w:qFormat/>
    <w:rsid w:val="009C4422"/>
    <w:rPr>
      <w:i/>
      <w:iCs/>
      <w:color w:val="404040" w:themeColor="text1" w:themeTint="BF"/>
    </w:rPr>
  </w:style>
  <w:style w:type="character" w:styleId="Strong">
    <w:name w:val="Strong"/>
    <w:basedOn w:val="DefaultParagraphFont"/>
    <w:uiPriority w:val="22"/>
    <w:qFormat/>
    <w:rsid w:val="009C4422"/>
    <w:rPr>
      <w:b/>
      <w:bCs/>
    </w:rPr>
  </w:style>
  <w:style w:type="character" w:styleId="IntenseEmphasis">
    <w:name w:val="Intense Emphasis"/>
    <w:basedOn w:val="DefaultParagraphFont"/>
    <w:uiPriority w:val="21"/>
    <w:qFormat/>
    <w:rsid w:val="009C4422"/>
    <w:rPr>
      <w:i/>
      <w:iCs/>
      <w:color w:val="4F81BD" w:themeColor="accent1"/>
    </w:rPr>
  </w:style>
  <w:style w:type="paragraph" w:customStyle="1" w:styleId="MHeading1">
    <w:name w:val="M_Heading1"/>
    <w:basedOn w:val="Normal"/>
    <w:rsid w:val="009C4422"/>
    <w:pPr>
      <w:spacing w:before="240" w:after="240" w:line="340" w:lineRule="atLeast"/>
    </w:pPr>
    <w:rPr>
      <w:rFonts w:ascii="Times New Roman" w:eastAsia="Times New Roman" w:hAnsi="Times New Roman" w:cs="Times New Roman"/>
      <w:b/>
      <w:color w:val="000000"/>
      <w:sz w:val="24"/>
      <w:szCs w:val="20"/>
      <w:lang w:val="en-US" w:eastAsia="de-DE"/>
    </w:rPr>
  </w:style>
  <w:style w:type="paragraph" w:customStyle="1" w:styleId="MText">
    <w:name w:val="M_Text"/>
    <w:basedOn w:val="Normal"/>
    <w:rsid w:val="009C4422"/>
    <w:pPr>
      <w:spacing w:line="340" w:lineRule="atLeast"/>
      <w:ind w:firstLine="284"/>
    </w:pPr>
    <w:rPr>
      <w:rFonts w:ascii="Times New Roman" w:eastAsia="Times New Roman" w:hAnsi="Times New Roman" w:cs="Times New Roman"/>
      <w:color w:val="000000"/>
      <w:sz w:val="24"/>
      <w:szCs w:val="20"/>
      <w:lang w:val="en-US" w:eastAsia="de-DE"/>
    </w:rPr>
  </w:style>
  <w:style w:type="paragraph" w:customStyle="1" w:styleId="Mdeck4text">
    <w:name w:val="M_deck_4_text"/>
    <w:qFormat/>
    <w:rsid w:val="009C4422"/>
    <w:pPr>
      <w:kinsoku w:val="0"/>
      <w:overflowPunct w:val="0"/>
      <w:autoSpaceDE w:val="0"/>
      <w:autoSpaceDN w:val="0"/>
      <w:adjustRightInd w:val="0"/>
      <w:snapToGrid w:val="0"/>
      <w:spacing w:after="0" w:line="340" w:lineRule="atLeast"/>
      <w:ind w:firstLine="284"/>
      <w:jc w:val="both"/>
    </w:pPr>
    <w:rPr>
      <w:rFonts w:ascii="Times New Roman" w:eastAsia="Times New Roman" w:hAnsi="Times New Roman"/>
      <w:snapToGrid w:val="0"/>
      <w:color w:val="000000"/>
      <w:sz w:val="24"/>
      <w:szCs w:val="20"/>
      <w:lang w:val="en-US" w:eastAsia="de-DE" w:bidi="en-US"/>
    </w:rPr>
  </w:style>
  <w:style w:type="paragraph" w:customStyle="1" w:styleId="Mdeck4heading1">
    <w:name w:val="M_deck_4_heading_1"/>
    <w:next w:val="Normal"/>
    <w:qFormat/>
    <w:rsid w:val="009C4422"/>
    <w:pPr>
      <w:kinsoku w:val="0"/>
      <w:overflowPunct w:val="0"/>
      <w:autoSpaceDE w:val="0"/>
      <w:autoSpaceDN w:val="0"/>
      <w:adjustRightInd w:val="0"/>
      <w:snapToGrid w:val="0"/>
      <w:spacing w:before="240" w:after="240" w:line="340" w:lineRule="atLeast"/>
      <w:jc w:val="both"/>
      <w:outlineLvl w:val="0"/>
    </w:pPr>
    <w:rPr>
      <w:rFonts w:ascii="Times New Roman" w:eastAsia="Times New Roman" w:hAnsi="Times New Roman"/>
      <w:b/>
      <w:snapToGrid w:val="0"/>
      <w:color w:val="000000"/>
      <w:sz w:val="24"/>
      <w:szCs w:val="20"/>
      <w:lang w:val="en-US" w:eastAsia="de-DE" w:bidi="en-US"/>
    </w:rPr>
  </w:style>
  <w:style w:type="paragraph" w:customStyle="1" w:styleId="Mdeck4heading2">
    <w:name w:val="M_deck_4_heading_2"/>
    <w:next w:val="Normal"/>
    <w:qFormat/>
    <w:rsid w:val="009C4422"/>
    <w:pPr>
      <w:kinsoku w:val="0"/>
      <w:overflowPunct w:val="0"/>
      <w:autoSpaceDE w:val="0"/>
      <w:autoSpaceDN w:val="0"/>
      <w:adjustRightInd w:val="0"/>
      <w:snapToGrid w:val="0"/>
      <w:spacing w:before="240" w:after="240" w:line="340" w:lineRule="atLeast"/>
      <w:jc w:val="both"/>
      <w:outlineLvl w:val="1"/>
    </w:pPr>
    <w:rPr>
      <w:rFonts w:ascii="Times New Roman" w:eastAsia="Times New Roman" w:hAnsi="Times New Roman"/>
      <w:i/>
      <w:snapToGrid w:val="0"/>
      <w:color w:val="000000"/>
      <w:sz w:val="24"/>
      <w:szCs w:val="20"/>
      <w:lang w:val="en-US" w:eastAsia="de-DE" w:bidi="en-US"/>
    </w:rPr>
  </w:style>
  <w:style w:type="paragraph" w:customStyle="1" w:styleId="Mdeck5tablecaption">
    <w:name w:val="M_deck_5_table_caption"/>
    <w:qFormat/>
    <w:rsid w:val="009C4422"/>
    <w:pPr>
      <w:kinsoku w:val="0"/>
      <w:overflowPunct w:val="0"/>
      <w:autoSpaceDE w:val="0"/>
      <w:autoSpaceDN w:val="0"/>
      <w:adjustRightInd w:val="0"/>
      <w:snapToGrid w:val="0"/>
      <w:spacing w:before="240" w:after="120" w:line="340" w:lineRule="atLeast"/>
      <w:ind w:left="567" w:right="567"/>
      <w:jc w:val="both"/>
    </w:pPr>
    <w:rPr>
      <w:rFonts w:ascii="Times New Roman" w:eastAsia="Times New Roman" w:hAnsi="Times New Roman"/>
      <w:snapToGrid w:val="0"/>
      <w:color w:val="000000"/>
      <w:sz w:val="24"/>
      <w:szCs w:val="20"/>
      <w:lang w:val="en-US" w:eastAsia="de-DE" w:bidi="en-US"/>
    </w:rPr>
  </w:style>
  <w:style w:type="paragraph" w:customStyle="1" w:styleId="Mdeck5tablebody">
    <w:name w:val="M_deck_5_table_body"/>
    <w:qFormat/>
    <w:rsid w:val="009C4422"/>
    <w:pPr>
      <w:kinsoku w:val="0"/>
      <w:overflowPunct w:val="0"/>
      <w:autoSpaceDE w:val="0"/>
      <w:autoSpaceDN w:val="0"/>
      <w:adjustRightInd w:val="0"/>
      <w:snapToGrid w:val="0"/>
      <w:spacing w:after="0" w:line="300" w:lineRule="exact"/>
      <w:jc w:val="center"/>
    </w:pPr>
    <w:rPr>
      <w:rFonts w:ascii="Times New Roman" w:eastAsia="Times New Roman" w:hAnsi="Times New Roman"/>
      <w:snapToGrid w:val="0"/>
      <w:color w:val="000000"/>
      <w:sz w:val="20"/>
      <w:szCs w:val="20"/>
      <w:lang w:val="en-US" w:eastAsia="de-DE" w:bidi="en-US"/>
    </w:rPr>
  </w:style>
  <w:style w:type="paragraph" w:styleId="NormalWeb">
    <w:name w:val="Normal (Web)"/>
    <w:basedOn w:val="Normal"/>
    <w:uiPriority w:val="99"/>
    <w:unhideWhenUsed/>
    <w:rsid w:val="009C4422"/>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PlaceholderText">
    <w:name w:val="Placeholder Text"/>
    <w:basedOn w:val="DefaultParagraphFont"/>
    <w:uiPriority w:val="99"/>
    <w:semiHidden/>
    <w:rsid w:val="009C4422"/>
    <w:rPr>
      <w:color w:val="808080"/>
    </w:rPr>
  </w:style>
  <w:style w:type="paragraph" w:styleId="HTMLPreformatted">
    <w:name w:val="HTML Preformatted"/>
    <w:basedOn w:val="Normal"/>
    <w:link w:val="HTMLPreformattedChar"/>
    <w:uiPriority w:val="99"/>
    <w:semiHidden/>
    <w:unhideWhenUsed/>
    <w:rsid w:val="009C4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nl-NL"/>
    </w:rPr>
  </w:style>
  <w:style w:type="character" w:customStyle="1" w:styleId="HTMLPreformattedChar">
    <w:name w:val="HTML Preformatted Char"/>
    <w:basedOn w:val="DefaultParagraphFont"/>
    <w:link w:val="HTMLPreformatted"/>
    <w:uiPriority w:val="99"/>
    <w:semiHidden/>
    <w:rsid w:val="009C4422"/>
    <w:rPr>
      <w:rFonts w:ascii="Courier New" w:eastAsia="Times New Roman" w:hAnsi="Courier New" w:cs="Courier New"/>
      <w:sz w:val="20"/>
      <w:szCs w:val="20"/>
      <w:lang w:val="nl-NL" w:eastAsia="nl-NL"/>
    </w:rPr>
  </w:style>
  <w:style w:type="paragraph" w:styleId="Revision">
    <w:name w:val="Revision"/>
    <w:hidden/>
    <w:uiPriority w:val="99"/>
    <w:semiHidden/>
    <w:rsid w:val="009C4422"/>
    <w:pPr>
      <w:spacing w:after="0" w:line="240" w:lineRule="auto"/>
      <w:jc w:val="both"/>
    </w:pPr>
    <w:rPr>
      <w:rFonts w:asciiTheme="minorHAnsi" w:hAnsiTheme="minorHAnsi"/>
      <w:sz w:val="22"/>
      <w:lang w:val="nl-NL"/>
    </w:rPr>
  </w:style>
  <w:style w:type="table" w:customStyle="1" w:styleId="PlainTable21">
    <w:name w:val="Plain Table 21"/>
    <w:basedOn w:val="TableNormal"/>
    <w:uiPriority w:val="99"/>
    <w:rsid w:val="009C4422"/>
    <w:pPr>
      <w:spacing w:after="0" w:line="240" w:lineRule="auto"/>
      <w:jc w:val="both"/>
    </w:pPr>
    <w:rPr>
      <w:rFonts w:asciiTheme="minorHAnsi" w:hAnsiTheme="minorHAnsi"/>
      <w:sz w:val="22"/>
      <w:lang w:val="nl-N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unhideWhenUsed/>
    <w:rsid w:val="009C4422"/>
  </w:style>
  <w:style w:type="table" w:customStyle="1" w:styleId="PlainTable22">
    <w:name w:val="Plain Table 22"/>
    <w:basedOn w:val="TableNormal"/>
    <w:uiPriority w:val="42"/>
    <w:rsid w:val="009C4422"/>
    <w:pPr>
      <w:spacing w:after="0" w:line="240" w:lineRule="auto"/>
      <w:jc w:val="both"/>
    </w:pPr>
    <w:rPr>
      <w:rFonts w:asciiTheme="minorHAnsi" w:hAnsiTheme="minorHAnsi"/>
      <w:sz w:val="22"/>
      <w:lang w:val="nl-N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ListParagraph1">
    <w:name w:val="List Paragraph1"/>
    <w:basedOn w:val="Normal"/>
    <w:qFormat/>
    <w:rsid w:val="009C4422"/>
    <w:pPr>
      <w:spacing w:line="240" w:lineRule="auto"/>
      <w:ind w:left="720"/>
      <w:contextualSpacing/>
    </w:pPr>
    <w:rPr>
      <w:rFonts w:ascii="Calibri" w:eastAsia="Calibri" w:hAnsi="Calibri" w:cs="Calibri"/>
      <w:lang w:val="en-GB" w:eastAsia="en-GB"/>
    </w:rPr>
  </w:style>
  <w:style w:type="table" w:customStyle="1" w:styleId="TableGrid1">
    <w:name w:val="Table Grid1"/>
    <w:basedOn w:val="TableNormal"/>
    <w:next w:val="TableGrid"/>
    <w:uiPriority w:val="59"/>
    <w:rsid w:val="009C442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9C4422"/>
    <w:rPr>
      <w:color w:val="800080" w:themeColor="followedHyperlink"/>
      <w:u w:val="single"/>
    </w:rPr>
  </w:style>
  <w:style w:type="paragraph" w:customStyle="1" w:styleId="Equation">
    <w:name w:val="Equation"/>
    <w:basedOn w:val="Normal"/>
    <w:link w:val="EquationChar"/>
    <w:qFormat/>
    <w:rsid w:val="009C4422"/>
    <w:pPr>
      <w:spacing w:after="200" w:line="276" w:lineRule="auto"/>
    </w:pPr>
    <w:rPr>
      <w:rFonts w:ascii="Cambria Math" w:hAnsi="Cambria Math"/>
      <w:i/>
      <w:sz w:val="24"/>
      <w:szCs w:val="28"/>
      <w:lang w:val="en-US"/>
    </w:rPr>
  </w:style>
  <w:style w:type="character" w:customStyle="1" w:styleId="EquationChar">
    <w:name w:val="Equation Char"/>
    <w:basedOn w:val="DefaultParagraphFont"/>
    <w:link w:val="Equation"/>
    <w:rsid w:val="009C4422"/>
    <w:rPr>
      <w:rFonts w:ascii="Cambria Math" w:hAnsi="Cambria Math"/>
      <w:i/>
      <w:sz w:val="24"/>
      <w:szCs w:val="28"/>
      <w:lang w:val="en-US"/>
    </w:rPr>
  </w:style>
  <w:style w:type="paragraph" w:styleId="NoSpacing">
    <w:name w:val="No Spacing"/>
    <w:qFormat/>
    <w:rsid w:val="009C4422"/>
    <w:pPr>
      <w:spacing w:after="0" w:line="240" w:lineRule="auto"/>
      <w:jc w:val="both"/>
    </w:pPr>
    <w:rPr>
      <w:sz w:val="20"/>
    </w:rPr>
  </w:style>
  <w:style w:type="paragraph" w:customStyle="1" w:styleId="BATitle">
    <w:name w:val="BA_Title"/>
    <w:basedOn w:val="Normal"/>
    <w:next w:val="BBAuthorName"/>
    <w:rsid w:val="009C4422"/>
    <w:pPr>
      <w:spacing w:before="720" w:after="360" w:line="480" w:lineRule="auto"/>
      <w:jc w:val="center"/>
    </w:pPr>
    <w:rPr>
      <w:rFonts w:ascii="Times New Roman" w:eastAsia="Times New Roman" w:hAnsi="Times New Roman" w:cs="Times New Roman"/>
      <w:sz w:val="44"/>
      <w:szCs w:val="20"/>
      <w:lang w:val="en-US"/>
    </w:rPr>
  </w:style>
  <w:style w:type="paragraph" w:customStyle="1" w:styleId="BBAuthorName">
    <w:name w:val="BB_Author_Name"/>
    <w:basedOn w:val="Normal"/>
    <w:next w:val="BCAuthorAddress"/>
    <w:rsid w:val="009C4422"/>
    <w:pPr>
      <w:spacing w:after="240" w:line="480" w:lineRule="auto"/>
      <w:jc w:val="center"/>
    </w:pPr>
    <w:rPr>
      <w:rFonts w:ascii="Times" w:eastAsia="Times New Roman" w:hAnsi="Times" w:cs="Times New Roman"/>
      <w:i/>
      <w:sz w:val="24"/>
      <w:szCs w:val="20"/>
      <w:lang w:val="en-US"/>
    </w:rPr>
  </w:style>
  <w:style w:type="paragraph" w:customStyle="1" w:styleId="BCAuthorAddress">
    <w:name w:val="BC_Author_Address"/>
    <w:basedOn w:val="Normal"/>
    <w:next w:val="Normal"/>
    <w:rsid w:val="009C4422"/>
    <w:pPr>
      <w:spacing w:after="240" w:line="480" w:lineRule="auto"/>
      <w:jc w:val="center"/>
    </w:pPr>
    <w:rPr>
      <w:rFonts w:ascii="Times" w:eastAsia="Times New Roman" w:hAnsi="Times" w:cs="Times New Roman"/>
      <w:sz w:val="24"/>
      <w:szCs w:val="20"/>
      <w:lang w:val="en-US"/>
    </w:rPr>
  </w:style>
  <w:style w:type="paragraph" w:customStyle="1" w:styleId="EndNoteBibliographyTitle">
    <w:name w:val="EndNote Bibliography Title"/>
    <w:basedOn w:val="Normal"/>
    <w:link w:val="EndNoteBibliographyTitleChar"/>
    <w:rsid w:val="009C4422"/>
    <w:pPr>
      <w:spacing w:line="276" w:lineRule="auto"/>
      <w:jc w:val="center"/>
    </w:pPr>
    <w:rPr>
      <w:rFonts w:ascii="Courier 10cpi" w:eastAsia="Times New Roman" w:hAnsi="Courier 10cpi" w:cs="Times New Roman"/>
      <w:noProof/>
      <w:sz w:val="20"/>
      <w:szCs w:val="20"/>
      <w:lang w:val="en-US"/>
    </w:rPr>
  </w:style>
  <w:style w:type="character" w:customStyle="1" w:styleId="EndNoteBibliographyTitleChar">
    <w:name w:val="EndNote Bibliography Title Char"/>
    <w:basedOn w:val="ListParagraphChar"/>
    <w:link w:val="EndNoteBibliographyTitle"/>
    <w:rsid w:val="009C4422"/>
    <w:rPr>
      <w:rFonts w:ascii="Courier 10cpi" w:eastAsia="Times New Roman" w:hAnsi="Courier 10cpi" w:cs="Times New Roman"/>
      <w:noProof/>
      <w:snapToGrid/>
      <w:sz w:val="20"/>
      <w:szCs w:val="20"/>
      <w:lang w:val="en-US"/>
    </w:rPr>
  </w:style>
  <w:style w:type="paragraph" w:customStyle="1" w:styleId="EndNoteBibliography">
    <w:name w:val="EndNote Bibliography"/>
    <w:basedOn w:val="Normal"/>
    <w:link w:val="EndNoteBibliographyChar"/>
    <w:rsid w:val="009C4422"/>
    <w:pPr>
      <w:spacing w:after="200" w:line="240" w:lineRule="auto"/>
    </w:pPr>
    <w:rPr>
      <w:rFonts w:ascii="Courier 10cpi" w:eastAsia="Times New Roman" w:hAnsi="Courier 10cpi" w:cs="Times New Roman"/>
      <w:noProof/>
      <w:sz w:val="20"/>
      <w:szCs w:val="20"/>
      <w:lang w:val="en-US"/>
    </w:rPr>
  </w:style>
  <w:style w:type="character" w:customStyle="1" w:styleId="EndNoteBibliographyChar">
    <w:name w:val="EndNote Bibliography Char"/>
    <w:basedOn w:val="ListParagraphChar"/>
    <w:link w:val="EndNoteBibliography"/>
    <w:rsid w:val="009C4422"/>
    <w:rPr>
      <w:rFonts w:ascii="Courier 10cpi" w:eastAsia="Times New Roman" w:hAnsi="Courier 10cpi" w:cs="Times New Roman"/>
      <w:noProof/>
      <w:snapToGrid/>
      <w:sz w:val="20"/>
      <w:szCs w:val="20"/>
      <w:lang w:val="en-US"/>
    </w:rPr>
  </w:style>
  <w:style w:type="paragraph" w:customStyle="1" w:styleId="TAMainText">
    <w:name w:val="TA_Main_Text"/>
    <w:basedOn w:val="Normal"/>
    <w:link w:val="TAMainTextChar"/>
    <w:rsid w:val="009C4422"/>
    <w:pPr>
      <w:spacing w:line="480" w:lineRule="auto"/>
      <w:ind w:firstLine="202"/>
    </w:pPr>
    <w:rPr>
      <w:rFonts w:ascii="Times" w:eastAsia="Times New Roman" w:hAnsi="Times" w:cs="Times New Roman"/>
      <w:sz w:val="24"/>
      <w:szCs w:val="20"/>
      <w:lang w:val="en-US"/>
    </w:rPr>
  </w:style>
  <w:style w:type="character" w:customStyle="1" w:styleId="TAMainTextChar">
    <w:name w:val="TA_Main_Text Char"/>
    <w:basedOn w:val="DefaultParagraphFont"/>
    <w:link w:val="TAMainText"/>
    <w:rsid w:val="009C4422"/>
    <w:rPr>
      <w:rFonts w:ascii="Times" w:eastAsia="Times New Roman" w:hAnsi="Times" w:cs="Times New Roman"/>
      <w:sz w:val="24"/>
      <w:szCs w:val="20"/>
      <w:lang w:val="en-US"/>
    </w:rPr>
  </w:style>
  <w:style w:type="character" w:styleId="Emphasis">
    <w:name w:val="Emphasis"/>
    <w:basedOn w:val="DefaultParagraphFont"/>
    <w:uiPriority w:val="20"/>
    <w:qFormat/>
    <w:rsid w:val="009C4422"/>
    <w:rPr>
      <w:i/>
      <w:iCs/>
    </w:rPr>
  </w:style>
  <w:style w:type="paragraph" w:styleId="BodyText">
    <w:name w:val="Body Text"/>
    <w:basedOn w:val="Normal"/>
    <w:link w:val="BodyTextChar"/>
    <w:rsid w:val="009C4422"/>
    <w:pPr>
      <w:spacing w:after="200" w:line="240" w:lineRule="auto"/>
      <w:jc w:val="center"/>
    </w:pPr>
    <w:rPr>
      <w:rFonts w:ascii="Times" w:eastAsia="Times New Roman" w:hAnsi="Times" w:cs="Times New Roman"/>
      <w:b/>
      <w:sz w:val="40"/>
      <w:szCs w:val="20"/>
      <w:lang w:val="en-US"/>
    </w:rPr>
  </w:style>
  <w:style w:type="character" w:customStyle="1" w:styleId="BodyTextChar">
    <w:name w:val="Body Text Char"/>
    <w:basedOn w:val="DefaultParagraphFont"/>
    <w:link w:val="BodyText"/>
    <w:rsid w:val="009C4422"/>
    <w:rPr>
      <w:rFonts w:ascii="Times" w:eastAsia="Times New Roman" w:hAnsi="Times" w:cs="Times New Roman"/>
      <w:b/>
      <w:sz w:val="40"/>
      <w:szCs w:val="20"/>
      <w:lang w:val="en-US"/>
    </w:rPr>
  </w:style>
  <w:style w:type="paragraph" w:styleId="FootnoteText">
    <w:name w:val="footnote text"/>
    <w:basedOn w:val="Normal"/>
    <w:next w:val="TFReferencesSection"/>
    <w:link w:val="FootnoteTextChar"/>
    <w:semiHidden/>
    <w:rsid w:val="009C4422"/>
    <w:pPr>
      <w:spacing w:after="200" w:line="240" w:lineRule="auto"/>
    </w:pPr>
    <w:rPr>
      <w:rFonts w:ascii="Times" w:eastAsia="Times New Roman" w:hAnsi="Times" w:cs="Times New Roman"/>
      <w:sz w:val="24"/>
      <w:szCs w:val="20"/>
      <w:lang w:val="en-US"/>
    </w:rPr>
  </w:style>
  <w:style w:type="character" w:customStyle="1" w:styleId="FootnoteTextChar">
    <w:name w:val="Footnote Text Char"/>
    <w:basedOn w:val="DefaultParagraphFont"/>
    <w:link w:val="FootnoteText"/>
    <w:semiHidden/>
    <w:rsid w:val="009C4422"/>
    <w:rPr>
      <w:rFonts w:ascii="Times" w:eastAsia="Times New Roman" w:hAnsi="Times" w:cs="Times New Roman"/>
      <w:sz w:val="24"/>
      <w:szCs w:val="20"/>
      <w:lang w:val="en-US"/>
    </w:rPr>
  </w:style>
  <w:style w:type="paragraph" w:customStyle="1" w:styleId="TFReferencesSection">
    <w:name w:val="TF_References_Section"/>
    <w:basedOn w:val="Normal"/>
    <w:rsid w:val="009C4422"/>
    <w:pPr>
      <w:spacing w:after="200" w:line="480" w:lineRule="auto"/>
      <w:ind w:firstLine="187"/>
    </w:pPr>
    <w:rPr>
      <w:rFonts w:ascii="Times" w:eastAsia="Times New Roman" w:hAnsi="Times" w:cs="Times New Roman"/>
      <w:sz w:val="24"/>
      <w:szCs w:val="20"/>
      <w:lang w:val="en-US"/>
    </w:rPr>
  </w:style>
  <w:style w:type="paragraph" w:customStyle="1" w:styleId="BIEmailAddress">
    <w:name w:val="BI_Email_Address"/>
    <w:basedOn w:val="Normal"/>
    <w:next w:val="AIReceivedDate"/>
    <w:rsid w:val="009C4422"/>
    <w:pPr>
      <w:spacing w:after="200" w:line="480" w:lineRule="auto"/>
    </w:pPr>
    <w:rPr>
      <w:rFonts w:ascii="Times" w:eastAsia="Times New Roman" w:hAnsi="Times" w:cs="Times New Roman"/>
      <w:sz w:val="24"/>
      <w:szCs w:val="20"/>
      <w:lang w:val="en-US"/>
    </w:rPr>
  </w:style>
  <w:style w:type="paragraph" w:customStyle="1" w:styleId="AIReceivedDate">
    <w:name w:val="AI_Received_Date"/>
    <w:basedOn w:val="Normal"/>
    <w:next w:val="BDAbstract"/>
    <w:rsid w:val="009C4422"/>
    <w:pPr>
      <w:spacing w:after="240" w:line="480" w:lineRule="auto"/>
    </w:pPr>
    <w:rPr>
      <w:rFonts w:ascii="Times" w:eastAsia="Times New Roman" w:hAnsi="Times" w:cs="Times New Roman"/>
      <w:b/>
      <w:sz w:val="24"/>
      <w:szCs w:val="20"/>
      <w:lang w:val="en-US"/>
    </w:rPr>
  </w:style>
  <w:style w:type="paragraph" w:customStyle="1" w:styleId="BDAbstract">
    <w:name w:val="BD_Abstract"/>
    <w:basedOn w:val="Normal"/>
    <w:next w:val="TAMainText"/>
    <w:rsid w:val="009C4422"/>
    <w:pPr>
      <w:spacing w:before="360" w:after="360" w:line="480" w:lineRule="auto"/>
    </w:pPr>
    <w:rPr>
      <w:rFonts w:ascii="Times" w:eastAsia="Times New Roman" w:hAnsi="Times" w:cs="Times New Roman"/>
      <w:sz w:val="24"/>
      <w:szCs w:val="20"/>
      <w:lang w:val="en-US"/>
    </w:rPr>
  </w:style>
  <w:style w:type="paragraph" w:customStyle="1" w:styleId="TDAcknowledgments">
    <w:name w:val="TD_Acknowledgments"/>
    <w:basedOn w:val="Normal"/>
    <w:next w:val="Normal"/>
    <w:rsid w:val="009C4422"/>
    <w:pPr>
      <w:spacing w:before="200" w:after="200" w:line="480" w:lineRule="auto"/>
      <w:ind w:firstLine="202"/>
    </w:pPr>
    <w:rPr>
      <w:rFonts w:ascii="Times" w:eastAsia="Times New Roman" w:hAnsi="Times" w:cs="Times New Roman"/>
      <w:sz w:val="24"/>
      <w:szCs w:val="20"/>
      <w:lang w:val="en-US"/>
    </w:rPr>
  </w:style>
  <w:style w:type="paragraph" w:customStyle="1" w:styleId="TESupportingInformation">
    <w:name w:val="TE_Supporting_Information"/>
    <w:basedOn w:val="Normal"/>
    <w:next w:val="Normal"/>
    <w:rsid w:val="009C4422"/>
    <w:pPr>
      <w:spacing w:after="200" w:line="480" w:lineRule="auto"/>
      <w:ind w:firstLine="187"/>
    </w:pPr>
    <w:rPr>
      <w:rFonts w:ascii="Times" w:eastAsia="Times New Roman" w:hAnsi="Times" w:cs="Times New Roman"/>
      <w:sz w:val="24"/>
      <w:szCs w:val="20"/>
      <w:lang w:val="en-US"/>
    </w:rPr>
  </w:style>
  <w:style w:type="paragraph" w:customStyle="1" w:styleId="VCSchemeTitle">
    <w:name w:val="VC_Scheme_Title"/>
    <w:basedOn w:val="Normal"/>
    <w:next w:val="Normal"/>
    <w:rsid w:val="009C4422"/>
    <w:pPr>
      <w:spacing w:after="200" w:line="480" w:lineRule="auto"/>
    </w:pPr>
    <w:rPr>
      <w:rFonts w:ascii="Times" w:eastAsia="Times New Roman" w:hAnsi="Times" w:cs="Times New Roman"/>
      <w:sz w:val="24"/>
      <w:szCs w:val="20"/>
      <w:lang w:val="en-US"/>
    </w:rPr>
  </w:style>
  <w:style w:type="paragraph" w:customStyle="1" w:styleId="VDTableTitle">
    <w:name w:val="VD_Table_Title"/>
    <w:basedOn w:val="Normal"/>
    <w:next w:val="Normal"/>
    <w:rsid w:val="009C4422"/>
    <w:pPr>
      <w:spacing w:after="200" w:line="480" w:lineRule="auto"/>
    </w:pPr>
    <w:rPr>
      <w:rFonts w:ascii="Times" w:eastAsia="Times New Roman" w:hAnsi="Times" w:cs="Times New Roman"/>
      <w:sz w:val="24"/>
      <w:szCs w:val="20"/>
      <w:lang w:val="en-US"/>
    </w:rPr>
  </w:style>
  <w:style w:type="paragraph" w:customStyle="1" w:styleId="VAFigureCaption">
    <w:name w:val="VA_Figure_Caption"/>
    <w:basedOn w:val="Normal"/>
    <w:next w:val="Normal"/>
    <w:rsid w:val="009C4422"/>
    <w:pPr>
      <w:spacing w:after="200" w:line="480" w:lineRule="auto"/>
    </w:pPr>
    <w:rPr>
      <w:rFonts w:ascii="Times" w:eastAsia="Times New Roman" w:hAnsi="Times" w:cs="Times New Roman"/>
      <w:sz w:val="24"/>
      <w:szCs w:val="20"/>
      <w:lang w:val="en-US"/>
    </w:rPr>
  </w:style>
  <w:style w:type="paragraph" w:customStyle="1" w:styleId="VBChartTitle">
    <w:name w:val="VB_Chart_Title"/>
    <w:basedOn w:val="Normal"/>
    <w:next w:val="Normal"/>
    <w:rsid w:val="009C4422"/>
    <w:pPr>
      <w:spacing w:after="200" w:line="480" w:lineRule="auto"/>
    </w:pPr>
    <w:rPr>
      <w:rFonts w:ascii="Times" w:eastAsia="Times New Roman" w:hAnsi="Times" w:cs="Times New Roman"/>
      <w:sz w:val="24"/>
      <w:szCs w:val="20"/>
      <w:lang w:val="en-US"/>
    </w:rPr>
  </w:style>
  <w:style w:type="paragraph" w:customStyle="1" w:styleId="FETableFootnote">
    <w:name w:val="FE_Table_Footnote"/>
    <w:basedOn w:val="Normal"/>
    <w:next w:val="Normal"/>
    <w:rsid w:val="009C4422"/>
    <w:pPr>
      <w:spacing w:after="200" w:line="240" w:lineRule="auto"/>
      <w:ind w:firstLine="187"/>
    </w:pPr>
    <w:rPr>
      <w:rFonts w:ascii="Times" w:eastAsia="Times New Roman" w:hAnsi="Times" w:cs="Times New Roman"/>
      <w:sz w:val="24"/>
      <w:szCs w:val="20"/>
      <w:lang w:val="en-US"/>
    </w:rPr>
  </w:style>
  <w:style w:type="paragraph" w:customStyle="1" w:styleId="FCChartFootnote">
    <w:name w:val="FC_Chart_Footnote"/>
    <w:basedOn w:val="Normal"/>
    <w:next w:val="Normal"/>
    <w:rsid w:val="009C4422"/>
    <w:pPr>
      <w:spacing w:after="200" w:line="240" w:lineRule="auto"/>
      <w:ind w:firstLine="187"/>
    </w:pPr>
    <w:rPr>
      <w:rFonts w:ascii="Times" w:eastAsia="Times New Roman" w:hAnsi="Times" w:cs="Times New Roman"/>
      <w:sz w:val="24"/>
      <w:szCs w:val="20"/>
      <w:lang w:val="en-US"/>
    </w:rPr>
  </w:style>
  <w:style w:type="paragraph" w:customStyle="1" w:styleId="FDSchemeFootnote">
    <w:name w:val="FD_Scheme_Footnote"/>
    <w:basedOn w:val="Normal"/>
    <w:next w:val="Normal"/>
    <w:rsid w:val="009C4422"/>
    <w:pPr>
      <w:spacing w:after="200" w:line="240" w:lineRule="auto"/>
      <w:ind w:firstLine="187"/>
    </w:pPr>
    <w:rPr>
      <w:rFonts w:ascii="Times" w:eastAsia="Times New Roman" w:hAnsi="Times" w:cs="Times New Roman"/>
      <w:sz w:val="24"/>
      <w:szCs w:val="20"/>
      <w:lang w:val="en-US"/>
    </w:rPr>
  </w:style>
  <w:style w:type="paragraph" w:customStyle="1" w:styleId="TCTableBody">
    <w:name w:val="TC_Table_Body"/>
    <w:basedOn w:val="Normal"/>
    <w:rsid w:val="009C4422"/>
    <w:pPr>
      <w:spacing w:after="200" w:line="240" w:lineRule="auto"/>
    </w:pPr>
    <w:rPr>
      <w:rFonts w:ascii="Times" w:eastAsia="Times New Roman" w:hAnsi="Times" w:cs="Times New Roman"/>
      <w:sz w:val="24"/>
      <w:szCs w:val="20"/>
      <w:lang w:val="en-US"/>
    </w:rPr>
  </w:style>
  <w:style w:type="paragraph" w:customStyle="1" w:styleId="AFTitleRunningHead">
    <w:name w:val="AF_Title_Running_Head"/>
    <w:basedOn w:val="Normal"/>
    <w:next w:val="TAMainText"/>
    <w:rsid w:val="009C4422"/>
    <w:pPr>
      <w:spacing w:after="200" w:line="480" w:lineRule="auto"/>
    </w:pPr>
    <w:rPr>
      <w:rFonts w:ascii="Times" w:eastAsia="Times New Roman" w:hAnsi="Times" w:cs="Times New Roman"/>
      <w:sz w:val="24"/>
      <w:szCs w:val="20"/>
      <w:lang w:val="en-US"/>
    </w:rPr>
  </w:style>
  <w:style w:type="paragraph" w:customStyle="1" w:styleId="BEAuthorBiography">
    <w:name w:val="BE_Author_Biography"/>
    <w:basedOn w:val="Normal"/>
    <w:rsid w:val="009C4422"/>
    <w:pPr>
      <w:spacing w:after="200" w:line="480" w:lineRule="auto"/>
    </w:pPr>
    <w:rPr>
      <w:rFonts w:ascii="Times" w:eastAsia="Times New Roman" w:hAnsi="Times" w:cs="Times New Roman"/>
      <w:sz w:val="24"/>
      <w:szCs w:val="20"/>
      <w:lang w:val="en-US"/>
    </w:rPr>
  </w:style>
  <w:style w:type="paragraph" w:customStyle="1" w:styleId="FACorrespondingAuthorFootnote">
    <w:name w:val="FA_Corresponding_Author_Footnote"/>
    <w:basedOn w:val="Normal"/>
    <w:next w:val="TAMainText"/>
    <w:rsid w:val="009C4422"/>
    <w:pPr>
      <w:spacing w:after="200" w:line="480" w:lineRule="auto"/>
    </w:pPr>
    <w:rPr>
      <w:rFonts w:ascii="Times" w:eastAsia="Times New Roman" w:hAnsi="Times" w:cs="Times New Roman"/>
      <w:sz w:val="24"/>
      <w:szCs w:val="20"/>
      <w:lang w:val="en-US"/>
    </w:rPr>
  </w:style>
  <w:style w:type="paragraph" w:customStyle="1" w:styleId="SNSynopsisTOC">
    <w:name w:val="SN_Synopsis_TOC"/>
    <w:basedOn w:val="Normal"/>
    <w:rsid w:val="009C4422"/>
    <w:pPr>
      <w:spacing w:after="200" w:line="480" w:lineRule="auto"/>
    </w:pPr>
    <w:rPr>
      <w:rFonts w:ascii="Times" w:eastAsia="Times New Roman" w:hAnsi="Times" w:cs="Times New Roman"/>
      <w:sz w:val="24"/>
      <w:szCs w:val="20"/>
      <w:lang w:val="en-US"/>
    </w:rPr>
  </w:style>
  <w:style w:type="paragraph" w:customStyle="1" w:styleId="BGKeywords">
    <w:name w:val="BG_Keywords"/>
    <w:basedOn w:val="Normal"/>
    <w:rsid w:val="009C4422"/>
    <w:pPr>
      <w:spacing w:after="200" w:line="480" w:lineRule="auto"/>
    </w:pPr>
    <w:rPr>
      <w:rFonts w:ascii="Times" w:eastAsia="Times New Roman" w:hAnsi="Times" w:cs="Times New Roman"/>
      <w:sz w:val="24"/>
      <w:szCs w:val="20"/>
      <w:lang w:val="en-US"/>
    </w:rPr>
  </w:style>
  <w:style w:type="paragraph" w:customStyle="1" w:styleId="BHBriefs">
    <w:name w:val="BH_Briefs"/>
    <w:basedOn w:val="Normal"/>
    <w:rsid w:val="009C4422"/>
    <w:pPr>
      <w:spacing w:after="200" w:line="480" w:lineRule="auto"/>
    </w:pPr>
    <w:rPr>
      <w:rFonts w:ascii="Times" w:eastAsia="Times New Roman" w:hAnsi="Times" w:cs="Times New Roman"/>
      <w:sz w:val="24"/>
      <w:szCs w:val="20"/>
      <w:lang w:val="en-US"/>
    </w:rPr>
  </w:style>
  <w:style w:type="character" w:styleId="PageNumber">
    <w:name w:val="page number"/>
    <w:basedOn w:val="DefaultParagraphFont"/>
    <w:rsid w:val="009C4422"/>
  </w:style>
  <w:style w:type="paragraph" w:customStyle="1" w:styleId="StyleFACorrespondingAuthorFootnote7pt">
    <w:name w:val="Style FA_Corresponding_Author_Footnote + 7 pt"/>
    <w:basedOn w:val="Normal"/>
    <w:next w:val="BGKeywords"/>
    <w:link w:val="StyleFACorrespondingAuthorFootnote7ptChar"/>
    <w:autoRedefine/>
    <w:rsid w:val="009C4422"/>
    <w:pPr>
      <w:spacing w:line="240" w:lineRule="auto"/>
    </w:pPr>
    <w:rPr>
      <w:rFonts w:ascii="Arno Pro" w:eastAsia="Times New Roman" w:hAnsi="Arno Pro" w:cs="Times New Roman"/>
      <w:kern w:val="20"/>
      <w:sz w:val="18"/>
      <w:szCs w:val="20"/>
      <w:lang w:val="en-US"/>
    </w:rPr>
  </w:style>
  <w:style w:type="character" w:customStyle="1" w:styleId="StyleFACorrespondingAuthorFootnote7ptChar">
    <w:name w:val="Style FA_Corresponding_Author_Footnote + 7 pt Char"/>
    <w:link w:val="StyleFACorrespondingAuthorFootnote7pt"/>
    <w:rsid w:val="009C4422"/>
    <w:rPr>
      <w:rFonts w:ascii="Arno Pro" w:eastAsia="Times New Roman" w:hAnsi="Arno Pro" w:cs="Times New Roman"/>
      <w:kern w:val="20"/>
      <w:sz w:val="18"/>
      <w:szCs w:val="20"/>
      <w:lang w:val="en-US"/>
    </w:rPr>
  </w:style>
  <w:style w:type="paragraph" w:customStyle="1" w:styleId="FAAuthorInfoSubtitle">
    <w:name w:val="FA_Author_Info_Subtitle"/>
    <w:basedOn w:val="Normal"/>
    <w:link w:val="FAAuthorInfoSubtitleChar"/>
    <w:autoRedefine/>
    <w:rsid w:val="009C4422"/>
    <w:pPr>
      <w:spacing w:before="120" w:after="60" w:line="480" w:lineRule="auto"/>
    </w:pPr>
    <w:rPr>
      <w:rFonts w:ascii="Times" w:eastAsia="Times New Roman" w:hAnsi="Times" w:cs="Times New Roman"/>
      <w:b/>
      <w:sz w:val="24"/>
      <w:szCs w:val="20"/>
      <w:lang w:val="en-US"/>
    </w:rPr>
  </w:style>
  <w:style w:type="character" w:customStyle="1" w:styleId="FAAuthorInfoSubtitleChar">
    <w:name w:val="FA_Author_Info_Subtitle Char"/>
    <w:link w:val="FAAuthorInfoSubtitle"/>
    <w:rsid w:val="009C4422"/>
    <w:rPr>
      <w:rFonts w:ascii="Times" w:eastAsia="Times New Roman" w:hAnsi="Times" w:cs="Times New Roman"/>
      <w:b/>
      <w:sz w:val="24"/>
      <w:szCs w:val="20"/>
      <w:lang w:val="en-US"/>
    </w:rPr>
  </w:style>
  <w:style w:type="paragraph" w:customStyle="1" w:styleId="References">
    <w:name w:val="References"/>
    <w:basedOn w:val="Normal"/>
    <w:qFormat/>
    <w:rsid w:val="009C4422"/>
    <w:pPr>
      <w:spacing w:line="240" w:lineRule="auto"/>
    </w:pPr>
    <w:rPr>
      <w:rFonts w:ascii="Arial" w:eastAsia="Times New Roman" w:hAnsi="Arial" w:cs="Times New Roman"/>
      <w:noProof/>
      <w:sz w:val="20"/>
      <w:szCs w:val="24"/>
      <w:lang w:val="en-GB"/>
    </w:rPr>
  </w:style>
  <w:style w:type="character" w:customStyle="1" w:styleId="apple-converted-space">
    <w:name w:val="apple-converted-space"/>
    <w:basedOn w:val="DefaultParagraphFont"/>
    <w:rsid w:val="009C4422"/>
  </w:style>
  <w:style w:type="paragraph" w:customStyle="1" w:styleId="Revision1">
    <w:name w:val="Revision1"/>
    <w:basedOn w:val="Normal"/>
    <w:link w:val="Revision1Char"/>
    <w:qFormat/>
    <w:rsid w:val="009C4422"/>
    <w:pPr>
      <w:autoSpaceDE w:val="0"/>
      <w:autoSpaceDN w:val="0"/>
      <w:adjustRightInd w:val="0"/>
      <w:spacing w:line="240" w:lineRule="auto"/>
    </w:pPr>
    <w:rPr>
      <w:rFonts w:ascii="Calibri" w:hAnsi="Calibri" w:cs="Calibri"/>
      <w:b/>
      <w:color w:val="0000CC"/>
      <w:sz w:val="21"/>
      <w:szCs w:val="21"/>
      <w:lang w:val="en-US"/>
    </w:rPr>
  </w:style>
  <w:style w:type="character" w:customStyle="1" w:styleId="Revision1Char">
    <w:name w:val="Revision1 Char"/>
    <w:basedOn w:val="DefaultParagraphFont"/>
    <w:link w:val="Revision1"/>
    <w:rsid w:val="009C4422"/>
    <w:rPr>
      <w:rFonts w:ascii="Calibri" w:hAnsi="Calibri" w:cs="Calibri"/>
      <w:b/>
      <w:color w:val="0000CC"/>
      <w:sz w:val="21"/>
      <w:szCs w:val="21"/>
      <w:lang w:val="en-US"/>
    </w:rPr>
  </w:style>
  <w:style w:type="paragraph" w:customStyle="1" w:styleId="ListParagraph2">
    <w:name w:val="List Paragraph2"/>
    <w:basedOn w:val="Normal"/>
    <w:uiPriority w:val="34"/>
    <w:qFormat/>
    <w:rsid w:val="009C4422"/>
    <w:pPr>
      <w:spacing w:after="200" w:line="276" w:lineRule="auto"/>
      <w:ind w:left="720"/>
      <w:contextualSpacing/>
    </w:pPr>
    <w:rPr>
      <w:rFonts w:ascii="Times New Roman" w:eastAsia="Calibri" w:hAnsi="Times New Roman" w:cs="Times New Roman"/>
      <w:lang w:val="en-GB" w:eastAsia="en-GB"/>
    </w:rPr>
  </w:style>
  <w:style w:type="paragraph" w:styleId="BodyTextIndent">
    <w:name w:val="Body Text Indent"/>
    <w:basedOn w:val="Normal"/>
    <w:link w:val="BodyTextIndentChar"/>
    <w:rsid w:val="009C4422"/>
    <w:pPr>
      <w:numPr>
        <w:numId w:val="2"/>
      </w:numPr>
      <w:spacing w:after="120" w:line="276" w:lineRule="auto"/>
    </w:pPr>
    <w:rPr>
      <w:rFonts w:ascii="Times New Roman" w:eastAsia="Calibri" w:hAnsi="Times New Roman" w:cs="Times New Roman"/>
      <w:sz w:val="17"/>
      <w:szCs w:val="20"/>
      <w:lang w:val="en-GB"/>
    </w:rPr>
  </w:style>
  <w:style w:type="character" w:customStyle="1" w:styleId="BodyTextIndentChar">
    <w:name w:val="Body Text Indent Char"/>
    <w:basedOn w:val="DefaultParagraphFont"/>
    <w:link w:val="BodyTextIndent"/>
    <w:rsid w:val="009C4422"/>
    <w:rPr>
      <w:rFonts w:ascii="Times New Roman" w:eastAsia="Calibri" w:hAnsi="Times New Roman" w:cs="Times New Roman"/>
      <w:szCs w:val="20"/>
    </w:rPr>
  </w:style>
  <w:style w:type="character" w:customStyle="1" w:styleId="PlaceholderText1">
    <w:name w:val="Placeholder Text1"/>
    <w:semiHidden/>
    <w:rsid w:val="009C4422"/>
    <w:rPr>
      <w:rFonts w:cs="Times New Roman"/>
      <w:color w:val="808080"/>
    </w:rPr>
  </w:style>
  <w:style w:type="paragraph" w:styleId="DocumentMap">
    <w:name w:val="Document Map"/>
    <w:basedOn w:val="Normal"/>
    <w:link w:val="DocumentMapChar"/>
    <w:semiHidden/>
    <w:rsid w:val="009C4422"/>
    <w:pPr>
      <w:spacing w:line="240" w:lineRule="auto"/>
    </w:pPr>
    <w:rPr>
      <w:rFonts w:ascii="Tahoma" w:eastAsia="Calibri" w:hAnsi="Tahoma" w:cs="Times New Roman"/>
      <w:sz w:val="16"/>
      <w:szCs w:val="16"/>
      <w:lang w:val="en-GB"/>
    </w:rPr>
  </w:style>
  <w:style w:type="character" w:customStyle="1" w:styleId="DocumentMapChar">
    <w:name w:val="Document Map Char"/>
    <w:basedOn w:val="DefaultParagraphFont"/>
    <w:link w:val="DocumentMap"/>
    <w:semiHidden/>
    <w:rsid w:val="009C4422"/>
    <w:rPr>
      <w:rFonts w:ascii="Tahoma" w:eastAsia="Calibri" w:hAnsi="Tahoma" w:cs="Times New Roman"/>
      <w:sz w:val="16"/>
      <w:szCs w:val="16"/>
    </w:rPr>
  </w:style>
  <w:style w:type="paragraph" w:customStyle="1" w:styleId="TOCHeading1">
    <w:name w:val="TOC Heading1"/>
    <w:basedOn w:val="Heading1"/>
    <w:next w:val="Normal"/>
    <w:qFormat/>
    <w:rsid w:val="009C4422"/>
    <w:pPr>
      <w:numPr>
        <w:numId w:val="0"/>
      </w:numPr>
      <w:spacing w:before="480" w:line="276" w:lineRule="auto"/>
      <w:outlineLvl w:val="9"/>
    </w:pPr>
    <w:rPr>
      <w:rFonts w:ascii="Cambria" w:eastAsia="Calibri" w:hAnsi="Cambria" w:cs="Times New Roman"/>
      <w:b/>
      <w:bCs/>
      <w:color w:val="365F91"/>
      <w:sz w:val="28"/>
      <w:szCs w:val="28"/>
      <w:lang w:val="en-US" w:eastAsia="ja-JP"/>
    </w:rPr>
  </w:style>
  <w:style w:type="paragraph" w:styleId="TOC3">
    <w:name w:val="toc 3"/>
    <w:basedOn w:val="Normal"/>
    <w:next w:val="Normal"/>
    <w:autoRedefine/>
    <w:uiPriority w:val="39"/>
    <w:unhideWhenUsed/>
    <w:rsid w:val="009C4422"/>
    <w:pPr>
      <w:spacing w:after="200" w:line="276" w:lineRule="auto"/>
      <w:ind w:left="340"/>
    </w:pPr>
    <w:rPr>
      <w:rFonts w:ascii="Times New Roman" w:eastAsia="Calibri" w:hAnsi="Times New Roman" w:cs="Times New Roman"/>
      <w:lang w:val="en-GB" w:eastAsia="en-GB"/>
    </w:rPr>
  </w:style>
  <w:style w:type="character" w:customStyle="1" w:styleId="text1">
    <w:name w:val="text1"/>
    <w:rsid w:val="009C4422"/>
    <w:rPr>
      <w:rFonts w:ascii="Verdana" w:hAnsi="Verdana" w:hint="default"/>
      <w:sz w:val="17"/>
      <w:szCs w:val="17"/>
    </w:rPr>
  </w:style>
  <w:style w:type="paragraph" w:customStyle="1" w:styleId="NoSpacing1">
    <w:name w:val="No Spacing1"/>
    <w:uiPriority w:val="1"/>
    <w:qFormat/>
    <w:rsid w:val="009C4422"/>
    <w:pPr>
      <w:spacing w:after="0" w:line="240" w:lineRule="auto"/>
      <w:jc w:val="both"/>
    </w:pPr>
    <w:rPr>
      <w:rFonts w:ascii="Times New Roman" w:eastAsia="Calibri" w:hAnsi="Times New Roman" w:cs="Times New Roman"/>
      <w:sz w:val="22"/>
      <w:lang w:eastAsia="en-GB"/>
    </w:rPr>
  </w:style>
  <w:style w:type="paragraph" w:customStyle="1" w:styleId="Revisie1">
    <w:name w:val="Revisie1"/>
    <w:hidden/>
    <w:uiPriority w:val="99"/>
    <w:semiHidden/>
    <w:rsid w:val="009C4422"/>
    <w:pPr>
      <w:spacing w:after="0" w:line="240" w:lineRule="auto"/>
      <w:jc w:val="both"/>
    </w:pPr>
    <w:rPr>
      <w:rFonts w:ascii="Times New Roman" w:eastAsia="Calibri" w:hAnsi="Times New Roman" w:cs="Times New Roman"/>
      <w:sz w:val="22"/>
      <w:lang w:eastAsia="en-GB"/>
    </w:rPr>
  </w:style>
  <w:style w:type="paragraph" w:styleId="EndnoteText">
    <w:name w:val="endnote text"/>
    <w:basedOn w:val="Normal"/>
    <w:link w:val="EndnoteTextChar"/>
    <w:semiHidden/>
    <w:rsid w:val="009C4422"/>
    <w:pPr>
      <w:spacing w:after="200" w:line="276" w:lineRule="auto"/>
    </w:pPr>
    <w:rPr>
      <w:rFonts w:ascii="Verdana" w:eastAsia="Times New Roman" w:hAnsi="Verdana" w:cs="Times New Roman"/>
      <w:sz w:val="20"/>
      <w:szCs w:val="20"/>
      <w:lang w:val="en-GB"/>
    </w:rPr>
  </w:style>
  <w:style w:type="character" w:customStyle="1" w:styleId="EndnoteTextChar">
    <w:name w:val="Endnote Text Char"/>
    <w:basedOn w:val="DefaultParagraphFont"/>
    <w:link w:val="EndnoteText"/>
    <w:semiHidden/>
    <w:rsid w:val="009C4422"/>
    <w:rPr>
      <w:rFonts w:eastAsia="Times New Roman" w:cs="Times New Roman"/>
      <w:sz w:val="20"/>
      <w:szCs w:val="20"/>
    </w:rPr>
  </w:style>
  <w:style w:type="character" w:styleId="EndnoteReference">
    <w:name w:val="endnote reference"/>
    <w:semiHidden/>
    <w:rsid w:val="009C4422"/>
    <w:rPr>
      <w:vertAlign w:val="superscript"/>
    </w:rPr>
  </w:style>
  <w:style w:type="paragraph" w:customStyle="1" w:styleId="H2">
    <w:name w:val="H2"/>
    <w:basedOn w:val="Normal"/>
    <w:next w:val="Normal"/>
    <w:rsid w:val="009C4422"/>
    <w:pPr>
      <w:keepNext/>
      <w:autoSpaceDE w:val="0"/>
      <w:autoSpaceDN w:val="0"/>
      <w:adjustRightInd w:val="0"/>
      <w:spacing w:before="100" w:after="100" w:line="240" w:lineRule="auto"/>
      <w:outlineLvl w:val="2"/>
    </w:pPr>
    <w:rPr>
      <w:rFonts w:ascii="Times New Roman" w:eastAsia="Times New Roman" w:hAnsi="Times New Roman" w:cs="Times New Roman"/>
      <w:b/>
      <w:bCs/>
      <w:sz w:val="36"/>
      <w:szCs w:val="36"/>
      <w:lang w:eastAsia="nl-NL"/>
    </w:rPr>
  </w:style>
  <w:style w:type="paragraph" w:styleId="PlainText">
    <w:name w:val="Plain Text"/>
    <w:basedOn w:val="Normal"/>
    <w:link w:val="PlainTextChar"/>
    <w:uiPriority w:val="99"/>
    <w:unhideWhenUsed/>
    <w:rsid w:val="009C4422"/>
    <w:pPr>
      <w:spacing w:line="240" w:lineRule="auto"/>
    </w:pPr>
    <w:rPr>
      <w:rFonts w:ascii="Verdana" w:eastAsia="Times New Roman" w:hAnsi="Verdana"/>
      <w:sz w:val="20"/>
      <w:szCs w:val="21"/>
      <w:lang w:val="en-GB" w:eastAsia="en-GB"/>
    </w:rPr>
  </w:style>
  <w:style w:type="character" w:customStyle="1" w:styleId="PlainTextChar">
    <w:name w:val="Plain Text Char"/>
    <w:basedOn w:val="DefaultParagraphFont"/>
    <w:link w:val="PlainText"/>
    <w:uiPriority w:val="99"/>
    <w:rsid w:val="009C4422"/>
    <w:rPr>
      <w:rFonts w:eastAsia="Times New Roman"/>
      <w:sz w:val="20"/>
      <w:szCs w:val="21"/>
      <w:lang w:eastAsia="en-GB"/>
    </w:rPr>
  </w:style>
  <w:style w:type="character" w:styleId="HTMLCite">
    <w:name w:val="HTML Cite"/>
    <w:basedOn w:val="DefaultParagraphFont"/>
    <w:uiPriority w:val="99"/>
    <w:semiHidden/>
    <w:unhideWhenUsed/>
    <w:rsid w:val="009C4422"/>
    <w:rPr>
      <w:i/>
      <w:iCs/>
    </w:rPr>
  </w:style>
  <w:style w:type="character" w:customStyle="1" w:styleId="citationyear1">
    <w:name w:val="citation_year1"/>
    <w:basedOn w:val="DefaultParagraphFont"/>
    <w:rsid w:val="009C4422"/>
    <w:rPr>
      <w:b/>
      <w:bCs/>
    </w:rPr>
  </w:style>
  <w:style w:type="character" w:customStyle="1" w:styleId="citationvolume1">
    <w:name w:val="citation_volume1"/>
    <w:basedOn w:val="DefaultParagraphFont"/>
    <w:rsid w:val="009C44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16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rt.koelmans@wur.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13312</Words>
  <Characters>75884</Characters>
  <Application>Microsoft Office Word</Application>
  <DocSecurity>0</DocSecurity>
  <Lines>632</Lines>
  <Paragraphs>178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University and Research</Company>
  <LinksUpToDate>false</LinksUpToDate>
  <CharactersWithSpaces>89018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Redondo Hasselerharm, Paula</dc:creator>
  <cp:lastModifiedBy>Laxmi S. Dharmapuri</cp:lastModifiedBy>
  <cp:revision>2</cp:revision>
  <dcterms:created xsi:type="dcterms:W3CDTF">2019-03-09T07:17:00Z</dcterms:created>
  <dcterms:modified xsi:type="dcterms:W3CDTF">2019-03-09T07:17:00Z</dcterms:modified>
</cp:coreProperties>
</file>