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F74D67" w14:textId="70ACC220" w:rsidR="00364F5D" w:rsidRPr="00DC5325" w:rsidRDefault="001D7052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Supplementary Information</w:t>
      </w:r>
    </w:p>
    <w:p w14:paraId="7A611B37" w14:textId="77777777" w:rsidR="004A6933" w:rsidRPr="00DC5325" w:rsidRDefault="004A6933">
      <w:pPr>
        <w:rPr>
          <w:rFonts w:ascii="Times New Roman" w:hAnsi="Times New Roman" w:cs="Times New Roman"/>
          <w:b/>
          <w:sz w:val="20"/>
          <w:szCs w:val="20"/>
        </w:rPr>
      </w:pPr>
    </w:p>
    <w:p w14:paraId="7A5E1306" w14:textId="47C3D358" w:rsidR="004A6933" w:rsidRPr="00BA3BE4" w:rsidRDefault="004A6933">
      <w:pPr>
        <w:rPr>
          <w:rFonts w:ascii="Times New Roman" w:hAnsi="Times New Roman" w:cs="Times New Roman"/>
          <w:b/>
          <w:sz w:val="20"/>
          <w:szCs w:val="20"/>
        </w:rPr>
      </w:pPr>
      <w:r w:rsidRPr="00BA3BE4">
        <w:rPr>
          <w:rFonts w:ascii="Times New Roman" w:hAnsi="Times New Roman" w:cs="Times New Roman"/>
          <w:b/>
          <w:sz w:val="20"/>
          <w:szCs w:val="20"/>
        </w:rPr>
        <w:t>Table S1:</w:t>
      </w:r>
      <w:r w:rsidR="00217BC0" w:rsidRPr="00BA3BE4">
        <w:rPr>
          <w:rFonts w:ascii="Times New Roman" w:hAnsi="Times New Roman" w:cs="Times New Roman"/>
          <w:b/>
          <w:sz w:val="20"/>
          <w:szCs w:val="20"/>
        </w:rPr>
        <w:t xml:space="preserve"> Details on input</w:t>
      </w:r>
      <w:r w:rsidR="004B1AE1" w:rsidRPr="00BA3BE4">
        <w:rPr>
          <w:rFonts w:ascii="Times New Roman" w:hAnsi="Times New Roman" w:cs="Times New Roman"/>
          <w:b/>
          <w:sz w:val="20"/>
          <w:szCs w:val="20"/>
        </w:rPr>
        <w:t xml:space="preserve"> data</w:t>
      </w:r>
      <w:r w:rsidR="00217BC0" w:rsidRPr="00BA3BE4">
        <w:rPr>
          <w:rFonts w:ascii="Times New Roman" w:hAnsi="Times New Roman" w:cs="Times New Roman"/>
          <w:b/>
          <w:sz w:val="20"/>
          <w:szCs w:val="20"/>
        </w:rPr>
        <w:t xml:space="preserve"> and assembly statistics for each of the five isolates sequenced using </w:t>
      </w:r>
      <w:proofErr w:type="spellStart"/>
      <w:r w:rsidR="00217BC0" w:rsidRPr="00BA3BE4">
        <w:rPr>
          <w:rFonts w:ascii="Times New Roman" w:hAnsi="Times New Roman" w:cs="Times New Roman"/>
          <w:b/>
          <w:sz w:val="20"/>
          <w:szCs w:val="20"/>
        </w:rPr>
        <w:t>Min</w:t>
      </w:r>
      <w:r w:rsidR="008D0CB8" w:rsidRPr="00BA3BE4">
        <w:rPr>
          <w:rFonts w:ascii="Times New Roman" w:hAnsi="Times New Roman" w:cs="Times New Roman"/>
          <w:b/>
          <w:sz w:val="20"/>
          <w:szCs w:val="20"/>
        </w:rPr>
        <w:t>ION</w:t>
      </w:r>
      <w:proofErr w:type="spellEnd"/>
      <w:r w:rsidR="008D0CB8" w:rsidRPr="00BA3BE4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8D0CB8" w:rsidRPr="00BA3BE4">
        <w:rPr>
          <w:rFonts w:ascii="Times New Roman" w:hAnsi="Times New Roman" w:cs="Times New Roman"/>
          <w:b/>
          <w:sz w:val="20"/>
          <w:szCs w:val="20"/>
        </w:rPr>
        <w:t>nanopore</w:t>
      </w:r>
      <w:proofErr w:type="spellEnd"/>
      <w:r w:rsidR="008D0CB8" w:rsidRPr="00BA3BE4">
        <w:rPr>
          <w:rFonts w:ascii="Times New Roman" w:hAnsi="Times New Roman" w:cs="Times New Roman"/>
          <w:b/>
          <w:sz w:val="20"/>
          <w:szCs w:val="20"/>
        </w:rPr>
        <w:t xml:space="preserve"> technology and </w:t>
      </w:r>
      <w:proofErr w:type="spellStart"/>
      <w:r w:rsidR="008D0CB8" w:rsidRPr="00BA3BE4">
        <w:rPr>
          <w:rFonts w:ascii="Times New Roman" w:hAnsi="Times New Roman" w:cs="Times New Roman"/>
          <w:b/>
          <w:sz w:val="20"/>
          <w:szCs w:val="20"/>
        </w:rPr>
        <w:t>Ill</w:t>
      </w:r>
      <w:r w:rsidR="00217BC0" w:rsidRPr="00BA3BE4">
        <w:rPr>
          <w:rFonts w:ascii="Times New Roman" w:hAnsi="Times New Roman" w:cs="Times New Roman"/>
          <w:b/>
          <w:sz w:val="20"/>
          <w:szCs w:val="20"/>
        </w:rPr>
        <w:t>umina</w:t>
      </w:r>
      <w:proofErr w:type="spellEnd"/>
      <w:r w:rsidR="00217BC0" w:rsidRPr="00BA3BE4">
        <w:rPr>
          <w:rFonts w:ascii="Times New Roman" w:hAnsi="Times New Roman" w:cs="Times New Roman"/>
          <w:b/>
          <w:sz w:val="20"/>
          <w:szCs w:val="20"/>
        </w:rPr>
        <w:t xml:space="preserve"> sequencing.</w:t>
      </w:r>
    </w:p>
    <w:p w14:paraId="7496E6CD" w14:textId="77777777" w:rsidR="004B1AE1" w:rsidRPr="00DC5325" w:rsidRDefault="004B1AE1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9152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1"/>
        <w:gridCol w:w="1188"/>
        <w:gridCol w:w="1142"/>
        <w:gridCol w:w="1153"/>
        <w:gridCol w:w="1142"/>
        <w:gridCol w:w="1142"/>
        <w:gridCol w:w="1164"/>
      </w:tblGrid>
      <w:tr w:rsidR="00677BDA" w:rsidRPr="00DC5325" w14:paraId="4B6710A9" w14:textId="03050353" w:rsidTr="00CB0B92">
        <w:tc>
          <w:tcPr>
            <w:tcW w:w="2221" w:type="dxa"/>
          </w:tcPr>
          <w:p w14:paraId="0A288C91" w14:textId="737966FE" w:rsidR="00677BDA" w:rsidRPr="00DC5325" w:rsidRDefault="00677B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C5325">
              <w:rPr>
                <w:rFonts w:ascii="Times New Roman" w:hAnsi="Times New Roman" w:cs="Times New Roman"/>
                <w:sz w:val="16"/>
                <w:szCs w:val="16"/>
              </w:rPr>
              <w:t>Statistics</w:t>
            </w:r>
          </w:p>
        </w:tc>
        <w:tc>
          <w:tcPr>
            <w:tcW w:w="1188" w:type="dxa"/>
          </w:tcPr>
          <w:p w14:paraId="50A53B3D" w14:textId="6F1AA117" w:rsidR="00677BDA" w:rsidRPr="00DC5325" w:rsidRDefault="00677B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C5325">
              <w:rPr>
                <w:rFonts w:ascii="Times New Roman" w:hAnsi="Times New Roman" w:cs="Times New Roman"/>
                <w:sz w:val="16"/>
                <w:szCs w:val="16"/>
              </w:rPr>
              <w:t>15B5</w:t>
            </w:r>
          </w:p>
        </w:tc>
        <w:tc>
          <w:tcPr>
            <w:tcW w:w="1142" w:type="dxa"/>
          </w:tcPr>
          <w:p w14:paraId="6DDE8593" w14:textId="523DF78C" w:rsidR="00677BDA" w:rsidRPr="00DC5325" w:rsidRDefault="00677B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C5325">
              <w:rPr>
                <w:rFonts w:ascii="Times New Roman" w:hAnsi="Times New Roman" w:cs="Times New Roman"/>
                <w:sz w:val="16"/>
                <w:szCs w:val="16"/>
              </w:rPr>
              <w:t>16B21</w:t>
            </w:r>
          </w:p>
        </w:tc>
        <w:tc>
          <w:tcPr>
            <w:tcW w:w="1153" w:type="dxa"/>
          </w:tcPr>
          <w:p w14:paraId="0CB74042" w14:textId="77270D06" w:rsidR="00677BDA" w:rsidRPr="00DC5325" w:rsidRDefault="00677B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C5325">
              <w:rPr>
                <w:rFonts w:ascii="Times New Roman" w:hAnsi="Times New Roman" w:cs="Times New Roman"/>
                <w:sz w:val="16"/>
                <w:szCs w:val="16"/>
              </w:rPr>
              <w:t>16B25</w:t>
            </w:r>
            <w:r w:rsidR="001C54C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42" w:type="dxa"/>
          </w:tcPr>
          <w:p w14:paraId="60BE5C20" w14:textId="5C581E22" w:rsidR="00677BDA" w:rsidRPr="00DC5325" w:rsidRDefault="00677B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16B25 –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Illumina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only</w:t>
            </w:r>
          </w:p>
        </w:tc>
        <w:tc>
          <w:tcPr>
            <w:tcW w:w="1142" w:type="dxa"/>
          </w:tcPr>
          <w:p w14:paraId="6D28CE29" w14:textId="08167620" w:rsidR="00677BDA" w:rsidRPr="00DC5325" w:rsidRDefault="00677B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C5325">
              <w:rPr>
                <w:rFonts w:ascii="Times New Roman" w:hAnsi="Times New Roman" w:cs="Times New Roman"/>
                <w:sz w:val="16"/>
                <w:szCs w:val="16"/>
              </w:rPr>
              <w:t>16B20</w:t>
            </w:r>
          </w:p>
        </w:tc>
        <w:tc>
          <w:tcPr>
            <w:tcW w:w="1164" w:type="dxa"/>
          </w:tcPr>
          <w:p w14:paraId="5179DED9" w14:textId="67563288" w:rsidR="00677BDA" w:rsidRPr="00DC5325" w:rsidRDefault="00677B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C5325">
              <w:rPr>
                <w:rFonts w:ascii="Times New Roman" w:hAnsi="Times New Roman" w:cs="Times New Roman"/>
                <w:sz w:val="16"/>
                <w:szCs w:val="16"/>
              </w:rPr>
              <w:t>16B15a</w:t>
            </w:r>
          </w:p>
        </w:tc>
      </w:tr>
      <w:tr w:rsidR="00677BDA" w:rsidRPr="00DC5325" w14:paraId="1FA0B74A" w14:textId="7BD318DA" w:rsidTr="00CB0B92">
        <w:tc>
          <w:tcPr>
            <w:tcW w:w="2221" w:type="dxa"/>
            <w:tcBorders>
              <w:bottom w:val="nil"/>
            </w:tcBorders>
          </w:tcPr>
          <w:p w14:paraId="4BF6F777" w14:textId="091D67D9" w:rsidR="00677BDA" w:rsidRPr="00DC5325" w:rsidRDefault="00677B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C5325">
              <w:rPr>
                <w:rFonts w:ascii="Times New Roman" w:hAnsi="Times New Roman" w:cs="Times New Roman"/>
                <w:sz w:val="16"/>
                <w:szCs w:val="16"/>
              </w:rPr>
              <w:t xml:space="preserve">Total </w:t>
            </w:r>
            <w:proofErr w:type="spellStart"/>
            <w:r w:rsidRPr="00DC5325">
              <w:rPr>
                <w:rFonts w:ascii="Times New Roman" w:hAnsi="Times New Roman" w:cs="Times New Roman"/>
                <w:sz w:val="16"/>
                <w:szCs w:val="16"/>
              </w:rPr>
              <w:t>Illumina</w:t>
            </w:r>
            <w:proofErr w:type="spellEnd"/>
            <w:r w:rsidRPr="00DC5325">
              <w:rPr>
                <w:rFonts w:ascii="Times New Roman" w:hAnsi="Times New Roman" w:cs="Times New Roman"/>
                <w:sz w:val="16"/>
                <w:szCs w:val="16"/>
              </w:rPr>
              <w:t xml:space="preserve"> paired-end sequences</w:t>
            </w:r>
          </w:p>
        </w:tc>
        <w:tc>
          <w:tcPr>
            <w:tcW w:w="1188" w:type="dxa"/>
            <w:tcBorders>
              <w:bottom w:val="nil"/>
            </w:tcBorders>
          </w:tcPr>
          <w:p w14:paraId="5C80626D" w14:textId="04807258" w:rsidR="00677BDA" w:rsidRPr="00DC5325" w:rsidRDefault="00677B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C5325">
              <w:rPr>
                <w:rFonts w:ascii="Times New Roman" w:hAnsi="Times New Roman" w:cs="Times New Roman"/>
                <w:sz w:val="16"/>
                <w:szCs w:val="16"/>
              </w:rPr>
              <w:t>2910580</w:t>
            </w:r>
          </w:p>
        </w:tc>
        <w:tc>
          <w:tcPr>
            <w:tcW w:w="1142" w:type="dxa"/>
            <w:tcBorders>
              <w:bottom w:val="nil"/>
            </w:tcBorders>
          </w:tcPr>
          <w:p w14:paraId="444CD367" w14:textId="32B81FE9" w:rsidR="00677BDA" w:rsidRPr="00DC5325" w:rsidRDefault="00677B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C5325">
              <w:rPr>
                <w:rFonts w:ascii="Times New Roman" w:hAnsi="Times New Roman" w:cs="Times New Roman"/>
                <w:sz w:val="16"/>
                <w:szCs w:val="16"/>
              </w:rPr>
              <w:t>2418597</w:t>
            </w:r>
          </w:p>
        </w:tc>
        <w:tc>
          <w:tcPr>
            <w:tcW w:w="1153" w:type="dxa"/>
            <w:tcBorders>
              <w:bottom w:val="nil"/>
            </w:tcBorders>
          </w:tcPr>
          <w:p w14:paraId="5256EE29" w14:textId="2798EED1" w:rsidR="00677BDA" w:rsidRPr="00DC5325" w:rsidRDefault="00677B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C5325">
              <w:rPr>
                <w:rFonts w:ascii="Times New Roman" w:hAnsi="Times New Roman" w:cs="Times New Roman"/>
                <w:sz w:val="16"/>
                <w:szCs w:val="16"/>
              </w:rPr>
              <w:t>2467748</w:t>
            </w:r>
          </w:p>
        </w:tc>
        <w:tc>
          <w:tcPr>
            <w:tcW w:w="1142" w:type="dxa"/>
            <w:tcBorders>
              <w:bottom w:val="nil"/>
            </w:tcBorders>
          </w:tcPr>
          <w:p w14:paraId="34DA77B6" w14:textId="3B88E6CD" w:rsidR="00677BDA" w:rsidRPr="00DC5325" w:rsidRDefault="00677B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2467748</w:t>
            </w:r>
          </w:p>
        </w:tc>
        <w:tc>
          <w:tcPr>
            <w:tcW w:w="1142" w:type="dxa"/>
            <w:tcBorders>
              <w:bottom w:val="nil"/>
            </w:tcBorders>
          </w:tcPr>
          <w:p w14:paraId="6BFB6944" w14:textId="01E121CD" w:rsidR="00677BDA" w:rsidRPr="00DC5325" w:rsidRDefault="00677B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C5325">
              <w:rPr>
                <w:rFonts w:ascii="Times New Roman" w:hAnsi="Times New Roman" w:cs="Times New Roman"/>
                <w:sz w:val="16"/>
                <w:szCs w:val="16"/>
              </w:rPr>
              <w:t>2616797</w:t>
            </w:r>
          </w:p>
        </w:tc>
        <w:tc>
          <w:tcPr>
            <w:tcW w:w="1164" w:type="dxa"/>
            <w:tcBorders>
              <w:bottom w:val="nil"/>
            </w:tcBorders>
          </w:tcPr>
          <w:p w14:paraId="270255C2" w14:textId="3F37ED46" w:rsidR="00677BDA" w:rsidRPr="00DC5325" w:rsidRDefault="00677B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C5325">
              <w:rPr>
                <w:rFonts w:ascii="Times New Roman" w:hAnsi="Times New Roman" w:cs="Times New Roman"/>
                <w:sz w:val="16"/>
                <w:szCs w:val="16"/>
              </w:rPr>
              <w:t>1888468</w:t>
            </w:r>
          </w:p>
        </w:tc>
      </w:tr>
      <w:tr w:rsidR="00677BDA" w:rsidRPr="00DC5325" w14:paraId="440E4076" w14:textId="3A43608C" w:rsidTr="00CB0B92">
        <w:tc>
          <w:tcPr>
            <w:tcW w:w="2221" w:type="dxa"/>
            <w:tcBorders>
              <w:top w:val="nil"/>
              <w:bottom w:val="nil"/>
            </w:tcBorders>
          </w:tcPr>
          <w:p w14:paraId="73A4541E" w14:textId="6AD2E349" w:rsidR="00677BDA" w:rsidRPr="00DC5325" w:rsidRDefault="00677B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C5325">
              <w:rPr>
                <w:rFonts w:ascii="Times New Roman" w:hAnsi="Times New Roman" w:cs="Times New Roman"/>
                <w:sz w:val="16"/>
                <w:szCs w:val="16"/>
              </w:rPr>
              <w:t>MinION</w:t>
            </w:r>
            <w:proofErr w:type="spellEnd"/>
            <w:r w:rsidRPr="00DC5325">
              <w:rPr>
                <w:rFonts w:ascii="Times New Roman" w:hAnsi="Times New Roman" w:cs="Times New Roman"/>
                <w:sz w:val="16"/>
                <w:szCs w:val="16"/>
              </w:rPr>
              <w:t xml:space="preserve"> reads (</w:t>
            </w:r>
            <w:proofErr w:type="spellStart"/>
            <w:r w:rsidRPr="00DC5325">
              <w:rPr>
                <w:rFonts w:ascii="Times New Roman" w:hAnsi="Times New Roman" w:cs="Times New Roman"/>
                <w:sz w:val="16"/>
                <w:szCs w:val="16"/>
              </w:rPr>
              <w:t>bp</w:t>
            </w:r>
            <w:proofErr w:type="spellEnd"/>
            <w:r w:rsidRPr="00DC532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88" w:type="dxa"/>
            <w:tcBorders>
              <w:top w:val="nil"/>
              <w:bottom w:val="nil"/>
            </w:tcBorders>
          </w:tcPr>
          <w:p w14:paraId="023BF29F" w14:textId="11F55B4F" w:rsidR="00677BDA" w:rsidRPr="00DC5325" w:rsidRDefault="00677B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C5325">
              <w:rPr>
                <w:rFonts w:ascii="Times New Roman" w:hAnsi="Times New Roman" w:cs="Times New Roman"/>
                <w:sz w:val="16"/>
                <w:szCs w:val="16"/>
              </w:rPr>
              <w:t>11213</w:t>
            </w:r>
          </w:p>
        </w:tc>
        <w:tc>
          <w:tcPr>
            <w:tcW w:w="1142" w:type="dxa"/>
            <w:tcBorders>
              <w:top w:val="nil"/>
              <w:bottom w:val="nil"/>
            </w:tcBorders>
          </w:tcPr>
          <w:p w14:paraId="50D76AA5" w14:textId="5FBDB403" w:rsidR="00677BDA" w:rsidRPr="00DC5325" w:rsidRDefault="00677B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C5325">
              <w:rPr>
                <w:rFonts w:ascii="Times New Roman" w:hAnsi="Times New Roman" w:cs="Times New Roman"/>
                <w:sz w:val="16"/>
                <w:szCs w:val="16"/>
              </w:rPr>
              <w:t>10622</w:t>
            </w:r>
          </w:p>
        </w:tc>
        <w:tc>
          <w:tcPr>
            <w:tcW w:w="1153" w:type="dxa"/>
            <w:tcBorders>
              <w:top w:val="nil"/>
              <w:bottom w:val="nil"/>
            </w:tcBorders>
          </w:tcPr>
          <w:p w14:paraId="73230E36" w14:textId="077C455A" w:rsidR="00677BDA" w:rsidRPr="00DC5325" w:rsidRDefault="00677B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C5325">
              <w:rPr>
                <w:rFonts w:ascii="Times New Roman" w:hAnsi="Times New Roman" w:cs="Times New Roman"/>
                <w:sz w:val="16"/>
                <w:szCs w:val="16"/>
              </w:rPr>
              <w:t>270395</w:t>
            </w:r>
          </w:p>
        </w:tc>
        <w:tc>
          <w:tcPr>
            <w:tcW w:w="1142" w:type="dxa"/>
            <w:tcBorders>
              <w:top w:val="nil"/>
              <w:bottom w:val="nil"/>
            </w:tcBorders>
          </w:tcPr>
          <w:p w14:paraId="7D48EE21" w14:textId="0E0B2842" w:rsidR="00677BDA" w:rsidRPr="00DC5325" w:rsidRDefault="00677B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2" w:type="dxa"/>
            <w:tcBorders>
              <w:top w:val="nil"/>
              <w:bottom w:val="nil"/>
            </w:tcBorders>
          </w:tcPr>
          <w:p w14:paraId="22E52F65" w14:textId="3C2F4A7A" w:rsidR="00677BDA" w:rsidRPr="00DC5325" w:rsidRDefault="00677B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C5325">
              <w:rPr>
                <w:rFonts w:ascii="Times New Roman" w:hAnsi="Times New Roman" w:cs="Times New Roman"/>
                <w:sz w:val="16"/>
                <w:szCs w:val="16"/>
              </w:rPr>
              <w:t>5843</w:t>
            </w:r>
          </w:p>
        </w:tc>
        <w:tc>
          <w:tcPr>
            <w:tcW w:w="1164" w:type="dxa"/>
            <w:tcBorders>
              <w:top w:val="nil"/>
              <w:bottom w:val="nil"/>
            </w:tcBorders>
          </w:tcPr>
          <w:p w14:paraId="4D58003F" w14:textId="6C1E4DDA" w:rsidR="00677BDA" w:rsidRPr="00DC5325" w:rsidRDefault="00677B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C5325">
              <w:rPr>
                <w:rFonts w:ascii="Times New Roman" w:hAnsi="Times New Roman" w:cs="Times New Roman"/>
                <w:sz w:val="16"/>
                <w:szCs w:val="16"/>
              </w:rPr>
              <w:t>30415</w:t>
            </w:r>
          </w:p>
        </w:tc>
      </w:tr>
      <w:tr w:rsidR="00677BDA" w:rsidRPr="00DC5325" w14:paraId="53C82A33" w14:textId="15576F3E" w:rsidTr="00CB0B92">
        <w:tc>
          <w:tcPr>
            <w:tcW w:w="2221" w:type="dxa"/>
            <w:tcBorders>
              <w:top w:val="nil"/>
              <w:bottom w:val="nil"/>
            </w:tcBorders>
          </w:tcPr>
          <w:p w14:paraId="71CBC4F5" w14:textId="42A5973F" w:rsidR="00677BDA" w:rsidRPr="00DC5325" w:rsidRDefault="00677B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C5325">
              <w:rPr>
                <w:rFonts w:ascii="Times New Roman" w:hAnsi="Times New Roman" w:cs="Times New Roman"/>
                <w:sz w:val="16"/>
                <w:szCs w:val="16"/>
              </w:rPr>
              <w:t xml:space="preserve">Average </w:t>
            </w:r>
            <w:proofErr w:type="spellStart"/>
            <w:r w:rsidRPr="00DC5325">
              <w:rPr>
                <w:rFonts w:ascii="Times New Roman" w:hAnsi="Times New Roman" w:cs="Times New Roman"/>
                <w:sz w:val="16"/>
                <w:szCs w:val="16"/>
              </w:rPr>
              <w:t>MinION</w:t>
            </w:r>
            <w:proofErr w:type="spellEnd"/>
            <w:r w:rsidRPr="00DC5325">
              <w:rPr>
                <w:rFonts w:ascii="Times New Roman" w:hAnsi="Times New Roman" w:cs="Times New Roman"/>
                <w:sz w:val="16"/>
                <w:szCs w:val="16"/>
              </w:rPr>
              <w:t xml:space="preserve"> read length (</w:t>
            </w:r>
            <w:proofErr w:type="spellStart"/>
            <w:r w:rsidRPr="00DC5325">
              <w:rPr>
                <w:rFonts w:ascii="Times New Roman" w:hAnsi="Times New Roman" w:cs="Times New Roman"/>
                <w:sz w:val="16"/>
                <w:szCs w:val="16"/>
              </w:rPr>
              <w:t>bp</w:t>
            </w:r>
            <w:proofErr w:type="spellEnd"/>
            <w:r w:rsidRPr="00DC532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88" w:type="dxa"/>
            <w:tcBorders>
              <w:top w:val="nil"/>
              <w:bottom w:val="nil"/>
            </w:tcBorders>
          </w:tcPr>
          <w:p w14:paraId="314FDFE5" w14:textId="18FA25B9" w:rsidR="00677BDA" w:rsidRPr="00DC5325" w:rsidRDefault="00677B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C5325">
              <w:rPr>
                <w:rFonts w:ascii="Times New Roman" w:hAnsi="Times New Roman" w:cs="Times New Roman"/>
                <w:sz w:val="16"/>
                <w:szCs w:val="16"/>
              </w:rPr>
              <w:t>2041</w:t>
            </w:r>
          </w:p>
        </w:tc>
        <w:tc>
          <w:tcPr>
            <w:tcW w:w="1142" w:type="dxa"/>
            <w:tcBorders>
              <w:top w:val="nil"/>
              <w:bottom w:val="nil"/>
            </w:tcBorders>
          </w:tcPr>
          <w:p w14:paraId="604D1574" w14:textId="0D2A5940" w:rsidR="00677BDA" w:rsidRPr="00DC5325" w:rsidRDefault="00677B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C5325">
              <w:rPr>
                <w:rFonts w:ascii="Times New Roman" w:hAnsi="Times New Roman" w:cs="Times New Roman"/>
                <w:sz w:val="16"/>
                <w:szCs w:val="16"/>
              </w:rPr>
              <w:t>1689</w:t>
            </w:r>
          </w:p>
        </w:tc>
        <w:tc>
          <w:tcPr>
            <w:tcW w:w="1153" w:type="dxa"/>
            <w:tcBorders>
              <w:top w:val="nil"/>
              <w:bottom w:val="nil"/>
            </w:tcBorders>
          </w:tcPr>
          <w:p w14:paraId="083CE500" w14:textId="13366E86" w:rsidR="00677BDA" w:rsidRPr="00DC5325" w:rsidRDefault="00677B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C5325">
              <w:rPr>
                <w:rFonts w:ascii="Times New Roman" w:hAnsi="Times New Roman" w:cs="Times New Roman"/>
                <w:sz w:val="16"/>
                <w:szCs w:val="16"/>
              </w:rPr>
              <w:t>1429</w:t>
            </w:r>
          </w:p>
        </w:tc>
        <w:tc>
          <w:tcPr>
            <w:tcW w:w="1142" w:type="dxa"/>
            <w:tcBorders>
              <w:top w:val="nil"/>
              <w:bottom w:val="nil"/>
            </w:tcBorders>
          </w:tcPr>
          <w:p w14:paraId="5EF47A35" w14:textId="5D142106" w:rsidR="00677BDA" w:rsidRPr="00DC5325" w:rsidRDefault="00677B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2" w:type="dxa"/>
            <w:tcBorders>
              <w:top w:val="nil"/>
              <w:bottom w:val="nil"/>
            </w:tcBorders>
          </w:tcPr>
          <w:p w14:paraId="2329ED05" w14:textId="71E45096" w:rsidR="00677BDA" w:rsidRPr="00DC5325" w:rsidRDefault="00677B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C5325">
              <w:rPr>
                <w:rFonts w:ascii="Times New Roman" w:hAnsi="Times New Roman" w:cs="Times New Roman"/>
                <w:sz w:val="16"/>
                <w:szCs w:val="16"/>
              </w:rPr>
              <w:t>1628</w:t>
            </w:r>
          </w:p>
        </w:tc>
        <w:tc>
          <w:tcPr>
            <w:tcW w:w="1164" w:type="dxa"/>
            <w:tcBorders>
              <w:top w:val="nil"/>
              <w:bottom w:val="nil"/>
            </w:tcBorders>
          </w:tcPr>
          <w:p w14:paraId="1A769F40" w14:textId="0FB9FE74" w:rsidR="00677BDA" w:rsidRPr="00DC5325" w:rsidRDefault="00677B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C5325">
              <w:rPr>
                <w:rFonts w:ascii="Times New Roman" w:hAnsi="Times New Roman" w:cs="Times New Roman"/>
                <w:sz w:val="16"/>
                <w:szCs w:val="16"/>
              </w:rPr>
              <w:t>2708</w:t>
            </w:r>
          </w:p>
        </w:tc>
      </w:tr>
      <w:tr w:rsidR="00677BDA" w:rsidRPr="00DC5325" w14:paraId="07DA6272" w14:textId="55573EAC" w:rsidTr="00CB0B92">
        <w:tc>
          <w:tcPr>
            <w:tcW w:w="2221" w:type="dxa"/>
            <w:tcBorders>
              <w:top w:val="nil"/>
              <w:bottom w:val="nil"/>
            </w:tcBorders>
          </w:tcPr>
          <w:p w14:paraId="4107B919" w14:textId="65A82A85" w:rsidR="00677BDA" w:rsidRPr="00DC5325" w:rsidRDefault="00677B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C5325">
              <w:rPr>
                <w:rFonts w:ascii="Times New Roman" w:hAnsi="Times New Roman" w:cs="Times New Roman"/>
                <w:sz w:val="16"/>
                <w:szCs w:val="16"/>
              </w:rPr>
              <w:t xml:space="preserve">Max </w:t>
            </w:r>
            <w:proofErr w:type="spellStart"/>
            <w:r w:rsidRPr="00DC5325">
              <w:rPr>
                <w:rFonts w:ascii="Times New Roman" w:hAnsi="Times New Roman" w:cs="Times New Roman"/>
                <w:sz w:val="16"/>
                <w:szCs w:val="16"/>
              </w:rPr>
              <w:t>MinION</w:t>
            </w:r>
            <w:proofErr w:type="spellEnd"/>
            <w:r w:rsidRPr="00DC5325">
              <w:rPr>
                <w:rFonts w:ascii="Times New Roman" w:hAnsi="Times New Roman" w:cs="Times New Roman"/>
                <w:sz w:val="16"/>
                <w:szCs w:val="16"/>
              </w:rPr>
              <w:t xml:space="preserve"> read length (</w:t>
            </w:r>
            <w:proofErr w:type="spellStart"/>
            <w:r w:rsidRPr="00DC5325">
              <w:rPr>
                <w:rFonts w:ascii="Times New Roman" w:hAnsi="Times New Roman" w:cs="Times New Roman"/>
                <w:sz w:val="16"/>
                <w:szCs w:val="16"/>
              </w:rPr>
              <w:t>bp</w:t>
            </w:r>
            <w:proofErr w:type="spellEnd"/>
            <w:r w:rsidRPr="00DC532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88" w:type="dxa"/>
            <w:tcBorders>
              <w:top w:val="nil"/>
              <w:bottom w:val="nil"/>
            </w:tcBorders>
          </w:tcPr>
          <w:p w14:paraId="6054D45D" w14:textId="7B9BD84D" w:rsidR="00677BDA" w:rsidRPr="00DC5325" w:rsidRDefault="00677B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C5325">
              <w:rPr>
                <w:rFonts w:ascii="Times New Roman" w:hAnsi="Times New Roman" w:cs="Times New Roman"/>
                <w:sz w:val="16"/>
                <w:szCs w:val="16"/>
              </w:rPr>
              <w:t>424741</w:t>
            </w:r>
          </w:p>
        </w:tc>
        <w:tc>
          <w:tcPr>
            <w:tcW w:w="1142" w:type="dxa"/>
            <w:tcBorders>
              <w:top w:val="nil"/>
              <w:bottom w:val="nil"/>
            </w:tcBorders>
          </w:tcPr>
          <w:p w14:paraId="3163DD49" w14:textId="53B9883F" w:rsidR="00677BDA" w:rsidRPr="00DC5325" w:rsidRDefault="00677B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C5325">
              <w:rPr>
                <w:rFonts w:ascii="Times New Roman" w:hAnsi="Times New Roman" w:cs="Times New Roman"/>
                <w:sz w:val="16"/>
                <w:szCs w:val="16"/>
              </w:rPr>
              <w:t>317707</w:t>
            </w:r>
          </w:p>
        </w:tc>
        <w:tc>
          <w:tcPr>
            <w:tcW w:w="1153" w:type="dxa"/>
            <w:tcBorders>
              <w:top w:val="nil"/>
              <w:bottom w:val="nil"/>
            </w:tcBorders>
          </w:tcPr>
          <w:p w14:paraId="5F2D09C4" w14:textId="7420FEF0" w:rsidR="00677BDA" w:rsidRPr="00DC5325" w:rsidRDefault="00677B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C5325">
              <w:rPr>
                <w:rFonts w:ascii="Times New Roman" w:hAnsi="Times New Roman" w:cs="Times New Roman"/>
                <w:sz w:val="16"/>
                <w:szCs w:val="16"/>
              </w:rPr>
              <w:t>1231495</w:t>
            </w:r>
          </w:p>
        </w:tc>
        <w:tc>
          <w:tcPr>
            <w:tcW w:w="1142" w:type="dxa"/>
            <w:tcBorders>
              <w:top w:val="nil"/>
              <w:bottom w:val="nil"/>
            </w:tcBorders>
          </w:tcPr>
          <w:p w14:paraId="1E88BC8F" w14:textId="6843D418" w:rsidR="00677BDA" w:rsidRPr="00DC5325" w:rsidRDefault="00677B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2" w:type="dxa"/>
            <w:tcBorders>
              <w:top w:val="nil"/>
              <w:bottom w:val="nil"/>
            </w:tcBorders>
          </w:tcPr>
          <w:p w14:paraId="5DDC92A5" w14:textId="64013CDC" w:rsidR="00677BDA" w:rsidRPr="00DC5325" w:rsidRDefault="00677B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C5325">
              <w:rPr>
                <w:rFonts w:ascii="Times New Roman" w:hAnsi="Times New Roman" w:cs="Times New Roman"/>
                <w:sz w:val="16"/>
                <w:szCs w:val="16"/>
              </w:rPr>
              <w:t>511629</w:t>
            </w:r>
          </w:p>
        </w:tc>
        <w:tc>
          <w:tcPr>
            <w:tcW w:w="1164" w:type="dxa"/>
            <w:tcBorders>
              <w:top w:val="nil"/>
              <w:bottom w:val="nil"/>
            </w:tcBorders>
          </w:tcPr>
          <w:p w14:paraId="71F2BA1A" w14:textId="7062CF3F" w:rsidR="00677BDA" w:rsidRPr="00DC5325" w:rsidRDefault="00677B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C5325">
              <w:rPr>
                <w:rFonts w:ascii="Times New Roman" w:hAnsi="Times New Roman" w:cs="Times New Roman"/>
                <w:sz w:val="16"/>
                <w:szCs w:val="16"/>
              </w:rPr>
              <w:t>834109</w:t>
            </w:r>
          </w:p>
        </w:tc>
      </w:tr>
      <w:tr w:rsidR="00677BDA" w:rsidRPr="00DC5325" w14:paraId="5876EEA8" w14:textId="6015D099" w:rsidTr="00CB0B92">
        <w:tc>
          <w:tcPr>
            <w:tcW w:w="2221" w:type="dxa"/>
            <w:tcBorders>
              <w:top w:val="nil"/>
              <w:bottom w:val="nil"/>
            </w:tcBorders>
          </w:tcPr>
          <w:p w14:paraId="5FFF7193" w14:textId="7F7419F6" w:rsidR="00677BDA" w:rsidRPr="00DC5325" w:rsidRDefault="00677B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C5325">
              <w:rPr>
                <w:rFonts w:ascii="Times New Roman" w:hAnsi="Times New Roman" w:cs="Times New Roman"/>
                <w:sz w:val="16"/>
                <w:szCs w:val="16"/>
              </w:rPr>
              <w:t xml:space="preserve">No. </w:t>
            </w:r>
            <w:proofErr w:type="spellStart"/>
            <w:r w:rsidRPr="00DC5325">
              <w:rPr>
                <w:rFonts w:ascii="Times New Roman" w:hAnsi="Times New Roman" w:cs="Times New Roman"/>
                <w:sz w:val="16"/>
                <w:szCs w:val="16"/>
              </w:rPr>
              <w:t>contigs</w:t>
            </w:r>
            <w:proofErr w:type="spellEnd"/>
          </w:p>
        </w:tc>
        <w:tc>
          <w:tcPr>
            <w:tcW w:w="1188" w:type="dxa"/>
            <w:tcBorders>
              <w:top w:val="nil"/>
              <w:bottom w:val="nil"/>
            </w:tcBorders>
          </w:tcPr>
          <w:p w14:paraId="65B4FD26" w14:textId="6BA2E810" w:rsidR="00677BDA" w:rsidRPr="00DC5325" w:rsidRDefault="00677B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C5325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</w:p>
        </w:tc>
        <w:tc>
          <w:tcPr>
            <w:tcW w:w="1142" w:type="dxa"/>
            <w:tcBorders>
              <w:top w:val="nil"/>
              <w:bottom w:val="nil"/>
            </w:tcBorders>
          </w:tcPr>
          <w:p w14:paraId="6B609875" w14:textId="14C2CF2A" w:rsidR="00677BDA" w:rsidRPr="00DC5325" w:rsidRDefault="00677B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C5325">
              <w:rPr>
                <w:rFonts w:ascii="Times New Roman" w:hAnsi="Times New Roman" w:cs="Times New Roman"/>
                <w:sz w:val="16"/>
                <w:szCs w:val="16"/>
              </w:rPr>
              <w:t>250</w:t>
            </w:r>
          </w:p>
        </w:tc>
        <w:tc>
          <w:tcPr>
            <w:tcW w:w="1153" w:type="dxa"/>
            <w:tcBorders>
              <w:top w:val="nil"/>
              <w:bottom w:val="nil"/>
            </w:tcBorders>
          </w:tcPr>
          <w:p w14:paraId="73C5B1CB" w14:textId="65948ED7" w:rsidR="00677BDA" w:rsidRPr="00DC5325" w:rsidRDefault="00677B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C5325"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1142" w:type="dxa"/>
            <w:tcBorders>
              <w:top w:val="nil"/>
              <w:bottom w:val="nil"/>
            </w:tcBorders>
          </w:tcPr>
          <w:p w14:paraId="3A1A630B" w14:textId="0D2C92A9" w:rsidR="00677BDA" w:rsidRPr="00DC5325" w:rsidRDefault="00677B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231</w:t>
            </w:r>
          </w:p>
        </w:tc>
        <w:tc>
          <w:tcPr>
            <w:tcW w:w="1142" w:type="dxa"/>
            <w:tcBorders>
              <w:top w:val="nil"/>
              <w:bottom w:val="nil"/>
            </w:tcBorders>
          </w:tcPr>
          <w:p w14:paraId="0242AB2A" w14:textId="7EB67E5B" w:rsidR="00677BDA" w:rsidRPr="00DC5325" w:rsidRDefault="00677B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C5325">
              <w:rPr>
                <w:rFonts w:ascii="Times New Roman" w:hAnsi="Times New Roman" w:cs="Times New Roman"/>
                <w:sz w:val="16"/>
                <w:szCs w:val="16"/>
              </w:rPr>
              <w:t>221</w:t>
            </w:r>
          </w:p>
        </w:tc>
        <w:tc>
          <w:tcPr>
            <w:tcW w:w="1164" w:type="dxa"/>
            <w:tcBorders>
              <w:top w:val="nil"/>
              <w:bottom w:val="nil"/>
            </w:tcBorders>
          </w:tcPr>
          <w:p w14:paraId="52AD2BD2" w14:textId="70DD67A4" w:rsidR="00677BDA" w:rsidRPr="00DC5325" w:rsidRDefault="00677B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C5325">
              <w:rPr>
                <w:rFonts w:ascii="Times New Roman" w:hAnsi="Times New Roman" w:cs="Times New Roman"/>
                <w:sz w:val="16"/>
                <w:szCs w:val="16"/>
              </w:rPr>
              <w:t>192</w:t>
            </w:r>
          </w:p>
        </w:tc>
      </w:tr>
      <w:tr w:rsidR="00677BDA" w:rsidRPr="00DC5325" w14:paraId="1D10E98D" w14:textId="05F9F202" w:rsidTr="00CB0B92">
        <w:tc>
          <w:tcPr>
            <w:tcW w:w="2221" w:type="dxa"/>
            <w:tcBorders>
              <w:top w:val="nil"/>
              <w:bottom w:val="nil"/>
            </w:tcBorders>
          </w:tcPr>
          <w:p w14:paraId="65AE8BEE" w14:textId="2414F6EB" w:rsidR="00677BDA" w:rsidRPr="00DC5325" w:rsidRDefault="00677B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C5325">
              <w:rPr>
                <w:rFonts w:ascii="Times New Roman" w:hAnsi="Times New Roman" w:cs="Times New Roman"/>
                <w:sz w:val="16"/>
                <w:szCs w:val="16"/>
              </w:rPr>
              <w:t xml:space="preserve">Largest </w:t>
            </w:r>
            <w:proofErr w:type="spellStart"/>
            <w:r w:rsidRPr="00DC5325">
              <w:rPr>
                <w:rFonts w:ascii="Times New Roman" w:hAnsi="Times New Roman" w:cs="Times New Roman"/>
                <w:sz w:val="16"/>
                <w:szCs w:val="16"/>
              </w:rPr>
              <w:t>contig</w:t>
            </w:r>
            <w:proofErr w:type="spellEnd"/>
          </w:p>
        </w:tc>
        <w:tc>
          <w:tcPr>
            <w:tcW w:w="1188" w:type="dxa"/>
            <w:tcBorders>
              <w:top w:val="nil"/>
              <w:bottom w:val="nil"/>
            </w:tcBorders>
          </w:tcPr>
          <w:p w14:paraId="743B0EB0" w14:textId="63AD9FA0" w:rsidR="00677BDA" w:rsidRPr="00DC5325" w:rsidRDefault="00677B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C5325">
              <w:rPr>
                <w:rFonts w:ascii="Times New Roman" w:hAnsi="Times New Roman" w:cs="Times New Roman"/>
                <w:sz w:val="16"/>
                <w:szCs w:val="16"/>
              </w:rPr>
              <w:t>504599</w:t>
            </w:r>
          </w:p>
        </w:tc>
        <w:tc>
          <w:tcPr>
            <w:tcW w:w="1142" w:type="dxa"/>
            <w:tcBorders>
              <w:top w:val="nil"/>
              <w:bottom w:val="nil"/>
            </w:tcBorders>
          </w:tcPr>
          <w:p w14:paraId="18AF5EFD" w14:textId="2B5A4737" w:rsidR="00677BDA" w:rsidRPr="00DC5325" w:rsidRDefault="00677B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C5325">
              <w:rPr>
                <w:rFonts w:ascii="Times New Roman" w:hAnsi="Times New Roman" w:cs="Times New Roman"/>
                <w:sz w:val="16"/>
                <w:szCs w:val="16"/>
              </w:rPr>
              <w:t>418648</w:t>
            </w:r>
          </w:p>
        </w:tc>
        <w:tc>
          <w:tcPr>
            <w:tcW w:w="1153" w:type="dxa"/>
            <w:tcBorders>
              <w:top w:val="nil"/>
              <w:bottom w:val="nil"/>
            </w:tcBorders>
          </w:tcPr>
          <w:p w14:paraId="1ADBDCDD" w14:textId="0F38BCC7" w:rsidR="00677BDA" w:rsidRPr="00DC5325" w:rsidRDefault="00677B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C5325">
              <w:rPr>
                <w:rFonts w:ascii="Times New Roman" w:hAnsi="Times New Roman" w:cs="Times New Roman"/>
                <w:sz w:val="16"/>
                <w:szCs w:val="16"/>
              </w:rPr>
              <w:t>396317</w:t>
            </w:r>
          </w:p>
        </w:tc>
        <w:tc>
          <w:tcPr>
            <w:tcW w:w="1142" w:type="dxa"/>
            <w:tcBorders>
              <w:top w:val="nil"/>
              <w:bottom w:val="nil"/>
            </w:tcBorders>
          </w:tcPr>
          <w:p w14:paraId="0B70548F" w14:textId="02030D21" w:rsidR="00677BDA" w:rsidRPr="00DC5325" w:rsidRDefault="00677B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278880</w:t>
            </w:r>
          </w:p>
        </w:tc>
        <w:tc>
          <w:tcPr>
            <w:tcW w:w="1142" w:type="dxa"/>
            <w:tcBorders>
              <w:top w:val="nil"/>
              <w:bottom w:val="nil"/>
            </w:tcBorders>
          </w:tcPr>
          <w:p w14:paraId="7FB4D2AA" w14:textId="21566BBF" w:rsidR="00677BDA" w:rsidRPr="00DC5325" w:rsidRDefault="00677B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C5325">
              <w:rPr>
                <w:rFonts w:ascii="Times New Roman" w:hAnsi="Times New Roman" w:cs="Times New Roman"/>
                <w:sz w:val="16"/>
                <w:szCs w:val="16"/>
              </w:rPr>
              <w:t>394313</w:t>
            </w:r>
          </w:p>
        </w:tc>
        <w:tc>
          <w:tcPr>
            <w:tcW w:w="1164" w:type="dxa"/>
            <w:tcBorders>
              <w:top w:val="nil"/>
              <w:bottom w:val="nil"/>
            </w:tcBorders>
          </w:tcPr>
          <w:p w14:paraId="5702AF6E" w14:textId="78DDEF6B" w:rsidR="00677BDA" w:rsidRPr="00DC5325" w:rsidRDefault="00677B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C5325">
              <w:rPr>
                <w:rFonts w:ascii="Times New Roman" w:hAnsi="Times New Roman" w:cs="Times New Roman"/>
                <w:sz w:val="16"/>
                <w:szCs w:val="16"/>
              </w:rPr>
              <w:t>329201</w:t>
            </w:r>
          </w:p>
        </w:tc>
      </w:tr>
      <w:tr w:rsidR="00677BDA" w:rsidRPr="00DC5325" w14:paraId="1E474A75" w14:textId="24C4D268" w:rsidTr="00CB0B92">
        <w:tc>
          <w:tcPr>
            <w:tcW w:w="2221" w:type="dxa"/>
            <w:tcBorders>
              <w:top w:val="nil"/>
              <w:bottom w:val="nil"/>
            </w:tcBorders>
          </w:tcPr>
          <w:p w14:paraId="2CDC90DA" w14:textId="53515549" w:rsidR="00677BDA" w:rsidRPr="00DC5325" w:rsidRDefault="00677B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C5325">
              <w:rPr>
                <w:rFonts w:ascii="Times New Roman" w:hAnsi="Times New Roman" w:cs="Times New Roman"/>
                <w:sz w:val="16"/>
                <w:szCs w:val="16"/>
              </w:rPr>
              <w:t>Total length</w:t>
            </w:r>
          </w:p>
        </w:tc>
        <w:tc>
          <w:tcPr>
            <w:tcW w:w="1188" w:type="dxa"/>
            <w:tcBorders>
              <w:top w:val="nil"/>
              <w:bottom w:val="nil"/>
            </w:tcBorders>
          </w:tcPr>
          <w:p w14:paraId="24ADD1BD" w14:textId="3597A80B" w:rsidR="00677BDA" w:rsidRPr="00DC5325" w:rsidRDefault="00677B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C5325">
              <w:rPr>
                <w:rFonts w:ascii="Times New Roman" w:hAnsi="Times New Roman" w:cs="Times New Roman"/>
                <w:sz w:val="16"/>
                <w:szCs w:val="16"/>
              </w:rPr>
              <w:t>12382158</w:t>
            </w:r>
          </w:p>
        </w:tc>
        <w:tc>
          <w:tcPr>
            <w:tcW w:w="1142" w:type="dxa"/>
            <w:tcBorders>
              <w:top w:val="nil"/>
              <w:bottom w:val="nil"/>
            </w:tcBorders>
          </w:tcPr>
          <w:p w14:paraId="3B5411A2" w14:textId="416AC23A" w:rsidR="00677BDA" w:rsidRPr="00DC5325" w:rsidRDefault="00677B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C5325">
              <w:rPr>
                <w:rFonts w:ascii="Times New Roman" w:hAnsi="Times New Roman" w:cs="Times New Roman"/>
                <w:sz w:val="16"/>
                <w:szCs w:val="16"/>
              </w:rPr>
              <w:t>12390523</w:t>
            </w:r>
          </w:p>
        </w:tc>
        <w:tc>
          <w:tcPr>
            <w:tcW w:w="1153" w:type="dxa"/>
            <w:tcBorders>
              <w:top w:val="nil"/>
              <w:bottom w:val="nil"/>
            </w:tcBorders>
          </w:tcPr>
          <w:p w14:paraId="233542C1" w14:textId="6553117C" w:rsidR="00677BDA" w:rsidRPr="00DC5325" w:rsidRDefault="00677B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C5325">
              <w:rPr>
                <w:rFonts w:ascii="Times New Roman" w:hAnsi="Times New Roman" w:cs="Times New Roman"/>
                <w:sz w:val="16"/>
                <w:szCs w:val="16"/>
              </w:rPr>
              <w:t>12322648</w:t>
            </w:r>
          </w:p>
        </w:tc>
        <w:tc>
          <w:tcPr>
            <w:tcW w:w="1142" w:type="dxa"/>
            <w:tcBorders>
              <w:top w:val="nil"/>
              <w:bottom w:val="nil"/>
            </w:tcBorders>
          </w:tcPr>
          <w:p w14:paraId="1BF85FC6" w14:textId="4A1B5326" w:rsidR="00677BDA" w:rsidRPr="00DC5325" w:rsidRDefault="00677B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1231510</w:t>
            </w:r>
          </w:p>
        </w:tc>
        <w:tc>
          <w:tcPr>
            <w:tcW w:w="1142" w:type="dxa"/>
            <w:tcBorders>
              <w:top w:val="nil"/>
              <w:bottom w:val="nil"/>
            </w:tcBorders>
          </w:tcPr>
          <w:p w14:paraId="4D4EA3DB" w14:textId="6F68A114" w:rsidR="00677BDA" w:rsidRPr="00DC5325" w:rsidRDefault="00677B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C5325">
              <w:rPr>
                <w:rFonts w:ascii="Times New Roman" w:hAnsi="Times New Roman" w:cs="Times New Roman"/>
                <w:sz w:val="16"/>
                <w:szCs w:val="16"/>
              </w:rPr>
              <w:t>12378584</w:t>
            </w:r>
          </w:p>
        </w:tc>
        <w:tc>
          <w:tcPr>
            <w:tcW w:w="1164" w:type="dxa"/>
            <w:tcBorders>
              <w:top w:val="nil"/>
              <w:bottom w:val="nil"/>
            </w:tcBorders>
          </w:tcPr>
          <w:p w14:paraId="5CF0D5CF" w14:textId="7536CAFD" w:rsidR="00677BDA" w:rsidRPr="00DC5325" w:rsidRDefault="00677B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C5325">
              <w:rPr>
                <w:rFonts w:ascii="Times New Roman" w:hAnsi="Times New Roman" w:cs="Times New Roman"/>
                <w:sz w:val="16"/>
                <w:szCs w:val="16"/>
              </w:rPr>
              <w:t>12369010</w:t>
            </w:r>
          </w:p>
        </w:tc>
      </w:tr>
      <w:tr w:rsidR="00677BDA" w:rsidRPr="00DC5325" w14:paraId="330E688A" w14:textId="07E4E1AE" w:rsidTr="00CB0B92">
        <w:tc>
          <w:tcPr>
            <w:tcW w:w="2221" w:type="dxa"/>
            <w:tcBorders>
              <w:top w:val="nil"/>
              <w:bottom w:val="nil"/>
            </w:tcBorders>
          </w:tcPr>
          <w:p w14:paraId="30001F54" w14:textId="7241A908" w:rsidR="00677BDA" w:rsidRPr="00DC5325" w:rsidRDefault="00677B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C5325">
              <w:rPr>
                <w:rFonts w:ascii="Times New Roman" w:hAnsi="Times New Roman" w:cs="Times New Roman"/>
                <w:sz w:val="16"/>
                <w:szCs w:val="16"/>
              </w:rPr>
              <w:t>GC (%)</w:t>
            </w:r>
          </w:p>
        </w:tc>
        <w:tc>
          <w:tcPr>
            <w:tcW w:w="1188" w:type="dxa"/>
            <w:tcBorders>
              <w:top w:val="nil"/>
              <w:bottom w:val="nil"/>
            </w:tcBorders>
          </w:tcPr>
          <w:p w14:paraId="0FBEB588" w14:textId="1985C50C" w:rsidR="00677BDA" w:rsidRPr="00DC5325" w:rsidRDefault="00677B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45.</w:t>
            </w:r>
            <w:r w:rsidRPr="00DC532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42" w:type="dxa"/>
            <w:tcBorders>
              <w:top w:val="nil"/>
              <w:bottom w:val="nil"/>
            </w:tcBorders>
          </w:tcPr>
          <w:p w14:paraId="2246D7FB" w14:textId="5FA97D8E" w:rsidR="00677BDA" w:rsidRPr="00DC5325" w:rsidRDefault="00677B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45.</w:t>
            </w:r>
            <w:r w:rsidRPr="00DC5325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53" w:type="dxa"/>
            <w:tcBorders>
              <w:top w:val="nil"/>
              <w:bottom w:val="nil"/>
            </w:tcBorders>
          </w:tcPr>
          <w:p w14:paraId="12D88D28" w14:textId="0C90B20D" w:rsidR="00677BDA" w:rsidRPr="00DC5325" w:rsidRDefault="00677B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45.</w:t>
            </w:r>
            <w:r w:rsidRPr="00DC5325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42" w:type="dxa"/>
            <w:tcBorders>
              <w:top w:val="nil"/>
              <w:bottom w:val="nil"/>
            </w:tcBorders>
          </w:tcPr>
          <w:p w14:paraId="7A0272F7" w14:textId="1551C070" w:rsidR="00677BDA" w:rsidRDefault="00677B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45.09</w:t>
            </w:r>
          </w:p>
        </w:tc>
        <w:tc>
          <w:tcPr>
            <w:tcW w:w="1142" w:type="dxa"/>
            <w:tcBorders>
              <w:top w:val="nil"/>
              <w:bottom w:val="nil"/>
            </w:tcBorders>
          </w:tcPr>
          <w:p w14:paraId="18ABEA43" w14:textId="227EEACD" w:rsidR="00677BDA" w:rsidRPr="00DC5325" w:rsidRDefault="00677B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45.</w:t>
            </w:r>
            <w:r w:rsidRPr="00DC532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64" w:type="dxa"/>
            <w:tcBorders>
              <w:top w:val="nil"/>
              <w:bottom w:val="nil"/>
            </w:tcBorders>
          </w:tcPr>
          <w:p w14:paraId="1646BEB2" w14:textId="3245C0F7" w:rsidR="00677BDA" w:rsidRPr="00DC5325" w:rsidRDefault="00677B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45. </w:t>
            </w:r>
            <w:r w:rsidRPr="00DC5325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677BDA" w:rsidRPr="00DC5325" w14:paraId="339947E6" w14:textId="4578885A" w:rsidTr="00CB0B92">
        <w:trPr>
          <w:trHeight w:val="260"/>
        </w:trPr>
        <w:tc>
          <w:tcPr>
            <w:tcW w:w="2221" w:type="dxa"/>
            <w:tcBorders>
              <w:top w:val="nil"/>
            </w:tcBorders>
          </w:tcPr>
          <w:p w14:paraId="4ACD409C" w14:textId="5BFE9E1A" w:rsidR="00677BDA" w:rsidRPr="00DC5325" w:rsidRDefault="00677B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C5325">
              <w:rPr>
                <w:rFonts w:ascii="Times New Roman" w:hAnsi="Times New Roman" w:cs="Times New Roman"/>
                <w:sz w:val="16"/>
                <w:szCs w:val="16"/>
              </w:rPr>
              <w:t>N50</w:t>
            </w:r>
          </w:p>
        </w:tc>
        <w:tc>
          <w:tcPr>
            <w:tcW w:w="1188" w:type="dxa"/>
            <w:tcBorders>
              <w:top w:val="nil"/>
            </w:tcBorders>
          </w:tcPr>
          <w:p w14:paraId="3F348FA4" w14:textId="7535BEA6" w:rsidR="00677BDA" w:rsidRPr="00DC5325" w:rsidRDefault="00677B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C5325">
              <w:rPr>
                <w:rFonts w:ascii="Times New Roman" w:hAnsi="Times New Roman" w:cs="Times New Roman"/>
                <w:sz w:val="16"/>
                <w:szCs w:val="16"/>
              </w:rPr>
              <w:t>124907</w:t>
            </w:r>
          </w:p>
        </w:tc>
        <w:tc>
          <w:tcPr>
            <w:tcW w:w="1142" w:type="dxa"/>
            <w:tcBorders>
              <w:top w:val="nil"/>
            </w:tcBorders>
          </w:tcPr>
          <w:p w14:paraId="5E7760CA" w14:textId="0F3DBF52" w:rsidR="00677BDA" w:rsidRPr="00DC5325" w:rsidRDefault="00677B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C5325">
              <w:rPr>
                <w:rFonts w:ascii="Times New Roman" w:hAnsi="Times New Roman" w:cs="Times New Roman"/>
                <w:sz w:val="16"/>
                <w:szCs w:val="16"/>
              </w:rPr>
              <w:t>104174</w:t>
            </w:r>
          </w:p>
        </w:tc>
        <w:tc>
          <w:tcPr>
            <w:tcW w:w="1153" w:type="dxa"/>
            <w:tcBorders>
              <w:top w:val="nil"/>
            </w:tcBorders>
          </w:tcPr>
          <w:p w14:paraId="24C919E6" w14:textId="3311A9DA" w:rsidR="00677BDA" w:rsidRPr="00DC5325" w:rsidRDefault="00677B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C5325">
              <w:rPr>
                <w:rFonts w:ascii="Times New Roman" w:hAnsi="Times New Roman" w:cs="Times New Roman"/>
                <w:sz w:val="16"/>
                <w:szCs w:val="16"/>
              </w:rPr>
              <w:t>176725</w:t>
            </w:r>
          </w:p>
        </w:tc>
        <w:tc>
          <w:tcPr>
            <w:tcW w:w="1142" w:type="dxa"/>
            <w:tcBorders>
              <w:top w:val="nil"/>
            </w:tcBorders>
          </w:tcPr>
          <w:p w14:paraId="10A3FE6B" w14:textId="7C5034D1" w:rsidR="00677BDA" w:rsidRPr="00DC5325" w:rsidRDefault="00677B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135650</w:t>
            </w:r>
          </w:p>
        </w:tc>
        <w:tc>
          <w:tcPr>
            <w:tcW w:w="1142" w:type="dxa"/>
            <w:tcBorders>
              <w:top w:val="nil"/>
            </w:tcBorders>
          </w:tcPr>
          <w:p w14:paraId="51F35157" w14:textId="4B016C49" w:rsidR="00677BDA" w:rsidRPr="00DC5325" w:rsidRDefault="00677B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C5325">
              <w:rPr>
                <w:rFonts w:ascii="Times New Roman" w:hAnsi="Times New Roman" w:cs="Times New Roman"/>
                <w:sz w:val="16"/>
                <w:szCs w:val="16"/>
              </w:rPr>
              <w:t>123229</w:t>
            </w:r>
          </w:p>
        </w:tc>
        <w:tc>
          <w:tcPr>
            <w:tcW w:w="1164" w:type="dxa"/>
            <w:tcBorders>
              <w:top w:val="nil"/>
            </w:tcBorders>
          </w:tcPr>
          <w:p w14:paraId="7E8446B3" w14:textId="38DAEFAB" w:rsidR="00677BDA" w:rsidRPr="00DC5325" w:rsidRDefault="00677B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C5325">
              <w:rPr>
                <w:rFonts w:ascii="Times New Roman" w:hAnsi="Times New Roman" w:cs="Times New Roman"/>
                <w:sz w:val="16"/>
                <w:szCs w:val="16"/>
              </w:rPr>
              <w:t>125352</w:t>
            </w:r>
          </w:p>
        </w:tc>
      </w:tr>
    </w:tbl>
    <w:p w14:paraId="5C2130CB" w14:textId="62DA791D" w:rsidR="004B1AE1" w:rsidRPr="00DC5325" w:rsidRDefault="004B1AE1">
      <w:pPr>
        <w:rPr>
          <w:rFonts w:ascii="Times New Roman" w:hAnsi="Times New Roman" w:cs="Times New Roman"/>
          <w:sz w:val="16"/>
          <w:szCs w:val="16"/>
        </w:rPr>
      </w:pPr>
    </w:p>
    <w:p w14:paraId="725690EF" w14:textId="43724B2B" w:rsidR="008D0CB8" w:rsidRPr="00BA3BE4" w:rsidRDefault="008D0CB8" w:rsidP="008D0CB8">
      <w:pPr>
        <w:rPr>
          <w:rFonts w:ascii="Times New Roman" w:hAnsi="Times New Roman" w:cs="Times New Roman"/>
          <w:b/>
          <w:sz w:val="20"/>
          <w:szCs w:val="20"/>
        </w:rPr>
      </w:pPr>
      <w:r w:rsidRPr="00BA3BE4">
        <w:rPr>
          <w:rFonts w:ascii="Times New Roman" w:hAnsi="Times New Roman" w:cs="Times New Roman"/>
          <w:b/>
          <w:sz w:val="20"/>
          <w:szCs w:val="20"/>
        </w:rPr>
        <w:t xml:space="preserve">Table S2: Alignment statistics for </w:t>
      </w:r>
      <w:proofErr w:type="spellStart"/>
      <w:r w:rsidRPr="00BA3BE4">
        <w:rPr>
          <w:rFonts w:ascii="Times New Roman" w:hAnsi="Times New Roman" w:cs="Times New Roman"/>
          <w:b/>
          <w:sz w:val="20"/>
          <w:szCs w:val="20"/>
        </w:rPr>
        <w:t>Illumina</w:t>
      </w:r>
      <w:proofErr w:type="spellEnd"/>
      <w:r w:rsidRPr="00BA3BE4">
        <w:rPr>
          <w:rFonts w:ascii="Times New Roman" w:hAnsi="Times New Roman" w:cs="Times New Roman"/>
          <w:b/>
          <w:sz w:val="20"/>
          <w:szCs w:val="20"/>
        </w:rPr>
        <w:t xml:space="preserve"> reads mapped against the outbreak reference genome 16B25 for each outbreak isolate</w:t>
      </w:r>
    </w:p>
    <w:p w14:paraId="4F5E7FB5" w14:textId="77777777" w:rsidR="001413F8" w:rsidRPr="00DC5325" w:rsidRDefault="001413F8" w:rsidP="008D0CB8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tbl>
      <w:tblPr>
        <w:tblStyle w:val="TableGrid"/>
        <w:tblW w:w="901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2"/>
        <w:gridCol w:w="1802"/>
        <w:gridCol w:w="1802"/>
        <w:gridCol w:w="1802"/>
        <w:gridCol w:w="1802"/>
      </w:tblGrid>
      <w:tr w:rsidR="001413F8" w:rsidRPr="00DC5325" w14:paraId="64D1C1E1" w14:textId="77777777" w:rsidTr="00CB0B92">
        <w:tc>
          <w:tcPr>
            <w:tcW w:w="1802" w:type="dxa"/>
          </w:tcPr>
          <w:p w14:paraId="67AD7416" w14:textId="01263B50" w:rsidR="001413F8" w:rsidRPr="00DC5325" w:rsidRDefault="001413F8" w:rsidP="008D0C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C5325">
              <w:rPr>
                <w:rFonts w:ascii="Times New Roman" w:hAnsi="Times New Roman" w:cs="Times New Roman"/>
                <w:sz w:val="16"/>
                <w:szCs w:val="16"/>
              </w:rPr>
              <w:t>Isolate ID</w:t>
            </w:r>
          </w:p>
        </w:tc>
        <w:tc>
          <w:tcPr>
            <w:tcW w:w="1802" w:type="dxa"/>
          </w:tcPr>
          <w:p w14:paraId="4199B8F3" w14:textId="7876E0CD" w:rsidR="001413F8" w:rsidRPr="00DC5325" w:rsidRDefault="001413F8" w:rsidP="008D0C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C5325">
              <w:rPr>
                <w:rFonts w:ascii="Times New Roman" w:hAnsi="Times New Roman" w:cs="Times New Roman"/>
                <w:sz w:val="16"/>
                <w:szCs w:val="16"/>
              </w:rPr>
              <w:t># QC-passed reads aligned (millions)</w:t>
            </w:r>
          </w:p>
        </w:tc>
        <w:tc>
          <w:tcPr>
            <w:tcW w:w="1802" w:type="dxa"/>
          </w:tcPr>
          <w:p w14:paraId="415913E0" w14:textId="039B12D6" w:rsidR="001413F8" w:rsidRPr="00DC5325" w:rsidRDefault="001413F8" w:rsidP="008D0C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C5325">
              <w:rPr>
                <w:rFonts w:ascii="Times New Roman" w:hAnsi="Times New Roman" w:cs="Times New Roman"/>
                <w:sz w:val="16"/>
                <w:szCs w:val="16"/>
              </w:rPr>
              <w:t>Depth of coverage (x)</w:t>
            </w:r>
          </w:p>
        </w:tc>
        <w:tc>
          <w:tcPr>
            <w:tcW w:w="1802" w:type="dxa"/>
          </w:tcPr>
          <w:p w14:paraId="115C4ACD" w14:textId="0E90C9B8" w:rsidR="001413F8" w:rsidRPr="00DC5325" w:rsidRDefault="001413F8" w:rsidP="008D0C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C5325">
              <w:rPr>
                <w:rFonts w:ascii="Times New Roman" w:hAnsi="Times New Roman" w:cs="Times New Roman"/>
                <w:sz w:val="16"/>
                <w:szCs w:val="16"/>
              </w:rPr>
              <w:t>% reference genome covered</w:t>
            </w:r>
          </w:p>
        </w:tc>
        <w:tc>
          <w:tcPr>
            <w:tcW w:w="1802" w:type="dxa"/>
          </w:tcPr>
          <w:p w14:paraId="1CAE4675" w14:textId="5C74421A" w:rsidR="001413F8" w:rsidRPr="00DC5325" w:rsidRDefault="001413F8" w:rsidP="008D0C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C5325">
              <w:rPr>
                <w:rFonts w:ascii="Times New Roman" w:hAnsi="Times New Roman" w:cs="Times New Roman"/>
                <w:sz w:val="16"/>
                <w:szCs w:val="16"/>
              </w:rPr>
              <w:t># filtered high confidence SNPs</w:t>
            </w:r>
          </w:p>
        </w:tc>
      </w:tr>
      <w:tr w:rsidR="001413F8" w:rsidRPr="00DC5325" w14:paraId="7EF16CEB" w14:textId="77777777" w:rsidTr="00CB0B92">
        <w:tc>
          <w:tcPr>
            <w:tcW w:w="1802" w:type="dxa"/>
            <w:tcBorders>
              <w:bottom w:val="nil"/>
            </w:tcBorders>
          </w:tcPr>
          <w:p w14:paraId="5B221699" w14:textId="32BE1982" w:rsidR="001413F8" w:rsidRPr="00DC5325" w:rsidRDefault="001413F8" w:rsidP="008D0C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C5325">
              <w:rPr>
                <w:rFonts w:ascii="Times New Roman" w:hAnsi="Times New Roman" w:cs="Times New Roman"/>
                <w:sz w:val="16"/>
                <w:szCs w:val="16"/>
              </w:rPr>
              <w:t>15B5</w:t>
            </w:r>
          </w:p>
        </w:tc>
        <w:tc>
          <w:tcPr>
            <w:tcW w:w="1802" w:type="dxa"/>
            <w:tcBorders>
              <w:bottom w:val="nil"/>
            </w:tcBorders>
          </w:tcPr>
          <w:p w14:paraId="6BF44511" w14:textId="081A80E5" w:rsidR="001413F8" w:rsidRPr="00DC5325" w:rsidRDefault="00872E81" w:rsidP="008D0C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1C331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8A4EE5" w:rsidRPr="00DC532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802" w:type="dxa"/>
            <w:tcBorders>
              <w:bottom w:val="nil"/>
            </w:tcBorders>
          </w:tcPr>
          <w:p w14:paraId="150A9630" w14:textId="1138E389" w:rsidR="001413F8" w:rsidRPr="00DC5325" w:rsidRDefault="00FC5CEF" w:rsidP="008D0C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C5325">
              <w:rPr>
                <w:rFonts w:ascii="Times New Roman" w:hAnsi="Times New Roman" w:cs="Times New Roman"/>
                <w:sz w:val="16"/>
                <w:szCs w:val="16"/>
              </w:rPr>
              <w:t>102</w:t>
            </w:r>
          </w:p>
        </w:tc>
        <w:tc>
          <w:tcPr>
            <w:tcW w:w="1802" w:type="dxa"/>
            <w:tcBorders>
              <w:bottom w:val="nil"/>
            </w:tcBorders>
          </w:tcPr>
          <w:p w14:paraId="52307066" w14:textId="660DE175" w:rsidR="001413F8" w:rsidRPr="00DC5325" w:rsidRDefault="003A1E2E" w:rsidP="008D0C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</w:t>
            </w:r>
            <w:r w:rsidR="001C331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376018" w:rsidRPr="00DC532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802" w:type="dxa"/>
            <w:tcBorders>
              <w:bottom w:val="nil"/>
            </w:tcBorders>
          </w:tcPr>
          <w:p w14:paraId="2754E567" w14:textId="205336BD" w:rsidR="001413F8" w:rsidRPr="00DC5325" w:rsidRDefault="00C6761C" w:rsidP="008D0C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573</w:t>
            </w:r>
          </w:p>
        </w:tc>
      </w:tr>
      <w:tr w:rsidR="001413F8" w:rsidRPr="00DC5325" w14:paraId="4C99FD32" w14:textId="77777777" w:rsidTr="00CB0B92">
        <w:tc>
          <w:tcPr>
            <w:tcW w:w="1802" w:type="dxa"/>
            <w:tcBorders>
              <w:top w:val="nil"/>
              <w:bottom w:val="nil"/>
            </w:tcBorders>
          </w:tcPr>
          <w:p w14:paraId="680C58E3" w14:textId="41E55D37" w:rsidR="001413F8" w:rsidRPr="00DC5325" w:rsidRDefault="001413F8" w:rsidP="008D0C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C5325">
              <w:rPr>
                <w:rFonts w:ascii="Times New Roman" w:hAnsi="Times New Roman" w:cs="Times New Roman"/>
                <w:sz w:val="16"/>
                <w:szCs w:val="16"/>
              </w:rPr>
              <w:t>15B6</w:t>
            </w:r>
          </w:p>
        </w:tc>
        <w:tc>
          <w:tcPr>
            <w:tcW w:w="1802" w:type="dxa"/>
            <w:tcBorders>
              <w:top w:val="nil"/>
              <w:bottom w:val="nil"/>
            </w:tcBorders>
          </w:tcPr>
          <w:p w14:paraId="1CF8A429" w14:textId="3C0A8715" w:rsidR="001413F8" w:rsidRPr="00DC5325" w:rsidRDefault="00872E81" w:rsidP="008D0C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1C331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8A4EE5" w:rsidRPr="00DC532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802" w:type="dxa"/>
            <w:tcBorders>
              <w:top w:val="nil"/>
              <w:bottom w:val="nil"/>
            </w:tcBorders>
          </w:tcPr>
          <w:p w14:paraId="09BE6ACD" w14:textId="4E7DAEB9" w:rsidR="001413F8" w:rsidRPr="00DC5325" w:rsidRDefault="00FC5CEF" w:rsidP="008D0C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C5325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1802" w:type="dxa"/>
            <w:tcBorders>
              <w:top w:val="nil"/>
              <w:bottom w:val="nil"/>
            </w:tcBorders>
          </w:tcPr>
          <w:p w14:paraId="6913ECE6" w14:textId="71E2B8D5" w:rsidR="001413F8" w:rsidRPr="00DC5325" w:rsidRDefault="003A1E2E" w:rsidP="008D0C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</w:t>
            </w:r>
            <w:r w:rsidR="001C331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0223CE" w:rsidRPr="00DC532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802" w:type="dxa"/>
            <w:tcBorders>
              <w:top w:val="nil"/>
              <w:bottom w:val="nil"/>
            </w:tcBorders>
          </w:tcPr>
          <w:p w14:paraId="3C7416C3" w14:textId="71E1699C" w:rsidR="001413F8" w:rsidRPr="00DC5325" w:rsidRDefault="00D164D6" w:rsidP="008D0C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C532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A967E2" w:rsidRPr="00DC532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C676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1413F8" w:rsidRPr="00DC5325" w14:paraId="25BEE115" w14:textId="77777777" w:rsidTr="00CB0B92">
        <w:tc>
          <w:tcPr>
            <w:tcW w:w="1802" w:type="dxa"/>
            <w:tcBorders>
              <w:top w:val="nil"/>
              <w:bottom w:val="nil"/>
            </w:tcBorders>
          </w:tcPr>
          <w:p w14:paraId="6B458BC2" w14:textId="1735F188" w:rsidR="001413F8" w:rsidRPr="00DC5325" w:rsidRDefault="001413F8" w:rsidP="008D0C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C5325">
              <w:rPr>
                <w:rFonts w:ascii="Times New Roman" w:hAnsi="Times New Roman" w:cs="Times New Roman"/>
                <w:sz w:val="16"/>
                <w:szCs w:val="16"/>
              </w:rPr>
              <w:t>15B10</w:t>
            </w:r>
          </w:p>
        </w:tc>
        <w:tc>
          <w:tcPr>
            <w:tcW w:w="1802" w:type="dxa"/>
            <w:tcBorders>
              <w:top w:val="nil"/>
              <w:bottom w:val="nil"/>
            </w:tcBorders>
          </w:tcPr>
          <w:p w14:paraId="116A8FEC" w14:textId="39D50104" w:rsidR="001413F8" w:rsidRPr="00DC5325" w:rsidRDefault="00872E81" w:rsidP="008D0C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1C331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8A4EE5" w:rsidRPr="00DC532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802" w:type="dxa"/>
            <w:tcBorders>
              <w:top w:val="nil"/>
              <w:bottom w:val="nil"/>
            </w:tcBorders>
          </w:tcPr>
          <w:p w14:paraId="40200A48" w14:textId="31ABF4BA" w:rsidR="001413F8" w:rsidRPr="00DC5325" w:rsidRDefault="00CC5F81" w:rsidP="008D0C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C5325">
              <w:rPr>
                <w:rFonts w:ascii="Times New Roman" w:hAnsi="Times New Roman" w:cs="Times New Roman"/>
                <w:sz w:val="16"/>
                <w:szCs w:val="16"/>
              </w:rPr>
              <w:t>168</w:t>
            </w:r>
          </w:p>
        </w:tc>
        <w:tc>
          <w:tcPr>
            <w:tcW w:w="1802" w:type="dxa"/>
            <w:tcBorders>
              <w:top w:val="nil"/>
              <w:bottom w:val="nil"/>
            </w:tcBorders>
          </w:tcPr>
          <w:p w14:paraId="283732D1" w14:textId="14DBD526" w:rsidR="001413F8" w:rsidRPr="00DC5325" w:rsidRDefault="00937332" w:rsidP="008D0C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C532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802" w:type="dxa"/>
            <w:tcBorders>
              <w:top w:val="nil"/>
              <w:bottom w:val="nil"/>
            </w:tcBorders>
          </w:tcPr>
          <w:p w14:paraId="68A53A6A" w14:textId="07820702" w:rsidR="001413F8" w:rsidRPr="00DC5325" w:rsidRDefault="00D164D6" w:rsidP="008D0C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C532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A967E2" w:rsidRPr="00DC532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6761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1413F8" w:rsidRPr="00DC5325" w14:paraId="359E258D" w14:textId="77777777" w:rsidTr="00CB0B92">
        <w:tc>
          <w:tcPr>
            <w:tcW w:w="1802" w:type="dxa"/>
            <w:tcBorders>
              <w:top w:val="nil"/>
              <w:bottom w:val="nil"/>
            </w:tcBorders>
          </w:tcPr>
          <w:p w14:paraId="7BF8ED1D" w14:textId="0B7FAD20" w:rsidR="001413F8" w:rsidRPr="00DC5325" w:rsidRDefault="001413F8" w:rsidP="008D0C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C5325">
              <w:rPr>
                <w:rFonts w:ascii="Times New Roman" w:hAnsi="Times New Roman" w:cs="Times New Roman"/>
                <w:sz w:val="16"/>
                <w:szCs w:val="16"/>
              </w:rPr>
              <w:t>16B12</w:t>
            </w:r>
          </w:p>
        </w:tc>
        <w:tc>
          <w:tcPr>
            <w:tcW w:w="1802" w:type="dxa"/>
            <w:tcBorders>
              <w:top w:val="nil"/>
              <w:bottom w:val="nil"/>
            </w:tcBorders>
          </w:tcPr>
          <w:p w14:paraId="3926AE6B" w14:textId="54C5D8E9" w:rsidR="001413F8" w:rsidRPr="00DC5325" w:rsidRDefault="00872E81" w:rsidP="008D0C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1C331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8A4EE5" w:rsidRPr="00DC532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802" w:type="dxa"/>
            <w:tcBorders>
              <w:top w:val="nil"/>
              <w:bottom w:val="nil"/>
            </w:tcBorders>
          </w:tcPr>
          <w:p w14:paraId="1BFE1E08" w14:textId="2CD85924" w:rsidR="001413F8" w:rsidRPr="00DC5325" w:rsidRDefault="00CC5F81" w:rsidP="008D0C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C5325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1802" w:type="dxa"/>
            <w:tcBorders>
              <w:top w:val="nil"/>
              <w:bottom w:val="nil"/>
            </w:tcBorders>
          </w:tcPr>
          <w:p w14:paraId="7ED2E69A" w14:textId="5DB5EC4F" w:rsidR="001413F8" w:rsidRPr="00DC5325" w:rsidRDefault="00122CD6" w:rsidP="008D0C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</w:t>
            </w:r>
            <w:r w:rsidR="001C331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AE6EDF" w:rsidRPr="00DC532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802" w:type="dxa"/>
            <w:tcBorders>
              <w:top w:val="nil"/>
              <w:bottom w:val="nil"/>
            </w:tcBorders>
          </w:tcPr>
          <w:p w14:paraId="7BE5B002" w14:textId="7E5C64AF" w:rsidR="001413F8" w:rsidRPr="00DC5325" w:rsidRDefault="00C6761C" w:rsidP="008D0C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290</w:t>
            </w:r>
          </w:p>
        </w:tc>
      </w:tr>
      <w:tr w:rsidR="001413F8" w:rsidRPr="00DC5325" w14:paraId="7ED0D817" w14:textId="77777777" w:rsidTr="00CB0B92">
        <w:tc>
          <w:tcPr>
            <w:tcW w:w="1802" w:type="dxa"/>
            <w:tcBorders>
              <w:top w:val="nil"/>
              <w:bottom w:val="nil"/>
            </w:tcBorders>
          </w:tcPr>
          <w:p w14:paraId="7261A34E" w14:textId="3C215960" w:rsidR="001413F8" w:rsidRPr="00DC5325" w:rsidRDefault="001413F8" w:rsidP="008D0C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C5325">
              <w:rPr>
                <w:rFonts w:ascii="Times New Roman" w:hAnsi="Times New Roman" w:cs="Times New Roman"/>
                <w:sz w:val="16"/>
                <w:szCs w:val="16"/>
              </w:rPr>
              <w:t>16B13</w:t>
            </w:r>
          </w:p>
        </w:tc>
        <w:tc>
          <w:tcPr>
            <w:tcW w:w="1802" w:type="dxa"/>
            <w:tcBorders>
              <w:top w:val="nil"/>
              <w:bottom w:val="nil"/>
            </w:tcBorders>
          </w:tcPr>
          <w:p w14:paraId="77D1EBB9" w14:textId="14C7563F" w:rsidR="001413F8" w:rsidRPr="00DC5325" w:rsidRDefault="00872E81" w:rsidP="008D0C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1C331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8A4EE5" w:rsidRPr="00DC532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802" w:type="dxa"/>
            <w:tcBorders>
              <w:top w:val="nil"/>
              <w:bottom w:val="nil"/>
            </w:tcBorders>
          </w:tcPr>
          <w:p w14:paraId="4B4D06E0" w14:textId="02E07E31" w:rsidR="001413F8" w:rsidRPr="00DC5325" w:rsidRDefault="00CC5F81" w:rsidP="008D0C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C5325">
              <w:rPr>
                <w:rFonts w:ascii="Times New Roman" w:hAnsi="Times New Roman" w:cs="Times New Roman"/>
                <w:sz w:val="16"/>
                <w:szCs w:val="16"/>
              </w:rPr>
              <w:t>87</w:t>
            </w:r>
          </w:p>
        </w:tc>
        <w:tc>
          <w:tcPr>
            <w:tcW w:w="1802" w:type="dxa"/>
            <w:tcBorders>
              <w:top w:val="nil"/>
              <w:bottom w:val="nil"/>
            </w:tcBorders>
          </w:tcPr>
          <w:p w14:paraId="650DA427" w14:textId="629DA303" w:rsidR="001413F8" w:rsidRPr="00DC5325" w:rsidRDefault="00122CD6" w:rsidP="008D0C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</w:t>
            </w:r>
            <w:r w:rsidR="001C331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7A0DC4" w:rsidRPr="00DC532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802" w:type="dxa"/>
            <w:tcBorders>
              <w:top w:val="nil"/>
              <w:bottom w:val="nil"/>
            </w:tcBorders>
          </w:tcPr>
          <w:p w14:paraId="575F51C5" w14:textId="0C054455" w:rsidR="001413F8" w:rsidRPr="00DC5325" w:rsidRDefault="00D164D6" w:rsidP="008D0C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C532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A967E2" w:rsidRPr="00DC532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C6761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1413F8" w:rsidRPr="00DC5325" w14:paraId="543A453C" w14:textId="77777777" w:rsidTr="00CB0B92">
        <w:tc>
          <w:tcPr>
            <w:tcW w:w="1802" w:type="dxa"/>
            <w:tcBorders>
              <w:top w:val="nil"/>
              <w:bottom w:val="nil"/>
            </w:tcBorders>
          </w:tcPr>
          <w:p w14:paraId="1DC39042" w14:textId="666E8CEB" w:rsidR="001413F8" w:rsidRPr="00DC5325" w:rsidRDefault="001413F8" w:rsidP="008D0C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C5325">
              <w:rPr>
                <w:rFonts w:ascii="Times New Roman" w:hAnsi="Times New Roman" w:cs="Times New Roman"/>
                <w:sz w:val="16"/>
                <w:szCs w:val="16"/>
              </w:rPr>
              <w:t>16I29b</w:t>
            </w:r>
          </w:p>
        </w:tc>
        <w:tc>
          <w:tcPr>
            <w:tcW w:w="1802" w:type="dxa"/>
            <w:tcBorders>
              <w:top w:val="nil"/>
              <w:bottom w:val="nil"/>
            </w:tcBorders>
          </w:tcPr>
          <w:p w14:paraId="4B2E599F" w14:textId="585A05BD" w:rsidR="001413F8" w:rsidRPr="00DC5325" w:rsidRDefault="00872E81" w:rsidP="008D0C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1C331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8A4EE5" w:rsidRPr="00DC532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802" w:type="dxa"/>
            <w:tcBorders>
              <w:top w:val="nil"/>
              <w:bottom w:val="nil"/>
            </w:tcBorders>
          </w:tcPr>
          <w:p w14:paraId="4C311901" w14:textId="7955D58B" w:rsidR="001413F8" w:rsidRPr="00DC5325" w:rsidRDefault="00CC5F81" w:rsidP="008D0C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C5325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1802" w:type="dxa"/>
            <w:tcBorders>
              <w:top w:val="nil"/>
              <w:bottom w:val="nil"/>
            </w:tcBorders>
          </w:tcPr>
          <w:p w14:paraId="129918F4" w14:textId="269CB66C" w:rsidR="001413F8" w:rsidRPr="00DC5325" w:rsidRDefault="00122CD6" w:rsidP="008D0C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</w:t>
            </w:r>
            <w:r w:rsidR="001C331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7A0DC4" w:rsidRPr="00DC532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802" w:type="dxa"/>
            <w:tcBorders>
              <w:top w:val="nil"/>
              <w:bottom w:val="nil"/>
            </w:tcBorders>
          </w:tcPr>
          <w:p w14:paraId="165EF719" w14:textId="7C541B84" w:rsidR="001413F8" w:rsidRPr="00DC5325" w:rsidRDefault="00C6761C" w:rsidP="008D0C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369</w:t>
            </w:r>
          </w:p>
        </w:tc>
      </w:tr>
      <w:tr w:rsidR="001413F8" w:rsidRPr="00DC5325" w14:paraId="376DDC05" w14:textId="77777777" w:rsidTr="00CB0B92">
        <w:tc>
          <w:tcPr>
            <w:tcW w:w="1802" w:type="dxa"/>
            <w:tcBorders>
              <w:top w:val="nil"/>
              <w:bottom w:val="nil"/>
            </w:tcBorders>
          </w:tcPr>
          <w:p w14:paraId="00F18CC4" w14:textId="3A20F36E" w:rsidR="001413F8" w:rsidRPr="00DC5325" w:rsidRDefault="001413F8" w:rsidP="008D0C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C5325">
              <w:rPr>
                <w:rFonts w:ascii="Times New Roman" w:hAnsi="Times New Roman" w:cs="Times New Roman"/>
                <w:sz w:val="16"/>
                <w:szCs w:val="16"/>
              </w:rPr>
              <w:t>16I29a</w:t>
            </w:r>
          </w:p>
        </w:tc>
        <w:tc>
          <w:tcPr>
            <w:tcW w:w="1802" w:type="dxa"/>
            <w:tcBorders>
              <w:top w:val="nil"/>
              <w:bottom w:val="nil"/>
            </w:tcBorders>
          </w:tcPr>
          <w:p w14:paraId="52C09A9A" w14:textId="0DF99C81" w:rsidR="001413F8" w:rsidRPr="00DC5325" w:rsidRDefault="00872E81" w:rsidP="008D0C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1C331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8A4EE5" w:rsidRPr="00DC532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802" w:type="dxa"/>
            <w:tcBorders>
              <w:top w:val="nil"/>
              <w:bottom w:val="nil"/>
            </w:tcBorders>
          </w:tcPr>
          <w:p w14:paraId="41F7D778" w14:textId="6CEE3B18" w:rsidR="001413F8" w:rsidRPr="00DC5325" w:rsidRDefault="00CC5F81" w:rsidP="008D0C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C5325">
              <w:rPr>
                <w:rFonts w:ascii="Times New Roman" w:hAnsi="Times New Roman" w:cs="Times New Roman"/>
                <w:sz w:val="16"/>
                <w:szCs w:val="16"/>
              </w:rPr>
              <w:t>108</w:t>
            </w:r>
          </w:p>
        </w:tc>
        <w:tc>
          <w:tcPr>
            <w:tcW w:w="1802" w:type="dxa"/>
            <w:tcBorders>
              <w:top w:val="nil"/>
              <w:bottom w:val="nil"/>
            </w:tcBorders>
          </w:tcPr>
          <w:p w14:paraId="5C11E20C" w14:textId="5DEE89F0" w:rsidR="001413F8" w:rsidRPr="00DC5325" w:rsidRDefault="00122CD6" w:rsidP="008D0C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</w:t>
            </w:r>
            <w:r w:rsidR="001C331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D858BC" w:rsidRPr="00DC532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802" w:type="dxa"/>
            <w:tcBorders>
              <w:top w:val="nil"/>
              <w:bottom w:val="nil"/>
            </w:tcBorders>
          </w:tcPr>
          <w:p w14:paraId="3519BCD4" w14:textId="59385AC0" w:rsidR="001413F8" w:rsidRPr="00DC5325" w:rsidRDefault="00C6761C" w:rsidP="008D0C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557</w:t>
            </w:r>
          </w:p>
        </w:tc>
      </w:tr>
      <w:tr w:rsidR="001413F8" w:rsidRPr="00DC5325" w14:paraId="3A1B490D" w14:textId="77777777" w:rsidTr="00CB0B92">
        <w:tc>
          <w:tcPr>
            <w:tcW w:w="1802" w:type="dxa"/>
            <w:tcBorders>
              <w:top w:val="nil"/>
              <w:bottom w:val="nil"/>
            </w:tcBorders>
          </w:tcPr>
          <w:p w14:paraId="40857F35" w14:textId="1D27978F" w:rsidR="001413F8" w:rsidRPr="00DC5325" w:rsidRDefault="001413F8" w:rsidP="008D0C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C5325">
              <w:rPr>
                <w:rFonts w:ascii="Times New Roman" w:hAnsi="Times New Roman" w:cs="Times New Roman"/>
                <w:sz w:val="16"/>
                <w:szCs w:val="16"/>
              </w:rPr>
              <w:t>16B18</w:t>
            </w:r>
          </w:p>
        </w:tc>
        <w:tc>
          <w:tcPr>
            <w:tcW w:w="1802" w:type="dxa"/>
            <w:tcBorders>
              <w:top w:val="nil"/>
              <w:bottom w:val="nil"/>
            </w:tcBorders>
          </w:tcPr>
          <w:p w14:paraId="3774BB79" w14:textId="4EC26AC1" w:rsidR="001413F8" w:rsidRPr="00DC5325" w:rsidRDefault="00872E81" w:rsidP="008D0C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1C331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8A4EE5" w:rsidRPr="00DC532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802" w:type="dxa"/>
            <w:tcBorders>
              <w:top w:val="nil"/>
              <w:bottom w:val="nil"/>
            </w:tcBorders>
          </w:tcPr>
          <w:p w14:paraId="1448E1BC" w14:textId="0A5DF365" w:rsidR="001413F8" w:rsidRPr="00DC5325" w:rsidRDefault="00CC5F81" w:rsidP="008D0C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C5325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1802" w:type="dxa"/>
            <w:tcBorders>
              <w:top w:val="nil"/>
              <w:bottom w:val="nil"/>
            </w:tcBorders>
          </w:tcPr>
          <w:p w14:paraId="4B08956E" w14:textId="244EED1D" w:rsidR="001413F8" w:rsidRPr="00DC5325" w:rsidRDefault="00122CD6" w:rsidP="008D0C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</w:t>
            </w:r>
            <w:r w:rsidR="001C331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1E204B" w:rsidRPr="00DC532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802" w:type="dxa"/>
            <w:tcBorders>
              <w:top w:val="nil"/>
              <w:bottom w:val="nil"/>
            </w:tcBorders>
          </w:tcPr>
          <w:p w14:paraId="23597647" w14:textId="5923DC0C" w:rsidR="001413F8" w:rsidRPr="00DC5325" w:rsidRDefault="00D164D6" w:rsidP="008D0C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C532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C6761C"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</w:tc>
      </w:tr>
      <w:tr w:rsidR="001413F8" w:rsidRPr="00DC5325" w14:paraId="0A0274C4" w14:textId="77777777" w:rsidTr="00CB0B92">
        <w:tc>
          <w:tcPr>
            <w:tcW w:w="1802" w:type="dxa"/>
            <w:tcBorders>
              <w:top w:val="nil"/>
              <w:bottom w:val="nil"/>
            </w:tcBorders>
          </w:tcPr>
          <w:p w14:paraId="020BAC9C" w14:textId="12EDFF33" w:rsidR="001413F8" w:rsidRPr="00DC5325" w:rsidRDefault="001413F8" w:rsidP="008D0C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C5325">
              <w:rPr>
                <w:rFonts w:ascii="Times New Roman" w:hAnsi="Times New Roman" w:cs="Times New Roman"/>
                <w:sz w:val="16"/>
                <w:szCs w:val="16"/>
              </w:rPr>
              <w:t>16B15a</w:t>
            </w:r>
          </w:p>
        </w:tc>
        <w:tc>
          <w:tcPr>
            <w:tcW w:w="1802" w:type="dxa"/>
            <w:tcBorders>
              <w:top w:val="nil"/>
              <w:bottom w:val="nil"/>
            </w:tcBorders>
          </w:tcPr>
          <w:p w14:paraId="5B9D842F" w14:textId="135945DC" w:rsidR="001413F8" w:rsidRPr="00DC5325" w:rsidRDefault="00872E81" w:rsidP="008D0C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1C331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8A4EE5" w:rsidRPr="00DC532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802" w:type="dxa"/>
            <w:tcBorders>
              <w:top w:val="nil"/>
              <w:bottom w:val="nil"/>
            </w:tcBorders>
          </w:tcPr>
          <w:p w14:paraId="44E4E37A" w14:textId="514F1DEA" w:rsidR="001413F8" w:rsidRPr="00DC5325" w:rsidRDefault="00CC5F81" w:rsidP="008D0C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C5325">
              <w:rPr>
                <w:rFonts w:ascii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1802" w:type="dxa"/>
            <w:tcBorders>
              <w:top w:val="nil"/>
              <w:bottom w:val="nil"/>
            </w:tcBorders>
          </w:tcPr>
          <w:p w14:paraId="1BF7A872" w14:textId="54D2EC9A" w:rsidR="001413F8" w:rsidRPr="00DC5325" w:rsidRDefault="00122CD6" w:rsidP="008D0C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</w:t>
            </w:r>
            <w:r w:rsidR="001C331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1E204B" w:rsidRPr="00DC532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802" w:type="dxa"/>
            <w:tcBorders>
              <w:top w:val="nil"/>
              <w:bottom w:val="nil"/>
            </w:tcBorders>
          </w:tcPr>
          <w:p w14:paraId="0705F130" w14:textId="4F23A1E3" w:rsidR="001413F8" w:rsidRPr="00DC5325" w:rsidRDefault="00D164D6" w:rsidP="008D0C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C532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C6761C">
              <w:rPr>
                <w:rFonts w:ascii="Times New Roman" w:hAnsi="Times New Roman" w:cs="Times New Roman"/>
                <w:sz w:val="16"/>
                <w:szCs w:val="16"/>
              </w:rPr>
              <w:t>69</w:t>
            </w:r>
          </w:p>
        </w:tc>
      </w:tr>
      <w:tr w:rsidR="001413F8" w:rsidRPr="00DC5325" w14:paraId="6AD1A1BF" w14:textId="77777777" w:rsidTr="00CB0B92">
        <w:tc>
          <w:tcPr>
            <w:tcW w:w="1802" w:type="dxa"/>
            <w:tcBorders>
              <w:top w:val="nil"/>
              <w:bottom w:val="nil"/>
            </w:tcBorders>
          </w:tcPr>
          <w:p w14:paraId="5CB99118" w14:textId="4F640E7C" w:rsidR="001413F8" w:rsidRPr="00DC5325" w:rsidRDefault="001413F8" w:rsidP="008D0C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C5325">
              <w:rPr>
                <w:rFonts w:ascii="Times New Roman" w:hAnsi="Times New Roman" w:cs="Times New Roman"/>
                <w:sz w:val="16"/>
                <w:szCs w:val="16"/>
              </w:rPr>
              <w:t>16I17</w:t>
            </w:r>
          </w:p>
        </w:tc>
        <w:tc>
          <w:tcPr>
            <w:tcW w:w="1802" w:type="dxa"/>
            <w:tcBorders>
              <w:top w:val="nil"/>
              <w:bottom w:val="nil"/>
            </w:tcBorders>
          </w:tcPr>
          <w:p w14:paraId="6DE37771" w14:textId="32D88EB5" w:rsidR="001413F8" w:rsidRPr="00DC5325" w:rsidRDefault="00872E81" w:rsidP="008D0C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1C331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8A4EE5" w:rsidRPr="00DC532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802" w:type="dxa"/>
            <w:tcBorders>
              <w:top w:val="nil"/>
              <w:bottom w:val="nil"/>
            </w:tcBorders>
          </w:tcPr>
          <w:p w14:paraId="4A6A2CE0" w14:textId="633B8AFF" w:rsidR="001413F8" w:rsidRPr="00DC5325" w:rsidRDefault="00CC5F81" w:rsidP="008D0C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C5325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1802" w:type="dxa"/>
            <w:tcBorders>
              <w:top w:val="nil"/>
              <w:bottom w:val="nil"/>
            </w:tcBorders>
          </w:tcPr>
          <w:p w14:paraId="66486CE8" w14:textId="27907F7A" w:rsidR="001413F8" w:rsidRPr="00DC5325" w:rsidRDefault="00122CD6" w:rsidP="008D0C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</w:t>
            </w:r>
            <w:r w:rsidR="001C331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1E204B" w:rsidRPr="00DC532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802" w:type="dxa"/>
            <w:tcBorders>
              <w:top w:val="nil"/>
              <w:bottom w:val="nil"/>
            </w:tcBorders>
          </w:tcPr>
          <w:p w14:paraId="0386F0D4" w14:textId="567045B2" w:rsidR="001413F8" w:rsidRPr="00DC5325" w:rsidRDefault="00C6761C" w:rsidP="008D0C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242</w:t>
            </w:r>
          </w:p>
        </w:tc>
      </w:tr>
      <w:tr w:rsidR="001413F8" w:rsidRPr="00DC5325" w14:paraId="1F5D4EA7" w14:textId="77777777" w:rsidTr="00CB0B92">
        <w:tc>
          <w:tcPr>
            <w:tcW w:w="1802" w:type="dxa"/>
            <w:tcBorders>
              <w:top w:val="nil"/>
              <w:bottom w:val="nil"/>
            </w:tcBorders>
          </w:tcPr>
          <w:p w14:paraId="5EDB7634" w14:textId="4C8C8569" w:rsidR="001413F8" w:rsidRPr="00DC5325" w:rsidRDefault="001413F8" w:rsidP="008D0C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C5325">
              <w:rPr>
                <w:rFonts w:ascii="Times New Roman" w:hAnsi="Times New Roman" w:cs="Times New Roman"/>
                <w:sz w:val="16"/>
                <w:szCs w:val="16"/>
              </w:rPr>
              <w:t>16B20</w:t>
            </w:r>
          </w:p>
        </w:tc>
        <w:tc>
          <w:tcPr>
            <w:tcW w:w="1802" w:type="dxa"/>
            <w:tcBorders>
              <w:top w:val="nil"/>
              <w:bottom w:val="nil"/>
            </w:tcBorders>
          </w:tcPr>
          <w:p w14:paraId="6517A3A4" w14:textId="11C7DD0A" w:rsidR="001413F8" w:rsidRPr="00DC5325" w:rsidRDefault="00872E81" w:rsidP="008D0C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1C331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8A4EE5" w:rsidRPr="00DC532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02" w:type="dxa"/>
            <w:tcBorders>
              <w:top w:val="nil"/>
              <w:bottom w:val="nil"/>
            </w:tcBorders>
          </w:tcPr>
          <w:p w14:paraId="56EDC3D0" w14:textId="7E50558A" w:rsidR="001413F8" w:rsidRPr="00DC5325" w:rsidRDefault="00CC5F81" w:rsidP="008D0C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C5325">
              <w:rPr>
                <w:rFonts w:ascii="Times New Roman" w:hAnsi="Times New Roman" w:cs="Times New Roman"/>
                <w:sz w:val="16"/>
                <w:szCs w:val="16"/>
              </w:rPr>
              <w:t>92</w:t>
            </w:r>
          </w:p>
        </w:tc>
        <w:tc>
          <w:tcPr>
            <w:tcW w:w="1802" w:type="dxa"/>
            <w:tcBorders>
              <w:top w:val="nil"/>
              <w:bottom w:val="nil"/>
            </w:tcBorders>
          </w:tcPr>
          <w:p w14:paraId="7A7DD85A" w14:textId="70D89BBD" w:rsidR="001413F8" w:rsidRPr="00DC5325" w:rsidRDefault="00122CD6" w:rsidP="008D0C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</w:t>
            </w:r>
            <w:r w:rsidR="001C331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1F6396" w:rsidRPr="00DC532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802" w:type="dxa"/>
            <w:tcBorders>
              <w:top w:val="nil"/>
              <w:bottom w:val="nil"/>
            </w:tcBorders>
          </w:tcPr>
          <w:p w14:paraId="48E1F413" w14:textId="2739E6A4" w:rsidR="001413F8" w:rsidRPr="00DC5325" w:rsidRDefault="00D164D6" w:rsidP="008D0C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C532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C6761C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</w:tr>
      <w:tr w:rsidR="001413F8" w:rsidRPr="00DC5325" w14:paraId="1E5FD01F" w14:textId="77777777" w:rsidTr="00CB0B92">
        <w:tc>
          <w:tcPr>
            <w:tcW w:w="1802" w:type="dxa"/>
            <w:tcBorders>
              <w:top w:val="nil"/>
              <w:bottom w:val="nil"/>
            </w:tcBorders>
          </w:tcPr>
          <w:p w14:paraId="1050A4DD" w14:textId="45E6E93B" w:rsidR="001413F8" w:rsidRPr="00DC5325" w:rsidRDefault="001413F8" w:rsidP="008D0C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C5325">
              <w:rPr>
                <w:rFonts w:ascii="Times New Roman" w:hAnsi="Times New Roman" w:cs="Times New Roman"/>
                <w:sz w:val="16"/>
                <w:szCs w:val="16"/>
              </w:rPr>
              <w:t>16B16</w:t>
            </w:r>
          </w:p>
        </w:tc>
        <w:tc>
          <w:tcPr>
            <w:tcW w:w="1802" w:type="dxa"/>
            <w:tcBorders>
              <w:top w:val="nil"/>
              <w:bottom w:val="nil"/>
            </w:tcBorders>
          </w:tcPr>
          <w:p w14:paraId="473541DD" w14:textId="441FB591" w:rsidR="001413F8" w:rsidRPr="00DC5325" w:rsidRDefault="00872E81" w:rsidP="008D0C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1C331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8A4EE5" w:rsidRPr="00DC532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802" w:type="dxa"/>
            <w:tcBorders>
              <w:top w:val="nil"/>
              <w:bottom w:val="nil"/>
            </w:tcBorders>
          </w:tcPr>
          <w:p w14:paraId="612C8769" w14:textId="6AEE8777" w:rsidR="001413F8" w:rsidRPr="00DC5325" w:rsidRDefault="00CC5F81" w:rsidP="008D0C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C5325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802" w:type="dxa"/>
            <w:tcBorders>
              <w:top w:val="nil"/>
              <w:bottom w:val="nil"/>
            </w:tcBorders>
          </w:tcPr>
          <w:p w14:paraId="0453B5F8" w14:textId="0AACC96E" w:rsidR="001413F8" w:rsidRPr="00DC5325" w:rsidRDefault="00122CD6" w:rsidP="008D0C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</w:t>
            </w:r>
            <w:r w:rsidR="001C331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CD5765" w:rsidRPr="00DC532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802" w:type="dxa"/>
            <w:tcBorders>
              <w:top w:val="nil"/>
              <w:bottom w:val="nil"/>
            </w:tcBorders>
          </w:tcPr>
          <w:p w14:paraId="1A789103" w14:textId="52633B03" w:rsidR="001413F8" w:rsidRPr="00DC5325" w:rsidRDefault="00C6761C" w:rsidP="008D0C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</w:t>
            </w:r>
          </w:p>
        </w:tc>
      </w:tr>
      <w:tr w:rsidR="001413F8" w:rsidRPr="00DC5325" w14:paraId="57AEFA4D" w14:textId="77777777" w:rsidTr="00CB0B92">
        <w:tc>
          <w:tcPr>
            <w:tcW w:w="1802" w:type="dxa"/>
            <w:tcBorders>
              <w:top w:val="nil"/>
              <w:bottom w:val="nil"/>
            </w:tcBorders>
          </w:tcPr>
          <w:p w14:paraId="7B314768" w14:textId="468E5F57" w:rsidR="001413F8" w:rsidRPr="00DC5325" w:rsidRDefault="001413F8" w:rsidP="008D0C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C5325">
              <w:rPr>
                <w:rFonts w:ascii="Times New Roman" w:hAnsi="Times New Roman" w:cs="Times New Roman"/>
                <w:sz w:val="16"/>
                <w:szCs w:val="16"/>
              </w:rPr>
              <w:t>16B21</w:t>
            </w:r>
          </w:p>
        </w:tc>
        <w:tc>
          <w:tcPr>
            <w:tcW w:w="1802" w:type="dxa"/>
            <w:tcBorders>
              <w:top w:val="nil"/>
              <w:bottom w:val="nil"/>
            </w:tcBorders>
          </w:tcPr>
          <w:p w14:paraId="4BCBAFC0" w14:textId="3108B226" w:rsidR="001413F8" w:rsidRPr="00DC5325" w:rsidRDefault="00872E81" w:rsidP="008D0C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1C331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8A4EE5" w:rsidRPr="00DC532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802" w:type="dxa"/>
            <w:tcBorders>
              <w:top w:val="nil"/>
              <w:bottom w:val="nil"/>
            </w:tcBorders>
          </w:tcPr>
          <w:p w14:paraId="60223C1A" w14:textId="5BCFD5A4" w:rsidR="001413F8" w:rsidRPr="00DC5325" w:rsidRDefault="00CC5F81" w:rsidP="008D0C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C5325"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1802" w:type="dxa"/>
            <w:tcBorders>
              <w:top w:val="nil"/>
              <w:bottom w:val="nil"/>
            </w:tcBorders>
          </w:tcPr>
          <w:p w14:paraId="1C68AC1B" w14:textId="6771D2C3" w:rsidR="001413F8" w:rsidRPr="00DC5325" w:rsidRDefault="00122CD6" w:rsidP="008D0C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</w:t>
            </w:r>
            <w:r w:rsidR="001C331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0C76DD" w:rsidRPr="00DC532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802" w:type="dxa"/>
            <w:tcBorders>
              <w:top w:val="nil"/>
              <w:bottom w:val="nil"/>
            </w:tcBorders>
          </w:tcPr>
          <w:p w14:paraId="769F488B" w14:textId="76B8E930" w:rsidR="001413F8" w:rsidRPr="00DC5325" w:rsidRDefault="00D164D6" w:rsidP="008D0C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C532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A967E2" w:rsidRPr="00DC532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C676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1413F8" w:rsidRPr="00DC5325" w14:paraId="42A6C3D6" w14:textId="77777777" w:rsidTr="00CB0B92">
        <w:tc>
          <w:tcPr>
            <w:tcW w:w="1802" w:type="dxa"/>
            <w:tcBorders>
              <w:top w:val="nil"/>
              <w:bottom w:val="nil"/>
            </w:tcBorders>
          </w:tcPr>
          <w:p w14:paraId="4610C95E" w14:textId="5EEC5D74" w:rsidR="001413F8" w:rsidRPr="00DC5325" w:rsidRDefault="001413F8" w:rsidP="008D0C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C5325">
              <w:rPr>
                <w:rFonts w:ascii="Times New Roman" w:hAnsi="Times New Roman" w:cs="Times New Roman"/>
                <w:sz w:val="16"/>
                <w:szCs w:val="16"/>
              </w:rPr>
              <w:t>16B22a</w:t>
            </w:r>
          </w:p>
        </w:tc>
        <w:tc>
          <w:tcPr>
            <w:tcW w:w="1802" w:type="dxa"/>
            <w:tcBorders>
              <w:top w:val="nil"/>
              <w:bottom w:val="nil"/>
            </w:tcBorders>
          </w:tcPr>
          <w:p w14:paraId="1E8BBFCA" w14:textId="2A68C402" w:rsidR="001413F8" w:rsidRPr="00DC5325" w:rsidRDefault="00872E81" w:rsidP="008D0C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1C331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8A4EE5" w:rsidRPr="00DC532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02" w:type="dxa"/>
            <w:tcBorders>
              <w:top w:val="nil"/>
              <w:bottom w:val="nil"/>
            </w:tcBorders>
          </w:tcPr>
          <w:p w14:paraId="724966A5" w14:textId="4F43E6B1" w:rsidR="001413F8" w:rsidRPr="00DC5325" w:rsidRDefault="00CC5F81" w:rsidP="008D0C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C5325">
              <w:rPr>
                <w:rFonts w:ascii="Times New Roman" w:hAnsi="Times New Roman" w:cs="Times New Roman"/>
                <w:sz w:val="16"/>
                <w:szCs w:val="16"/>
              </w:rPr>
              <w:t>108</w:t>
            </w:r>
          </w:p>
        </w:tc>
        <w:tc>
          <w:tcPr>
            <w:tcW w:w="1802" w:type="dxa"/>
            <w:tcBorders>
              <w:top w:val="nil"/>
              <w:bottom w:val="nil"/>
            </w:tcBorders>
          </w:tcPr>
          <w:p w14:paraId="04F3C5FA" w14:textId="41DCB15C" w:rsidR="001413F8" w:rsidRPr="00DC5325" w:rsidRDefault="00122CD6" w:rsidP="008D0C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</w:t>
            </w:r>
            <w:r w:rsidR="001C331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0C76DD" w:rsidRPr="00DC532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802" w:type="dxa"/>
            <w:tcBorders>
              <w:top w:val="nil"/>
              <w:bottom w:val="nil"/>
            </w:tcBorders>
          </w:tcPr>
          <w:p w14:paraId="16FEA904" w14:textId="755B4A61" w:rsidR="001413F8" w:rsidRPr="00DC5325" w:rsidRDefault="00A967E2" w:rsidP="008D0C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C532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C6761C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</w:tr>
      <w:tr w:rsidR="001413F8" w:rsidRPr="00DC5325" w14:paraId="1FB12D68" w14:textId="77777777" w:rsidTr="00CB0B92">
        <w:tc>
          <w:tcPr>
            <w:tcW w:w="1802" w:type="dxa"/>
            <w:tcBorders>
              <w:top w:val="nil"/>
              <w:bottom w:val="nil"/>
            </w:tcBorders>
          </w:tcPr>
          <w:p w14:paraId="535E7031" w14:textId="2CCA049B" w:rsidR="001413F8" w:rsidRPr="00DC5325" w:rsidRDefault="001413F8" w:rsidP="008D0C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C5325">
              <w:rPr>
                <w:rFonts w:ascii="Times New Roman" w:hAnsi="Times New Roman" w:cs="Times New Roman"/>
                <w:sz w:val="16"/>
                <w:szCs w:val="16"/>
              </w:rPr>
              <w:t>16B24a</w:t>
            </w:r>
          </w:p>
        </w:tc>
        <w:tc>
          <w:tcPr>
            <w:tcW w:w="1802" w:type="dxa"/>
            <w:tcBorders>
              <w:top w:val="nil"/>
              <w:bottom w:val="nil"/>
            </w:tcBorders>
          </w:tcPr>
          <w:p w14:paraId="1661D29D" w14:textId="1AA53AA1" w:rsidR="001413F8" w:rsidRPr="00DC5325" w:rsidRDefault="00872E81" w:rsidP="008D0C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1C331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8A4EE5" w:rsidRPr="00DC532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802" w:type="dxa"/>
            <w:tcBorders>
              <w:top w:val="nil"/>
              <w:bottom w:val="nil"/>
            </w:tcBorders>
          </w:tcPr>
          <w:p w14:paraId="41D985B6" w14:textId="7AF606A3" w:rsidR="001413F8" w:rsidRPr="00DC5325" w:rsidRDefault="00CC5F81" w:rsidP="008D0C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C5325">
              <w:rPr>
                <w:rFonts w:ascii="Times New Roman" w:hAnsi="Times New Roman" w:cs="Times New Roman"/>
                <w:sz w:val="16"/>
                <w:szCs w:val="16"/>
              </w:rPr>
              <w:t>102</w:t>
            </w:r>
          </w:p>
        </w:tc>
        <w:tc>
          <w:tcPr>
            <w:tcW w:w="1802" w:type="dxa"/>
            <w:tcBorders>
              <w:top w:val="nil"/>
              <w:bottom w:val="nil"/>
            </w:tcBorders>
          </w:tcPr>
          <w:p w14:paraId="50EB6531" w14:textId="0B3BE03E" w:rsidR="001413F8" w:rsidRPr="00DC5325" w:rsidRDefault="00765B0F" w:rsidP="008D0C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C532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802" w:type="dxa"/>
            <w:tcBorders>
              <w:top w:val="nil"/>
              <w:bottom w:val="nil"/>
            </w:tcBorders>
          </w:tcPr>
          <w:p w14:paraId="7195ECFA" w14:textId="182E3BE3" w:rsidR="001413F8" w:rsidRPr="00DC5325" w:rsidRDefault="00D164D6" w:rsidP="008D0C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C532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C6761C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</w:tr>
      <w:tr w:rsidR="001413F8" w:rsidRPr="00DC5325" w14:paraId="6D7EA28A" w14:textId="77777777" w:rsidTr="00CB0B92">
        <w:tc>
          <w:tcPr>
            <w:tcW w:w="1802" w:type="dxa"/>
            <w:tcBorders>
              <w:top w:val="nil"/>
              <w:bottom w:val="nil"/>
            </w:tcBorders>
          </w:tcPr>
          <w:p w14:paraId="2FC4F4AC" w14:textId="5D1F8380" w:rsidR="001413F8" w:rsidRPr="00DC5325" w:rsidRDefault="001413F8" w:rsidP="008D0C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C5325">
              <w:rPr>
                <w:rFonts w:ascii="Times New Roman" w:hAnsi="Times New Roman" w:cs="Times New Roman"/>
                <w:sz w:val="16"/>
                <w:szCs w:val="16"/>
              </w:rPr>
              <w:t>16B22b</w:t>
            </w:r>
          </w:p>
        </w:tc>
        <w:tc>
          <w:tcPr>
            <w:tcW w:w="1802" w:type="dxa"/>
            <w:tcBorders>
              <w:top w:val="nil"/>
              <w:bottom w:val="nil"/>
            </w:tcBorders>
          </w:tcPr>
          <w:p w14:paraId="6B7A04C8" w14:textId="1D2BDE00" w:rsidR="001413F8" w:rsidRPr="00DC5325" w:rsidRDefault="00872E81" w:rsidP="008D0C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1C331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8A4EE5" w:rsidRPr="00DC532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02" w:type="dxa"/>
            <w:tcBorders>
              <w:top w:val="nil"/>
              <w:bottom w:val="nil"/>
            </w:tcBorders>
          </w:tcPr>
          <w:p w14:paraId="43166BA9" w14:textId="4B69A276" w:rsidR="001413F8" w:rsidRPr="00DC5325" w:rsidRDefault="00CC5F81" w:rsidP="008D0C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C5325">
              <w:rPr>
                <w:rFonts w:ascii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1802" w:type="dxa"/>
            <w:tcBorders>
              <w:top w:val="nil"/>
              <w:bottom w:val="nil"/>
            </w:tcBorders>
          </w:tcPr>
          <w:p w14:paraId="4E2D07BD" w14:textId="03EFF419" w:rsidR="001413F8" w:rsidRPr="00DC5325" w:rsidRDefault="000C76DD" w:rsidP="008D0C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C532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802" w:type="dxa"/>
            <w:tcBorders>
              <w:top w:val="nil"/>
              <w:bottom w:val="nil"/>
            </w:tcBorders>
          </w:tcPr>
          <w:p w14:paraId="308EB33B" w14:textId="0E8DD195" w:rsidR="001413F8" w:rsidRPr="00DC5325" w:rsidRDefault="00C6761C" w:rsidP="008D0C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405</w:t>
            </w:r>
          </w:p>
        </w:tc>
      </w:tr>
      <w:tr w:rsidR="001413F8" w:rsidRPr="00DC5325" w14:paraId="69C83A49" w14:textId="77777777" w:rsidTr="00CB0B92">
        <w:tc>
          <w:tcPr>
            <w:tcW w:w="1802" w:type="dxa"/>
            <w:tcBorders>
              <w:top w:val="nil"/>
              <w:bottom w:val="nil"/>
            </w:tcBorders>
          </w:tcPr>
          <w:p w14:paraId="27FCA918" w14:textId="1D04B37F" w:rsidR="001413F8" w:rsidRPr="00DC5325" w:rsidRDefault="001413F8" w:rsidP="008D0C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C5325">
              <w:rPr>
                <w:rFonts w:ascii="Times New Roman" w:hAnsi="Times New Roman" w:cs="Times New Roman"/>
                <w:sz w:val="16"/>
                <w:szCs w:val="16"/>
              </w:rPr>
              <w:t>16B24b</w:t>
            </w:r>
          </w:p>
        </w:tc>
        <w:tc>
          <w:tcPr>
            <w:tcW w:w="1802" w:type="dxa"/>
            <w:tcBorders>
              <w:top w:val="nil"/>
              <w:bottom w:val="nil"/>
            </w:tcBorders>
          </w:tcPr>
          <w:p w14:paraId="4AD4F58B" w14:textId="3DAE0E9B" w:rsidR="001413F8" w:rsidRPr="00DC5325" w:rsidRDefault="00872E81" w:rsidP="008D0C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1C331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8A4EE5" w:rsidRPr="00DC532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02" w:type="dxa"/>
            <w:tcBorders>
              <w:top w:val="nil"/>
              <w:bottom w:val="nil"/>
            </w:tcBorders>
          </w:tcPr>
          <w:p w14:paraId="66DCAA2A" w14:textId="2E8A5D76" w:rsidR="001413F8" w:rsidRPr="00DC5325" w:rsidRDefault="00CC5F81" w:rsidP="008D0C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C5325"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1802" w:type="dxa"/>
            <w:tcBorders>
              <w:top w:val="nil"/>
              <w:bottom w:val="nil"/>
            </w:tcBorders>
          </w:tcPr>
          <w:p w14:paraId="3A78F0D7" w14:textId="30393B98" w:rsidR="001413F8" w:rsidRPr="00DC5325" w:rsidRDefault="00122CD6" w:rsidP="008D0C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</w:t>
            </w:r>
            <w:r w:rsidR="001C331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444AA7" w:rsidRPr="00DC532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802" w:type="dxa"/>
            <w:tcBorders>
              <w:top w:val="nil"/>
              <w:bottom w:val="nil"/>
            </w:tcBorders>
          </w:tcPr>
          <w:p w14:paraId="4CBC2AF1" w14:textId="01AE0E5A" w:rsidR="001413F8" w:rsidRPr="00DC5325" w:rsidRDefault="00D164D6" w:rsidP="008D0C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C532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C6761C">
              <w:rPr>
                <w:rFonts w:ascii="Times New Roman" w:hAnsi="Times New Roman" w:cs="Times New Roman"/>
                <w:sz w:val="16"/>
                <w:szCs w:val="16"/>
              </w:rPr>
              <w:t>77</w:t>
            </w:r>
          </w:p>
        </w:tc>
      </w:tr>
      <w:tr w:rsidR="001413F8" w:rsidRPr="00DC5325" w14:paraId="74F1C4BC" w14:textId="77777777" w:rsidTr="00CB0B92">
        <w:tc>
          <w:tcPr>
            <w:tcW w:w="1802" w:type="dxa"/>
            <w:tcBorders>
              <w:top w:val="nil"/>
              <w:bottom w:val="nil"/>
            </w:tcBorders>
          </w:tcPr>
          <w:p w14:paraId="6624BB02" w14:textId="5866DB7D" w:rsidR="001413F8" w:rsidRPr="00DC5325" w:rsidRDefault="001413F8" w:rsidP="008D0C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C5325">
              <w:rPr>
                <w:rFonts w:ascii="Times New Roman" w:hAnsi="Times New Roman" w:cs="Times New Roman"/>
                <w:sz w:val="16"/>
                <w:szCs w:val="16"/>
              </w:rPr>
              <w:t>16B25</w:t>
            </w:r>
          </w:p>
        </w:tc>
        <w:tc>
          <w:tcPr>
            <w:tcW w:w="1802" w:type="dxa"/>
            <w:tcBorders>
              <w:top w:val="nil"/>
              <w:bottom w:val="nil"/>
            </w:tcBorders>
          </w:tcPr>
          <w:p w14:paraId="27516714" w14:textId="5FB32BAB" w:rsidR="001413F8" w:rsidRPr="00DC5325" w:rsidRDefault="00872E81" w:rsidP="008D0C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1C331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8A4EE5" w:rsidRPr="00DC532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802" w:type="dxa"/>
            <w:tcBorders>
              <w:top w:val="nil"/>
              <w:bottom w:val="nil"/>
            </w:tcBorders>
          </w:tcPr>
          <w:p w14:paraId="78EC3CFC" w14:textId="0D30547B" w:rsidR="001413F8" w:rsidRPr="00DC5325" w:rsidRDefault="00CC5F81" w:rsidP="008D0C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C5325">
              <w:rPr>
                <w:rFonts w:ascii="Times New Roman" w:hAnsi="Times New Roman" w:cs="Times New Roman"/>
                <w:sz w:val="16"/>
                <w:szCs w:val="16"/>
              </w:rPr>
              <w:t>86</w:t>
            </w:r>
          </w:p>
        </w:tc>
        <w:tc>
          <w:tcPr>
            <w:tcW w:w="1802" w:type="dxa"/>
            <w:tcBorders>
              <w:top w:val="nil"/>
              <w:bottom w:val="nil"/>
            </w:tcBorders>
          </w:tcPr>
          <w:p w14:paraId="19EC7DC5" w14:textId="2F73312F" w:rsidR="001413F8" w:rsidRPr="00DC5325" w:rsidRDefault="00122CD6" w:rsidP="008D0C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</w:t>
            </w:r>
            <w:r w:rsidR="001C331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C72633" w:rsidRPr="00DC532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802" w:type="dxa"/>
            <w:tcBorders>
              <w:top w:val="nil"/>
              <w:bottom w:val="nil"/>
            </w:tcBorders>
          </w:tcPr>
          <w:p w14:paraId="20A1A98A" w14:textId="624B23E9" w:rsidR="001413F8" w:rsidRPr="00DC5325" w:rsidRDefault="00D164D6" w:rsidP="008D0C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C532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C6761C"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</w:tr>
      <w:tr w:rsidR="001413F8" w:rsidRPr="00DC5325" w14:paraId="0CC09132" w14:textId="77777777" w:rsidTr="00CB0B92">
        <w:tc>
          <w:tcPr>
            <w:tcW w:w="1802" w:type="dxa"/>
            <w:tcBorders>
              <w:top w:val="nil"/>
              <w:bottom w:val="nil"/>
            </w:tcBorders>
          </w:tcPr>
          <w:p w14:paraId="3A3C38C9" w14:textId="7CFF27C4" w:rsidR="001413F8" w:rsidRPr="00DC5325" w:rsidRDefault="001413F8" w:rsidP="008D0C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C5325">
              <w:rPr>
                <w:rFonts w:ascii="Times New Roman" w:hAnsi="Times New Roman" w:cs="Times New Roman"/>
                <w:sz w:val="16"/>
                <w:szCs w:val="16"/>
              </w:rPr>
              <w:t>16I27a</w:t>
            </w:r>
          </w:p>
        </w:tc>
        <w:tc>
          <w:tcPr>
            <w:tcW w:w="1802" w:type="dxa"/>
            <w:tcBorders>
              <w:top w:val="nil"/>
              <w:bottom w:val="nil"/>
            </w:tcBorders>
          </w:tcPr>
          <w:p w14:paraId="1CCE522B" w14:textId="3FEEBA8B" w:rsidR="001413F8" w:rsidRPr="00DC5325" w:rsidRDefault="00872E81" w:rsidP="008D0C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1C331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8A4EE5" w:rsidRPr="00DC532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02" w:type="dxa"/>
            <w:tcBorders>
              <w:top w:val="nil"/>
              <w:bottom w:val="nil"/>
            </w:tcBorders>
          </w:tcPr>
          <w:p w14:paraId="32330786" w14:textId="1225B9A5" w:rsidR="001413F8" w:rsidRPr="00DC5325" w:rsidRDefault="00CC5F81" w:rsidP="008D0C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C5325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802" w:type="dxa"/>
            <w:tcBorders>
              <w:top w:val="nil"/>
              <w:bottom w:val="nil"/>
            </w:tcBorders>
          </w:tcPr>
          <w:p w14:paraId="6AB47997" w14:textId="2E02F3E1" w:rsidR="001413F8" w:rsidRPr="00DC5325" w:rsidRDefault="00122CD6" w:rsidP="008D0C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</w:t>
            </w:r>
            <w:r w:rsidR="001C331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190333" w:rsidRPr="00DC532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802" w:type="dxa"/>
            <w:tcBorders>
              <w:top w:val="nil"/>
              <w:bottom w:val="nil"/>
            </w:tcBorders>
          </w:tcPr>
          <w:p w14:paraId="28A994DC" w14:textId="7902F395" w:rsidR="001413F8" w:rsidRPr="00DC5325" w:rsidRDefault="00D164D6" w:rsidP="008D0C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C532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C6761C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</w:tr>
      <w:tr w:rsidR="001413F8" w:rsidRPr="00DC5325" w14:paraId="42AD4EDE" w14:textId="77777777" w:rsidTr="00CB0B92">
        <w:tc>
          <w:tcPr>
            <w:tcW w:w="1802" w:type="dxa"/>
            <w:tcBorders>
              <w:top w:val="nil"/>
              <w:bottom w:val="nil"/>
            </w:tcBorders>
          </w:tcPr>
          <w:p w14:paraId="50B2BFAC" w14:textId="63A596D7" w:rsidR="001413F8" w:rsidRPr="00DC5325" w:rsidRDefault="001413F8" w:rsidP="008D0C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C5325">
              <w:rPr>
                <w:rFonts w:ascii="Times New Roman" w:hAnsi="Times New Roman" w:cs="Times New Roman"/>
                <w:sz w:val="16"/>
                <w:szCs w:val="16"/>
              </w:rPr>
              <w:t>16B26</w:t>
            </w:r>
          </w:p>
        </w:tc>
        <w:tc>
          <w:tcPr>
            <w:tcW w:w="1802" w:type="dxa"/>
            <w:tcBorders>
              <w:top w:val="nil"/>
              <w:bottom w:val="nil"/>
            </w:tcBorders>
          </w:tcPr>
          <w:p w14:paraId="4C50DEA6" w14:textId="00092EE8" w:rsidR="001413F8" w:rsidRPr="00DC5325" w:rsidRDefault="00872E81" w:rsidP="008D0C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1C331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8A4EE5" w:rsidRPr="00DC532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802" w:type="dxa"/>
            <w:tcBorders>
              <w:top w:val="nil"/>
              <w:bottom w:val="nil"/>
            </w:tcBorders>
          </w:tcPr>
          <w:p w14:paraId="557A640A" w14:textId="4C4FA2F1" w:rsidR="001413F8" w:rsidRPr="00DC5325" w:rsidRDefault="00CC5F81" w:rsidP="008D0C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C5325">
              <w:rPr>
                <w:rFonts w:ascii="Times New Roman" w:hAnsi="Times New Roman" w:cs="Times New Roman"/>
                <w:sz w:val="16"/>
                <w:szCs w:val="16"/>
              </w:rPr>
              <w:t>103</w:t>
            </w:r>
          </w:p>
        </w:tc>
        <w:tc>
          <w:tcPr>
            <w:tcW w:w="1802" w:type="dxa"/>
            <w:tcBorders>
              <w:top w:val="nil"/>
              <w:bottom w:val="nil"/>
            </w:tcBorders>
          </w:tcPr>
          <w:p w14:paraId="535CB663" w14:textId="26A7C3E0" w:rsidR="001413F8" w:rsidRPr="00DC5325" w:rsidRDefault="00122CD6" w:rsidP="008D0C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</w:t>
            </w:r>
            <w:r w:rsidR="001C331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190333" w:rsidRPr="00DC532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802" w:type="dxa"/>
            <w:tcBorders>
              <w:top w:val="nil"/>
              <w:bottom w:val="nil"/>
            </w:tcBorders>
          </w:tcPr>
          <w:p w14:paraId="26CDDD3E" w14:textId="340272DB" w:rsidR="001413F8" w:rsidRPr="00DC5325" w:rsidRDefault="00C6761C" w:rsidP="008D0C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</w:tr>
      <w:tr w:rsidR="001413F8" w:rsidRPr="00DC5325" w14:paraId="56F1C776" w14:textId="77777777" w:rsidTr="00CB0B92">
        <w:tc>
          <w:tcPr>
            <w:tcW w:w="1802" w:type="dxa"/>
            <w:tcBorders>
              <w:top w:val="nil"/>
              <w:bottom w:val="nil"/>
            </w:tcBorders>
          </w:tcPr>
          <w:p w14:paraId="0872F65F" w14:textId="6298B40F" w:rsidR="001413F8" w:rsidRPr="00DC5325" w:rsidRDefault="001413F8" w:rsidP="008D0C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C5325">
              <w:rPr>
                <w:rFonts w:ascii="Times New Roman" w:hAnsi="Times New Roman" w:cs="Times New Roman"/>
                <w:sz w:val="16"/>
                <w:szCs w:val="16"/>
              </w:rPr>
              <w:t>16B27b</w:t>
            </w:r>
          </w:p>
        </w:tc>
        <w:tc>
          <w:tcPr>
            <w:tcW w:w="1802" w:type="dxa"/>
            <w:tcBorders>
              <w:top w:val="nil"/>
              <w:bottom w:val="nil"/>
            </w:tcBorders>
          </w:tcPr>
          <w:p w14:paraId="512DBA65" w14:textId="10214E0D" w:rsidR="001413F8" w:rsidRPr="00DC5325" w:rsidRDefault="00872E81" w:rsidP="008D0C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1C331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8A4EE5" w:rsidRPr="00DC532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02" w:type="dxa"/>
            <w:tcBorders>
              <w:top w:val="nil"/>
              <w:bottom w:val="nil"/>
            </w:tcBorders>
          </w:tcPr>
          <w:p w14:paraId="625483E4" w14:textId="262AD3A4" w:rsidR="001413F8" w:rsidRPr="00DC5325" w:rsidRDefault="00CC5F81" w:rsidP="008D0C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C5325"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1802" w:type="dxa"/>
            <w:tcBorders>
              <w:top w:val="nil"/>
              <w:bottom w:val="nil"/>
            </w:tcBorders>
          </w:tcPr>
          <w:p w14:paraId="5F549B71" w14:textId="1275D7C9" w:rsidR="001413F8" w:rsidRPr="00DC5325" w:rsidRDefault="00122CD6" w:rsidP="008D0C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</w:t>
            </w:r>
            <w:r w:rsidR="001C331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190333" w:rsidRPr="00DC532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802" w:type="dxa"/>
            <w:tcBorders>
              <w:top w:val="nil"/>
              <w:bottom w:val="nil"/>
            </w:tcBorders>
          </w:tcPr>
          <w:p w14:paraId="4BDC212E" w14:textId="12535177" w:rsidR="001413F8" w:rsidRPr="00DC5325" w:rsidRDefault="00C6761C" w:rsidP="008D0C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282F46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</w:tr>
      <w:tr w:rsidR="001413F8" w:rsidRPr="00DC5325" w14:paraId="4FF541A6" w14:textId="77777777" w:rsidTr="00CB0B92">
        <w:tc>
          <w:tcPr>
            <w:tcW w:w="1802" w:type="dxa"/>
            <w:tcBorders>
              <w:top w:val="nil"/>
              <w:bottom w:val="nil"/>
            </w:tcBorders>
          </w:tcPr>
          <w:p w14:paraId="7F0BF7F1" w14:textId="17408A41" w:rsidR="001413F8" w:rsidRPr="00DC5325" w:rsidRDefault="001413F8" w:rsidP="008D0C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C5325">
              <w:rPr>
                <w:rFonts w:ascii="Times New Roman" w:hAnsi="Times New Roman" w:cs="Times New Roman"/>
                <w:sz w:val="16"/>
                <w:szCs w:val="16"/>
              </w:rPr>
              <w:t>16I30</w:t>
            </w:r>
          </w:p>
        </w:tc>
        <w:tc>
          <w:tcPr>
            <w:tcW w:w="1802" w:type="dxa"/>
            <w:tcBorders>
              <w:top w:val="nil"/>
              <w:bottom w:val="nil"/>
            </w:tcBorders>
          </w:tcPr>
          <w:p w14:paraId="3E06AC32" w14:textId="3AB0C31B" w:rsidR="001413F8" w:rsidRPr="00DC5325" w:rsidRDefault="00872E81" w:rsidP="008D0C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1C331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8A4EE5" w:rsidRPr="00DC532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802" w:type="dxa"/>
            <w:tcBorders>
              <w:top w:val="nil"/>
              <w:bottom w:val="nil"/>
            </w:tcBorders>
          </w:tcPr>
          <w:p w14:paraId="2108DD99" w14:textId="5405F71F" w:rsidR="001413F8" w:rsidRPr="00DC5325" w:rsidRDefault="00CC5F81" w:rsidP="008D0C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C5325">
              <w:rPr>
                <w:rFonts w:ascii="Times New Roman" w:hAnsi="Times New Roman" w:cs="Times New Roman"/>
                <w:sz w:val="16"/>
                <w:szCs w:val="16"/>
              </w:rPr>
              <w:t>138</w:t>
            </w:r>
          </w:p>
        </w:tc>
        <w:tc>
          <w:tcPr>
            <w:tcW w:w="1802" w:type="dxa"/>
            <w:tcBorders>
              <w:top w:val="nil"/>
              <w:bottom w:val="nil"/>
            </w:tcBorders>
          </w:tcPr>
          <w:p w14:paraId="6C29EB7B" w14:textId="4E40B3A1" w:rsidR="001413F8" w:rsidRPr="00DC5325" w:rsidRDefault="00FF0BA1" w:rsidP="008D0C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C532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802" w:type="dxa"/>
            <w:tcBorders>
              <w:top w:val="nil"/>
              <w:bottom w:val="nil"/>
            </w:tcBorders>
          </w:tcPr>
          <w:p w14:paraId="1F3BB0AB" w14:textId="62FEBFD6" w:rsidR="001413F8" w:rsidRPr="00DC5325" w:rsidRDefault="00C6761C" w:rsidP="008D0C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648</w:t>
            </w:r>
          </w:p>
        </w:tc>
      </w:tr>
      <w:tr w:rsidR="001413F8" w:rsidRPr="00DC5325" w14:paraId="4C146E2C" w14:textId="77777777" w:rsidTr="00CB0B92">
        <w:tc>
          <w:tcPr>
            <w:tcW w:w="1802" w:type="dxa"/>
            <w:tcBorders>
              <w:top w:val="nil"/>
              <w:bottom w:val="nil"/>
            </w:tcBorders>
          </w:tcPr>
          <w:p w14:paraId="23CD4459" w14:textId="22049B2F" w:rsidR="001413F8" w:rsidRPr="00DC5325" w:rsidRDefault="001413F8" w:rsidP="008D0C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C5325">
              <w:rPr>
                <w:rFonts w:ascii="Times New Roman" w:hAnsi="Times New Roman" w:cs="Times New Roman"/>
                <w:sz w:val="16"/>
                <w:szCs w:val="16"/>
              </w:rPr>
              <w:t>16B15b</w:t>
            </w:r>
          </w:p>
        </w:tc>
        <w:tc>
          <w:tcPr>
            <w:tcW w:w="1802" w:type="dxa"/>
            <w:tcBorders>
              <w:top w:val="nil"/>
              <w:bottom w:val="nil"/>
            </w:tcBorders>
          </w:tcPr>
          <w:p w14:paraId="694ED3D8" w14:textId="01499D89" w:rsidR="001413F8" w:rsidRPr="00DC5325" w:rsidRDefault="00872E81" w:rsidP="008D0C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1C331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8A4EE5" w:rsidRPr="00DC532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802" w:type="dxa"/>
            <w:tcBorders>
              <w:top w:val="nil"/>
              <w:bottom w:val="nil"/>
            </w:tcBorders>
          </w:tcPr>
          <w:p w14:paraId="1021F052" w14:textId="03E6311D" w:rsidR="001413F8" w:rsidRPr="00DC5325" w:rsidRDefault="00CC5F81" w:rsidP="008D0C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C5325">
              <w:rPr>
                <w:rFonts w:ascii="Times New Roman" w:hAnsi="Times New Roman" w:cs="Times New Roman"/>
                <w:sz w:val="16"/>
                <w:szCs w:val="16"/>
              </w:rPr>
              <w:t>89</w:t>
            </w:r>
          </w:p>
        </w:tc>
        <w:tc>
          <w:tcPr>
            <w:tcW w:w="1802" w:type="dxa"/>
            <w:tcBorders>
              <w:top w:val="nil"/>
              <w:bottom w:val="nil"/>
            </w:tcBorders>
          </w:tcPr>
          <w:p w14:paraId="010D2E05" w14:textId="64C5295E" w:rsidR="001413F8" w:rsidRPr="00DC5325" w:rsidRDefault="00122CD6" w:rsidP="008D0C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</w:t>
            </w:r>
            <w:r w:rsidR="001C331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FF0BA1" w:rsidRPr="00DC532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802" w:type="dxa"/>
            <w:tcBorders>
              <w:top w:val="nil"/>
              <w:bottom w:val="nil"/>
            </w:tcBorders>
          </w:tcPr>
          <w:p w14:paraId="71AB1A14" w14:textId="73295B28" w:rsidR="001413F8" w:rsidRPr="00DC5325" w:rsidRDefault="00D164D6" w:rsidP="008D0C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C532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C6761C">
              <w:rPr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</w:tr>
      <w:tr w:rsidR="001413F8" w:rsidRPr="00DC5325" w14:paraId="77B518BD" w14:textId="77777777" w:rsidTr="00CB0B92">
        <w:tc>
          <w:tcPr>
            <w:tcW w:w="1802" w:type="dxa"/>
            <w:tcBorders>
              <w:top w:val="nil"/>
              <w:bottom w:val="nil"/>
            </w:tcBorders>
          </w:tcPr>
          <w:p w14:paraId="357D928D" w14:textId="25C21D10" w:rsidR="001413F8" w:rsidRPr="00DC5325" w:rsidRDefault="001413F8" w:rsidP="008D0C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C5325">
              <w:rPr>
                <w:rFonts w:ascii="Times New Roman" w:hAnsi="Times New Roman" w:cs="Times New Roman"/>
                <w:sz w:val="16"/>
                <w:szCs w:val="16"/>
              </w:rPr>
              <w:t>16B30</w:t>
            </w:r>
          </w:p>
        </w:tc>
        <w:tc>
          <w:tcPr>
            <w:tcW w:w="1802" w:type="dxa"/>
            <w:tcBorders>
              <w:top w:val="nil"/>
              <w:bottom w:val="nil"/>
            </w:tcBorders>
          </w:tcPr>
          <w:p w14:paraId="37D294DC" w14:textId="3A6EE58B" w:rsidR="001413F8" w:rsidRPr="00DC5325" w:rsidRDefault="00872E81" w:rsidP="008D0C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1C331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8A4EE5" w:rsidRPr="00DC532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802" w:type="dxa"/>
            <w:tcBorders>
              <w:top w:val="nil"/>
              <w:bottom w:val="nil"/>
            </w:tcBorders>
          </w:tcPr>
          <w:p w14:paraId="24A58714" w14:textId="30F6D8A3" w:rsidR="001413F8" w:rsidRPr="00DC5325" w:rsidRDefault="00CC5F81" w:rsidP="008D0C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C5325">
              <w:rPr>
                <w:rFonts w:ascii="Times New Roman" w:hAnsi="Times New Roman" w:cs="Times New Roman"/>
                <w:sz w:val="16"/>
                <w:szCs w:val="16"/>
              </w:rPr>
              <w:t>106</w:t>
            </w:r>
          </w:p>
        </w:tc>
        <w:tc>
          <w:tcPr>
            <w:tcW w:w="1802" w:type="dxa"/>
            <w:tcBorders>
              <w:top w:val="nil"/>
              <w:bottom w:val="nil"/>
            </w:tcBorders>
          </w:tcPr>
          <w:p w14:paraId="7D3BC4DB" w14:textId="1B61F19C" w:rsidR="001413F8" w:rsidRPr="00DC5325" w:rsidRDefault="0020036A" w:rsidP="008D0C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C532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802" w:type="dxa"/>
            <w:tcBorders>
              <w:top w:val="nil"/>
              <w:bottom w:val="nil"/>
            </w:tcBorders>
          </w:tcPr>
          <w:p w14:paraId="78FC0768" w14:textId="1043B248" w:rsidR="001413F8" w:rsidRPr="00DC5325" w:rsidRDefault="00A967E2" w:rsidP="008D0C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C532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C6761C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</w:tr>
      <w:tr w:rsidR="001413F8" w:rsidRPr="00DC5325" w14:paraId="69A4DA57" w14:textId="77777777" w:rsidTr="00CB0B92">
        <w:tc>
          <w:tcPr>
            <w:tcW w:w="1802" w:type="dxa"/>
            <w:tcBorders>
              <w:top w:val="nil"/>
              <w:bottom w:val="nil"/>
            </w:tcBorders>
          </w:tcPr>
          <w:p w14:paraId="239AED88" w14:textId="22E1B120" w:rsidR="001413F8" w:rsidRPr="00DC5325" w:rsidRDefault="001413F8" w:rsidP="008D0C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C5325">
              <w:rPr>
                <w:rFonts w:ascii="Times New Roman" w:hAnsi="Times New Roman" w:cs="Times New Roman"/>
                <w:sz w:val="16"/>
                <w:szCs w:val="16"/>
              </w:rPr>
              <w:t>16B31</w:t>
            </w:r>
          </w:p>
        </w:tc>
        <w:tc>
          <w:tcPr>
            <w:tcW w:w="1802" w:type="dxa"/>
            <w:tcBorders>
              <w:top w:val="nil"/>
              <w:bottom w:val="nil"/>
            </w:tcBorders>
          </w:tcPr>
          <w:p w14:paraId="322ADEB5" w14:textId="115DF724" w:rsidR="001413F8" w:rsidRPr="00DC5325" w:rsidRDefault="00872E81" w:rsidP="008D0C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1C331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8A4EE5" w:rsidRPr="00DC532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802" w:type="dxa"/>
            <w:tcBorders>
              <w:top w:val="nil"/>
              <w:bottom w:val="nil"/>
            </w:tcBorders>
          </w:tcPr>
          <w:p w14:paraId="31AE940E" w14:textId="08E1BA69" w:rsidR="001413F8" w:rsidRPr="00DC5325" w:rsidRDefault="00CC5F81" w:rsidP="008D0C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C5325">
              <w:rPr>
                <w:rFonts w:ascii="Times New Roman" w:hAnsi="Times New Roman" w:cs="Times New Roman"/>
                <w:sz w:val="16"/>
                <w:szCs w:val="16"/>
              </w:rPr>
              <w:t>107</w:t>
            </w:r>
          </w:p>
        </w:tc>
        <w:tc>
          <w:tcPr>
            <w:tcW w:w="1802" w:type="dxa"/>
            <w:tcBorders>
              <w:top w:val="nil"/>
              <w:bottom w:val="nil"/>
            </w:tcBorders>
          </w:tcPr>
          <w:p w14:paraId="1172AFCF" w14:textId="65954226" w:rsidR="001413F8" w:rsidRPr="00DC5325" w:rsidRDefault="00E941BE" w:rsidP="008D0C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C532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802" w:type="dxa"/>
            <w:tcBorders>
              <w:top w:val="nil"/>
              <w:bottom w:val="nil"/>
            </w:tcBorders>
          </w:tcPr>
          <w:p w14:paraId="77CF600D" w14:textId="64955302" w:rsidR="001413F8" w:rsidRPr="00DC5325" w:rsidRDefault="00A967E2" w:rsidP="008D0C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C532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C6761C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</w:tr>
      <w:tr w:rsidR="001413F8" w:rsidRPr="00DC5325" w14:paraId="09D8A6E7" w14:textId="77777777" w:rsidTr="00CB0B92">
        <w:tc>
          <w:tcPr>
            <w:tcW w:w="1802" w:type="dxa"/>
            <w:tcBorders>
              <w:top w:val="nil"/>
              <w:bottom w:val="nil"/>
            </w:tcBorders>
          </w:tcPr>
          <w:p w14:paraId="08CD9D02" w14:textId="4754E8F3" w:rsidR="001413F8" w:rsidRPr="00DC5325" w:rsidRDefault="001413F8" w:rsidP="008D0C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C5325">
              <w:rPr>
                <w:rFonts w:ascii="Times New Roman" w:hAnsi="Times New Roman" w:cs="Times New Roman"/>
                <w:sz w:val="16"/>
                <w:szCs w:val="16"/>
              </w:rPr>
              <w:t>16I33</w:t>
            </w:r>
          </w:p>
        </w:tc>
        <w:tc>
          <w:tcPr>
            <w:tcW w:w="1802" w:type="dxa"/>
            <w:tcBorders>
              <w:top w:val="nil"/>
              <w:bottom w:val="nil"/>
            </w:tcBorders>
          </w:tcPr>
          <w:p w14:paraId="1D0AD4E0" w14:textId="6D60A97E" w:rsidR="001413F8" w:rsidRPr="00DC5325" w:rsidRDefault="00872E81" w:rsidP="008D0C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1C331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8A4EE5" w:rsidRPr="00DC532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802" w:type="dxa"/>
            <w:tcBorders>
              <w:top w:val="nil"/>
              <w:bottom w:val="nil"/>
            </w:tcBorders>
          </w:tcPr>
          <w:p w14:paraId="43955A3C" w14:textId="56B915C6" w:rsidR="001413F8" w:rsidRPr="00DC5325" w:rsidRDefault="00CC5F81" w:rsidP="008D0C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C5325">
              <w:rPr>
                <w:rFonts w:ascii="Times New Roman" w:hAnsi="Times New Roman" w:cs="Times New Roman"/>
                <w:sz w:val="16"/>
                <w:szCs w:val="16"/>
              </w:rPr>
              <w:t>107</w:t>
            </w:r>
          </w:p>
        </w:tc>
        <w:tc>
          <w:tcPr>
            <w:tcW w:w="1802" w:type="dxa"/>
            <w:tcBorders>
              <w:top w:val="nil"/>
              <w:bottom w:val="nil"/>
            </w:tcBorders>
          </w:tcPr>
          <w:p w14:paraId="53B386DD" w14:textId="4D6E9101" w:rsidR="001413F8" w:rsidRPr="00DC5325" w:rsidRDefault="0048443B" w:rsidP="008D0C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C532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802" w:type="dxa"/>
            <w:tcBorders>
              <w:top w:val="nil"/>
              <w:bottom w:val="nil"/>
            </w:tcBorders>
          </w:tcPr>
          <w:p w14:paraId="2949A8AC" w14:textId="3CBD1344" w:rsidR="001413F8" w:rsidRPr="00DC5325" w:rsidRDefault="00C6761C" w:rsidP="008D0C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570</w:t>
            </w:r>
          </w:p>
        </w:tc>
      </w:tr>
      <w:tr w:rsidR="001413F8" w:rsidRPr="00DC5325" w14:paraId="1F53A56B" w14:textId="77777777" w:rsidTr="00CB0B92">
        <w:tc>
          <w:tcPr>
            <w:tcW w:w="1802" w:type="dxa"/>
            <w:tcBorders>
              <w:top w:val="nil"/>
            </w:tcBorders>
          </w:tcPr>
          <w:p w14:paraId="37603377" w14:textId="1F798154" w:rsidR="001413F8" w:rsidRPr="00DC5325" w:rsidRDefault="001413F8" w:rsidP="008D0C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C5325">
              <w:rPr>
                <w:rFonts w:ascii="Times New Roman" w:hAnsi="Times New Roman" w:cs="Times New Roman"/>
                <w:sz w:val="16"/>
                <w:szCs w:val="16"/>
              </w:rPr>
              <w:t>16I34</w:t>
            </w:r>
          </w:p>
        </w:tc>
        <w:tc>
          <w:tcPr>
            <w:tcW w:w="1802" w:type="dxa"/>
            <w:tcBorders>
              <w:top w:val="nil"/>
            </w:tcBorders>
          </w:tcPr>
          <w:p w14:paraId="0AE9211F" w14:textId="064F7124" w:rsidR="001413F8" w:rsidRPr="00DC5325" w:rsidRDefault="00872E81" w:rsidP="008D0C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1C331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8A4EE5" w:rsidRPr="00DC532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802" w:type="dxa"/>
            <w:tcBorders>
              <w:top w:val="nil"/>
            </w:tcBorders>
          </w:tcPr>
          <w:p w14:paraId="2CA8695F" w14:textId="15853FA6" w:rsidR="001413F8" w:rsidRPr="00DC5325" w:rsidRDefault="00CC5F81" w:rsidP="008D0C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C5325">
              <w:rPr>
                <w:rFonts w:ascii="Times New Roman" w:hAnsi="Times New Roman" w:cs="Times New Roman"/>
                <w:sz w:val="16"/>
                <w:szCs w:val="16"/>
              </w:rPr>
              <w:t>108</w:t>
            </w:r>
          </w:p>
        </w:tc>
        <w:tc>
          <w:tcPr>
            <w:tcW w:w="1802" w:type="dxa"/>
            <w:tcBorders>
              <w:top w:val="nil"/>
            </w:tcBorders>
          </w:tcPr>
          <w:p w14:paraId="53DF2373" w14:textId="25BDB645" w:rsidR="001413F8" w:rsidRPr="00DC5325" w:rsidRDefault="0048443B" w:rsidP="008D0C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C532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802" w:type="dxa"/>
            <w:tcBorders>
              <w:top w:val="nil"/>
            </w:tcBorders>
          </w:tcPr>
          <w:p w14:paraId="325FC6A0" w14:textId="67AA399D" w:rsidR="001413F8" w:rsidRPr="00DC5325" w:rsidRDefault="00A967E2" w:rsidP="008D0C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C532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C6761C">
              <w:rPr>
                <w:rFonts w:ascii="Times New Roman" w:hAnsi="Times New Roman" w:cs="Times New Roman"/>
                <w:sz w:val="16"/>
                <w:szCs w:val="16"/>
              </w:rPr>
              <w:t>77</w:t>
            </w:r>
          </w:p>
        </w:tc>
      </w:tr>
    </w:tbl>
    <w:p w14:paraId="775613C0" w14:textId="77777777" w:rsidR="001413F8" w:rsidRDefault="001413F8" w:rsidP="008D0CB8">
      <w:pPr>
        <w:rPr>
          <w:rFonts w:ascii="Times New Roman" w:hAnsi="Times New Roman" w:cs="Times New Roman"/>
          <w:sz w:val="20"/>
          <w:szCs w:val="20"/>
        </w:rPr>
      </w:pPr>
    </w:p>
    <w:p w14:paraId="24A4B717" w14:textId="64C9013A" w:rsidR="000F1B83" w:rsidRDefault="000F1B83" w:rsidP="008D0CB8">
      <w:pPr>
        <w:rPr>
          <w:rFonts w:ascii="Times New Roman" w:hAnsi="Times New Roman" w:cs="Times New Roman"/>
          <w:b/>
          <w:sz w:val="20"/>
          <w:szCs w:val="20"/>
        </w:rPr>
      </w:pPr>
      <w:r w:rsidRPr="000F1B83">
        <w:rPr>
          <w:rFonts w:ascii="Times New Roman" w:hAnsi="Times New Roman" w:cs="Times New Roman"/>
          <w:b/>
          <w:sz w:val="20"/>
          <w:szCs w:val="20"/>
        </w:rPr>
        <w:t xml:space="preserve">Table S3: Comparison of the SNP calling pipeline presented in this study with the pipeline presented in Lockhart and colleagues </w:t>
      </w:r>
      <w:r w:rsidRPr="000F1B83">
        <w:rPr>
          <w:rFonts w:ascii="Times New Roman" w:hAnsi="Times New Roman" w:cs="Times New Roman"/>
          <w:b/>
          <w:sz w:val="20"/>
          <w:szCs w:val="20"/>
        </w:rPr>
        <w:fldChar w:fldCharType="begin"/>
      </w:r>
      <w:r w:rsidR="00C6761C">
        <w:rPr>
          <w:rFonts w:ascii="Times New Roman" w:hAnsi="Times New Roman" w:cs="Times New Roman"/>
          <w:b/>
          <w:sz w:val="20"/>
          <w:szCs w:val="20"/>
        </w:rPr>
        <w:instrText xml:space="preserve"> ADDIN PAPERS2_CITATIONS &lt;citation&gt;&lt;priority&gt;0&lt;/priority&gt;&lt;uuid&gt;A15B3EAB-D282-412A-BC2C-3FEE69C3FBC6&lt;/uuid&gt;&lt;publications&gt;&lt;publication&gt;&lt;subtype&gt;400&lt;/subtype&gt;&lt;publisher&gt;Oxford University Press&lt;/publisher&gt;&lt;title&gt;Simultaneous emergence of multidrug resistant Candida auris on three continents confirmed by whole genome sequencing and epidemiological analyses&lt;/title&gt;&lt;url&gt;http://cid.oxfordjournals.org/lookup/doi/10.1093/cid/ciw691&lt;/url&gt;&lt;volume&gt;64&lt;/volume&gt;&lt;publication_date&gt;99201700001200000000200000&lt;/publication_date&gt;&lt;uuid&gt;073E4BF3-AA66-424B-8F73-99981B65D2A9&lt;/uuid&gt;&lt;type&gt;400&lt;/type&gt;&lt;number&gt;2&lt;/number&gt;&lt;doi&gt;10.1093/cid/ciw691&lt;/doi&gt;&lt;startpage&gt;134&lt;/startpage&gt;&lt;endpage&gt;140&lt;/endpage&gt;&lt;bundle&gt;&lt;publication&gt;&lt;title&gt;Clinical Infectious Diseases&lt;/title&gt;&lt;uuid&gt;60B2A472-CA13-49E6-AED4-5FEC3579C249&lt;/uuid&gt;&lt;subtype&gt;-100&lt;/subtype&gt;&lt;publisher&gt;Oxford University Press&lt;/publisher&gt;&lt;type&gt;-100&lt;/type&gt;&lt;/publication&gt;&lt;/bundle&gt;&lt;authors&gt;&lt;author&gt;&lt;lastName&gt;Lockhart&lt;/lastName&gt;&lt;firstName&gt;Shawn&lt;/firstName&gt;&lt;middleNames&gt;R&lt;/middleNames&gt;&lt;/author&gt;&lt;author&gt;&lt;lastName&gt;Etienne&lt;/lastName&gt;&lt;firstName&gt;Kizee&lt;/firstName&gt;&lt;middleNames&gt;A&lt;/middleNames&gt;&lt;/author&gt;&lt;author&gt;&lt;lastName&gt;Vallabhaneni&lt;/lastName&gt;&lt;firstName&gt;Snigdha&lt;/firstName&gt;&lt;/author&gt;&lt;author&gt;&lt;lastName&gt;Farooqi&lt;/lastName&gt;&lt;firstName&gt;Joveria&lt;/firstName&gt;&lt;/author&gt;&lt;author&gt;&lt;lastName&gt;Chowdhary&lt;/lastName&gt;&lt;firstName&gt;Anuradha&lt;/firstName&gt;&lt;/author&gt;&lt;author&gt;&lt;lastName&gt;Govender&lt;/lastName&gt;&lt;firstName&gt;Nelesh&lt;/firstName&gt;&lt;middleNames&gt;P&lt;/middleNames&gt;&lt;/author&gt;&lt;author&gt;&lt;lastName&gt;Colombo&lt;/lastName&gt;&lt;firstName&gt;Arnaldo&lt;/firstName&gt;&lt;middleNames&gt;Lopes&lt;/middleNames&gt;&lt;/author&gt;&lt;author&gt;&lt;lastName&gt;Calvo&lt;/lastName&gt;&lt;firstName&gt;Belinda&lt;/firstName&gt;&lt;/author&gt;&lt;author&gt;&lt;lastName&gt;Cuomo&lt;/lastName&gt;&lt;firstName&gt;Christina&lt;/firstName&gt;&lt;middleNames&gt;A&lt;/middleNames&gt;&lt;/author&gt;&lt;author&gt;&lt;lastName&gt;Desjardins&lt;/lastName&gt;&lt;firstName&gt;Christopher&lt;/firstName&gt;&lt;middleNames&gt;A&lt;/middleNames&gt;&lt;/author&gt;&lt;author&gt;&lt;lastName&gt;Berkow&lt;/lastName&gt;&lt;firstName&gt;Elizabeth&lt;/firstName&gt;&lt;middleNames&gt;L&lt;/middleNames&gt;&lt;/author&gt;&lt;author&gt;&lt;lastName&gt;Castanheira&lt;/lastName&gt;&lt;firstName&gt;Mariana&lt;/firstName&gt;&lt;/author&gt;&lt;author&gt;&lt;lastName&gt;Magobo&lt;/lastName&gt;&lt;firstName&gt;Rindidzani&lt;/firstName&gt;&lt;middleNames&gt;E&lt;/middleNames&gt;&lt;/author&gt;&lt;author&gt;&lt;lastName&gt;Jabeen&lt;/lastName&gt;&lt;firstName&gt;Kauser&lt;/firstName&gt;&lt;/author&gt;&lt;author&gt;&lt;lastName&gt;Asghar&lt;/lastName&gt;&lt;firstName&gt;Rana&lt;/firstName&gt;&lt;middleNames&gt;J&lt;/middleNames&gt;&lt;/author&gt;&lt;author&gt;&lt;lastName&gt;Meis&lt;/lastName&gt;&lt;firstName&gt;Jacques&lt;/firstName&gt;&lt;middleNames&gt;F&lt;/middleNames&gt;&lt;/author&gt;&lt;author&gt;&lt;lastName&gt;Jackson&lt;/lastName&gt;&lt;firstName&gt;Brendan&lt;/firstName&gt;&lt;/author&gt;&lt;author&gt;&lt;lastName&gt;Chiller&lt;/lastName&gt;&lt;firstName&gt;Tom&lt;/firstName&gt;&lt;/author&gt;&lt;author&gt;&lt;lastName&gt;Litvintseva&lt;/lastName&gt;&lt;firstName&gt;Anastasia&lt;/firstName&gt;&lt;middleNames&gt;P&lt;/middleNames&gt;&lt;/author&gt;&lt;/authors&gt;&lt;/publication&gt;&lt;/publications&gt;&lt;cites&gt;&lt;/cites&gt;&lt;/citation&gt;</w:instrText>
      </w:r>
      <w:r w:rsidRPr="000F1B83">
        <w:rPr>
          <w:rFonts w:ascii="Times New Roman" w:hAnsi="Times New Roman" w:cs="Times New Roman"/>
          <w:b/>
          <w:sz w:val="20"/>
          <w:szCs w:val="20"/>
        </w:rPr>
        <w:fldChar w:fldCharType="separate"/>
      </w:r>
      <w:r>
        <w:rPr>
          <w:rFonts w:ascii="Times New Roman" w:hAnsi="Times New Roman" w:cs="Times New Roman"/>
          <w:sz w:val="20"/>
          <w:szCs w:val="20"/>
        </w:rPr>
        <w:t>(1)</w:t>
      </w:r>
      <w:r w:rsidRPr="000F1B83">
        <w:rPr>
          <w:rFonts w:ascii="Times New Roman" w:hAnsi="Times New Roman" w:cs="Times New Roman"/>
          <w:b/>
          <w:sz w:val="20"/>
          <w:szCs w:val="20"/>
        </w:rPr>
        <w:fldChar w:fldCharType="end"/>
      </w:r>
      <w:r>
        <w:rPr>
          <w:rFonts w:ascii="Times New Roman" w:hAnsi="Times New Roman" w:cs="Times New Roman"/>
          <w:b/>
          <w:sz w:val="20"/>
          <w:szCs w:val="20"/>
        </w:rPr>
        <w:t>, with the average number of SNPs separating isolates stated in each study</w:t>
      </w:r>
      <w:r w:rsidR="00B55ABE">
        <w:rPr>
          <w:rFonts w:ascii="Times New Roman" w:hAnsi="Times New Roman" w:cs="Times New Roman"/>
          <w:b/>
          <w:sz w:val="20"/>
          <w:szCs w:val="20"/>
        </w:rPr>
        <w:t>, suggests pipelines produce comparable results</w:t>
      </w:r>
      <w:r>
        <w:rPr>
          <w:rFonts w:ascii="Times New Roman" w:hAnsi="Times New Roman" w:cs="Times New Roman"/>
          <w:b/>
          <w:sz w:val="20"/>
          <w:szCs w:val="20"/>
        </w:rPr>
        <w:t>.</w:t>
      </w:r>
    </w:p>
    <w:tbl>
      <w:tblPr>
        <w:tblStyle w:val="TableGrid"/>
        <w:tblW w:w="9175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5"/>
        <w:gridCol w:w="3690"/>
        <w:gridCol w:w="3600"/>
      </w:tblGrid>
      <w:tr w:rsidR="000F1B83" w14:paraId="672047F6" w14:textId="77777777" w:rsidTr="00CB0B92">
        <w:tc>
          <w:tcPr>
            <w:tcW w:w="1885" w:type="dxa"/>
          </w:tcPr>
          <w:p w14:paraId="1EDEA516" w14:textId="4A00F42C" w:rsidR="000F1B83" w:rsidRDefault="000F1B83" w:rsidP="008D0C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Geographical region</w:t>
            </w:r>
          </w:p>
        </w:tc>
        <w:tc>
          <w:tcPr>
            <w:tcW w:w="3690" w:type="dxa"/>
          </w:tcPr>
          <w:p w14:paraId="5E70072B" w14:textId="30B91F40" w:rsidR="000F1B83" w:rsidRDefault="000F1B83" w:rsidP="006F55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SNPs presented in Lockhart </w:t>
            </w:r>
            <w:r w:rsidR="006F551C" w:rsidRPr="006F551C">
              <w:rPr>
                <w:rFonts w:ascii="Times New Roman" w:hAnsi="Times New Roman" w:cs="Times New Roman"/>
                <w:i/>
                <w:sz w:val="20"/>
                <w:szCs w:val="20"/>
              </w:rPr>
              <w:t>et al.</w:t>
            </w:r>
          </w:p>
        </w:tc>
        <w:tc>
          <w:tcPr>
            <w:tcW w:w="3600" w:type="dxa"/>
          </w:tcPr>
          <w:p w14:paraId="0ACFF615" w14:textId="53178099" w:rsidR="000F1B83" w:rsidRDefault="000F1B83" w:rsidP="006F55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SNPs presented in Rhodes </w:t>
            </w:r>
            <w:r w:rsidR="006F551C" w:rsidRPr="004C2B2F">
              <w:rPr>
                <w:rFonts w:ascii="Times New Roman" w:hAnsi="Times New Roman" w:cs="Times New Roman"/>
                <w:i/>
                <w:sz w:val="20"/>
                <w:szCs w:val="20"/>
              </w:rPr>
              <w:t>et al.</w:t>
            </w:r>
          </w:p>
        </w:tc>
      </w:tr>
      <w:tr w:rsidR="000F1B83" w14:paraId="140A72C5" w14:textId="77777777" w:rsidTr="00CB0B92">
        <w:tc>
          <w:tcPr>
            <w:tcW w:w="1885" w:type="dxa"/>
          </w:tcPr>
          <w:p w14:paraId="5C759B61" w14:textId="2EF7508D" w:rsidR="000F1B83" w:rsidRDefault="000F1B83" w:rsidP="008D0C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South Asia</w:t>
            </w:r>
          </w:p>
        </w:tc>
        <w:tc>
          <w:tcPr>
            <w:tcW w:w="3690" w:type="dxa"/>
          </w:tcPr>
          <w:p w14:paraId="26D6D179" w14:textId="2FB7112D" w:rsidR="000F1B83" w:rsidRDefault="000F1B83" w:rsidP="008D0C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&lt;60</w:t>
            </w:r>
          </w:p>
        </w:tc>
        <w:tc>
          <w:tcPr>
            <w:tcW w:w="3600" w:type="dxa"/>
          </w:tcPr>
          <w:p w14:paraId="1A2EE4C1" w14:textId="5151C6B0" w:rsidR="000F1B83" w:rsidRDefault="000F1B83" w:rsidP="008D0C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</w:tr>
    </w:tbl>
    <w:p w14:paraId="37ECB425" w14:textId="77777777" w:rsidR="000F1B83" w:rsidRPr="000F1B83" w:rsidRDefault="000F1B83" w:rsidP="008D0CB8">
      <w:pPr>
        <w:rPr>
          <w:rFonts w:ascii="Times New Roman" w:hAnsi="Times New Roman" w:cs="Times New Roman"/>
          <w:sz w:val="20"/>
          <w:szCs w:val="20"/>
        </w:rPr>
      </w:pPr>
    </w:p>
    <w:p w14:paraId="030E4ECB" w14:textId="77777777" w:rsidR="000F1B83" w:rsidRPr="00DC5325" w:rsidRDefault="000F1B83" w:rsidP="008D0CB8">
      <w:pPr>
        <w:rPr>
          <w:rFonts w:ascii="Times New Roman" w:hAnsi="Times New Roman" w:cs="Times New Roman"/>
          <w:sz w:val="20"/>
          <w:szCs w:val="20"/>
        </w:rPr>
      </w:pPr>
    </w:p>
    <w:p w14:paraId="41318563" w14:textId="3516B5B0" w:rsidR="005A46A0" w:rsidRDefault="006B40CB" w:rsidP="003A2F57">
      <w:pPr>
        <w:rPr>
          <w:rFonts w:ascii="Times New Roman" w:hAnsi="Times New Roman" w:cs="Times New Roman"/>
          <w:sz w:val="20"/>
          <w:szCs w:val="20"/>
        </w:rPr>
      </w:pPr>
      <w:r w:rsidRPr="00DC5325">
        <w:rPr>
          <w:rFonts w:ascii="Times New Roman" w:hAnsi="Times New Roman" w:cs="Times New Roman"/>
          <w:b/>
          <w:sz w:val="20"/>
          <w:szCs w:val="20"/>
        </w:rPr>
        <w:t>Figure S1</w:t>
      </w:r>
      <w:r w:rsidRPr="00DC5325">
        <w:rPr>
          <w:rFonts w:ascii="Times New Roman" w:hAnsi="Times New Roman" w:cs="Times New Roman"/>
          <w:sz w:val="20"/>
          <w:szCs w:val="20"/>
        </w:rPr>
        <w:t>: Detailed metrics for reads that fall within windows of certain GC bins on our hybrid reference genome</w:t>
      </w:r>
      <w:r w:rsidR="00B07925" w:rsidRPr="00DC5325">
        <w:rPr>
          <w:rFonts w:ascii="Times New Roman" w:hAnsi="Times New Roman" w:cs="Times New Roman"/>
          <w:sz w:val="20"/>
          <w:szCs w:val="20"/>
        </w:rPr>
        <w:t xml:space="preserve"> (constructed from long and short reads for isolate 16B25)</w:t>
      </w:r>
      <w:r w:rsidRPr="00DC5325">
        <w:rPr>
          <w:rFonts w:ascii="Times New Roman" w:hAnsi="Times New Roman" w:cs="Times New Roman"/>
          <w:sz w:val="20"/>
          <w:szCs w:val="20"/>
        </w:rPr>
        <w:t xml:space="preserve"> for a) </w:t>
      </w:r>
      <w:proofErr w:type="spellStart"/>
      <w:r w:rsidRPr="00DC5325">
        <w:rPr>
          <w:rFonts w:ascii="Times New Roman" w:hAnsi="Times New Roman" w:cs="Times New Roman"/>
          <w:sz w:val="20"/>
          <w:szCs w:val="20"/>
        </w:rPr>
        <w:t>Illumina</w:t>
      </w:r>
      <w:proofErr w:type="spellEnd"/>
      <w:r w:rsidRPr="00DC5325">
        <w:rPr>
          <w:rFonts w:ascii="Times New Roman" w:hAnsi="Times New Roman" w:cs="Times New Roman"/>
          <w:sz w:val="20"/>
          <w:szCs w:val="20"/>
        </w:rPr>
        <w:t xml:space="preserve"> short reads only for isolate 16B25 and b) ONT long reads only for isolate 16B25.</w:t>
      </w:r>
    </w:p>
    <w:p w14:paraId="49BF1E11" w14:textId="77777777" w:rsidR="001B5887" w:rsidRDefault="001B5887" w:rsidP="006E2392">
      <w:pPr>
        <w:rPr>
          <w:rFonts w:ascii="Times New Roman" w:hAnsi="Times New Roman" w:cs="Times New Roman"/>
          <w:sz w:val="20"/>
          <w:szCs w:val="20"/>
        </w:rPr>
      </w:pPr>
    </w:p>
    <w:p w14:paraId="14AF59C6" w14:textId="77777777" w:rsidR="00B61F78" w:rsidRDefault="00B61F78" w:rsidP="00E95C00">
      <w:pPr>
        <w:outlineLvl w:val="0"/>
        <w:rPr>
          <w:rFonts w:ascii="Times New Roman" w:hAnsi="Times New Roman" w:cs="Times New Roman"/>
          <w:sz w:val="20"/>
          <w:szCs w:val="20"/>
        </w:rPr>
      </w:pPr>
    </w:p>
    <w:p w14:paraId="43E41E8A" w14:textId="0463CB28" w:rsidR="003D0616" w:rsidRPr="00672564" w:rsidRDefault="00F45EEC" w:rsidP="00672564">
      <w:pPr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F45EEC">
        <w:rPr>
          <w:rFonts w:ascii="Times New Roman" w:hAnsi="Times New Roman" w:cs="Times New Roman"/>
          <w:b/>
          <w:sz w:val="20"/>
          <w:szCs w:val="20"/>
        </w:rPr>
        <w:t>References</w:t>
      </w:r>
    </w:p>
    <w:p w14:paraId="0A91DC4C" w14:textId="61AC08CC" w:rsidR="003D0616" w:rsidRDefault="003D0616">
      <w:pPr>
        <w:rPr>
          <w:rFonts w:ascii="Times New Roman" w:hAnsi="Times New Roman" w:cs="Times New Roman"/>
          <w:sz w:val="20"/>
          <w:szCs w:val="20"/>
        </w:rPr>
      </w:pPr>
    </w:p>
    <w:p w14:paraId="5B1842BD" w14:textId="5B417C62" w:rsidR="00F45EEC" w:rsidRPr="00F45EEC" w:rsidRDefault="003D0616" w:rsidP="00C6761C">
      <w:pPr>
        <w:widowControl w:val="0"/>
        <w:tabs>
          <w:tab w:val="left" w:pos="640"/>
        </w:tabs>
        <w:autoSpaceDE w:val="0"/>
        <w:autoSpaceDN w:val="0"/>
        <w:adjustRightInd w:val="0"/>
        <w:spacing w:after="240"/>
        <w:ind w:left="640" w:hanging="6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fldChar w:fldCharType="begin"/>
      </w:r>
      <w:r>
        <w:rPr>
          <w:rFonts w:ascii="Times New Roman" w:hAnsi="Times New Roman" w:cs="Times New Roman"/>
          <w:sz w:val="20"/>
          <w:szCs w:val="20"/>
        </w:rPr>
        <w:instrText xml:space="preserve"> ADDIN PAPERS2_CITATIONS &lt;papers2_bibliography/&gt;</w:instrText>
      </w:r>
      <w:r>
        <w:rPr>
          <w:rFonts w:ascii="Times New Roman" w:hAnsi="Times New Roman" w:cs="Times New Roman"/>
          <w:sz w:val="20"/>
          <w:szCs w:val="20"/>
        </w:rPr>
        <w:fldChar w:fldCharType="separate"/>
      </w:r>
      <w:r w:rsidR="00C6761C">
        <w:rPr>
          <w:rFonts w:ascii="Times New Roman" w:hAnsi="Times New Roman" w:cs="Times New Roman"/>
          <w:sz w:val="20"/>
          <w:szCs w:val="20"/>
        </w:rPr>
        <w:t>1.</w:t>
      </w:r>
      <w:r w:rsidR="00C6761C">
        <w:rPr>
          <w:rFonts w:ascii="Times New Roman" w:hAnsi="Times New Roman" w:cs="Times New Roman"/>
          <w:sz w:val="20"/>
          <w:szCs w:val="20"/>
        </w:rPr>
        <w:tab/>
        <w:t xml:space="preserve">Lockhart SR, Etienne KA, Vallabhaneni S, Farooqi J, Chowdhary A, Govender NP, et al. Simultaneous emergence of multidrug resistant Candida auris on three continents confirmed by whole genome </w:t>
      </w:r>
      <w:r w:rsidR="00C6761C">
        <w:rPr>
          <w:rFonts w:ascii="Times New Roman" w:hAnsi="Times New Roman" w:cs="Times New Roman"/>
          <w:sz w:val="20"/>
          <w:szCs w:val="20"/>
        </w:rPr>
        <w:lastRenderedPageBreak/>
        <w:t xml:space="preserve">sequencing and epidemiological analyses. Clin Infect Dis. Oxford University Press; 2017;64(2):134–40. </w:t>
      </w:r>
      <w:r>
        <w:rPr>
          <w:rFonts w:ascii="Times New Roman" w:hAnsi="Times New Roman" w:cs="Times New Roman"/>
          <w:sz w:val="20"/>
          <w:szCs w:val="20"/>
        </w:rPr>
        <w:fldChar w:fldCharType="end"/>
      </w:r>
    </w:p>
    <w:sectPr w:rsidR="00F45EEC" w:rsidRPr="00F45EEC" w:rsidSect="00F47CB3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933"/>
    <w:rsid w:val="000223CE"/>
    <w:rsid w:val="000801F2"/>
    <w:rsid w:val="00083888"/>
    <w:rsid w:val="00087B11"/>
    <w:rsid w:val="000A560E"/>
    <w:rsid w:val="000C76DD"/>
    <w:rsid w:val="000F1B83"/>
    <w:rsid w:val="000F7F78"/>
    <w:rsid w:val="00122CD6"/>
    <w:rsid w:val="0013013C"/>
    <w:rsid w:val="001413F8"/>
    <w:rsid w:val="00182F7D"/>
    <w:rsid w:val="00190333"/>
    <w:rsid w:val="001B5887"/>
    <w:rsid w:val="001C3317"/>
    <w:rsid w:val="001C54C9"/>
    <w:rsid w:val="001C577D"/>
    <w:rsid w:val="001D7052"/>
    <w:rsid w:val="001E204B"/>
    <w:rsid w:val="001F6396"/>
    <w:rsid w:val="0020036A"/>
    <w:rsid w:val="00203C71"/>
    <w:rsid w:val="00217BC0"/>
    <w:rsid w:val="00282F46"/>
    <w:rsid w:val="00290D00"/>
    <w:rsid w:val="002A6102"/>
    <w:rsid w:val="0033710F"/>
    <w:rsid w:val="00376018"/>
    <w:rsid w:val="0039102F"/>
    <w:rsid w:val="003A1E2E"/>
    <w:rsid w:val="003A1EA6"/>
    <w:rsid w:val="003A2F57"/>
    <w:rsid w:val="003C1F8A"/>
    <w:rsid w:val="003D0616"/>
    <w:rsid w:val="003D31AC"/>
    <w:rsid w:val="004126F0"/>
    <w:rsid w:val="004221D8"/>
    <w:rsid w:val="00444AA7"/>
    <w:rsid w:val="00470483"/>
    <w:rsid w:val="0047715C"/>
    <w:rsid w:val="0048443B"/>
    <w:rsid w:val="004A6933"/>
    <w:rsid w:val="004A6E20"/>
    <w:rsid w:val="004B1AE1"/>
    <w:rsid w:val="004C22B3"/>
    <w:rsid w:val="004C2B2F"/>
    <w:rsid w:val="004C69A9"/>
    <w:rsid w:val="004E1B12"/>
    <w:rsid w:val="00521336"/>
    <w:rsid w:val="00587ADE"/>
    <w:rsid w:val="005A46A0"/>
    <w:rsid w:val="005C0CBF"/>
    <w:rsid w:val="005D5933"/>
    <w:rsid w:val="005D7705"/>
    <w:rsid w:val="005D7E99"/>
    <w:rsid w:val="00671059"/>
    <w:rsid w:val="00672564"/>
    <w:rsid w:val="00677BDA"/>
    <w:rsid w:val="006B40CB"/>
    <w:rsid w:val="006E2392"/>
    <w:rsid w:val="006F551C"/>
    <w:rsid w:val="0070392E"/>
    <w:rsid w:val="0070676A"/>
    <w:rsid w:val="00745B6A"/>
    <w:rsid w:val="00765B0F"/>
    <w:rsid w:val="007A0DC4"/>
    <w:rsid w:val="007A3919"/>
    <w:rsid w:val="007B25C1"/>
    <w:rsid w:val="007C447F"/>
    <w:rsid w:val="007D4D67"/>
    <w:rsid w:val="00820A62"/>
    <w:rsid w:val="00865B68"/>
    <w:rsid w:val="00872E81"/>
    <w:rsid w:val="008A4EE5"/>
    <w:rsid w:val="008D0CB8"/>
    <w:rsid w:val="0092333B"/>
    <w:rsid w:val="00937332"/>
    <w:rsid w:val="00976D50"/>
    <w:rsid w:val="00A31B6C"/>
    <w:rsid w:val="00A9277D"/>
    <w:rsid w:val="00A967E2"/>
    <w:rsid w:val="00AA557A"/>
    <w:rsid w:val="00AE6EDF"/>
    <w:rsid w:val="00B07925"/>
    <w:rsid w:val="00B2688D"/>
    <w:rsid w:val="00B55ABE"/>
    <w:rsid w:val="00B61F78"/>
    <w:rsid w:val="00BA3BE4"/>
    <w:rsid w:val="00C166B7"/>
    <w:rsid w:val="00C405DF"/>
    <w:rsid w:val="00C6086D"/>
    <w:rsid w:val="00C6761C"/>
    <w:rsid w:val="00C72633"/>
    <w:rsid w:val="00C81E43"/>
    <w:rsid w:val="00C85FE5"/>
    <w:rsid w:val="00CB0B92"/>
    <w:rsid w:val="00CC5F81"/>
    <w:rsid w:val="00CD161A"/>
    <w:rsid w:val="00CD5765"/>
    <w:rsid w:val="00CE09CA"/>
    <w:rsid w:val="00D164D6"/>
    <w:rsid w:val="00D35144"/>
    <w:rsid w:val="00D5026E"/>
    <w:rsid w:val="00D858BC"/>
    <w:rsid w:val="00DA0F4D"/>
    <w:rsid w:val="00DC5325"/>
    <w:rsid w:val="00E352F2"/>
    <w:rsid w:val="00E941BE"/>
    <w:rsid w:val="00E95C00"/>
    <w:rsid w:val="00EC2BFF"/>
    <w:rsid w:val="00EE3538"/>
    <w:rsid w:val="00EE6B73"/>
    <w:rsid w:val="00EF5539"/>
    <w:rsid w:val="00F17C9B"/>
    <w:rsid w:val="00F45EEC"/>
    <w:rsid w:val="00F47CB3"/>
    <w:rsid w:val="00FC19D4"/>
    <w:rsid w:val="00FC5CEF"/>
    <w:rsid w:val="00FF0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7D284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1A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4C69A9"/>
  </w:style>
  <w:style w:type="character" w:styleId="Emphasis">
    <w:name w:val="Emphasis"/>
    <w:basedOn w:val="DefaultParagraphFont"/>
    <w:uiPriority w:val="20"/>
    <w:qFormat/>
    <w:rsid w:val="004C69A9"/>
    <w:rPr>
      <w:i/>
      <w:iCs/>
    </w:rPr>
  </w:style>
  <w:style w:type="character" w:styleId="Hyperlink">
    <w:name w:val="Hyperlink"/>
    <w:basedOn w:val="DefaultParagraphFont"/>
    <w:uiPriority w:val="99"/>
    <w:unhideWhenUsed/>
    <w:rsid w:val="001B5887"/>
    <w:rPr>
      <w:color w:val="0563C1" w:themeColor="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C3317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C3317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801</Words>
  <Characters>4567</Characters>
  <Application>Microsoft Macintosh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/>
      <vt:lpstr>References</vt:lpstr>
    </vt:vector>
  </TitlesOfParts>
  <LinksUpToDate>false</LinksUpToDate>
  <CharactersWithSpaces>5358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Rhodes, Johanna L</dc:creator>
  <cp:keywords/>
  <dc:description/>
  <cp:lastModifiedBy>Rhodes, Johanna L</cp:lastModifiedBy>
  <cp:revision>96</cp:revision>
  <dcterms:created xsi:type="dcterms:W3CDTF">2017-04-11T10:23:00Z</dcterms:created>
  <dcterms:modified xsi:type="dcterms:W3CDTF">2018-01-23T09:21:00Z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PERS2_INFO_01">
    <vt:lpwstr>&lt;info&gt;&lt;style id="http://www.zotero.org/styles/vancouver"/&gt;&lt;hasBiblio/&gt;&lt;format class="21"/&gt;&lt;count citations="1" publications="1"/&gt;&lt;/info&gt;PAPERS2_INFO_END</vt:lpwstr>
  </property>
</Properties>
</file>