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82" w:rsidRPr="006E5582" w:rsidRDefault="00483295" w:rsidP="006E5582">
      <w:pPr>
        <w:rPr>
          <w:lang w:val="en-US"/>
        </w:rPr>
      </w:pPr>
      <w:r>
        <w:rPr>
          <w:b/>
          <w:lang w:val="en-US"/>
        </w:rPr>
        <w:t>Figure S1</w:t>
      </w:r>
    </w:p>
    <w:p w:rsidR="00483295" w:rsidRPr="00B94271" w:rsidRDefault="005515FF" w:rsidP="00B94271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4530" cy="2792730"/>
            <wp:effectExtent l="0" t="0" r="7620" b="7620"/>
            <wp:docPr id="5" name="Bild 1" descr="Fol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i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95" w:rsidRDefault="006E5582" w:rsidP="00342666">
      <w:pPr>
        <w:jc w:val="both"/>
        <w:rPr>
          <w:lang w:val="en-US"/>
        </w:rPr>
      </w:pPr>
      <w:r w:rsidRPr="006E5582">
        <w:rPr>
          <w:b/>
          <w:bCs/>
          <w:lang w:val="en-US"/>
        </w:rPr>
        <w:t>Figure S1.</w:t>
      </w:r>
      <w:r w:rsidRPr="006E5582">
        <w:rPr>
          <w:lang w:val="en-US"/>
        </w:rPr>
        <w:t xml:space="preserve"> Minimal inhibitory concentration of Gentamicin against </w:t>
      </w:r>
      <w:r w:rsidRPr="006E5582">
        <w:rPr>
          <w:i/>
          <w:iCs/>
          <w:lang w:val="en-US"/>
        </w:rPr>
        <w:t>E. coli</w:t>
      </w:r>
      <w:r w:rsidRPr="006E5582">
        <w:rPr>
          <w:lang w:val="en-US"/>
        </w:rPr>
        <w:t xml:space="preserve"> ATCC 25922 under NS and HS conditions (means ± </w:t>
      </w:r>
      <w:proofErr w:type="spellStart"/>
      <w:r w:rsidRPr="006E5582">
        <w:rPr>
          <w:lang w:val="en-US"/>
        </w:rPr>
        <w:t>s.e.m</w:t>
      </w:r>
      <w:proofErr w:type="spellEnd"/>
      <w:r w:rsidRPr="006E5582">
        <w:rPr>
          <w:lang w:val="en-US"/>
        </w:rPr>
        <w:t>; n = 4; Mann Whitney test; * p</w:t>
      </w:r>
      <w:r w:rsidRPr="006E5582">
        <w:rPr>
          <w:i/>
          <w:iCs/>
          <w:lang w:val="en-US"/>
        </w:rPr>
        <w:t xml:space="preserve"> </w:t>
      </w:r>
      <w:r w:rsidRPr="006E5582">
        <w:rPr>
          <w:lang w:val="en-US"/>
        </w:rPr>
        <w:t xml:space="preserve">&lt; 0.05). </w:t>
      </w:r>
    </w:p>
    <w:p w:rsidR="00483295" w:rsidRDefault="00483295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6E5582" w:rsidRPr="00483295" w:rsidRDefault="00483295" w:rsidP="00342666">
      <w:pPr>
        <w:jc w:val="both"/>
        <w:rPr>
          <w:b/>
          <w:lang w:val="en-US"/>
        </w:rPr>
      </w:pPr>
      <w:r w:rsidRPr="00483295">
        <w:rPr>
          <w:b/>
          <w:lang w:val="en-US"/>
        </w:rPr>
        <w:lastRenderedPageBreak/>
        <w:t>Figure S2</w:t>
      </w:r>
    </w:p>
    <w:p w:rsidR="00483295" w:rsidRPr="00B94271" w:rsidRDefault="005515FF" w:rsidP="00B94271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4530" cy="5337175"/>
            <wp:effectExtent l="0" t="0" r="7620" b="0"/>
            <wp:docPr id="6" name="Bild 6" descr="C:\Users\user\AppData\Local\Microsoft\Windows\INetCache\Content.Word\Fol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Foli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7" b="3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3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95" w:rsidRDefault="00483295" w:rsidP="00342666">
      <w:pPr>
        <w:jc w:val="both"/>
        <w:rPr>
          <w:b/>
          <w:bCs/>
          <w:lang w:val="en-US"/>
        </w:rPr>
      </w:pPr>
    </w:p>
    <w:p w:rsidR="006E5582" w:rsidRPr="006E5582" w:rsidRDefault="006E5582" w:rsidP="00342666">
      <w:pPr>
        <w:jc w:val="both"/>
        <w:rPr>
          <w:lang w:val="en-US"/>
        </w:rPr>
      </w:pPr>
      <w:r w:rsidRPr="006E5582">
        <w:rPr>
          <w:b/>
          <w:bCs/>
          <w:lang w:val="en-US"/>
        </w:rPr>
        <w:t xml:space="preserve">Figure S2. </w:t>
      </w:r>
      <w:proofErr w:type="gramStart"/>
      <w:r w:rsidRPr="006E5582">
        <w:rPr>
          <w:lang w:val="en-US"/>
        </w:rPr>
        <w:t>Intracellular Ca</w:t>
      </w:r>
      <w:r w:rsidRPr="006E5582">
        <w:rPr>
          <w:vertAlign w:val="superscript"/>
          <w:lang w:val="en-US"/>
        </w:rPr>
        <w:t>2+</w:t>
      </w:r>
      <w:r w:rsidR="004965FA">
        <w:rPr>
          <w:vertAlign w:val="superscript"/>
          <w:lang w:val="en-US"/>
        </w:rPr>
        <w:t xml:space="preserve"> </w:t>
      </w:r>
      <w:r w:rsidRPr="006E5582">
        <w:rPr>
          <w:lang w:val="en-US"/>
        </w:rPr>
        <w:t>and K</w:t>
      </w:r>
      <w:r w:rsidRPr="006E5582">
        <w:rPr>
          <w:vertAlign w:val="superscript"/>
          <w:lang w:val="en-US"/>
        </w:rPr>
        <w:t>+</w:t>
      </w:r>
      <w:r w:rsidRPr="006E5582">
        <w:rPr>
          <w:lang w:val="en-US"/>
        </w:rPr>
        <w:t xml:space="preserve"> levels upon HS exposure.</w:t>
      </w:r>
      <w:proofErr w:type="gramEnd"/>
      <w:r w:rsidRPr="006E5582">
        <w:rPr>
          <w:lang w:val="en-US"/>
        </w:rPr>
        <w:t xml:space="preserve"> (</w:t>
      </w:r>
      <w:r w:rsidRPr="006E5582">
        <w:rPr>
          <w:b/>
          <w:bCs/>
          <w:lang w:val="en-US"/>
        </w:rPr>
        <w:t>A</w:t>
      </w:r>
      <w:r w:rsidRPr="006E5582">
        <w:rPr>
          <w:lang w:val="en-US"/>
        </w:rPr>
        <w:t>) Intracellular Ca</w:t>
      </w:r>
      <w:r w:rsidRPr="006E5582">
        <w:rPr>
          <w:vertAlign w:val="superscript"/>
          <w:lang w:val="en-US"/>
        </w:rPr>
        <w:t xml:space="preserve">2+ </w:t>
      </w:r>
      <w:r w:rsidRPr="006E5582">
        <w:rPr>
          <w:lang w:val="en-US"/>
        </w:rPr>
        <w:t xml:space="preserve">levels were assessed in Fura-2-loaded and </w:t>
      </w:r>
      <w:r w:rsidRPr="006E5582">
        <w:rPr>
          <w:i/>
          <w:iCs/>
          <w:lang w:val="en-US"/>
        </w:rPr>
        <w:t>E. coli</w:t>
      </w:r>
      <w:r w:rsidRPr="006E5582">
        <w:rPr>
          <w:lang w:val="en-US"/>
        </w:rPr>
        <w:t xml:space="preserve">-infected RAW264.7 MΦ by </w:t>
      </w:r>
      <w:proofErr w:type="spellStart"/>
      <w:r w:rsidRPr="006E5582">
        <w:rPr>
          <w:lang w:val="en-US"/>
        </w:rPr>
        <w:t>ratiometric</w:t>
      </w:r>
      <w:proofErr w:type="spellEnd"/>
      <w:r w:rsidRPr="006E5582">
        <w:rPr>
          <w:lang w:val="en-US"/>
        </w:rPr>
        <w:t xml:space="preserve"> </w:t>
      </w:r>
      <w:proofErr w:type="gramStart"/>
      <w:r w:rsidRPr="006E5582">
        <w:rPr>
          <w:lang w:val="en-US"/>
        </w:rPr>
        <w:t>live</w:t>
      </w:r>
      <w:proofErr w:type="gramEnd"/>
      <w:r w:rsidRPr="006E5582">
        <w:rPr>
          <w:lang w:val="en-US"/>
        </w:rPr>
        <w:t xml:space="preserve"> cell imaging. The arrow indicates the addition of 40 </w:t>
      </w:r>
      <w:proofErr w:type="spellStart"/>
      <w:r w:rsidRPr="006E5582">
        <w:rPr>
          <w:lang w:val="en-US"/>
        </w:rPr>
        <w:t>mM</w:t>
      </w:r>
      <w:proofErr w:type="spellEnd"/>
      <w:r w:rsidRPr="006E5582">
        <w:rPr>
          <w:lang w:val="en-US"/>
        </w:rPr>
        <w:t xml:space="preserve"> </w:t>
      </w:r>
      <w:proofErr w:type="spellStart"/>
      <w:r w:rsidRPr="006E5582">
        <w:rPr>
          <w:lang w:val="en-US"/>
        </w:rPr>
        <w:t>NaCl</w:t>
      </w:r>
      <w:proofErr w:type="spellEnd"/>
      <w:r w:rsidRPr="006E5582">
        <w:rPr>
          <w:lang w:val="en-US"/>
        </w:rPr>
        <w:t xml:space="preserve"> to infected cells (means ± </w:t>
      </w:r>
      <w:proofErr w:type="spellStart"/>
      <w:r w:rsidRPr="006E5582">
        <w:rPr>
          <w:lang w:val="en-US"/>
        </w:rPr>
        <w:t>s.e.m</w:t>
      </w:r>
      <w:proofErr w:type="spellEnd"/>
      <w:r w:rsidRPr="006E5582">
        <w:rPr>
          <w:lang w:val="en-US"/>
        </w:rPr>
        <w:t xml:space="preserve">; n = 6). When indicated, 1 µg/ml </w:t>
      </w:r>
      <w:proofErr w:type="spellStart"/>
      <w:r w:rsidRPr="006E5582">
        <w:rPr>
          <w:lang w:val="en-US"/>
        </w:rPr>
        <w:t>Iono</w:t>
      </w:r>
      <w:proofErr w:type="spellEnd"/>
      <w:r w:rsidRPr="006E5582">
        <w:rPr>
          <w:lang w:val="en-US"/>
        </w:rPr>
        <w:t xml:space="preserve"> (</w:t>
      </w:r>
      <w:proofErr w:type="spellStart"/>
      <w:r w:rsidRPr="006E5582">
        <w:rPr>
          <w:lang w:val="en-US"/>
        </w:rPr>
        <w:t>ionomycin</w:t>
      </w:r>
      <w:proofErr w:type="spellEnd"/>
      <w:r w:rsidRPr="006E5582">
        <w:rPr>
          <w:lang w:val="en-US"/>
        </w:rPr>
        <w:t>) was added to trigger Ca</w:t>
      </w:r>
      <w:r w:rsidRPr="006E5582">
        <w:rPr>
          <w:vertAlign w:val="superscript"/>
          <w:lang w:val="en-US"/>
        </w:rPr>
        <w:t>2+</w:t>
      </w:r>
      <w:r w:rsidRPr="006E5582">
        <w:rPr>
          <w:lang w:val="en-US"/>
        </w:rPr>
        <w:t>-efflux as control. (</w:t>
      </w:r>
      <w:r w:rsidRPr="006E5582">
        <w:rPr>
          <w:b/>
          <w:bCs/>
          <w:lang w:val="en-US"/>
        </w:rPr>
        <w:t>B</w:t>
      </w:r>
      <w:r w:rsidRPr="006E5582">
        <w:rPr>
          <w:lang w:val="en-US"/>
        </w:rPr>
        <w:t>) As in (A), but K</w:t>
      </w:r>
      <w:r w:rsidRPr="006E5582">
        <w:rPr>
          <w:vertAlign w:val="superscript"/>
          <w:lang w:val="en-US"/>
        </w:rPr>
        <w:t>+</w:t>
      </w:r>
      <w:r w:rsidR="004965FA">
        <w:rPr>
          <w:vertAlign w:val="superscript"/>
          <w:lang w:val="en-US"/>
        </w:rPr>
        <w:t xml:space="preserve"> </w:t>
      </w:r>
      <w:r w:rsidRPr="006E5582">
        <w:rPr>
          <w:lang w:val="en-US"/>
        </w:rPr>
        <w:t xml:space="preserve">levels were assessed in PBFI-loaded and </w:t>
      </w:r>
      <w:r w:rsidRPr="006E5582">
        <w:rPr>
          <w:i/>
          <w:iCs/>
          <w:lang w:val="en-US"/>
        </w:rPr>
        <w:t>E. coli</w:t>
      </w:r>
      <w:r w:rsidRPr="006E5582">
        <w:rPr>
          <w:lang w:val="en-US"/>
        </w:rPr>
        <w:t xml:space="preserve">-infected RAW264.7 MΦ (means ± </w:t>
      </w:r>
      <w:proofErr w:type="spellStart"/>
      <w:r w:rsidRPr="006E5582">
        <w:rPr>
          <w:lang w:val="en-US"/>
        </w:rPr>
        <w:t>s.e.m</w:t>
      </w:r>
      <w:proofErr w:type="spellEnd"/>
      <w:r w:rsidRPr="006E5582">
        <w:rPr>
          <w:lang w:val="en-US"/>
        </w:rPr>
        <w:t xml:space="preserve">; n = 4 - 6).  When indicated, ATP + </w:t>
      </w:r>
      <w:proofErr w:type="spellStart"/>
      <w:r w:rsidRPr="006E5582">
        <w:rPr>
          <w:lang w:val="en-US"/>
        </w:rPr>
        <w:t>Iono</w:t>
      </w:r>
      <w:proofErr w:type="spellEnd"/>
      <w:r w:rsidRPr="006E5582">
        <w:rPr>
          <w:lang w:val="en-US"/>
        </w:rPr>
        <w:t xml:space="preserve"> (25 </w:t>
      </w:r>
      <w:proofErr w:type="spellStart"/>
      <w:r w:rsidRPr="006E5582">
        <w:rPr>
          <w:lang w:val="en-US"/>
        </w:rPr>
        <w:t>mM</w:t>
      </w:r>
      <w:proofErr w:type="spellEnd"/>
      <w:r w:rsidRPr="006E5582">
        <w:rPr>
          <w:lang w:val="en-US"/>
        </w:rPr>
        <w:t xml:space="preserve"> ATP +</w:t>
      </w:r>
      <w:r w:rsidR="004965FA">
        <w:rPr>
          <w:lang w:val="en-US"/>
        </w:rPr>
        <w:t> </w:t>
      </w:r>
      <w:r w:rsidRPr="006E5582">
        <w:rPr>
          <w:lang w:val="en-US"/>
        </w:rPr>
        <w:t>10</w:t>
      </w:r>
      <w:r w:rsidR="004965FA">
        <w:rPr>
          <w:lang w:val="en-US"/>
        </w:rPr>
        <w:t xml:space="preserve"> </w:t>
      </w:r>
      <w:r w:rsidRPr="006E5582">
        <w:rPr>
          <w:lang w:val="en-US"/>
        </w:rPr>
        <w:t xml:space="preserve">µg/ml </w:t>
      </w:r>
      <w:proofErr w:type="spellStart"/>
      <w:r w:rsidRPr="006E5582">
        <w:rPr>
          <w:lang w:val="en-US"/>
        </w:rPr>
        <w:t>ionomycin</w:t>
      </w:r>
      <w:proofErr w:type="spellEnd"/>
      <w:r w:rsidRPr="006E5582">
        <w:rPr>
          <w:lang w:val="en-US"/>
        </w:rPr>
        <w:t xml:space="preserve">) </w:t>
      </w:r>
      <w:proofErr w:type="gramStart"/>
      <w:r w:rsidRPr="006E5582">
        <w:rPr>
          <w:lang w:val="en-US"/>
        </w:rPr>
        <w:t>was</w:t>
      </w:r>
      <w:proofErr w:type="gramEnd"/>
      <w:r w:rsidRPr="006E5582">
        <w:rPr>
          <w:lang w:val="en-US"/>
        </w:rPr>
        <w:t xml:space="preserve"> added to induce K</w:t>
      </w:r>
      <w:r w:rsidRPr="006E5582">
        <w:rPr>
          <w:vertAlign w:val="superscript"/>
          <w:lang w:val="en-US"/>
        </w:rPr>
        <w:t>+</w:t>
      </w:r>
      <w:r w:rsidRPr="006E5582">
        <w:rPr>
          <w:lang w:val="en-US"/>
        </w:rPr>
        <w:t>-efflux as control.</w:t>
      </w:r>
    </w:p>
    <w:p w:rsidR="006E5582" w:rsidRDefault="006E5582">
      <w:pPr>
        <w:rPr>
          <w:lang w:val="en-US"/>
        </w:rPr>
      </w:pPr>
    </w:p>
    <w:p w:rsidR="006E5582" w:rsidRDefault="006E5582">
      <w:pPr>
        <w:spacing w:after="160" w:line="259" w:lineRule="auto"/>
        <w:rPr>
          <w:rFonts w:ascii="Cambria" w:eastAsiaTheme="majorEastAsia" w:hAnsi="Cambria" w:cstheme="majorBidi"/>
          <w:b/>
          <w:i/>
          <w:sz w:val="26"/>
          <w:szCs w:val="26"/>
          <w:lang w:val="en-US"/>
        </w:rPr>
      </w:pPr>
      <w:r>
        <w:rPr>
          <w:rFonts w:ascii="Cambria" w:hAnsi="Cambria"/>
          <w:b/>
          <w:i/>
          <w:lang w:val="en-US"/>
        </w:rPr>
        <w:br w:type="page"/>
      </w:r>
    </w:p>
    <w:p w:rsidR="006E5582" w:rsidRPr="00483295" w:rsidRDefault="00483295">
      <w:pPr>
        <w:rPr>
          <w:b/>
          <w:lang w:val="en-US"/>
        </w:rPr>
      </w:pPr>
      <w:r w:rsidRPr="00483295">
        <w:rPr>
          <w:b/>
          <w:lang w:val="en-US"/>
        </w:rPr>
        <w:lastRenderedPageBreak/>
        <w:t>Figure S3</w:t>
      </w:r>
    </w:p>
    <w:p w:rsidR="00483295" w:rsidRPr="00B94271" w:rsidRDefault="005515FF" w:rsidP="00B94271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4530" cy="5277485"/>
            <wp:effectExtent l="0" t="0" r="7620" b="0"/>
            <wp:docPr id="3" name="Bild 3" descr="Foli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i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27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82" w:rsidRPr="006E5582" w:rsidRDefault="006E5582" w:rsidP="00342666">
      <w:pPr>
        <w:jc w:val="both"/>
        <w:rPr>
          <w:lang w:val="en-US"/>
        </w:rPr>
      </w:pPr>
      <w:r w:rsidRPr="006E5582">
        <w:rPr>
          <w:b/>
          <w:bCs/>
          <w:lang w:val="en-US"/>
        </w:rPr>
        <w:t>Figure S3.</w:t>
      </w:r>
      <w:r w:rsidRPr="006E5582">
        <w:rPr>
          <w:lang w:val="en-US"/>
        </w:rPr>
        <w:t xml:space="preserve"> HS increases autophagy in </w:t>
      </w:r>
      <w:r w:rsidRPr="006E5582">
        <w:rPr>
          <w:i/>
          <w:iCs/>
          <w:lang w:val="en-US"/>
        </w:rPr>
        <w:t>E. coli</w:t>
      </w:r>
      <w:r w:rsidRPr="006E5582">
        <w:rPr>
          <w:lang w:val="en-US"/>
        </w:rPr>
        <w:t>-infected MΦ. (</w:t>
      </w:r>
      <w:r w:rsidRPr="006E5582">
        <w:rPr>
          <w:b/>
          <w:bCs/>
          <w:lang w:val="en-US"/>
        </w:rPr>
        <w:t>A</w:t>
      </w:r>
      <w:r w:rsidRPr="006E5582">
        <w:rPr>
          <w:lang w:val="en-US"/>
        </w:rPr>
        <w:t>) RAW264.7 M</w:t>
      </w:r>
      <w:r w:rsidRPr="006E5582">
        <w:rPr>
          <w:lang w:val="en-US"/>
        </w:rPr>
        <w:sym w:font="Symbol" w:char="F046"/>
      </w:r>
      <w:r w:rsidRPr="006E5582">
        <w:rPr>
          <w:lang w:val="en-US"/>
        </w:rPr>
        <w:t xml:space="preserve"> were pretreated </w:t>
      </w:r>
      <w:r w:rsidRPr="006E5582">
        <w:rPr>
          <w:lang w:val="en-US"/>
        </w:rPr>
        <w:sym w:font="Symbol" w:char="F0B1"/>
      </w:r>
      <w:r w:rsidRPr="006E5582">
        <w:rPr>
          <w:lang w:val="en-US"/>
        </w:rPr>
        <w:t xml:space="preserve"> </w:t>
      </w:r>
      <w:proofErr w:type="spellStart"/>
      <w:r w:rsidRPr="006E5582">
        <w:rPr>
          <w:lang w:val="en-US"/>
        </w:rPr>
        <w:t>bafilomycin</w:t>
      </w:r>
      <w:proofErr w:type="spellEnd"/>
      <w:r w:rsidRPr="006E5582">
        <w:rPr>
          <w:lang w:val="en-US"/>
        </w:rPr>
        <w:t xml:space="preserve"> A</w:t>
      </w:r>
      <w:r w:rsidRPr="006E5582">
        <w:rPr>
          <w:vertAlign w:val="subscript"/>
          <w:lang w:val="en-US"/>
        </w:rPr>
        <w:t xml:space="preserve">1 </w:t>
      </w:r>
      <w:r w:rsidRPr="006E5582">
        <w:rPr>
          <w:lang w:val="en-US"/>
        </w:rPr>
        <w:t xml:space="preserve">and infected </w:t>
      </w:r>
      <w:r w:rsidRPr="006E5582">
        <w:rPr>
          <w:lang w:val="en-US"/>
        </w:rPr>
        <w:sym w:font="Symbol" w:char="F0B1"/>
      </w:r>
      <w:r w:rsidRPr="006E5582">
        <w:rPr>
          <w:lang w:val="en-US"/>
        </w:rPr>
        <w:t xml:space="preserve"> HS for ½ h. Densitometry of immunoblots for MAP1LC3B and loading controls (ACT or HSP90; n = 8; paired Student’s t tests; * p &lt; 0.05). (</w:t>
      </w:r>
      <w:r w:rsidRPr="006E5582">
        <w:rPr>
          <w:b/>
          <w:bCs/>
          <w:lang w:val="en-US"/>
        </w:rPr>
        <w:t>B</w:t>
      </w:r>
      <w:r w:rsidRPr="006E5582">
        <w:rPr>
          <w:lang w:val="en-US"/>
        </w:rPr>
        <w:t>)</w:t>
      </w:r>
      <w:r w:rsidRPr="006E5582">
        <w:rPr>
          <w:b/>
          <w:bCs/>
          <w:lang w:val="en-US"/>
        </w:rPr>
        <w:t xml:space="preserve"> </w:t>
      </w:r>
      <w:r w:rsidRPr="006E5582">
        <w:rPr>
          <w:lang w:val="en-US"/>
        </w:rPr>
        <w:t>As (A) but for 2 h. Densitometry of immunoblots stained for SQSTM1 and loading controls (ACT or HSP90; n = 3; paired Student’s t test; * p &lt; 0.05). (</w:t>
      </w:r>
      <w:r w:rsidRPr="006E5582">
        <w:rPr>
          <w:b/>
          <w:bCs/>
          <w:lang w:val="en-US"/>
        </w:rPr>
        <w:t>C</w:t>
      </w:r>
      <w:r w:rsidRPr="006E5582">
        <w:rPr>
          <w:lang w:val="en-US"/>
        </w:rPr>
        <w:t xml:space="preserve">) As (A) but WT and </w:t>
      </w:r>
      <w:proofErr w:type="spellStart"/>
      <w:r w:rsidR="004965FA">
        <w:rPr>
          <w:i/>
          <w:iCs/>
          <w:lang w:val="en-US"/>
        </w:rPr>
        <w:t>c</w:t>
      </w:r>
      <w:r w:rsidRPr="006E5582">
        <w:rPr>
          <w:i/>
          <w:iCs/>
          <w:lang w:val="en-US"/>
        </w:rPr>
        <w:t>ybb</w:t>
      </w:r>
      <w:proofErr w:type="spellEnd"/>
      <w:r w:rsidRPr="006E5582">
        <w:rPr>
          <w:vertAlign w:val="superscript"/>
          <w:lang w:val="en-US"/>
        </w:rPr>
        <w:t>-/-</w:t>
      </w:r>
      <w:r w:rsidRPr="006E5582">
        <w:rPr>
          <w:lang w:val="en-US"/>
        </w:rPr>
        <w:t xml:space="preserve"> BMDM were used. Densitometry of immunoblots stained for MAP1LC3B and loading controls (ACT or HSP90; n = 6; paired Student’s t tests; * p &lt; 0.05).</w:t>
      </w:r>
    </w:p>
    <w:p w:rsidR="006E5582" w:rsidRDefault="006E5582">
      <w:pPr>
        <w:rPr>
          <w:lang w:val="en-US"/>
        </w:rPr>
      </w:pPr>
    </w:p>
    <w:p w:rsidR="00483295" w:rsidRDefault="00483295">
      <w:pPr>
        <w:spacing w:after="160" w:line="259" w:lineRule="auto"/>
        <w:rPr>
          <w:rFonts w:ascii="Cambria" w:eastAsiaTheme="majorEastAsia" w:hAnsi="Cambria" w:cstheme="majorBidi"/>
          <w:b/>
          <w:i/>
          <w:sz w:val="26"/>
          <w:szCs w:val="26"/>
          <w:lang w:val="en-US"/>
        </w:rPr>
      </w:pPr>
      <w:r>
        <w:rPr>
          <w:rFonts w:ascii="Cambria" w:hAnsi="Cambria"/>
          <w:b/>
          <w:i/>
          <w:lang w:val="en-US"/>
        </w:rPr>
        <w:br w:type="page"/>
      </w:r>
    </w:p>
    <w:p w:rsidR="00483295" w:rsidRPr="00483295" w:rsidRDefault="00483295" w:rsidP="00483295">
      <w:pPr>
        <w:rPr>
          <w:b/>
          <w:lang w:val="en-US"/>
        </w:rPr>
      </w:pPr>
      <w:r w:rsidRPr="00483295">
        <w:rPr>
          <w:b/>
          <w:lang w:val="en-US"/>
        </w:rPr>
        <w:lastRenderedPageBreak/>
        <w:t>Figure S</w:t>
      </w:r>
      <w:r>
        <w:rPr>
          <w:b/>
          <w:lang w:val="en-US"/>
        </w:rPr>
        <w:t>4</w:t>
      </w:r>
    </w:p>
    <w:p w:rsidR="00483295" w:rsidRDefault="005515FF" w:rsidP="00B94271">
      <w:pPr>
        <w:rPr>
          <w:lang w:val="en-US"/>
        </w:rPr>
      </w:pPr>
      <w:r>
        <w:rPr>
          <w:b/>
          <w:noProof/>
          <w:lang w:eastAsia="de-DE"/>
        </w:rPr>
        <w:drawing>
          <wp:inline distT="0" distB="0" distL="0" distR="0">
            <wp:extent cx="5764530" cy="6271895"/>
            <wp:effectExtent l="0" t="0" r="7620" b="0"/>
            <wp:docPr id="9" name="Bild 9" descr="C:\Users\user\AppData\Local\Microsoft\Windows\INetCache\Content.Word\Foli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Foli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2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71" w:rsidRPr="00B94271" w:rsidRDefault="00B94271" w:rsidP="00B94271">
      <w:pPr>
        <w:rPr>
          <w:lang w:val="en-US"/>
        </w:rPr>
      </w:pPr>
    </w:p>
    <w:p w:rsidR="00342666" w:rsidRDefault="006E5582" w:rsidP="00342666">
      <w:pPr>
        <w:jc w:val="both"/>
        <w:rPr>
          <w:lang w:val="en-US"/>
        </w:rPr>
      </w:pPr>
      <w:r w:rsidRPr="006E5582">
        <w:rPr>
          <w:b/>
          <w:bCs/>
          <w:lang w:val="en-US"/>
        </w:rPr>
        <w:t>Figure</w:t>
      </w:r>
      <w:r w:rsidR="00C50770">
        <w:rPr>
          <w:b/>
          <w:bCs/>
          <w:lang w:val="en-US"/>
        </w:rPr>
        <w:t xml:space="preserve"> </w:t>
      </w:r>
      <w:bookmarkStart w:id="0" w:name="_GoBack"/>
      <w:bookmarkEnd w:id="0"/>
      <w:r w:rsidRPr="006E5582">
        <w:rPr>
          <w:b/>
          <w:bCs/>
          <w:lang w:val="en-US"/>
        </w:rPr>
        <w:t>S4</w:t>
      </w:r>
      <w:r w:rsidRPr="006E5582">
        <w:rPr>
          <w:lang w:val="en-US"/>
        </w:rPr>
        <w:t>. Autophagy and lysosomal acidification are required for high Na</w:t>
      </w:r>
      <w:r w:rsidRPr="006E5582">
        <w:rPr>
          <w:vertAlign w:val="superscript"/>
          <w:lang w:val="en-US"/>
        </w:rPr>
        <w:t>+</w:t>
      </w:r>
      <w:r w:rsidRPr="006E5582">
        <w:rPr>
          <w:lang w:val="en-US"/>
        </w:rPr>
        <w:t>-increased antibacterial activity. (</w:t>
      </w:r>
      <w:r w:rsidRPr="006E5582">
        <w:rPr>
          <w:b/>
          <w:bCs/>
          <w:lang w:val="en-US"/>
        </w:rPr>
        <w:t>A</w:t>
      </w:r>
      <w:r w:rsidRPr="006E5582">
        <w:rPr>
          <w:lang w:val="en-US"/>
        </w:rPr>
        <w:t xml:space="preserve">) Infected control and </w:t>
      </w:r>
      <w:r w:rsidRPr="006E5582">
        <w:rPr>
          <w:i/>
          <w:iCs/>
          <w:lang w:val="en-US"/>
        </w:rPr>
        <w:t>atg7</w:t>
      </w:r>
      <w:r w:rsidRPr="006E5582">
        <w:rPr>
          <w:lang w:val="en-US"/>
        </w:rPr>
        <w:t xml:space="preserve"> </w:t>
      </w:r>
      <w:proofErr w:type="spellStart"/>
      <w:r w:rsidRPr="006E5582">
        <w:rPr>
          <w:lang w:val="en-US"/>
        </w:rPr>
        <w:t>cKO</w:t>
      </w:r>
      <w:proofErr w:type="spellEnd"/>
      <w:r w:rsidRPr="006E5582">
        <w:rPr>
          <w:i/>
          <w:iCs/>
          <w:lang w:val="en-US"/>
        </w:rPr>
        <w:t xml:space="preserve"> </w:t>
      </w:r>
      <w:r w:rsidRPr="006E5582">
        <w:rPr>
          <w:lang w:val="en-US"/>
        </w:rPr>
        <w:t xml:space="preserve">BMDM were treated </w:t>
      </w:r>
      <w:r w:rsidRPr="006E5582">
        <w:rPr>
          <w:lang w:val="en-US"/>
        </w:rPr>
        <w:sym w:font="Symbol" w:char="F0B1"/>
      </w:r>
      <w:r w:rsidRPr="006E5582">
        <w:rPr>
          <w:lang w:val="en-US"/>
        </w:rPr>
        <w:t xml:space="preserve"> HS for 2 h. Densitometry of immunoblots stained for ATG7 and loading controls (ACT or HSP90; n = 5; paired Student’s t tests; * p &lt; 0.05). (</w:t>
      </w:r>
      <w:r w:rsidRPr="006E5582">
        <w:rPr>
          <w:b/>
          <w:bCs/>
          <w:lang w:val="en-US"/>
        </w:rPr>
        <w:t>B</w:t>
      </w:r>
      <w:r w:rsidRPr="006E5582">
        <w:rPr>
          <w:lang w:val="en-US"/>
        </w:rPr>
        <w:t xml:space="preserve">) BMDM </w:t>
      </w:r>
      <w:proofErr w:type="gramStart"/>
      <w:r w:rsidRPr="006E5582">
        <w:rPr>
          <w:lang w:val="en-US"/>
        </w:rPr>
        <w:t>were</w:t>
      </w:r>
      <w:proofErr w:type="gramEnd"/>
      <w:r w:rsidRPr="006E5582">
        <w:rPr>
          <w:lang w:val="en-US"/>
        </w:rPr>
        <w:t xml:space="preserve"> infected as described in Fig. 1F. Where indicated, the </w:t>
      </w:r>
      <w:proofErr w:type="spellStart"/>
      <w:r w:rsidRPr="006E5582">
        <w:rPr>
          <w:lang w:val="en-US"/>
        </w:rPr>
        <w:t>cathepsin</w:t>
      </w:r>
      <w:proofErr w:type="spellEnd"/>
      <w:r w:rsidRPr="006E5582">
        <w:rPr>
          <w:lang w:val="en-US"/>
        </w:rPr>
        <w:t xml:space="preserve"> inhibitor E-64d (10 µM) was added prior infection. CTSB activity was measured (means ± </w:t>
      </w:r>
      <w:proofErr w:type="spellStart"/>
      <w:r w:rsidRPr="006E5582">
        <w:rPr>
          <w:lang w:val="en-US"/>
        </w:rPr>
        <w:t>s.e.m</w:t>
      </w:r>
      <w:proofErr w:type="spellEnd"/>
      <w:r w:rsidRPr="006E5582">
        <w:rPr>
          <w:lang w:val="en-US"/>
        </w:rPr>
        <w:t>; Student’s t test + Welch correction and Mann Whitney test; n = 6; * p &lt; 0.05). (</w:t>
      </w:r>
      <w:r w:rsidRPr="006E5582">
        <w:rPr>
          <w:b/>
          <w:bCs/>
          <w:lang w:val="en-US"/>
        </w:rPr>
        <w:t>C</w:t>
      </w:r>
      <w:r w:rsidRPr="006E5582">
        <w:rPr>
          <w:lang w:val="en-US"/>
        </w:rPr>
        <w:t xml:space="preserve">) As in (A), but intracellular </w:t>
      </w:r>
      <w:r w:rsidRPr="006E5582">
        <w:rPr>
          <w:i/>
          <w:iCs/>
          <w:lang w:val="en-US"/>
        </w:rPr>
        <w:t>E. coli</w:t>
      </w:r>
      <w:r w:rsidRPr="006E5582">
        <w:rPr>
          <w:lang w:val="en-US"/>
        </w:rPr>
        <w:t xml:space="preserve"> in CFU relative to mean CFU under NS conditions (means ± </w:t>
      </w:r>
      <w:proofErr w:type="spellStart"/>
      <w:r w:rsidRPr="006E5582">
        <w:rPr>
          <w:lang w:val="en-US"/>
        </w:rPr>
        <w:t>s.e.m</w:t>
      </w:r>
      <w:proofErr w:type="spellEnd"/>
      <w:r w:rsidRPr="006E5582">
        <w:rPr>
          <w:lang w:val="en-US"/>
        </w:rPr>
        <w:t>; n = 12; Student’s t test + Welch correction; * p &lt; 0.05)</w:t>
      </w:r>
      <w:r w:rsidR="00C50770">
        <w:rPr>
          <w:lang w:val="en-US"/>
        </w:rPr>
        <w:t>.</w:t>
      </w:r>
    </w:p>
    <w:p w:rsidR="00B94271" w:rsidRDefault="00B94271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E5582" w:rsidRPr="00483295" w:rsidRDefault="00483295" w:rsidP="006E5582">
      <w:pPr>
        <w:rPr>
          <w:b/>
          <w:lang w:val="en-US"/>
        </w:rPr>
      </w:pPr>
      <w:r w:rsidRPr="00483295">
        <w:rPr>
          <w:b/>
          <w:lang w:val="en-US"/>
        </w:rPr>
        <w:lastRenderedPageBreak/>
        <w:t>Figure S5</w:t>
      </w:r>
    </w:p>
    <w:p w:rsidR="00483295" w:rsidRDefault="00426B13" w:rsidP="00B94271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57015" cy="4513479"/>
            <wp:effectExtent l="0" t="0" r="0" b="1905"/>
            <wp:docPr id="2" name="Grafik 2" descr="T:\AG Jantsch\Archiv\Patrick\Autophagie Paper\Revision #4\Supplement Jpegs\20190212 Supp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AG Jantsch\Archiv\Patrick\Autophagie Paper\Revision #4\Supplement Jpegs\20190212 Supple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5" b="37469"/>
                    <a:stretch/>
                  </pic:blipFill>
                  <pic:spPr bwMode="auto">
                    <a:xfrm>
                      <a:off x="0" y="0"/>
                      <a:ext cx="5756910" cy="451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271" w:rsidRPr="00B94271" w:rsidRDefault="00B94271" w:rsidP="00B94271">
      <w:pPr>
        <w:rPr>
          <w:lang w:val="en-US"/>
        </w:rPr>
      </w:pPr>
    </w:p>
    <w:p w:rsidR="00342666" w:rsidRPr="00342666" w:rsidRDefault="00342666" w:rsidP="00342666">
      <w:pPr>
        <w:jc w:val="both"/>
        <w:rPr>
          <w:lang w:val="en-US"/>
        </w:rPr>
      </w:pPr>
      <w:r w:rsidRPr="00342666">
        <w:rPr>
          <w:b/>
          <w:bCs/>
          <w:lang w:val="en-US"/>
        </w:rPr>
        <w:t xml:space="preserve">Figure S5. </w:t>
      </w:r>
      <w:r w:rsidRPr="00342666">
        <w:rPr>
          <w:lang w:val="en-US"/>
        </w:rPr>
        <w:t xml:space="preserve">NFAT5 is required for HS-facilitated targeting of intracellular </w:t>
      </w:r>
      <w:r w:rsidRPr="00342666">
        <w:rPr>
          <w:i/>
          <w:iCs/>
          <w:lang w:val="en-US"/>
        </w:rPr>
        <w:t>E. coli</w:t>
      </w:r>
      <w:r w:rsidRPr="00342666">
        <w:rPr>
          <w:lang w:val="en-US"/>
        </w:rPr>
        <w:t xml:space="preserve"> to autolysosomes. (</w:t>
      </w:r>
      <w:r w:rsidRPr="00342666">
        <w:rPr>
          <w:b/>
          <w:bCs/>
          <w:lang w:val="en-US"/>
        </w:rPr>
        <w:t>A</w:t>
      </w:r>
      <w:r w:rsidRPr="00342666">
        <w:rPr>
          <w:lang w:val="en-US"/>
        </w:rPr>
        <w:t xml:space="preserve">) ns siRNA- or </w:t>
      </w:r>
      <w:r w:rsidRPr="00342666">
        <w:rPr>
          <w:i/>
          <w:iCs/>
          <w:lang w:val="en-US"/>
        </w:rPr>
        <w:t>Nfat5</w:t>
      </w:r>
      <w:r w:rsidRPr="00342666">
        <w:rPr>
          <w:lang w:val="en-US"/>
        </w:rPr>
        <w:t>-specific siRNA-treated RAW264.7 M</w:t>
      </w:r>
      <w:r w:rsidRPr="00342666">
        <w:rPr>
          <w:lang w:val="en-US"/>
        </w:rPr>
        <w:sym w:font="Symbol" w:char="F046"/>
      </w:r>
      <w:r w:rsidRPr="00342666">
        <w:rPr>
          <w:lang w:val="en-US"/>
        </w:rPr>
        <w:t xml:space="preserve"> were infected and stimulated </w:t>
      </w:r>
      <w:r w:rsidRPr="00342666">
        <w:rPr>
          <w:lang w:val="en-US"/>
        </w:rPr>
        <w:sym w:font="Symbol" w:char="F0B1"/>
      </w:r>
      <w:r w:rsidRPr="00342666">
        <w:rPr>
          <w:lang w:val="en-US"/>
        </w:rPr>
        <w:t xml:space="preserve"> HS for ½ h. Densitometry of immunoblots stained for NFAT5 and loading controls (ACT or HSP90; n = 6; Wilcoxon signed rank tests; * p &lt; 0.05). (</w:t>
      </w:r>
      <w:r w:rsidRPr="00342666">
        <w:rPr>
          <w:b/>
          <w:bCs/>
          <w:lang w:val="en-US"/>
        </w:rPr>
        <w:t>B</w:t>
      </w:r>
      <w:r w:rsidRPr="00342666">
        <w:rPr>
          <w:lang w:val="en-US"/>
        </w:rPr>
        <w:t>)</w:t>
      </w:r>
      <w:r w:rsidRPr="00342666">
        <w:rPr>
          <w:b/>
          <w:bCs/>
          <w:lang w:val="en-US"/>
        </w:rPr>
        <w:t xml:space="preserve"> </w:t>
      </w:r>
      <w:r w:rsidRPr="00342666">
        <w:rPr>
          <w:lang w:val="en-US"/>
        </w:rPr>
        <w:t>As (A)</w:t>
      </w:r>
      <w:r w:rsidRPr="00342666">
        <w:rPr>
          <w:b/>
          <w:bCs/>
          <w:lang w:val="en-US"/>
        </w:rPr>
        <w:t xml:space="preserve"> </w:t>
      </w:r>
      <w:r w:rsidRPr="00342666">
        <w:rPr>
          <w:lang w:val="en-US"/>
        </w:rPr>
        <w:t>but for 2 h.</w:t>
      </w:r>
      <w:r w:rsidRPr="00342666">
        <w:rPr>
          <w:b/>
          <w:bCs/>
          <w:lang w:val="en-US"/>
        </w:rPr>
        <w:t xml:space="preserve"> </w:t>
      </w:r>
      <w:r w:rsidRPr="00342666">
        <w:rPr>
          <w:lang w:val="en-US"/>
        </w:rPr>
        <w:t xml:space="preserve">One representative blot and densitometry of several immunoblots stained for ATG7 and loading controls (ACT or HSP90; n = 5; paired Student’s t tests; * p &lt; 0.05). </w:t>
      </w:r>
    </w:p>
    <w:p w:rsidR="00342666" w:rsidRDefault="00342666">
      <w:pPr>
        <w:rPr>
          <w:lang w:val="en-US"/>
        </w:rPr>
      </w:pPr>
    </w:p>
    <w:p w:rsidR="00483295" w:rsidRDefault="00483295">
      <w:pPr>
        <w:spacing w:after="160" w:line="259" w:lineRule="auto"/>
        <w:rPr>
          <w:rFonts w:ascii="Cambria" w:eastAsiaTheme="majorEastAsia" w:hAnsi="Cambria" w:cstheme="majorBidi"/>
          <w:b/>
          <w:i/>
          <w:sz w:val="26"/>
          <w:szCs w:val="26"/>
          <w:lang w:val="en-US"/>
        </w:rPr>
      </w:pPr>
      <w:r>
        <w:rPr>
          <w:rFonts w:ascii="Cambria" w:hAnsi="Cambria"/>
          <w:b/>
          <w:i/>
          <w:lang w:val="en-US"/>
        </w:rPr>
        <w:br w:type="page"/>
      </w:r>
    </w:p>
    <w:p w:rsidR="00342666" w:rsidRPr="00483295" w:rsidRDefault="00483295">
      <w:pPr>
        <w:rPr>
          <w:b/>
          <w:lang w:val="en-US"/>
        </w:rPr>
      </w:pPr>
      <w:r w:rsidRPr="00483295">
        <w:rPr>
          <w:b/>
          <w:lang w:val="en-US"/>
        </w:rPr>
        <w:lastRenderedPageBreak/>
        <w:t>Figure S6</w:t>
      </w:r>
    </w:p>
    <w:p w:rsidR="00483295" w:rsidRDefault="00B94271" w:rsidP="00B94271">
      <w:pPr>
        <w:rPr>
          <w:lang w:val="en-US"/>
        </w:rPr>
      </w:pPr>
      <w:r>
        <w:rPr>
          <w:b/>
          <w:noProof/>
          <w:lang w:eastAsia="de-DE"/>
        </w:rPr>
        <w:drawing>
          <wp:inline distT="0" distB="0" distL="0" distR="0">
            <wp:extent cx="5755914" cy="5516381"/>
            <wp:effectExtent l="0" t="0" r="0" b="8255"/>
            <wp:docPr id="7" name="Grafik 7" descr="C:\Users\user\AppData\Local\Microsoft\Windows\INetCache\Content.Word\Foli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Foli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6" b="27385"/>
                    <a:stretch/>
                  </pic:blipFill>
                  <pic:spPr bwMode="auto">
                    <a:xfrm>
                      <a:off x="0" y="0"/>
                      <a:ext cx="5756275" cy="551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271" w:rsidRPr="00B94271" w:rsidRDefault="00B94271" w:rsidP="00B94271">
      <w:pPr>
        <w:rPr>
          <w:lang w:val="en-US"/>
        </w:rPr>
      </w:pPr>
    </w:p>
    <w:p w:rsidR="00342666" w:rsidRDefault="00342666" w:rsidP="00342666">
      <w:pPr>
        <w:jc w:val="both"/>
        <w:rPr>
          <w:lang w:val="en-US"/>
        </w:rPr>
      </w:pPr>
      <w:r w:rsidRPr="00342666">
        <w:rPr>
          <w:b/>
          <w:bCs/>
          <w:lang w:val="en-US"/>
        </w:rPr>
        <w:t xml:space="preserve">Figure S6. </w:t>
      </w:r>
      <w:r w:rsidRPr="00342666">
        <w:rPr>
          <w:lang w:val="en-US"/>
        </w:rPr>
        <w:t>Blunted AKT and MTOR activation does not account for HS-augmented antibacterial activity. (</w:t>
      </w:r>
      <w:r w:rsidRPr="00342666">
        <w:rPr>
          <w:b/>
          <w:bCs/>
          <w:lang w:val="en-US"/>
        </w:rPr>
        <w:t>A</w:t>
      </w:r>
      <w:r w:rsidRPr="00342666">
        <w:rPr>
          <w:lang w:val="en-US"/>
        </w:rPr>
        <w:t>) RAW264.7 M</w:t>
      </w:r>
      <w:r w:rsidRPr="00342666">
        <w:rPr>
          <w:lang w:val="en-US"/>
        </w:rPr>
        <w:sym w:font="Symbol" w:char="F046"/>
      </w:r>
      <w:r w:rsidRPr="00342666">
        <w:rPr>
          <w:lang w:val="en-US"/>
        </w:rPr>
        <w:t xml:space="preserve"> were pretreated </w:t>
      </w:r>
      <w:r w:rsidRPr="00342666">
        <w:rPr>
          <w:lang w:val="en-US"/>
        </w:rPr>
        <w:sym w:font="Symbol" w:char="F0B1"/>
      </w:r>
      <w:r w:rsidRPr="00342666">
        <w:rPr>
          <w:lang w:val="en-US"/>
        </w:rPr>
        <w:t xml:space="preserve"> Torin1 and infected with </w:t>
      </w:r>
      <w:r w:rsidRPr="00342666">
        <w:rPr>
          <w:i/>
          <w:iCs/>
          <w:lang w:val="en-US"/>
        </w:rPr>
        <w:t>E. coli</w:t>
      </w:r>
      <w:r w:rsidRPr="00342666">
        <w:rPr>
          <w:lang w:val="en-US"/>
        </w:rPr>
        <w:t xml:space="preserve">  </w:t>
      </w:r>
      <w:r w:rsidRPr="00342666">
        <w:rPr>
          <w:lang w:val="en-US"/>
        </w:rPr>
        <w:sym w:font="Symbol" w:char="F0B1"/>
      </w:r>
      <w:r w:rsidRPr="00342666">
        <w:rPr>
          <w:lang w:val="en-US"/>
        </w:rPr>
        <w:t xml:space="preserve"> HS for ½ h. Densitometry of immunoblots for p-AKT and AKT (n = 7; paired Student’s t tests; * p &lt; 0.05). (</w:t>
      </w:r>
      <w:r w:rsidRPr="00342666">
        <w:rPr>
          <w:b/>
          <w:bCs/>
          <w:lang w:val="en-US"/>
        </w:rPr>
        <w:t>B</w:t>
      </w:r>
      <w:r w:rsidRPr="00342666">
        <w:rPr>
          <w:lang w:val="en-US"/>
        </w:rPr>
        <w:t>) As (A) but densitometry of immunoblots for MAP1LC3B and loading controls (ACT or HSP90; n = 5; paired Student’s t tests; * p &lt; 0.05). (</w:t>
      </w:r>
      <w:r w:rsidRPr="00342666">
        <w:rPr>
          <w:b/>
          <w:bCs/>
          <w:lang w:val="en-US"/>
        </w:rPr>
        <w:t>C</w:t>
      </w:r>
      <w:r w:rsidRPr="00342666">
        <w:rPr>
          <w:lang w:val="en-US"/>
        </w:rPr>
        <w:t>) As (A) but for 2 h. Densitometry of immunoblots stained for NFAT5 and loading controls (ACT or HSP90; n = 5; paired Student’s t tests; * p &lt; 0.05).</w:t>
      </w:r>
    </w:p>
    <w:p w:rsidR="00342666" w:rsidRDefault="00342666" w:rsidP="00342666">
      <w:pPr>
        <w:rPr>
          <w:lang w:val="en-US"/>
        </w:rPr>
      </w:pPr>
      <w:r>
        <w:rPr>
          <w:lang w:val="en-US"/>
        </w:rPr>
        <w:br w:type="page"/>
      </w:r>
    </w:p>
    <w:p w:rsidR="00342666" w:rsidRPr="00483295" w:rsidRDefault="00483295" w:rsidP="00342666">
      <w:pPr>
        <w:rPr>
          <w:b/>
          <w:lang w:val="en-US"/>
        </w:rPr>
      </w:pPr>
      <w:r w:rsidRPr="00483295">
        <w:rPr>
          <w:b/>
          <w:lang w:val="en-US"/>
        </w:rPr>
        <w:lastRenderedPageBreak/>
        <w:t>Figure S7</w:t>
      </w:r>
    </w:p>
    <w:p w:rsidR="00483295" w:rsidRPr="00B94271" w:rsidRDefault="005515FF" w:rsidP="00B94271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4530" cy="8308975"/>
            <wp:effectExtent l="0" t="0" r="7620" b="0"/>
            <wp:docPr id="4" name="Bild 4" descr="Foli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lie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30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66" w:rsidRDefault="00342666" w:rsidP="00342666">
      <w:pPr>
        <w:jc w:val="both"/>
        <w:rPr>
          <w:lang w:val="en-US"/>
        </w:rPr>
      </w:pPr>
      <w:r w:rsidRPr="00342666">
        <w:rPr>
          <w:b/>
          <w:bCs/>
          <w:lang w:val="en-US"/>
        </w:rPr>
        <w:lastRenderedPageBreak/>
        <w:t xml:space="preserve">Figure S7. </w:t>
      </w:r>
      <w:r w:rsidRPr="00342666">
        <w:rPr>
          <w:lang w:val="en-US"/>
        </w:rPr>
        <w:t>The presence of HIF1A is required for HS-triggered autophagy induction and anti</w:t>
      </w:r>
      <w:r w:rsidR="0068072C">
        <w:rPr>
          <w:lang w:val="en-US"/>
        </w:rPr>
        <w:t>bacterial activity</w:t>
      </w:r>
      <w:r w:rsidRPr="00342666">
        <w:rPr>
          <w:lang w:val="en-US"/>
        </w:rPr>
        <w:t>.</w:t>
      </w:r>
      <w:r w:rsidRPr="00342666">
        <w:rPr>
          <w:b/>
          <w:bCs/>
          <w:lang w:val="en-US"/>
        </w:rPr>
        <w:t xml:space="preserve"> </w:t>
      </w:r>
      <w:r w:rsidRPr="00342666">
        <w:rPr>
          <w:lang w:val="en-US"/>
        </w:rPr>
        <w:t>(</w:t>
      </w:r>
      <w:r w:rsidRPr="00342666">
        <w:rPr>
          <w:b/>
          <w:bCs/>
          <w:lang w:val="en-US"/>
        </w:rPr>
        <w:t>A</w:t>
      </w:r>
      <w:r w:rsidRPr="00342666">
        <w:rPr>
          <w:lang w:val="en-US"/>
        </w:rPr>
        <w:t>)</w:t>
      </w:r>
      <w:r w:rsidRPr="00342666">
        <w:rPr>
          <w:b/>
          <w:bCs/>
          <w:lang w:val="en-US"/>
        </w:rPr>
        <w:t xml:space="preserve"> </w:t>
      </w:r>
      <w:r w:rsidRPr="00342666">
        <w:rPr>
          <w:lang w:val="en-US"/>
        </w:rPr>
        <w:t>RAW264.7 M</w:t>
      </w:r>
      <w:r w:rsidRPr="00342666">
        <w:rPr>
          <w:lang w:val="en-US"/>
        </w:rPr>
        <w:sym w:font="Symbol" w:char="F046"/>
      </w:r>
      <w:r w:rsidRPr="00342666">
        <w:rPr>
          <w:lang w:val="en-US"/>
        </w:rPr>
        <w:t xml:space="preserve"> were infected and stimulated </w:t>
      </w:r>
      <w:r w:rsidRPr="00342666">
        <w:rPr>
          <w:lang w:val="en-US"/>
        </w:rPr>
        <w:sym w:font="Symbol" w:char="F0B1"/>
      </w:r>
      <w:r w:rsidRPr="00342666">
        <w:rPr>
          <w:lang w:val="en-US"/>
        </w:rPr>
        <w:t xml:space="preserve"> HS for 2 h. Densitometry of immunoblots stained for HIF1A and loading controls (ACT or HSP90; n = 6; Wilcoxon signed rank test; * p &lt; 0.05). (</w:t>
      </w:r>
      <w:r w:rsidRPr="00342666">
        <w:rPr>
          <w:b/>
          <w:bCs/>
          <w:lang w:val="en-US"/>
        </w:rPr>
        <w:t>B</w:t>
      </w:r>
      <w:r w:rsidRPr="00342666">
        <w:rPr>
          <w:lang w:val="en-US"/>
        </w:rPr>
        <w:t xml:space="preserve">) As in Fig. 1A, but </w:t>
      </w:r>
      <w:r w:rsidRPr="00342666">
        <w:rPr>
          <w:i/>
          <w:iCs/>
          <w:lang w:val="en-US"/>
        </w:rPr>
        <w:t>Pgk1</w:t>
      </w:r>
      <w:r w:rsidRPr="00342666">
        <w:rPr>
          <w:lang w:val="en-US"/>
        </w:rPr>
        <w:t xml:space="preserve"> and </w:t>
      </w:r>
      <w:r w:rsidRPr="00342666">
        <w:rPr>
          <w:i/>
          <w:iCs/>
          <w:lang w:val="en-US"/>
        </w:rPr>
        <w:t>Slc2a1</w:t>
      </w:r>
      <w:r w:rsidRPr="00342666">
        <w:rPr>
          <w:lang w:val="en-US"/>
        </w:rPr>
        <w:t xml:space="preserve"> mRNA levels were quantified (means ± </w:t>
      </w:r>
      <w:proofErr w:type="spellStart"/>
      <w:r w:rsidRPr="00342666">
        <w:rPr>
          <w:lang w:val="en-US"/>
        </w:rPr>
        <w:t>s.e.m</w:t>
      </w:r>
      <w:proofErr w:type="spellEnd"/>
      <w:r w:rsidRPr="00342666">
        <w:rPr>
          <w:lang w:val="en-US"/>
        </w:rPr>
        <w:t>; n = 6; Student’s t test or Mann Whitney test, * p &lt; 0.05). (</w:t>
      </w:r>
      <w:r w:rsidRPr="00342666">
        <w:rPr>
          <w:b/>
          <w:bCs/>
          <w:lang w:val="en-US"/>
        </w:rPr>
        <w:t>C</w:t>
      </w:r>
      <w:r w:rsidRPr="00342666">
        <w:rPr>
          <w:lang w:val="en-US"/>
        </w:rPr>
        <w:t>) After treating RAW264.7 M</w:t>
      </w:r>
      <w:r w:rsidRPr="00342666">
        <w:rPr>
          <w:lang w:val="en-US"/>
        </w:rPr>
        <w:sym w:font="Symbol" w:char="F046"/>
      </w:r>
      <w:r w:rsidRPr="00342666">
        <w:rPr>
          <w:lang w:val="en-US"/>
        </w:rPr>
        <w:t xml:space="preserve"> with ns siRNA or </w:t>
      </w:r>
      <w:r w:rsidRPr="00342666">
        <w:rPr>
          <w:i/>
          <w:iCs/>
          <w:lang w:val="en-US"/>
        </w:rPr>
        <w:t xml:space="preserve">Hif1a </w:t>
      </w:r>
      <w:r w:rsidRPr="00342666">
        <w:rPr>
          <w:lang w:val="en-US"/>
        </w:rPr>
        <w:t>siRNA</w:t>
      </w:r>
      <w:r w:rsidRPr="00342666">
        <w:rPr>
          <w:i/>
          <w:iCs/>
          <w:lang w:val="en-US"/>
        </w:rPr>
        <w:t>,</w:t>
      </w:r>
      <w:r w:rsidRPr="00342666">
        <w:rPr>
          <w:lang w:val="en-US"/>
        </w:rPr>
        <w:t xml:space="preserve"> </w:t>
      </w:r>
      <w:r w:rsidRPr="00342666">
        <w:rPr>
          <w:i/>
          <w:iCs/>
          <w:lang w:val="en-US"/>
        </w:rPr>
        <w:t>Hif1a</w:t>
      </w:r>
      <w:r w:rsidRPr="00342666">
        <w:rPr>
          <w:lang w:val="en-US"/>
        </w:rPr>
        <w:t xml:space="preserve"> and </w:t>
      </w:r>
      <w:r w:rsidRPr="00342666">
        <w:rPr>
          <w:i/>
          <w:iCs/>
          <w:lang w:val="en-US"/>
        </w:rPr>
        <w:t>Bnip3</w:t>
      </w:r>
      <w:r w:rsidRPr="00342666">
        <w:rPr>
          <w:lang w:val="en-US"/>
        </w:rPr>
        <w:t xml:space="preserve"> mRNA levels were quantified 2 h after infection </w:t>
      </w:r>
      <w:r w:rsidRPr="00342666">
        <w:rPr>
          <w:lang w:val="en-US"/>
        </w:rPr>
        <w:sym w:font="Symbol" w:char="F0B1"/>
      </w:r>
      <w:r w:rsidRPr="00342666">
        <w:rPr>
          <w:lang w:val="en-US"/>
        </w:rPr>
        <w:t xml:space="preserve"> HS (means ± </w:t>
      </w:r>
      <w:proofErr w:type="spellStart"/>
      <w:r w:rsidRPr="00342666">
        <w:rPr>
          <w:lang w:val="en-US"/>
        </w:rPr>
        <w:t>s.e.m</w:t>
      </w:r>
      <w:proofErr w:type="spellEnd"/>
      <w:r w:rsidRPr="00342666">
        <w:rPr>
          <w:lang w:val="en-US"/>
        </w:rPr>
        <w:t>; n = 6; Student’s t test; * p &lt; 0.05). (</w:t>
      </w:r>
      <w:r w:rsidRPr="00342666">
        <w:rPr>
          <w:b/>
          <w:bCs/>
          <w:lang w:val="en-US"/>
        </w:rPr>
        <w:t>D</w:t>
      </w:r>
      <w:r w:rsidRPr="00342666">
        <w:rPr>
          <w:lang w:val="en-US"/>
        </w:rPr>
        <w:t xml:space="preserve">) ns siRNA- or </w:t>
      </w:r>
      <w:r w:rsidRPr="00342666">
        <w:rPr>
          <w:i/>
          <w:iCs/>
          <w:lang w:val="en-US"/>
        </w:rPr>
        <w:t>Hif1a</w:t>
      </w:r>
      <w:r w:rsidRPr="00342666">
        <w:rPr>
          <w:lang w:val="en-US"/>
        </w:rPr>
        <w:t>-specific siRNA-treated RAW264.7 M</w:t>
      </w:r>
      <w:r w:rsidRPr="00342666">
        <w:rPr>
          <w:lang w:val="en-US"/>
        </w:rPr>
        <w:sym w:font="Symbol" w:char="F046"/>
      </w:r>
      <w:r w:rsidRPr="00342666">
        <w:rPr>
          <w:lang w:val="en-US"/>
        </w:rPr>
        <w:t xml:space="preserve"> were infected and stimulated </w:t>
      </w:r>
      <w:r w:rsidRPr="00342666">
        <w:rPr>
          <w:lang w:val="en-US"/>
        </w:rPr>
        <w:sym w:font="Symbol" w:char="F0B1"/>
      </w:r>
      <w:r w:rsidRPr="00342666">
        <w:rPr>
          <w:lang w:val="en-US"/>
        </w:rPr>
        <w:t xml:space="preserve"> HS for 4 h. Densitometry of immunoblots for HIF1A and loading controls (ACT or HSP90; n = 4; paired Student’s t test; * p &lt; 0.05). (</w:t>
      </w:r>
      <w:r w:rsidRPr="00342666">
        <w:rPr>
          <w:b/>
          <w:bCs/>
          <w:lang w:val="en-US"/>
        </w:rPr>
        <w:t>E</w:t>
      </w:r>
      <w:r w:rsidRPr="00342666">
        <w:rPr>
          <w:lang w:val="en-US"/>
        </w:rPr>
        <w:t xml:space="preserve">) ns siRNA- or </w:t>
      </w:r>
      <w:r w:rsidRPr="00342666">
        <w:rPr>
          <w:i/>
          <w:iCs/>
          <w:lang w:val="en-US"/>
        </w:rPr>
        <w:t>Hif1a</w:t>
      </w:r>
      <w:r w:rsidRPr="00342666">
        <w:rPr>
          <w:lang w:val="en-US"/>
        </w:rPr>
        <w:t>-specific siRNA-treated RAW264.7 M</w:t>
      </w:r>
      <w:r w:rsidRPr="00342666">
        <w:rPr>
          <w:lang w:val="en-US"/>
        </w:rPr>
        <w:sym w:font="Symbol" w:char="F046"/>
      </w:r>
      <w:r w:rsidRPr="00342666">
        <w:rPr>
          <w:lang w:val="en-US"/>
        </w:rPr>
        <w:t xml:space="preserve"> were infected and stimulated </w:t>
      </w:r>
      <w:r w:rsidRPr="00342666">
        <w:rPr>
          <w:lang w:val="en-US"/>
        </w:rPr>
        <w:sym w:font="Symbol" w:char="F0B1"/>
      </w:r>
      <w:r w:rsidRPr="00342666">
        <w:rPr>
          <w:lang w:val="en-US"/>
        </w:rPr>
        <w:t xml:space="preserve"> HS for ½ h. Densitometry of immunoblots stained for MAP1LC3B and loading controls (ACT or HSP90; n = 5; paired Student’s t test; * p &lt; 0.05). </w:t>
      </w:r>
    </w:p>
    <w:p w:rsidR="00342666" w:rsidRDefault="00342666" w:rsidP="00342666">
      <w:pPr>
        <w:rPr>
          <w:lang w:val="en-US"/>
        </w:rPr>
      </w:pPr>
      <w:r>
        <w:rPr>
          <w:lang w:val="en-US"/>
        </w:rPr>
        <w:br w:type="page"/>
      </w:r>
    </w:p>
    <w:p w:rsidR="00342666" w:rsidRPr="00663A26" w:rsidRDefault="00663A26" w:rsidP="00342666">
      <w:pPr>
        <w:rPr>
          <w:b/>
          <w:lang w:val="en-US"/>
        </w:rPr>
      </w:pPr>
      <w:r w:rsidRPr="00663A26">
        <w:rPr>
          <w:b/>
          <w:lang w:val="en-US"/>
        </w:rPr>
        <w:lastRenderedPageBreak/>
        <w:t>Figure S8</w:t>
      </w:r>
    </w:p>
    <w:p w:rsidR="00342666" w:rsidRDefault="00B94271">
      <w:pPr>
        <w:rPr>
          <w:lang w:val="en-US"/>
        </w:rPr>
      </w:pPr>
      <w:r>
        <w:rPr>
          <w:b/>
          <w:noProof/>
          <w:lang w:eastAsia="de-DE"/>
        </w:rPr>
        <w:drawing>
          <wp:inline distT="0" distB="0" distL="0" distR="0">
            <wp:extent cx="5756275" cy="8319770"/>
            <wp:effectExtent l="0" t="0" r="0" b="5080"/>
            <wp:docPr id="8" name="Grafik 8" descr="C:\Users\user\AppData\Local\Microsoft\Windows\INetCache\Content.Word\Foli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Folie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31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66" w:rsidRPr="00342666" w:rsidRDefault="00342666" w:rsidP="00342666">
      <w:pPr>
        <w:jc w:val="both"/>
        <w:rPr>
          <w:lang w:val="en-US"/>
        </w:rPr>
      </w:pPr>
      <w:r w:rsidRPr="00342666">
        <w:rPr>
          <w:b/>
          <w:bCs/>
          <w:lang w:val="en-US"/>
        </w:rPr>
        <w:lastRenderedPageBreak/>
        <w:t xml:space="preserve">Figure S8. </w:t>
      </w:r>
      <w:proofErr w:type="gramStart"/>
      <w:r w:rsidRPr="00342666">
        <w:rPr>
          <w:lang w:val="en-US"/>
        </w:rPr>
        <w:t>Relationship of HIF1A and NFAT5 upon exposure to HS.</w:t>
      </w:r>
      <w:proofErr w:type="gramEnd"/>
      <w:r w:rsidRPr="00342666">
        <w:rPr>
          <w:lang w:val="en-US"/>
        </w:rPr>
        <w:t xml:space="preserve"> (</w:t>
      </w:r>
      <w:r w:rsidRPr="00342666">
        <w:rPr>
          <w:b/>
          <w:bCs/>
          <w:lang w:val="en-US"/>
        </w:rPr>
        <w:t>A</w:t>
      </w:r>
      <w:r w:rsidRPr="00342666">
        <w:rPr>
          <w:lang w:val="en-US"/>
        </w:rPr>
        <w:t>)</w:t>
      </w:r>
      <w:r w:rsidRPr="00342666">
        <w:rPr>
          <w:b/>
          <w:bCs/>
          <w:lang w:val="en-US"/>
        </w:rPr>
        <w:t xml:space="preserve"> </w:t>
      </w:r>
      <w:r w:rsidRPr="00342666">
        <w:rPr>
          <w:lang w:val="en-US"/>
        </w:rPr>
        <w:t xml:space="preserve">Quantification of </w:t>
      </w:r>
      <w:r w:rsidRPr="00342666">
        <w:rPr>
          <w:i/>
          <w:iCs/>
          <w:lang w:val="en-US"/>
        </w:rPr>
        <w:t>Nfat5</w:t>
      </w:r>
      <w:r w:rsidRPr="00342666">
        <w:rPr>
          <w:lang w:val="en-US"/>
        </w:rPr>
        <w:t xml:space="preserve"> mRNA levels in </w:t>
      </w:r>
      <w:r w:rsidRPr="00342666">
        <w:rPr>
          <w:i/>
          <w:iCs/>
          <w:lang w:val="en-US"/>
        </w:rPr>
        <w:t>E. coli</w:t>
      </w:r>
      <w:r w:rsidRPr="00342666">
        <w:rPr>
          <w:lang w:val="en-US"/>
        </w:rPr>
        <w:t>-infected M</w:t>
      </w:r>
      <w:r w:rsidRPr="00342666">
        <w:rPr>
          <w:lang w:val="en-US"/>
        </w:rPr>
        <w:sym w:font="Symbol" w:char="F046"/>
      </w:r>
      <w:r w:rsidRPr="00342666">
        <w:rPr>
          <w:lang w:val="en-US"/>
        </w:rPr>
        <w:t xml:space="preserve"> </w:t>
      </w:r>
      <w:r w:rsidRPr="00342666">
        <w:rPr>
          <w:lang w:val="en-US"/>
        </w:rPr>
        <w:sym w:font="Symbol" w:char="F0B1"/>
      </w:r>
      <w:r w:rsidRPr="00342666">
        <w:rPr>
          <w:lang w:val="en-US"/>
        </w:rPr>
        <w:t xml:space="preserve"> HS, which were either treated with non-silencing (ns) siRNA or </w:t>
      </w:r>
      <w:r w:rsidRPr="00342666">
        <w:rPr>
          <w:i/>
          <w:iCs/>
          <w:lang w:val="en-US"/>
        </w:rPr>
        <w:t>Hif1a</w:t>
      </w:r>
      <w:r w:rsidRPr="00342666">
        <w:rPr>
          <w:lang w:val="en-US"/>
        </w:rPr>
        <w:t>-specific siRNA at 2 h post infection (n = 13, Student’s t test or Mann-Whitney U test; * p &lt; 0.05). (</w:t>
      </w:r>
      <w:r w:rsidRPr="00342666">
        <w:rPr>
          <w:b/>
          <w:bCs/>
          <w:lang w:val="en-US"/>
        </w:rPr>
        <w:t>B</w:t>
      </w:r>
      <w:r w:rsidRPr="00342666">
        <w:rPr>
          <w:lang w:val="en-US"/>
        </w:rPr>
        <w:t>)</w:t>
      </w:r>
      <w:r w:rsidRPr="00342666">
        <w:rPr>
          <w:b/>
          <w:bCs/>
          <w:lang w:val="en-US"/>
        </w:rPr>
        <w:t xml:space="preserve"> </w:t>
      </w:r>
      <w:r w:rsidRPr="00342666">
        <w:rPr>
          <w:lang w:val="en-US"/>
        </w:rPr>
        <w:t>As in (A), but quantification of NFAT5 and ACT protein levels was performed after 4 h (n = 4, paired Student’s t test; * p &lt; 0.05). (</w:t>
      </w:r>
      <w:r w:rsidRPr="00342666">
        <w:rPr>
          <w:b/>
          <w:bCs/>
          <w:lang w:val="en-US"/>
        </w:rPr>
        <w:t>C</w:t>
      </w:r>
      <w:r w:rsidRPr="00342666">
        <w:rPr>
          <w:lang w:val="en-US"/>
        </w:rPr>
        <w:t>)</w:t>
      </w:r>
      <w:r w:rsidRPr="00342666">
        <w:rPr>
          <w:b/>
          <w:bCs/>
          <w:lang w:val="en-US"/>
        </w:rPr>
        <w:t xml:space="preserve"> </w:t>
      </w:r>
      <w:r w:rsidRPr="00342666">
        <w:rPr>
          <w:lang w:val="en-US"/>
        </w:rPr>
        <w:t xml:space="preserve">Quantification of </w:t>
      </w:r>
      <w:r w:rsidRPr="00342666">
        <w:rPr>
          <w:i/>
          <w:iCs/>
          <w:lang w:val="en-US"/>
        </w:rPr>
        <w:t>Hif1a</w:t>
      </w:r>
      <w:r w:rsidRPr="00342666">
        <w:rPr>
          <w:lang w:val="en-US"/>
        </w:rPr>
        <w:t xml:space="preserve"> mRNA levels in M</w:t>
      </w:r>
      <w:r w:rsidRPr="00342666">
        <w:rPr>
          <w:lang w:val="en-US"/>
        </w:rPr>
        <w:sym w:font="Symbol" w:char="F046"/>
      </w:r>
      <w:r w:rsidRPr="00342666">
        <w:rPr>
          <w:lang w:val="en-US"/>
        </w:rPr>
        <w:t xml:space="preserve"> </w:t>
      </w:r>
      <w:r w:rsidRPr="00342666">
        <w:rPr>
          <w:lang w:val="en-US"/>
        </w:rPr>
        <w:sym w:font="Symbol" w:char="F0B1"/>
      </w:r>
      <w:r w:rsidRPr="00342666">
        <w:rPr>
          <w:lang w:val="en-US"/>
        </w:rPr>
        <w:t xml:space="preserve"> HS at 2 h post </w:t>
      </w:r>
      <w:r w:rsidRPr="00342666">
        <w:rPr>
          <w:i/>
          <w:iCs/>
          <w:lang w:val="en-US"/>
        </w:rPr>
        <w:t>E. coli</w:t>
      </w:r>
      <w:r w:rsidRPr="00342666">
        <w:rPr>
          <w:lang w:val="en-US"/>
        </w:rPr>
        <w:t xml:space="preserve">-infection, which were either pretreated with ns siRNA or </w:t>
      </w:r>
      <w:r w:rsidRPr="00342666">
        <w:rPr>
          <w:i/>
          <w:iCs/>
          <w:lang w:val="en-US"/>
        </w:rPr>
        <w:t>Nfat5</w:t>
      </w:r>
      <w:r w:rsidRPr="00342666">
        <w:rPr>
          <w:lang w:val="en-US"/>
        </w:rPr>
        <w:t>-specific siRNA (n = 9; Mann-Whitney U test, * p &lt; 0.05). (</w:t>
      </w:r>
      <w:r w:rsidRPr="00342666">
        <w:rPr>
          <w:b/>
          <w:bCs/>
          <w:lang w:val="en-US"/>
        </w:rPr>
        <w:t>D</w:t>
      </w:r>
      <w:r w:rsidRPr="00342666">
        <w:rPr>
          <w:lang w:val="en-US"/>
        </w:rPr>
        <w:t>) Cells were treated as in (C), but quantification of HIF1A protein levels was performed (n = 6; paired Student’s t test or Wilcoxon signed rank test; * p &lt; 0.05. (</w:t>
      </w:r>
      <w:r w:rsidRPr="00342666">
        <w:rPr>
          <w:b/>
          <w:bCs/>
          <w:lang w:val="en-US"/>
        </w:rPr>
        <w:t>E</w:t>
      </w:r>
      <w:r w:rsidRPr="00342666">
        <w:rPr>
          <w:lang w:val="en-US"/>
        </w:rPr>
        <w:t>) Cells were treated as in (C), but with an additional conditions using 50 µM DMOG. At 4 h post infection, protein levels of HIF1A and ACT were determined. (</w:t>
      </w:r>
      <w:r w:rsidRPr="00342666">
        <w:rPr>
          <w:b/>
          <w:bCs/>
          <w:lang w:val="en-US"/>
        </w:rPr>
        <w:t>F</w:t>
      </w:r>
      <w:r w:rsidRPr="00342666">
        <w:rPr>
          <w:lang w:val="en-US"/>
        </w:rPr>
        <w:t xml:space="preserve">) Cells were treated as in (E), but bacterial survival in these cells was analyzed 2 h post infection (n = 18, ANOVA and Bonferroni’s multiple comparison test, * p &lt; 0.05). </w:t>
      </w:r>
    </w:p>
    <w:p w:rsidR="00342666" w:rsidRPr="006E5582" w:rsidRDefault="00342666">
      <w:pPr>
        <w:rPr>
          <w:lang w:val="en-US"/>
        </w:rPr>
      </w:pPr>
    </w:p>
    <w:sectPr w:rsidR="00342666" w:rsidRPr="006E5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2"/>
    <w:rsid w:val="00342666"/>
    <w:rsid w:val="003D51D8"/>
    <w:rsid w:val="00426B13"/>
    <w:rsid w:val="00483295"/>
    <w:rsid w:val="004965FA"/>
    <w:rsid w:val="005515FF"/>
    <w:rsid w:val="00642D85"/>
    <w:rsid w:val="00663A26"/>
    <w:rsid w:val="0068072C"/>
    <w:rsid w:val="006E5582"/>
    <w:rsid w:val="007B1EAC"/>
    <w:rsid w:val="00B94271"/>
    <w:rsid w:val="00C50770"/>
    <w:rsid w:val="00D42B49"/>
    <w:rsid w:val="00F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5582"/>
    <w:pPr>
      <w:spacing w:after="20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5582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5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55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55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E55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E5582"/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58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E5582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55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E5582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8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5582"/>
    <w:pPr>
      <w:spacing w:after="20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5582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5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55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55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E55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E5582"/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58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E5582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55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E5582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8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748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Jantsch</cp:lastModifiedBy>
  <cp:revision>2</cp:revision>
  <dcterms:created xsi:type="dcterms:W3CDTF">2019-04-11T07:41:00Z</dcterms:created>
  <dcterms:modified xsi:type="dcterms:W3CDTF">2019-04-11T07:41:00Z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1779472381</vt:i4>
  </property>
</Properties>
</file>