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F7" w:rsidRPr="00BE2B12" w:rsidRDefault="005953F7" w:rsidP="005953F7">
      <w:pPr>
        <w:rPr>
          <w:rFonts w:cs="Times New Roman"/>
          <w:b/>
        </w:rPr>
      </w:pPr>
      <w:bookmarkStart w:id="0" w:name="_GoBack"/>
      <w:bookmarkEnd w:id="0"/>
      <w:r w:rsidRPr="00BE2B12">
        <w:rPr>
          <w:rFonts w:cs="Times New Roman"/>
          <w:b/>
        </w:rPr>
        <w:t>Health-related quality of life and functional status of patients with chronic graft-versus-host disease: a systematic literature review</w:t>
      </w:r>
    </w:p>
    <w:p w:rsidR="005953F7" w:rsidRPr="00BE2B12" w:rsidRDefault="005953F7" w:rsidP="005953F7">
      <w:pPr>
        <w:rPr>
          <w:rFonts w:cs="Times New Roman"/>
          <w:b/>
        </w:rPr>
      </w:pPr>
      <w:r w:rsidRPr="00BE2B12">
        <w:rPr>
          <w:rFonts w:cs="Times New Roman"/>
          <w:b/>
        </w:rPr>
        <w:t>Manuscript supplement</w:t>
      </w:r>
    </w:p>
    <w:p w:rsidR="005953F7" w:rsidRPr="005953F7" w:rsidRDefault="005953F7" w:rsidP="005953F7">
      <w:pPr>
        <w:rPr>
          <w:rFonts w:cs="Times New Roman"/>
          <w:b/>
        </w:rPr>
      </w:pPr>
      <w:r w:rsidRPr="005953F7">
        <w:rPr>
          <w:rFonts w:cs="Times New Roman"/>
          <w:b/>
        </w:rPr>
        <w:t>SUPPLEMENTARY MATERIALS</w:t>
      </w:r>
    </w:p>
    <w:p w:rsidR="005953F7" w:rsidRPr="005953F7" w:rsidRDefault="005953F7" w:rsidP="005953F7">
      <w:pPr>
        <w:rPr>
          <w:rFonts w:cs="Times New Roman"/>
          <w:i/>
        </w:rPr>
      </w:pPr>
      <w:r w:rsidRPr="005953F7">
        <w:rPr>
          <w:rFonts w:cs="Times New Roman"/>
          <w:i/>
        </w:rPr>
        <w:t xml:space="preserve">Table S1. </w:t>
      </w:r>
      <w:r w:rsidRPr="005953F7">
        <w:rPr>
          <w:i/>
        </w:rPr>
        <w:t xml:space="preserve">Literature search strategy </w:t>
      </w:r>
    </w:p>
    <w:tbl>
      <w:tblPr>
        <w:tblpPr w:leftFromText="141" w:rightFromText="141" w:bottomFromText="16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1463"/>
        <w:gridCol w:w="5400"/>
        <w:gridCol w:w="1525"/>
      </w:tblGrid>
      <w:tr w:rsidR="005953F7" w:rsidRPr="001B4983" w:rsidTr="00460CE5">
        <w:trPr>
          <w:trHeight w:val="300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Search </w:t>
            </w:r>
          </w:p>
          <w:p w:rsidR="005953F7" w:rsidRPr="001B4983" w:rsidRDefault="005953F7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>Search area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>PubMed</w:t>
            </w:r>
          </w:p>
        </w:tc>
      </w:tr>
      <w:tr w:rsidR="005953F7" w:rsidRPr="001B4983" w:rsidTr="00460CE5">
        <w:trPr>
          <w:trHeight w:val="7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Search </w:t>
            </w:r>
            <w:proofErr w:type="spellStart"/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>terms</w:t>
            </w:r>
            <w:r w:rsidRPr="001B4983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Number of search </w:t>
            </w:r>
            <w:proofErr w:type="spellStart"/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>hits</w:t>
            </w:r>
            <w:r w:rsidRPr="001B4983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953F7" w:rsidRPr="001B4983" w:rsidTr="00460CE5">
        <w:trPr>
          <w:trHeight w:val="195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Disease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 xml:space="preserve">((chronic[Title/Abstract] AND ("graft versus host disease"[Title/Abstract] OR "graft-versus-host disease"[Title/Abstract] OR "graft vs host disease"[Title/Abstract] OR "graft-vs-host disease"[Title/Abstract] OR GVHD[Title/Abstract] OR "homologous wasting disease"[Title/Abstract])) OR 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cGVHD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[Title/Abstract] OR c-GVHD[Title/Abstract] OR (overlap[Title/Abstract] AND ("graft versus host disease"[Title/Abstract] OR "graft-versus-host disease"[Title/Abstract] OR "graft vs host disease"[Title/Abstract] OR "graft-vs-host disease"[Title/Abstract] OR GVHD[Title/Abstract])))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8,542</w:t>
            </w:r>
          </w:p>
        </w:tc>
      </w:tr>
      <w:tr w:rsidR="005953F7" w:rsidRPr="001B4983" w:rsidTr="00460CE5">
        <w:trPr>
          <w:trHeight w:val="11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Epidemiology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(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inciden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*[Title/Abstract] OR 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prevalen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*[Title/Abstract] OR 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frequen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*[Title/Abstract] OR 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epidemiolog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*[Title/Abstract] OR rate[Title/Abstract])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4,045,449</w:t>
            </w:r>
          </w:p>
        </w:tc>
      </w:tr>
      <w:tr w:rsidR="005953F7" w:rsidRPr="001B4983" w:rsidTr="00460CE5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Humanistic burden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 xml:space="preserve">("quality of life" [Title/Abstract] OR utility [Title/Abstract] OR 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HRQol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 [Title/Abstract] OR QoL[Title/Abstract] OR "humanistic burden" [Title/Abstract] OR "quality adjusted life years" [Title/Abstract] OR "quality-adjusted life years"[Title/Abstract] OR QALY[Title/Abstract] OR "disability adjusted life year"[Title/Abstract] OR "disability-adjusted life year"[Title/Abstract] OR DALY[Title/Abstract])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358,860</w:t>
            </w:r>
          </w:p>
        </w:tc>
      </w:tr>
      <w:tr w:rsidR="005953F7" w:rsidRPr="001B4983" w:rsidTr="00460CE5">
        <w:trPr>
          <w:trHeight w:val="97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Economic burden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((cost [Title/Abstract] AND burden[Title/Abstract] ) OR "burden of disease" [Title/Abstract] OR "burden of illness" [Title/Abstract] OR "economic burden" [Title/Abstract] OR "resource burden" [Title/Abstract] OR "financial burden" [Title/Abstract] OR "economic consequences" [Title/Abstract] OR "cost of illness" [Title/Abstract] OR "healthcare cost" [Title/Abstract] OR "cost of disease" [Title/Abstract] OR "cost analysis" [Title/Abstract] OR "cost assessment" [Title/Abstract] OR "cost study" [Title/Abstract] OR "resource use" [Title/Abstract] OR "healthcare resources" [Title/Abstract] OR "resource utilization" [Title/Abstract] OR expenditure[Title/Abstract] OR "out of pocket" [Title/Abstract] OR "patient cost" [Title/Abstract] OR "co-payment" [Title/Abstract] OR "private expenditure" [Title/Abstract] OR "patient time" [Title/Abstract] OR "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carer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 cost" [Title/Abstract] OR "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carer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 expenditure" [Title/Abstract] OR "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carer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 time" [Title/Abstract] OR "caregiver cost" [Title/Abstract] OR "caregiver expenditure" [Title/Abstract] OR "caregiver time" [Title/Abstract] OR coinsurance [Title/Abstract] OR "co-pay" [Title/Abstract] OR "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co payment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" [Title/Abstract] OR "co-payment" [Title/Abstract] OR "patient's cost" [Title/Abstract] OR "patients' cost"[Title/Abstract] OR "societal cost" [Title/Abstract] OR "social cost" [Title/Abstract] OR "social care cost" [Title/Abstract] OR "work loss" [Title/Abstract] OR "work absenteeism" [Title/Abstract] OR "productivity loss" [Title/Abstract] OR "lost productivity" [Title/Abstract] OR "productivity impairment" [Title/Abstract] OR earnings [Title/Abstract] OR "educational attainment" [Title/Abstract] </w:t>
            </w:r>
            <w:r w:rsidRPr="001B4983">
              <w:rPr>
                <w:rFonts w:eastAsia="Times New Roman" w:cs="Times New Roman"/>
                <w:sz w:val="18"/>
                <w:szCs w:val="18"/>
              </w:rPr>
              <w:lastRenderedPageBreak/>
              <w:t>OR "educational achievement" [Title/Abstract] OR "educational impairment" [Title/Abstract] OR "occupational attainment" [Title/Abstract] OR "occupational achievement" [Title/Abstract] OR "occupational impairment" [Title/Abstract] OR "social functioning" [Title/Abstract] OR "social impairment" [Title/Abstract] OR "caregiver burden" [Title/Abstract] OR "</w:t>
            </w:r>
            <w:proofErr w:type="spellStart"/>
            <w:r w:rsidRPr="001B4983">
              <w:rPr>
                <w:rFonts w:eastAsia="Times New Roman" w:cs="Times New Roman"/>
                <w:sz w:val="18"/>
                <w:szCs w:val="18"/>
              </w:rPr>
              <w:t>carer</w:t>
            </w:r>
            <w:proofErr w:type="spellEnd"/>
            <w:r w:rsidRPr="001B4983">
              <w:rPr>
                <w:rFonts w:eastAsia="Times New Roman" w:cs="Times New Roman"/>
                <w:sz w:val="18"/>
                <w:szCs w:val="18"/>
              </w:rPr>
              <w:t xml:space="preserve"> burden" [Title/Abstract] OR "family burden" [Title/Abstract] OR "lost time" [Title/Abstract] OR "days absent" [Title/Abstract] OR "sick days" [Title/Abstract] OR "miss work" [Title/Abstract] OR "miss school" [Title/Abstract] OR "familial burden" [Title/Abstract] OR "family life" [Title/Abstract] OR "home responsibilities"[Title/Abstract])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lastRenderedPageBreak/>
              <w:t>115,781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#5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Combined searches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3,680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317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(#2 OR #3 OR #4)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3,881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#9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Combined searches limited to papers written in English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#2 Filters: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3,397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#3 Filters: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303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#4 Filters: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(#2 OR #3 OR #4) Filters: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3,591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#13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Combined searches limited to papers written in English and published 2007-2017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#2 Filters: Publication date from 2007/01/01 to 2017/12/31;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1,887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953F7" w:rsidRPr="001B4983" w:rsidTr="00460CE5">
        <w:trPr>
          <w:trHeight w:val="6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#3 Filters: Publication date from 2007/01/01 to 2017/12/31;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217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#4 Filters: Publication date from 2007/01/01 to 2017/12/31;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(#2 OR #3 OR #4) Filters: Publication date from 2007/01/01 to 2017/12/31;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2,026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#17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Combined searches limited to papers written in English, published 2007-2017, on human subjects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#2 Filters: Publication date from 2007/01/01 to 2017/12/31; Humans;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1,575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#3 Filters: Publication date from 2007/01/01 to 2017/12/31; Humans;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170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#1 AND #4 Filters: Publication date from 2007/01/01 to 2017/12/31; Humans;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</w:tr>
      <w:tr w:rsidR="005953F7" w:rsidRPr="001B4983" w:rsidTr="00460CE5">
        <w:trPr>
          <w:trHeight w:val="5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B4983">
              <w:rPr>
                <w:rFonts w:eastAsia="Times New Roman" w:cs="Times New Roman"/>
                <w:sz w:val="18"/>
                <w:szCs w:val="18"/>
              </w:rPr>
              <w:t>#20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sz w:val="18"/>
                <w:szCs w:val="18"/>
              </w:rPr>
              <w:t>#1 AND (#2 OR #3 OR #4) Filters: Publication date from 2007/01/01 to 2017/12/31; Humans;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53F7" w:rsidRPr="001B4983" w:rsidRDefault="005953F7" w:rsidP="00460C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B4983">
              <w:rPr>
                <w:rFonts w:eastAsia="Times New Roman" w:cs="Times New Roman"/>
                <w:b/>
                <w:bCs/>
                <w:sz w:val="18"/>
                <w:szCs w:val="18"/>
              </w:rPr>
              <w:t>1,682</w:t>
            </w:r>
          </w:p>
        </w:tc>
      </w:tr>
    </w:tbl>
    <w:p w:rsidR="005953F7" w:rsidRPr="001B4983" w:rsidRDefault="005953F7" w:rsidP="005953F7">
      <w:pPr>
        <w:spacing w:after="0" w:line="240" w:lineRule="auto"/>
        <w:jc w:val="both"/>
        <w:rPr>
          <w:rFonts w:cs="Times New Roman"/>
          <w:sz w:val="18"/>
          <w:szCs w:val="20"/>
        </w:rPr>
      </w:pPr>
      <w:r w:rsidRPr="001B4983">
        <w:rPr>
          <w:rFonts w:cs="Times New Roman"/>
          <w:sz w:val="18"/>
          <w:szCs w:val="20"/>
        </w:rPr>
        <w:t>a: Search operators: AND is the operator for intersection; OR is the operator of union; [Title/Abstract] a combined field that searches Abstracts, and Titles; * replaces multiple characters anywhere in a word</w:t>
      </w:r>
    </w:p>
    <w:p w:rsidR="005953F7" w:rsidRPr="001B4983" w:rsidRDefault="005953F7" w:rsidP="005953F7">
      <w:pPr>
        <w:spacing w:line="240" w:lineRule="auto"/>
        <w:jc w:val="both"/>
        <w:rPr>
          <w:rFonts w:cs="Times New Roman"/>
          <w:sz w:val="18"/>
          <w:szCs w:val="20"/>
        </w:rPr>
      </w:pPr>
      <w:r w:rsidRPr="001B4983">
        <w:rPr>
          <w:rFonts w:cs="Times New Roman"/>
          <w:sz w:val="18"/>
          <w:szCs w:val="20"/>
        </w:rPr>
        <w:t>b: Literature search was conducted on May 30, 2017.</w:t>
      </w:r>
    </w:p>
    <w:p w:rsidR="005953F7" w:rsidRDefault="005953F7" w:rsidP="005953F7">
      <w:pPr>
        <w:rPr>
          <w:rFonts w:cs="Times New Roman"/>
        </w:rPr>
      </w:pPr>
    </w:p>
    <w:p w:rsidR="005953F7" w:rsidRDefault="005953F7" w:rsidP="005953F7">
      <w:pPr>
        <w:rPr>
          <w:rFonts w:cs="Times New Roman"/>
        </w:rPr>
        <w:sectPr w:rsidR="005953F7" w:rsidSect="00460C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CE5" w:rsidRDefault="00460CE5" w:rsidP="005953F7">
      <w:pPr>
        <w:rPr>
          <w:rFonts w:cs="Times New Roman"/>
          <w:i/>
        </w:rPr>
      </w:pPr>
      <w:r w:rsidRPr="005953F7">
        <w:rPr>
          <w:rFonts w:cs="Times New Roman"/>
          <w:i/>
        </w:rPr>
        <w:lastRenderedPageBreak/>
        <w:t>Table S2.</w:t>
      </w:r>
      <w:r>
        <w:rPr>
          <w:rFonts w:cs="Times New Roman"/>
          <w:i/>
        </w:rPr>
        <w:t xml:space="preserve"> Results of the quality assessment</w:t>
      </w:r>
    </w:p>
    <w:tbl>
      <w:tblPr>
        <w:tblW w:w="11245" w:type="dxa"/>
        <w:tblLook w:val="04A0" w:firstRow="1" w:lastRow="0" w:firstColumn="1" w:lastColumn="0" w:noHBand="0" w:noVBand="1"/>
      </w:tblPr>
      <w:tblGrid>
        <w:gridCol w:w="1975"/>
        <w:gridCol w:w="496"/>
        <w:gridCol w:w="540"/>
        <w:gridCol w:w="540"/>
        <w:gridCol w:w="540"/>
        <w:gridCol w:w="540"/>
        <w:gridCol w:w="540"/>
        <w:gridCol w:w="540"/>
        <w:gridCol w:w="496"/>
        <w:gridCol w:w="496"/>
        <w:gridCol w:w="628"/>
        <w:gridCol w:w="640"/>
        <w:gridCol w:w="620"/>
        <w:gridCol w:w="630"/>
        <w:gridCol w:w="630"/>
        <w:gridCol w:w="1394"/>
      </w:tblGrid>
      <w:tr w:rsidR="00460CE5" w:rsidRPr="00460CE5" w:rsidTr="00A116AD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2D29E6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D29E6">
              <w:rPr>
                <w:rFonts w:eastAsia="Times New Roman" w:cs="Times New Roman"/>
                <w:b/>
                <w:bCs/>
                <w:sz w:val="18"/>
                <w:szCs w:val="18"/>
              </w:rPr>
              <w:t>First author, year</w:t>
            </w:r>
          </w:p>
        </w:tc>
        <w:tc>
          <w:tcPr>
            <w:tcW w:w="92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National of Institutes of Health Quality Assessment Tool for Observational Cohort and Cross-Sectional Studies </w:t>
            </w:r>
          </w:p>
        </w:tc>
      </w:tr>
      <w:tr w:rsidR="00A116AD" w:rsidRPr="00460CE5" w:rsidTr="00A116AD">
        <w:trPr>
          <w:trHeight w:val="233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 w:rsidP="00A116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Q</w:t>
            </w: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Q </w:t>
            </w: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 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116AD">
              <w:rPr>
                <w:rFonts w:eastAsia="Times New Roman" w:cs="Times New Roman"/>
                <w:b/>
                <w:bCs/>
                <w:sz w:val="18"/>
                <w:szCs w:val="18"/>
              </w:rPr>
              <w:t>Quality rating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Amin, 2015 [20]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Baird, 2013 [31]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Bassim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2014 [32]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Bassim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2015 [33]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DeLoss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2016*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Poor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DePalo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2015 [21]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El-</w:t>
            </w: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Jawahri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2014 [30]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Imanguli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2010 [34]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Inamoto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2012 [22]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Inamoto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2014 [23]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Martines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2011 [35]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Mo, 2013 [36]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Pidala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2011 [37]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Pidala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2011 [26]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Pidala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2012 [27]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Pidala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2013 [24]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Pidala</w:t>
            </w:r>
            <w:proofErr w:type="spellEnd"/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, 2013 [25]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Sun, 2015 [28]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460CE5" w:rsidRPr="00460CE5" w:rsidTr="00A116AD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Wong, 2010 [29]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E5" w:rsidRPr="00A116AD" w:rsidRDefault="00460CE5" w:rsidP="00460C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16AD">
              <w:rPr>
                <w:rFonts w:eastAsia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</w:tbl>
    <w:p w:rsidR="00460CE5" w:rsidRDefault="00EB3E3D" w:rsidP="00A116AD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NA: not applicable; NR: not reported; </w:t>
      </w:r>
      <w:r w:rsidRPr="00A116AD">
        <w:rPr>
          <w:rFonts w:cs="Times New Roman"/>
          <w:sz w:val="18"/>
        </w:rPr>
        <w:t>Q: question</w:t>
      </w:r>
    </w:p>
    <w:p w:rsidR="00EB3E3D" w:rsidRPr="00A116AD" w:rsidRDefault="00EB3E3D" w:rsidP="00A116AD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*: </w:t>
      </w:r>
      <w:proofErr w:type="spellStart"/>
      <w:r w:rsidRPr="00EB3E3D">
        <w:rPr>
          <w:rFonts w:cs="Times New Roman"/>
          <w:sz w:val="18"/>
        </w:rPr>
        <w:t>DeLoss</w:t>
      </w:r>
      <w:proofErr w:type="spellEnd"/>
      <w:r w:rsidRPr="00EB3E3D">
        <w:rPr>
          <w:rFonts w:cs="Times New Roman"/>
          <w:sz w:val="18"/>
        </w:rPr>
        <w:t xml:space="preserve"> KS, Le H-G, </w:t>
      </w:r>
      <w:proofErr w:type="spellStart"/>
      <w:r w:rsidRPr="00EB3E3D">
        <w:rPr>
          <w:rFonts w:cs="Times New Roman"/>
          <w:sz w:val="18"/>
        </w:rPr>
        <w:t>Gire</w:t>
      </w:r>
      <w:proofErr w:type="spellEnd"/>
      <w:r w:rsidRPr="00EB3E3D">
        <w:rPr>
          <w:rFonts w:cs="Times New Roman"/>
          <w:sz w:val="18"/>
        </w:rPr>
        <w:t xml:space="preserve"> A, et al. PROSE treatment for ocular chronic graft-versus-host disease as a clinical network expands</w:t>
      </w:r>
      <w:r w:rsidR="00F76240">
        <w:rPr>
          <w:rFonts w:cs="Times New Roman"/>
          <w:sz w:val="18"/>
        </w:rPr>
        <w:t xml:space="preserve">. Eye &amp; Contact Lens. </w:t>
      </w:r>
      <w:proofErr w:type="gramStart"/>
      <w:r w:rsidR="00F76240">
        <w:rPr>
          <w:rFonts w:cs="Times New Roman"/>
          <w:sz w:val="18"/>
        </w:rPr>
        <w:t>2016;42</w:t>
      </w:r>
      <w:r w:rsidRPr="00EB3E3D">
        <w:rPr>
          <w:rFonts w:cs="Times New Roman"/>
          <w:sz w:val="18"/>
        </w:rPr>
        <w:t>:262</w:t>
      </w:r>
      <w:proofErr w:type="gramEnd"/>
      <w:r w:rsidRPr="00EB3E3D">
        <w:rPr>
          <w:rFonts w:cs="Times New Roman"/>
          <w:sz w:val="18"/>
        </w:rPr>
        <w:t>-</w:t>
      </w:r>
      <w:r w:rsidR="00F76240">
        <w:rPr>
          <w:rFonts w:cs="Times New Roman"/>
          <w:sz w:val="18"/>
        </w:rPr>
        <w:t>26</w:t>
      </w:r>
      <w:r w:rsidRPr="00EB3E3D">
        <w:rPr>
          <w:rFonts w:cs="Times New Roman"/>
          <w:sz w:val="18"/>
        </w:rPr>
        <w:t>6.</w:t>
      </w:r>
      <w:r w:rsidR="00546A09">
        <w:rPr>
          <w:rFonts w:cs="Times New Roman"/>
          <w:sz w:val="18"/>
        </w:rPr>
        <w:t xml:space="preserve"> –excluded from the review because of poor quality</w:t>
      </w:r>
    </w:p>
    <w:p w:rsidR="00EB3E3D" w:rsidRDefault="00EB3E3D" w:rsidP="005953F7">
      <w:pPr>
        <w:rPr>
          <w:rFonts w:cs="Times New Roman"/>
          <w:i/>
        </w:rPr>
      </w:pPr>
    </w:p>
    <w:p w:rsidR="00EB3E3D" w:rsidRDefault="00EB3E3D" w:rsidP="005953F7">
      <w:pPr>
        <w:rPr>
          <w:rFonts w:cs="Times New Roman"/>
          <w:i/>
        </w:rPr>
        <w:sectPr w:rsidR="00EB3E3D" w:rsidSect="005953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953F7" w:rsidRPr="005953F7" w:rsidRDefault="005953F7" w:rsidP="005953F7">
      <w:pPr>
        <w:rPr>
          <w:rFonts w:cs="Times New Roman"/>
          <w:i/>
        </w:rPr>
      </w:pPr>
      <w:r w:rsidRPr="005953F7">
        <w:rPr>
          <w:rFonts w:cs="Times New Roman"/>
          <w:i/>
        </w:rPr>
        <w:lastRenderedPageBreak/>
        <w:t>Table S</w:t>
      </w:r>
      <w:r w:rsidR="002D29E6">
        <w:rPr>
          <w:rFonts w:cs="Times New Roman"/>
          <w:i/>
        </w:rPr>
        <w:t>3</w:t>
      </w:r>
      <w:r w:rsidRPr="005953F7">
        <w:rPr>
          <w:rFonts w:cs="Times New Roman"/>
          <w:i/>
        </w:rPr>
        <w:t>. Health-reported quality of life data for patients with chronic graft-versus-host disease reported in the included studies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988"/>
        <w:gridCol w:w="1066"/>
        <w:gridCol w:w="10982"/>
      </w:tblGrid>
      <w:tr w:rsidR="005953F7" w:rsidRPr="0089790D" w:rsidTr="00460CE5">
        <w:trPr>
          <w:trHeight w:val="113"/>
        </w:trPr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First author, year</w:t>
            </w:r>
          </w:p>
        </w:tc>
        <w:tc>
          <w:tcPr>
            <w:tcW w:w="1066" w:type="dxa"/>
            <w:shd w:val="clear" w:color="auto" w:fill="BFBFBF" w:themeFill="background1" w:themeFillShade="BF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HRQoL</w:t>
            </w:r>
            <w:proofErr w:type="spellEnd"/>
            <w:r w:rsidRPr="0089790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instrument</w:t>
            </w:r>
          </w:p>
        </w:tc>
        <w:tc>
          <w:tcPr>
            <w:tcW w:w="10982" w:type="dxa"/>
            <w:shd w:val="clear" w:color="auto" w:fill="BFBFBF" w:themeFill="background1" w:themeFillShade="BF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HRQoL</w:t>
            </w:r>
            <w:proofErr w:type="spellEnd"/>
            <w:r w:rsidRPr="0089790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data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Amin, 2015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[20]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EORTC QLQ-C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(95% CI)</w:t>
            </w:r>
            <w:r w:rsidRPr="0089790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a, b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no or mild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, no BOS: Global health at month 6 after transplantation 68 (65 - 71); Global health at year 2 after transplantation 72 (64 - 80) 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moderate or 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, no BOS: Global health at month 6 after transplantation 64.5 (61 - 68); Global health at year 2 after transplantation 71 (60 - 82) 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moderate or 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and BOS: Global health at month 6 after transplantation 70 (65.5 - 74.5); Global health at year 2 after transplantation 65.5 (56 - 75)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(95% CI)</w:t>
            </w:r>
            <w:r w:rsidRPr="0089790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a, b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no or mild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no BOS: PCS at month 6 after transplantation 41 (40 - 42); PCS at year 2 after transplantation 45 (42 - 48); MCS at month 6 after transplantation 52 (50.5 - 53.5); MCS at year 2 after transplantation 57 (53 - 61)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moderate or 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no BOS: PCS at month 6 after transplantation 40 (38 - 42); PCS at year 2 after transplantation 40 (35 - 45); MCS at month 6 after transplantation 54 (52 - 56); MCS at year 2 after transplantation 60 (54.5 - 65.5)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moderate or 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and BOS: PCS at month 6 after transplantation 40 (38 - 42); PCS at year 2 after transplantation 39 (35 - 43); MCS at month 6 after transplantation 53.5 (51 - 56); MCS at year 2 after transplantation 57 (52 - 62)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SGRQ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(95% CI)</w:t>
            </w:r>
            <w:r w:rsidRPr="0089790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a, b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no or mild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no BOS: Total at month 6 after transplantation 14 (12 - 16); Total at year 2 after transplantation 12 (4 - 20)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moderate or 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no BOS: Total at month 6 after transplantation 14 (10 - 18); Total at year 2 after transplantation 11 (0 - 22)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Patients with moderate or 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and BOS: Total at month 6 after transplantation 14 (10 - 18); Total at year 2 after transplantation 31.5 (21 - 42)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Baird, 2013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Bassim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2014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(SE)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Well-nourished patients: PCS 38.04 (0.86); MCS NR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Malnourished patients: PCS 31.06 (1.56); MCS 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Bassim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2015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[33]</w:t>
            </w:r>
          </w:p>
        </w:tc>
        <w:tc>
          <w:tcPr>
            <w:tcW w:w="1066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OHIP-</w:t>
            </w:r>
            <w:r w:rsidR="00B428A5">
              <w:rPr>
                <w:rFonts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DePalo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2015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[21]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(minimum, maximum)</w:t>
            </w:r>
            <w:proofErr w:type="spellStart"/>
            <w:r w:rsidRPr="0089790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Isolated oral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FACT-BMT total 110 (49, 138)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Oral and extra-oral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FACT-BMT total 107 (39, 147)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Extra-oral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FACT-BMT total 107 (62, 140)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(minimum, maximum)</w:t>
            </w:r>
            <w:proofErr w:type="spellStart"/>
            <w:r w:rsidRPr="0089790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89790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Isolated oral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41 (25, 59); MCS 49 (25, 66)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Oral and extra-oral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39 (15, 59); MCS 47 (15, 68)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Extra-oral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37 (15, 61); MCS 46 (18, 65)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lastRenderedPageBreak/>
              <w:t>El-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Jawahri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2014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Age ≤ 40: FACT-BMT total 106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Age 40-60: FACT-BMT total 102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Age ≥ 60: FACT-BMT total 109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Imanguli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2010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FACT-G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OHIP-14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Inamoto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2012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[22]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Inamoto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2014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[23]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FACT-G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(interquartile range)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Joint/fascia present: FACT-G total 76 (62–87)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Joint/fascia absent: FACT-G total 81 (69–90.3)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(interquartile range)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Joint/fascia present: PCS 37 (31.1–43.5); MCS 47 (38–55.2)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Joint/fascia absent: PCS 40 (32.2-47.9); MCS 51 (40.8-55.9)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Mo, 2013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066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(SD)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Mild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51.1 (7.9); MCS 54.6 (9.1)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Moderate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48.0 (8.2); MCS 52.6 (9.8)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36.2 (11.0); MCS 47.4 (10.4)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, 2011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[37]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All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patients: TOI 65.0 (22.0-92.0); FACT-G total 81.0 (29.0-107.0); FACT-BMT total 109.0 (48.1-142.0)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Mild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TOI 70.0 (38.0-91.0); FACT-G total 84.5 (55.0-107.0); FACT-BMT total 114.0 (69.0-142.0)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Moderate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TOI 67.8 (22.0-92.0); FACT-G total 84.1 (29.0-104.0); FACT-BMT total 111.0 (49.0-140.0)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TOI 58.5 (25.0-89.9); FACT-G total 73.4 (37.0-105.0); FACT-BMT total 98.7 (48.1-136.0)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All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 xml:space="preserve"> patients: PCS 39.2 (15.9-59.4); MCS 51.0 (15.3-68.4)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Mild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43.2 (19.9-59.3); MCS 53.8 (28.5-61.4)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Moderate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40.2 (15.9-59.4); MCS 51.4 (17.0-68.4)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Severe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36.3 (19.3-56.7); MCS 48.1 (15.3-65.8)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, 2011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[26]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(SD)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TOI 67.0 (0.6); FACT-G total 81.0 (0.6); FACT-BMT total 109 (0.8) 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Mean (SD)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PCS 40.6 (0.4); MCS 49.3 (0.4)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, 2012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Overlap GVHD: TOI, 64.7 (22-94); FACT-G total 79 (29-108); FACT-BMT total 106 (49-146)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Classic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TOI 65.7 (25-93); FACT-G total 81.5 (23-101); FACT-BMT total 108 (36-138)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Overlap GVHD: PCS 39.3 (15.5-59.4); MCS 49.8 (15.3-65.8) 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 xml:space="preserve">Classic </w:t>
            </w:r>
            <w:proofErr w:type="spellStart"/>
            <w:r w:rsidRPr="0089790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89790D">
              <w:rPr>
                <w:rFonts w:cs="Times New Roman"/>
                <w:sz w:val="18"/>
                <w:szCs w:val="18"/>
                <w:lang w:val="en-US"/>
              </w:rPr>
              <w:t>: PCS 40.1 (16.6-60.7); MCS 53.0 (25-68.4)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, 2013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[24]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TOI 64.0 (22.0, 95.0); FACT-G total 80.0 (23.0, 108); FACT-BMT total 106 (36.0, 146)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89790D">
              <w:rPr>
                <w:rFonts w:cs="Times New Roman"/>
                <w:sz w:val="18"/>
                <w:szCs w:val="18"/>
                <w:lang w:val="en-US"/>
              </w:rPr>
              <w:br/>
              <w:t>PCS 39.2 (15.3, 60.7); MCS 49.8 (15.3, 68.4)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Pidala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, 2013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[25]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 w:val="restart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Sun, 2015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FACT-BMT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vMerge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SF-36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89790D" w:rsidTr="00460CE5">
        <w:trPr>
          <w:trHeight w:val="113"/>
        </w:trPr>
        <w:tc>
          <w:tcPr>
            <w:tcW w:w="988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Wong, 2010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0EC1">
              <w:rPr>
                <w:rFonts w:eastAsia="Times New Roman" w:cs="Times New Roman"/>
                <w:color w:val="000000"/>
                <w:sz w:val="18"/>
                <w:szCs w:val="18"/>
              </w:rPr>
              <w:t>[29]</w:t>
            </w:r>
          </w:p>
        </w:tc>
        <w:tc>
          <w:tcPr>
            <w:tcW w:w="1066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COH-QOL-HCT</w:t>
            </w:r>
          </w:p>
        </w:tc>
        <w:tc>
          <w:tcPr>
            <w:tcW w:w="10982" w:type="dxa"/>
            <w:noWrap/>
            <w:vAlign w:val="center"/>
            <w:hideMark/>
          </w:tcPr>
          <w:p w:rsidR="005953F7" w:rsidRPr="0089790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9790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</w:tbl>
    <w:p w:rsidR="005953F7" w:rsidRDefault="005953F7" w:rsidP="005953F7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BOS: bronchiolitis obliterans syndrome; </w:t>
      </w:r>
      <w:proofErr w:type="spellStart"/>
      <w:r w:rsidRPr="00F4468F">
        <w:rPr>
          <w:rFonts w:cs="Times New Roman"/>
          <w:sz w:val="18"/>
          <w:szCs w:val="18"/>
        </w:rPr>
        <w:t>cGVHD</w:t>
      </w:r>
      <w:proofErr w:type="spellEnd"/>
      <w:r w:rsidRPr="00F4468F">
        <w:rPr>
          <w:rFonts w:cs="Times New Roman"/>
          <w:sz w:val="18"/>
          <w:szCs w:val="18"/>
        </w:rPr>
        <w:t xml:space="preserve">: chronic graft-versus-host disease; </w:t>
      </w:r>
      <w:r>
        <w:rPr>
          <w:rFonts w:cs="Times New Roman"/>
          <w:sz w:val="18"/>
          <w:szCs w:val="18"/>
        </w:rPr>
        <w:t xml:space="preserve">CI: confidence interval; </w:t>
      </w:r>
      <w:r w:rsidRPr="00F4468F">
        <w:rPr>
          <w:rFonts w:cs="Times New Roman"/>
          <w:sz w:val="18"/>
          <w:szCs w:val="18"/>
        </w:rPr>
        <w:t xml:space="preserve">COH-QOL-HCT: City of Hope Quality of Life in Hematopoietic Cell Transplant; EORTC QLQ-C30: European Organization for Research and Treatment of Cancer Quality of Life Questionnaire Core 30; FACT-BMT: Functional Assessment of Cancer Therapy - Bone Marrow Transplant; FACT-G: Functional Assessment of Cancer Therapy - General; </w:t>
      </w:r>
      <w:r>
        <w:rPr>
          <w:rFonts w:cs="Times New Roman"/>
          <w:sz w:val="18"/>
          <w:szCs w:val="18"/>
        </w:rPr>
        <w:t xml:space="preserve">GVHD: </w:t>
      </w:r>
      <w:r w:rsidRPr="00F4468F">
        <w:rPr>
          <w:rFonts w:cs="Times New Roman"/>
          <w:sz w:val="18"/>
          <w:szCs w:val="18"/>
        </w:rPr>
        <w:t>graft-versus-host disease</w:t>
      </w:r>
      <w:r>
        <w:rPr>
          <w:rFonts w:cs="Times New Roman"/>
          <w:sz w:val="18"/>
          <w:szCs w:val="18"/>
        </w:rPr>
        <w:t xml:space="preserve">; </w:t>
      </w:r>
      <w:proofErr w:type="spellStart"/>
      <w:r w:rsidRPr="00F4468F">
        <w:rPr>
          <w:rFonts w:cs="Times New Roman"/>
          <w:sz w:val="18"/>
          <w:szCs w:val="18"/>
        </w:rPr>
        <w:t>HRQoL</w:t>
      </w:r>
      <w:proofErr w:type="spellEnd"/>
      <w:r w:rsidRPr="00F4468F">
        <w:rPr>
          <w:rFonts w:cs="Times New Roman"/>
          <w:sz w:val="18"/>
          <w:szCs w:val="18"/>
        </w:rPr>
        <w:t xml:space="preserve">: health-related quality of life; </w:t>
      </w:r>
      <w:r>
        <w:rPr>
          <w:rFonts w:cs="Times New Roman"/>
          <w:sz w:val="18"/>
          <w:szCs w:val="18"/>
        </w:rPr>
        <w:t xml:space="preserve">MCS: mental component score; NIH: National Institutes of Health; </w:t>
      </w:r>
      <w:r w:rsidRPr="00F4468F">
        <w:rPr>
          <w:rFonts w:cs="Times New Roman"/>
          <w:sz w:val="18"/>
          <w:szCs w:val="18"/>
        </w:rPr>
        <w:t xml:space="preserve">NR: not reported; OHIP-14: Oral Health Impact Profile 14; </w:t>
      </w:r>
      <w:r>
        <w:rPr>
          <w:rFonts w:cs="Times New Roman"/>
          <w:sz w:val="18"/>
          <w:szCs w:val="18"/>
        </w:rPr>
        <w:t xml:space="preserve">PCS: physical component score; SD: standard deviation; </w:t>
      </w:r>
      <w:r w:rsidRPr="00F4468F">
        <w:rPr>
          <w:rFonts w:cs="Times New Roman"/>
          <w:sz w:val="18"/>
          <w:szCs w:val="18"/>
        </w:rPr>
        <w:t>SF-36: Short Form Instrument 36; SGRQ: St. George's Respiratory Questionnaire</w:t>
      </w:r>
      <w:r>
        <w:rPr>
          <w:rFonts w:cs="Times New Roman"/>
          <w:sz w:val="18"/>
          <w:szCs w:val="18"/>
        </w:rPr>
        <w:t xml:space="preserve">; TOI: </w:t>
      </w:r>
      <w:r w:rsidRPr="00EE6286">
        <w:rPr>
          <w:rFonts w:cs="Times New Roman"/>
          <w:sz w:val="18"/>
          <w:szCs w:val="18"/>
        </w:rPr>
        <w:t>Trial Outcome Index</w:t>
      </w:r>
    </w:p>
    <w:p w:rsidR="005953F7" w:rsidRDefault="005953F7" w:rsidP="005953F7">
      <w:pPr>
        <w:spacing w:line="259" w:lineRule="auto"/>
        <w:rPr>
          <w:rFonts w:cs="Times New Roman"/>
          <w:highlight w:val="yellow"/>
        </w:rPr>
      </w:pPr>
      <w:r>
        <w:rPr>
          <w:rFonts w:cs="Times New Roman"/>
          <w:highlight w:val="yellow"/>
        </w:rPr>
        <w:br w:type="page"/>
      </w:r>
    </w:p>
    <w:p w:rsidR="005953F7" w:rsidRPr="005953F7" w:rsidRDefault="005953F7" w:rsidP="005953F7">
      <w:pPr>
        <w:rPr>
          <w:rFonts w:cs="Times New Roman"/>
          <w:i/>
        </w:rPr>
      </w:pPr>
      <w:r w:rsidRPr="005953F7">
        <w:rPr>
          <w:rFonts w:cs="Times New Roman"/>
          <w:i/>
        </w:rPr>
        <w:lastRenderedPageBreak/>
        <w:t>Table S</w:t>
      </w:r>
      <w:r w:rsidR="002D29E6">
        <w:rPr>
          <w:rFonts w:cs="Times New Roman"/>
          <w:i/>
        </w:rPr>
        <w:t>4</w:t>
      </w:r>
      <w:r w:rsidRPr="005953F7">
        <w:rPr>
          <w:rFonts w:cs="Times New Roman"/>
          <w:i/>
        </w:rPr>
        <w:t>. Functional capacity data for patients with chronic graft-versus-host disease reported in the included studies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986"/>
        <w:gridCol w:w="1136"/>
        <w:gridCol w:w="10914"/>
      </w:tblGrid>
      <w:tr w:rsidR="005953F7" w:rsidRPr="00464ADD" w:rsidTr="00460CE5">
        <w:trPr>
          <w:trHeight w:val="57"/>
        </w:trPr>
        <w:tc>
          <w:tcPr>
            <w:tcW w:w="986" w:type="dxa"/>
            <w:shd w:val="clear" w:color="auto" w:fill="BFBFBF" w:themeFill="background1" w:themeFillShade="BF"/>
            <w:noWrap/>
            <w:vAlign w:val="center"/>
            <w:hideMark/>
          </w:tcPr>
          <w:p w:rsidR="005953F7" w:rsidRPr="00464ADD" w:rsidRDefault="005953F7" w:rsidP="00460CE5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First author, year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  <w:hideMark/>
          </w:tcPr>
          <w:p w:rsidR="005953F7" w:rsidRPr="00464ADD" w:rsidRDefault="005953F7" w:rsidP="00460CE5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b/>
                <w:bCs/>
                <w:sz w:val="18"/>
                <w:szCs w:val="18"/>
                <w:lang w:val="en-US"/>
              </w:rPr>
              <w:t>Functional capacity measure</w:t>
            </w:r>
          </w:p>
        </w:tc>
        <w:tc>
          <w:tcPr>
            <w:tcW w:w="10914" w:type="dxa"/>
            <w:shd w:val="clear" w:color="auto" w:fill="BFBFBF" w:themeFill="background1" w:themeFillShade="BF"/>
            <w:vAlign w:val="center"/>
            <w:hideMark/>
          </w:tcPr>
          <w:p w:rsidR="005953F7" w:rsidRPr="00464ADD" w:rsidRDefault="005953F7" w:rsidP="00460CE5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b/>
                <w:bCs/>
                <w:sz w:val="18"/>
                <w:szCs w:val="18"/>
                <w:lang w:val="en-US"/>
              </w:rPr>
              <w:t>Functional capacity data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Baird, 2013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HGS</w:t>
            </w:r>
          </w:p>
        </w:tc>
        <w:tc>
          <w:tcPr>
            <w:tcW w:w="10914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Bassim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, 2014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136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Mean (SE)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Well-nourished patients: HAP MAS 73.93 (1.09); HAP AAS 63.08 (1.40)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Malnourished patients: HAP MAS 63.24 (2.29); HAP AAS 49.69 (2.86)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El-</w:t>
            </w: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Jawahri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, 2014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Median</w:t>
            </w:r>
            <w:r w:rsidRPr="00464ADD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Age ≤ 40: 504 feet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Age 40-60: 501 feet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Age ≥ 60: 454 feet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Inamoto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, 2012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136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Inamoto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, 2014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(interquartile range)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Joint/fascia present: HAP MAS 73 (61-82); HAP AAS 63 (51-74)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Joint/fascia absent: HAP MAS 73 (62-82); HAP AAS 62 (48-73)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HGS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(interquartile range)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Joint/fascia present: 55.8 (40-81.7) pounds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Joint/fascia absent: 61 (42.3-79.7) pounds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(interquartile range)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Joint/fascia present: 482 (415-568) feet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Joint/fascia absent: 500 (404-575) feet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Martires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, 2011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HGS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Mean (SE)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 xml:space="preserve">Non-sclerotic </w:t>
            </w: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: 73.41 (3.03) pounds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 xml:space="preserve">Sclerotic </w:t>
            </w: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: 56.77 (2.10) pounds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, 2012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Overlap GVHD: HAP MAS 70 (36-94); HAP AAS 59 (14-94)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 xml:space="preserve">Classic </w:t>
            </w: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: HAP MAS 78 (52-94); HAP AAS 70 (30-94)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HGS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Overlap GVHD: 59.7 (2.0-167.0) pounds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 xml:space="preserve">Classic </w:t>
            </w: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: 63.3 (15.3-139.0) pounds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(range)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Overlap GVHD: 495 (170-1150) feet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 xml:space="preserve">Classic </w:t>
            </w:r>
            <w:proofErr w:type="spellStart"/>
            <w:r w:rsidRPr="00464ADD">
              <w:rPr>
                <w:rFonts w:cs="Times New Roman"/>
                <w:sz w:val="18"/>
                <w:szCs w:val="18"/>
                <w:lang w:val="en-US"/>
              </w:rPr>
              <w:t>cGVHD</w:t>
            </w:r>
            <w:proofErr w:type="spellEnd"/>
            <w:r w:rsidRPr="00464ADD">
              <w:rPr>
                <w:rFonts w:cs="Times New Roman"/>
                <w:sz w:val="18"/>
                <w:szCs w:val="18"/>
                <w:lang w:val="en-US"/>
              </w:rPr>
              <w:t>: 540 (300-1140) feet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, 2013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HAP MAS 73.0 (36.0-94.0); HAP AAS 62.0 (14.0-94.0)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HGS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59.9 (2.0-167) pounds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500 (170-1150) feet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 w:val="restart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Pidala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, 2013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HGS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60 (2-167) pounds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vMerge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2-MWT</w:t>
            </w:r>
          </w:p>
        </w:tc>
        <w:tc>
          <w:tcPr>
            <w:tcW w:w="10914" w:type="dxa"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Median (minimum, maximum)</w:t>
            </w:r>
            <w:r w:rsidRPr="00464ADD">
              <w:rPr>
                <w:rFonts w:cs="Times New Roman"/>
                <w:sz w:val="18"/>
                <w:szCs w:val="18"/>
                <w:lang w:val="en-US"/>
              </w:rPr>
              <w:br/>
              <w:t>500  (170-1150) feet</w:t>
            </w:r>
          </w:p>
        </w:tc>
      </w:tr>
      <w:tr w:rsidR="005953F7" w:rsidRPr="00464ADD" w:rsidTr="00460CE5">
        <w:trPr>
          <w:trHeight w:val="57"/>
        </w:trPr>
        <w:tc>
          <w:tcPr>
            <w:tcW w:w="986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Sun, 2015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21680">
              <w:rPr>
                <w:rFonts w:cs="Times New Roman"/>
                <w:noProof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1136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HAP</w:t>
            </w:r>
          </w:p>
        </w:tc>
        <w:tc>
          <w:tcPr>
            <w:tcW w:w="10914" w:type="dxa"/>
            <w:noWrap/>
            <w:hideMark/>
          </w:tcPr>
          <w:p w:rsidR="005953F7" w:rsidRPr="00464ADD" w:rsidRDefault="005953F7" w:rsidP="00460CE5">
            <w:pPr>
              <w:spacing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464ADD">
              <w:rPr>
                <w:rFonts w:cs="Times New Roman"/>
                <w:sz w:val="18"/>
                <w:szCs w:val="18"/>
                <w:lang w:val="en-US"/>
              </w:rPr>
              <w:t>NR</w:t>
            </w:r>
          </w:p>
        </w:tc>
      </w:tr>
    </w:tbl>
    <w:p w:rsidR="005953F7" w:rsidRDefault="005953F7" w:rsidP="005953F7">
      <w:pPr>
        <w:spacing w:after="0" w:line="240" w:lineRule="auto"/>
        <w:rPr>
          <w:rFonts w:cs="Times New Roman"/>
          <w:sz w:val="18"/>
          <w:szCs w:val="18"/>
        </w:rPr>
      </w:pPr>
      <w:r w:rsidRPr="00F4468F">
        <w:rPr>
          <w:rFonts w:cs="Times New Roman"/>
          <w:sz w:val="18"/>
          <w:szCs w:val="18"/>
        </w:rPr>
        <w:t xml:space="preserve">2-MWT: 2-minute walk test; </w:t>
      </w:r>
      <w:r>
        <w:rPr>
          <w:rFonts w:cs="Times New Roman"/>
          <w:sz w:val="18"/>
          <w:szCs w:val="18"/>
        </w:rPr>
        <w:t xml:space="preserve">AAS: adjusted activity score; </w:t>
      </w:r>
      <w:proofErr w:type="spellStart"/>
      <w:r w:rsidRPr="00F4468F">
        <w:rPr>
          <w:rFonts w:cs="Times New Roman"/>
          <w:sz w:val="18"/>
          <w:szCs w:val="18"/>
        </w:rPr>
        <w:t>cGVHD</w:t>
      </w:r>
      <w:proofErr w:type="spellEnd"/>
      <w:r w:rsidRPr="00F4468F">
        <w:rPr>
          <w:rFonts w:cs="Times New Roman"/>
          <w:sz w:val="18"/>
          <w:szCs w:val="18"/>
        </w:rPr>
        <w:t xml:space="preserve">: chronic graft-versus-host disease; </w:t>
      </w:r>
      <w:r>
        <w:rPr>
          <w:rFonts w:cs="Times New Roman"/>
          <w:sz w:val="18"/>
          <w:szCs w:val="18"/>
        </w:rPr>
        <w:t xml:space="preserve">GVHD: </w:t>
      </w:r>
      <w:r w:rsidRPr="00F4468F">
        <w:rPr>
          <w:rFonts w:cs="Times New Roman"/>
          <w:sz w:val="18"/>
          <w:szCs w:val="18"/>
        </w:rPr>
        <w:t>graft-versus-host disease</w:t>
      </w:r>
      <w:r>
        <w:rPr>
          <w:rFonts w:cs="Times New Roman"/>
          <w:sz w:val="18"/>
          <w:szCs w:val="18"/>
        </w:rPr>
        <w:t>;</w:t>
      </w:r>
      <w:r w:rsidRPr="00DE05C0">
        <w:rPr>
          <w:rFonts w:cs="Times New Roman"/>
          <w:sz w:val="18"/>
          <w:szCs w:val="18"/>
        </w:rPr>
        <w:t xml:space="preserve"> HAP: Human Activity Profile;</w:t>
      </w:r>
      <w:r>
        <w:rPr>
          <w:rFonts w:cs="Times New Roman"/>
          <w:sz w:val="18"/>
          <w:szCs w:val="18"/>
        </w:rPr>
        <w:t xml:space="preserve"> </w:t>
      </w:r>
      <w:r w:rsidRPr="00F4468F">
        <w:rPr>
          <w:rFonts w:cs="Times New Roman"/>
          <w:sz w:val="18"/>
          <w:szCs w:val="18"/>
        </w:rPr>
        <w:t xml:space="preserve">HGS: hand grip strength; </w:t>
      </w:r>
      <w:r w:rsidRPr="00DE05C0">
        <w:rPr>
          <w:rFonts w:cs="Times New Roman"/>
          <w:sz w:val="18"/>
          <w:szCs w:val="18"/>
        </w:rPr>
        <w:t>MAS: maximum activity score</w:t>
      </w:r>
      <w:r>
        <w:rPr>
          <w:rFonts w:cs="Times New Roman"/>
          <w:sz w:val="18"/>
          <w:szCs w:val="18"/>
        </w:rPr>
        <w:t>; SE: standard error</w:t>
      </w:r>
    </w:p>
    <w:p w:rsidR="00460CE5" w:rsidRDefault="00460CE5"/>
    <w:sectPr w:rsidR="00460CE5" w:rsidSect="00595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AD" w:rsidRDefault="00A116AD" w:rsidP="00A116AD">
      <w:pPr>
        <w:spacing w:after="0" w:line="240" w:lineRule="auto"/>
      </w:pPr>
      <w:r>
        <w:separator/>
      </w:r>
    </w:p>
  </w:endnote>
  <w:endnote w:type="continuationSeparator" w:id="0">
    <w:p w:rsidR="00A116AD" w:rsidRDefault="00A116AD" w:rsidP="00A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D" w:rsidRDefault="00A11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D" w:rsidRDefault="00A116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4fa348d59f4376796333f11d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16AD" w:rsidRPr="00A116AD" w:rsidRDefault="00A116AD" w:rsidP="00A116AD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116A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fa348d59f4376796333f11d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A116AD" w:rsidRPr="00A116AD" w:rsidRDefault="00A116AD" w:rsidP="00A116AD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116A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D" w:rsidRDefault="00A1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AD" w:rsidRDefault="00A116AD" w:rsidP="00A116AD">
      <w:pPr>
        <w:spacing w:after="0" w:line="240" w:lineRule="auto"/>
      </w:pPr>
      <w:r>
        <w:separator/>
      </w:r>
    </w:p>
  </w:footnote>
  <w:footnote w:type="continuationSeparator" w:id="0">
    <w:p w:rsidR="00A116AD" w:rsidRDefault="00A116AD" w:rsidP="00A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D" w:rsidRDefault="00A1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D" w:rsidRDefault="00A11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D" w:rsidRDefault="00A11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F7"/>
    <w:rsid w:val="0015519F"/>
    <w:rsid w:val="001D11D6"/>
    <w:rsid w:val="002258A4"/>
    <w:rsid w:val="002D29E6"/>
    <w:rsid w:val="004357FE"/>
    <w:rsid w:val="00460CE5"/>
    <w:rsid w:val="00546A09"/>
    <w:rsid w:val="005953F7"/>
    <w:rsid w:val="00674CC8"/>
    <w:rsid w:val="00797608"/>
    <w:rsid w:val="00942A8C"/>
    <w:rsid w:val="009F6E62"/>
    <w:rsid w:val="00A116AD"/>
    <w:rsid w:val="00AF0EC1"/>
    <w:rsid w:val="00B428A5"/>
    <w:rsid w:val="00BE2B12"/>
    <w:rsid w:val="00CE0D73"/>
    <w:rsid w:val="00EB3E3D"/>
    <w:rsid w:val="00F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F2734-1ABB-4C6D-98C4-BB8D5485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3F7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3F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A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1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tamasagh</dc:creator>
  <cp:keywords/>
  <dc:description/>
  <cp:lastModifiedBy>Dearman, Alexander</cp:lastModifiedBy>
  <cp:revision>2</cp:revision>
  <dcterms:created xsi:type="dcterms:W3CDTF">2019-03-28T15:08:00Z</dcterms:created>
  <dcterms:modified xsi:type="dcterms:W3CDTF">2019-03-28T15:08:00Z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Alexander.Dearman@informa.com</vt:lpwstr>
  </property>
  <property fmtid="{D5CDD505-2E9C-101B-9397-08002B2CF9AE}" pid="5" name="MSIP_Label_181c070e-054b-4d1c-ba4c-fc70b099192e_SetDate">
    <vt:lpwstr>2019-03-28T15:08:24.5251240Z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Alexander.Dearman@informa.com</vt:lpwstr>
  </property>
  <property fmtid="{D5CDD505-2E9C-101B-9397-08002B2CF9AE}" pid="12" name="MSIP_Label_2bbab825-a111-45e4-86a1-18cee0005896_SetDate">
    <vt:lpwstr>2019-03-28T15:08:24.5251240Z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