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4"/>
          <w:shd w:fill="auto" w:val="clear"/>
        </w:rPr>
        <w:t xml:space="preserve">Selective removal of pyridine in fuel by imprinted polymer (poly 4-vinyl aniline-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4"/>
          <w:shd w:fill="auto" w:val="clear"/>
        </w:rPr>
        <w:t xml:space="preserve">co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4"/>
          <w:shd w:fill="auto" w:val="clear"/>
        </w:rPr>
        <w:t xml:space="preserve">-DVB) as adsorbent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Sinazo Mathidala and Adeniyi S. Ogunlaja*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Department of Chemistry, Nelson Mandela University, P.O. Box 77000, Port Elizabeth 6031, South Africa  </w:t>
      </w:r>
    </w:p>
    <w:p>
      <w:pPr>
        <w:spacing w:before="0" w:after="16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Supplementary data</w:t>
      </w:r>
    </w:p>
    <w:p>
      <w:pPr>
        <w:spacing w:before="0" w:after="16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</w:p>
    <w:p>
      <w:pPr>
        <w:spacing w:before="0" w:after="16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9200" w:dyaOrig="4769">
          <v:rect xmlns:o="urn:schemas-microsoft-com:office:office" xmlns:v="urn:schemas-microsoft-com:vml" id="rectole0000000000" style="width:460.000000pt;height:238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Fig.S1 TGA-DSC thermogram of pyridine imprinted poly 4-vinyl aniline-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FFFFFF" w:val="clear"/>
        </w:rPr>
        <w:t xml:space="preserve">co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-DVB</w:t>
      </w:r>
    </w:p>
    <w:p>
      <w:pPr>
        <w:spacing w:before="0" w:after="16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</w:p>
    <w:p>
      <w:pPr>
        <w:spacing w:before="0" w:after="16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object w:dxaOrig="7464" w:dyaOrig="5579">
          <v:rect xmlns:o="urn:schemas-microsoft-com:office:office" xmlns:v="urn:schemas-microsoft-com:vml" id="rectole0000000001" style="width:373.200000pt;height:278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Fig. S2.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Nitrogen adsorption-desorption isotherms for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imprinted poly 4-vinyl aniline-co-DVB</w:t>
      </w:r>
    </w:p>
    <w:p>
      <w:pPr>
        <w:spacing w:before="0" w:after="16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</w:p>
    <w:p>
      <w:pPr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6117" w:dyaOrig="4508">
          <v:rect xmlns:o="urn:schemas-microsoft-com:office:office" xmlns:v="urn:schemas-microsoft-com:vml" id="rectole0000000002" style="width:305.850000pt;height:225.4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Figure S3 LOD and LOQ of pyridine </w:t>
      </w:r>
    </w:p>
    <w:p>
      <w:pPr>
        <w:spacing w:before="0" w:after="16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9337" w:dyaOrig="3018">
          <v:rect xmlns:o="urn:schemas-microsoft-com:office:office" xmlns:v="urn:schemas-microsoft-com:vml" id="rectole0000000003" style="width:466.850000pt;height:150.9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Figure S4 (A) Amount of pyridine adsorbed and un-adsorbed, and (B) the corresponding adsorption capacities of the various concentration at constant mass of 150 mg at constant time of 24 h at 25˚C. 1: 79 mg/L, 2: 195 mg/L, 3: 234 mg/L, 4: 312 mg/L, 5: 391 mg/L, 6: 553 mg/L, 7: 869 mg/L, 8: 1548 mg/L, 9: 1637 mg/L)</w:t>
      </w:r>
    </w:p>
    <w:p>
      <w:pPr>
        <w:spacing w:before="0" w:after="16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Figure S5 (A) Amount of pyridine adsorbed and un-adsorbed by varying adsorbent mass at constant time of 24 h at 25˚C. (Where, 1= 150 mg, 2= 300 mg, 3= 450 mg, 4= 600 mg, and 5= 750 mg)</w:t>
      </w:r>
    </w:p>
    <w:p>
      <w:pPr>
        <w:spacing w:before="0" w:after="16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Figure S6 Langmuir adsorption isotherms of pyridine over poly aniline-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co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-DVB adsorbent </w:t>
      </w:r>
    </w:p>
    <w:p>
      <w:pPr>
        <w:spacing w:before="0" w:after="16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  <w:vertAlign w:val="superscript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Figure S7.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Graph of q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  <w:vertAlign w:val="subscript"/>
        </w:rPr>
        <w:t xml:space="preserve">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vs. time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  <w:vertAlign w:val="superscript"/>
        </w:rPr>
        <w:t xml:space="preserve">0.5</w:t>
      </w:r>
    </w:p>
    <w:p>
      <w:pPr>
        <w:spacing w:before="0" w:after="16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Figure S8 Distribution of nitrogen-containing compounds in model fuel</w:t>
      </w:r>
    </w:p>
    <w:p>
      <w:pPr>
        <w:spacing w:before="0" w:after="16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FFFFFF" w:val="clear"/>
        </w:rPr>
      </w:pPr>
    </w:p>
    <w:p>
      <w:pPr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object w:dxaOrig="8020" w:dyaOrig="5886">
          <v:rect xmlns:o="urn:schemas-microsoft-com:office:office" xmlns:v="urn:schemas-microsoft-com:vml" id="rectole0000000004" style="width:401.000000pt;height:294.3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Figure S9 GC-FID chromatogram of hydrotreated diesel spiked with pyridine (100 mg/L). GC-FID conditions: DB-5 column (30 m x 0.25 mm x 0.25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μm) column; Oven temperature heating 50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°C to 100°C for 10 min, then increased from 100°C to 300°C at a heating rate of 10°C.min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  <w:vertAlign w:val="superscript"/>
        </w:rPr>
        <w:t xml:space="preserve">-1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and finally held for 10 min. 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object w:dxaOrig="8264" w:dyaOrig="6048">
          <v:rect xmlns:o="urn:schemas-microsoft-com:office:office" xmlns:v="urn:schemas-microsoft-com:vml" id="rectole0000000005" style="width:413.200000pt;height:302.4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16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Figure S10 GC-FID chromatogram of hydrotreated diesel after adsorption. GC-FID conditions: DB-5 column (30 m x 0.25 mm x 0.25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μm) column; Oven temperature heating 50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°C to 100°C for 10 min, then increased from 100°C to 300°C at a heating rate of 10°C.min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  <w:vertAlign w:val="superscript"/>
        </w:rPr>
        <w:t xml:space="preserve">-1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and finally held for 10 min.</w:t>
      </w:r>
    </w:p>
    <w:p>
      <w:pPr>
        <w:spacing w:before="0" w:after="16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5402" w:dyaOrig="3098">
          <v:rect xmlns:o="urn:schemas-microsoft-com:office:office" xmlns:v="urn:schemas-microsoft-com:vml" id="rectole0000000006" style="width:270.100000pt;height:154.9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16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Figure S11. Optimized geometry of a unit of poly 4-vinyl aniline-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co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-DVB and pyridine adduct confirming the formation of hydrogen bonding.</w:t>
      </w:r>
    </w:p>
    <w:p>
      <w:pPr>
        <w:spacing w:before="0" w:after="16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6.wmf" Id="docRId13" Type="http://schemas.openxmlformats.org/officeDocument/2006/relationships/image"/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numbering.xml" Id="docRId14" Type="http://schemas.openxmlformats.org/officeDocument/2006/relationships/numbering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styles.xml" Id="docRId15" Type="http://schemas.openxmlformats.org/officeDocument/2006/relationships/styles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/Relationships>
</file>