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C2D" w:rsidRPr="00390904" w:rsidRDefault="00446C2D" w:rsidP="00446C2D">
      <w:pPr>
        <w:ind w:firstLine="0"/>
        <w:rPr>
          <w:b/>
          <w:sz w:val="24"/>
        </w:rPr>
      </w:pPr>
      <w:r w:rsidRPr="00390904">
        <w:rPr>
          <w:b/>
          <w:sz w:val="24"/>
        </w:rPr>
        <w:t>Appendix A</w:t>
      </w:r>
    </w:p>
    <w:p w:rsidR="00446C2D" w:rsidRPr="00AD5959" w:rsidRDefault="00446C2D" w:rsidP="00446C2D">
      <w:pPr>
        <w:rPr>
          <w:b/>
        </w:rPr>
      </w:pPr>
      <w:r w:rsidRPr="00AD5959">
        <w:rPr>
          <w:b/>
        </w:rPr>
        <w:t xml:space="preserve">Table </w:t>
      </w:r>
      <w:r>
        <w:rPr>
          <w:b/>
          <w:noProof/>
        </w:rPr>
        <w:t>A1</w:t>
      </w:r>
      <w:r w:rsidRPr="00AD5959">
        <w:rPr>
          <w:b/>
        </w:rPr>
        <w:t xml:space="preserve"> </w:t>
      </w:r>
      <w:r w:rsidRPr="00AD5959">
        <w:t>Description of variables obtained from the questionnaire and simulator.</w:t>
      </w:r>
      <w:r w:rsidRPr="00AD5959">
        <w:rPr>
          <w:b/>
        </w:rPr>
        <w:t xml:space="preserve"> </w:t>
      </w:r>
    </w:p>
    <w:tbl>
      <w:tblPr>
        <w:tblW w:w="5000" w:type="pct"/>
        <w:jc w:val="center"/>
        <w:tblLayout w:type="fixed"/>
        <w:tblLook w:val="04A0" w:firstRow="1" w:lastRow="0" w:firstColumn="1" w:lastColumn="0" w:noHBand="0" w:noVBand="1"/>
      </w:tblPr>
      <w:tblGrid>
        <w:gridCol w:w="2545"/>
        <w:gridCol w:w="3686"/>
        <w:gridCol w:w="1690"/>
        <w:gridCol w:w="1095"/>
      </w:tblGrid>
      <w:tr w:rsidR="00446C2D" w:rsidRPr="00AD5959" w:rsidTr="007B70BD">
        <w:trPr>
          <w:trHeight w:val="300"/>
          <w:jc w:val="center"/>
        </w:trPr>
        <w:tc>
          <w:tcPr>
            <w:tcW w:w="345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46C2D" w:rsidRPr="00AD5959" w:rsidRDefault="00446C2D" w:rsidP="007B70BD">
            <w:pPr>
              <w:spacing w:after="0"/>
              <w:ind w:firstLine="0"/>
              <w:jc w:val="center"/>
              <w:rPr>
                <w:rFonts w:eastAsia="Times New Roman" w:cs="Times New Roman"/>
                <w:b/>
                <w:szCs w:val="20"/>
                <w:lang w:eastAsia="en-IN" w:bidi="hi-IN"/>
              </w:rPr>
            </w:pPr>
            <w:r w:rsidRPr="00AD5959">
              <w:rPr>
                <w:rFonts w:eastAsia="Times New Roman" w:cs="Times New Roman"/>
                <w:b/>
                <w:szCs w:val="20"/>
                <w:lang w:eastAsia="en-IN" w:bidi="hi-IN"/>
              </w:rPr>
              <w:t>Variables</w:t>
            </w:r>
          </w:p>
        </w:tc>
        <w:tc>
          <w:tcPr>
            <w:tcW w:w="937"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446C2D" w:rsidRPr="00AD5959" w:rsidRDefault="00446C2D" w:rsidP="007B70BD">
            <w:pPr>
              <w:spacing w:after="0"/>
              <w:ind w:firstLine="0"/>
              <w:jc w:val="center"/>
              <w:rPr>
                <w:rFonts w:eastAsia="Times New Roman" w:cs="Times New Roman"/>
                <w:b/>
                <w:szCs w:val="20"/>
                <w:lang w:eastAsia="en-IN" w:bidi="hi-IN"/>
              </w:rPr>
            </w:pPr>
            <w:r w:rsidRPr="00AD5959">
              <w:rPr>
                <w:rFonts w:eastAsia="Times New Roman" w:cs="Times New Roman"/>
                <w:b/>
                <w:szCs w:val="20"/>
                <w:lang w:eastAsia="en-IN" w:bidi="hi-IN"/>
              </w:rPr>
              <w:t>Frequency or Mean (SD)*</w:t>
            </w:r>
          </w:p>
        </w:tc>
        <w:tc>
          <w:tcPr>
            <w:tcW w:w="607"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446C2D" w:rsidRPr="00AD5959" w:rsidRDefault="00446C2D" w:rsidP="007B70BD">
            <w:pPr>
              <w:spacing w:after="0"/>
              <w:ind w:firstLine="0"/>
              <w:jc w:val="center"/>
              <w:rPr>
                <w:rFonts w:eastAsia="Times New Roman" w:cs="Times New Roman"/>
                <w:b/>
                <w:szCs w:val="20"/>
                <w:lang w:eastAsia="en-IN" w:bidi="hi-IN"/>
              </w:rPr>
            </w:pPr>
            <w:r w:rsidRPr="00AD5959">
              <w:rPr>
                <w:rFonts w:eastAsia="Times New Roman" w:cs="Times New Roman"/>
                <w:b/>
                <w:szCs w:val="20"/>
                <w:lang w:eastAsia="en-IN" w:bidi="hi-IN"/>
              </w:rPr>
              <w:t>Percent</w:t>
            </w:r>
          </w:p>
        </w:tc>
      </w:tr>
      <w:tr w:rsidR="00446C2D" w:rsidRPr="00AD5959" w:rsidTr="007B70BD">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46C2D" w:rsidRPr="00AD5959" w:rsidRDefault="00446C2D" w:rsidP="007B70BD">
            <w:pPr>
              <w:spacing w:after="0"/>
              <w:ind w:firstLine="0"/>
              <w:jc w:val="center"/>
              <w:rPr>
                <w:rFonts w:eastAsia="Times New Roman" w:cs="Times New Roman"/>
                <w:b/>
                <w:szCs w:val="20"/>
                <w:lang w:eastAsia="en-IN" w:bidi="hi-IN"/>
              </w:rPr>
            </w:pPr>
            <w:r w:rsidRPr="00AD5959">
              <w:rPr>
                <w:rFonts w:eastAsia="Times New Roman" w:cs="Times New Roman"/>
                <w:b/>
                <w:szCs w:val="20"/>
                <w:lang w:eastAsia="en-IN" w:bidi="hi-IN"/>
              </w:rPr>
              <w:t>Section (A) Driver demographics</w:t>
            </w:r>
            <w:r w:rsidRPr="00AD5959">
              <w:rPr>
                <w:rFonts w:cs="Times New Roman"/>
                <w:szCs w:val="20"/>
              </w:rPr>
              <w:t xml:space="preserve"> </w:t>
            </w:r>
            <w:r w:rsidRPr="00AD5959">
              <w:rPr>
                <w:rFonts w:eastAsia="Times New Roman" w:cs="Times New Roman"/>
                <w:b/>
                <w:szCs w:val="20"/>
                <w:lang w:eastAsia="en-IN" w:bidi="hi-IN"/>
              </w:rPr>
              <w:t>and</w:t>
            </w:r>
            <w:r w:rsidRPr="00AD5959">
              <w:rPr>
                <w:rFonts w:cs="Times New Roman"/>
                <w:szCs w:val="20"/>
              </w:rPr>
              <w:t xml:space="preserve"> </w:t>
            </w:r>
            <w:r w:rsidRPr="00AD5959">
              <w:rPr>
                <w:rFonts w:eastAsia="Times New Roman" w:cs="Times New Roman"/>
                <w:b/>
                <w:szCs w:val="20"/>
                <w:lang w:eastAsia="en-IN" w:bidi="hi-IN"/>
              </w:rPr>
              <w:t>driving history</w:t>
            </w:r>
          </w:p>
        </w:tc>
      </w:tr>
      <w:tr w:rsidR="00446C2D" w:rsidRPr="00AD5959" w:rsidTr="007B70BD">
        <w:trPr>
          <w:trHeight w:val="300"/>
          <w:jc w:val="center"/>
        </w:trPr>
        <w:tc>
          <w:tcPr>
            <w:tcW w:w="1412" w:type="pct"/>
            <w:vMerge w:val="restart"/>
            <w:tcBorders>
              <w:top w:val="nil"/>
              <w:left w:val="single" w:sz="4" w:space="0" w:color="auto"/>
              <w:bottom w:val="single" w:sz="4" w:space="0" w:color="auto"/>
              <w:right w:val="single" w:sz="4" w:space="0" w:color="auto"/>
            </w:tcBorders>
            <w:shd w:val="clear" w:color="auto" w:fill="auto"/>
            <w:vAlign w:val="center"/>
            <w:hideMark/>
          </w:tcPr>
          <w:p w:rsidR="00446C2D" w:rsidRPr="00AD5959" w:rsidRDefault="00446C2D" w:rsidP="007B70BD">
            <w:pPr>
              <w:spacing w:after="0"/>
              <w:ind w:firstLine="0"/>
              <w:jc w:val="left"/>
              <w:rPr>
                <w:rFonts w:eastAsia="Times New Roman" w:cs="Times New Roman"/>
                <w:szCs w:val="20"/>
                <w:lang w:eastAsia="en-IN" w:bidi="hi-IN"/>
              </w:rPr>
            </w:pPr>
            <w:r w:rsidRPr="00AD5959">
              <w:rPr>
                <w:rFonts w:eastAsia="Times New Roman" w:cs="Times New Roman"/>
                <w:szCs w:val="20"/>
                <w:lang w:eastAsia="en-IN" w:bidi="hi-IN"/>
              </w:rPr>
              <w:t>Age</w:t>
            </w:r>
          </w:p>
        </w:tc>
        <w:tc>
          <w:tcPr>
            <w:tcW w:w="2044" w:type="pct"/>
            <w:tcBorders>
              <w:top w:val="nil"/>
              <w:left w:val="nil"/>
              <w:bottom w:val="single" w:sz="4" w:space="0" w:color="auto"/>
              <w:right w:val="single" w:sz="4" w:space="0" w:color="auto"/>
            </w:tcBorders>
            <w:shd w:val="clear" w:color="auto" w:fill="auto"/>
            <w:vAlign w:val="center"/>
          </w:tcPr>
          <w:p w:rsidR="00446C2D" w:rsidRPr="00AD5959" w:rsidRDefault="00446C2D" w:rsidP="007B70BD">
            <w:pPr>
              <w:spacing w:after="0"/>
              <w:ind w:firstLine="0"/>
              <w:jc w:val="left"/>
              <w:rPr>
                <w:rFonts w:eastAsia="Times New Roman" w:cs="Times New Roman"/>
                <w:szCs w:val="20"/>
                <w:lang w:eastAsia="en-IN" w:bidi="hi-IN"/>
              </w:rPr>
            </w:pPr>
            <w:r w:rsidRPr="00AD5959">
              <w:rPr>
                <w:rFonts w:eastAsia="Times New Roman" w:cs="Times New Roman"/>
                <w:szCs w:val="20"/>
                <w:lang w:eastAsia="en-IN" w:bidi="hi-IN"/>
              </w:rPr>
              <w:t>Young (age&lt;=30)</w:t>
            </w:r>
          </w:p>
        </w:tc>
        <w:tc>
          <w:tcPr>
            <w:tcW w:w="937" w:type="pct"/>
            <w:tcBorders>
              <w:top w:val="nil"/>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51</w:t>
            </w:r>
          </w:p>
        </w:tc>
        <w:tc>
          <w:tcPr>
            <w:tcW w:w="607" w:type="pct"/>
            <w:tcBorders>
              <w:top w:val="nil"/>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57.95</w:t>
            </w:r>
          </w:p>
        </w:tc>
      </w:tr>
      <w:tr w:rsidR="00446C2D" w:rsidRPr="00AD5959" w:rsidTr="007B70BD">
        <w:trPr>
          <w:trHeight w:val="300"/>
          <w:jc w:val="center"/>
        </w:trPr>
        <w:tc>
          <w:tcPr>
            <w:tcW w:w="1412" w:type="pct"/>
            <w:vMerge/>
            <w:tcBorders>
              <w:top w:val="nil"/>
              <w:left w:val="single" w:sz="4" w:space="0" w:color="auto"/>
              <w:bottom w:val="single" w:sz="4" w:space="0" w:color="auto"/>
              <w:right w:val="single" w:sz="4" w:space="0" w:color="auto"/>
            </w:tcBorders>
            <w:vAlign w:val="center"/>
            <w:hideMark/>
          </w:tcPr>
          <w:p w:rsidR="00446C2D" w:rsidRPr="00AD5959" w:rsidRDefault="00446C2D" w:rsidP="007B70BD">
            <w:pPr>
              <w:spacing w:after="0"/>
              <w:ind w:firstLine="0"/>
              <w:jc w:val="left"/>
              <w:rPr>
                <w:rFonts w:eastAsia="Times New Roman" w:cs="Times New Roman"/>
                <w:szCs w:val="20"/>
                <w:lang w:eastAsia="en-IN" w:bidi="hi-IN"/>
              </w:rPr>
            </w:pPr>
          </w:p>
        </w:tc>
        <w:tc>
          <w:tcPr>
            <w:tcW w:w="2044" w:type="pct"/>
            <w:tcBorders>
              <w:top w:val="nil"/>
              <w:left w:val="nil"/>
              <w:bottom w:val="single" w:sz="4" w:space="0" w:color="auto"/>
              <w:right w:val="single" w:sz="4" w:space="0" w:color="auto"/>
            </w:tcBorders>
            <w:shd w:val="clear" w:color="auto" w:fill="auto"/>
            <w:vAlign w:val="center"/>
          </w:tcPr>
          <w:p w:rsidR="00446C2D" w:rsidRPr="00AD5959" w:rsidRDefault="00446C2D" w:rsidP="007B70BD">
            <w:pPr>
              <w:spacing w:after="0"/>
              <w:ind w:firstLine="0"/>
              <w:jc w:val="left"/>
              <w:rPr>
                <w:rFonts w:eastAsia="Times New Roman" w:cs="Times New Roman"/>
                <w:szCs w:val="20"/>
                <w:lang w:eastAsia="en-IN" w:bidi="hi-IN"/>
              </w:rPr>
            </w:pPr>
            <w:r w:rsidRPr="00AD5959">
              <w:rPr>
                <w:rFonts w:eastAsia="Times New Roman" w:cs="Times New Roman"/>
                <w:szCs w:val="20"/>
                <w:lang w:eastAsia="en-IN" w:bidi="hi-IN"/>
              </w:rPr>
              <w:t>Mid-age (30&lt;age&lt;=55)</w:t>
            </w:r>
          </w:p>
        </w:tc>
        <w:tc>
          <w:tcPr>
            <w:tcW w:w="937" w:type="pct"/>
            <w:tcBorders>
              <w:top w:val="nil"/>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37</w:t>
            </w:r>
          </w:p>
        </w:tc>
        <w:tc>
          <w:tcPr>
            <w:tcW w:w="607" w:type="pct"/>
            <w:tcBorders>
              <w:top w:val="nil"/>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42.05</w:t>
            </w:r>
          </w:p>
        </w:tc>
      </w:tr>
      <w:tr w:rsidR="00446C2D" w:rsidRPr="00AD5959" w:rsidTr="007B70BD">
        <w:trPr>
          <w:trHeight w:val="300"/>
          <w:jc w:val="center"/>
        </w:trPr>
        <w:tc>
          <w:tcPr>
            <w:tcW w:w="1412" w:type="pct"/>
            <w:vMerge w:val="restart"/>
            <w:tcBorders>
              <w:top w:val="nil"/>
              <w:left w:val="single" w:sz="4" w:space="0" w:color="auto"/>
              <w:right w:val="single" w:sz="4" w:space="0" w:color="auto"/>
            </w:tcBorders>
            <w:vAlign w:val="center"/>
          </w:tcPr>
          <w:p w:rsidR="00446C2D" w:rsidRPr="00AD5959" w:rsidRDefault="00446C2D" w:rsidP="007B70BD">
            <w:pPr>
              <w:spacing w:after="0"/>
              <w:ind w:firstLine="0"/>
              <w:jc w:val="left"/>
              <w:rPr>
                <w:rFonts w:eastAsia="Times New Roman" w:cs="Times New Roman"/>
                <w:szCs w:val="20"/>
                <w:lang w:eastAsia="en-IN" w:bidi="hi-IN"/>
              </w:rPr>
            </w:pPr>
            <w:r w:rsidRPr="00AD5959">
              <w:rPr>
                <w:rFonts w:eastAsia="Times New Roman" w:cs="Times New Roman"/>
                <w:szCs w:val="20"/>
                <w:lang w:eastAsia="en-IN" w:bidi="hi-IN"/>
              </w:rPr>
              <w:t>Gender</w:t>
            </w:r>
          </w:p>
        </w:tc>
        <w:tc>
          <w:tcPr>
            <w:tcW w:w="2044" w:type="pct"/>
            <w:tcBorders>
              <w:top w:val="nil"/>
              <w:left w:val="nil"/>
              <w:bottom w:val="single" w:sz="4" w:space="0" w:color="auto"/>
              <w:right w:val="single" w:sz="4" w:space="0" w:color="auto"/>
            </w:tcBorders>
            <w:shd w:val="clear" w:color="auto" w:fill="auto"/>
            <w:vAlign w:val="center"/>
          </w:tcPr>
          <w:p w:rsidR="00446C2D" w:rsidRPr="00AD5959" w:rsidRDefault="00446C2D" w:rsidP="007B70BD">
            <w:pPr>
              <w:spacing w:after="0"/>
              <w:ind w:firstLine="0"/>
              <w:jc w:val="left"/>
              <w:rPr>
                <w:rFonts w:eastAsia="Times New Roman" w:cs="Times New Roman"/>
                <w:szCs w:val="20"/>
                <w:lang w:eastAsia="en-IN" w:bidi="hi-IN"/>
              </w:rPr>
            </w:pPr>
            <w:r w:rsidRPr="00AD5959">
              <w:rPr>
                <w:rFonts w:eastAsia="Times New Roman" w:cs="Times New Roman"/>
                <w:szCs w:val="20"/>
                <w:lang w:eastAsia="en-IN" w:bidi="hi-IN"/>
              </w:rPr>
              <w:t>Female</w:t>
            </w:r>
          </w:p>
        </w:tc>
        <w:tc>
          <w:tcPr>
            <w:tcW w:w="937" w:type="pct"/>
            <w:tcBorders>
              <w:top w:val="nil"/>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7</w:t>
            </w:r>
          </w:p>
        </w:tc>
        <w:tc>
          <w:tcPr>
            <w:tcW w:w="607" w:type="pct"/>
            <w:tcBorders>
              <w:top w:val="nil"/>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7.95</w:t>
            </w:r>
          </w:p>
        </w:tc>
      </w:tr>
      <w:tr w:rsidR="00446C2D" w:rsidRPr="00AD5959" w:rsidTr="007B70BD">
        <w:trPr>
          <w:trHeight w:val="300"/>
          <w:jc w:val="center"/>
        </w:trPr>
        <w:tc>
          <w:tcPr>
            <w:tcW w:w="1412" w:type="pct"/>
            <w:vMerge/>
            <w:tcBorders>
              <w:left w:val="single" w:sz="4" w:space="0" w:color="auto"/>
              <w:bottom w:val="single" w:sz="4" w:space="0" w:color="auto"/>
              <w:right w:val="single" w:sz="4" w:space="0" w:color="auto"/>
            </w:tcBorders>
            <w:vAlign w:val="center"/>
          </w:tcPr>
          <w:p w:rsidR="00446C2D" w:rsidRPr="00AD5959" w:rsidRDefault="00446C2D" w:rsidP="007B70BD">
            <w:pPr>
              <w:spacing w:after="0"/>
              <w:ind w:firstLine="0"/>
              <w:jc w:val="left"/>
              <w:rPr>
                <w:rFonts w:eastAsia="Times New Roman" w:cs="Times New Roman"/>
                <w:szCs w:val="20"/>
                <w:lang w:eastAsia="en-IN" w:bidi="hi-IN"/>
              </w:rPr>
            </w:pPr>
          </w:p>
        </w:tc>
        <w:tc>
          <w:tcPr>
            <w:tcW w:w="2044" w:type="pct"/>
            <w:tcBorders>
              <w:top w:val="nil"/>
              <w:left w:val="nil"/>
              <w:bottom w:val="single" w:sz="4" w:space="0" w:color="auto"/>
              <w:right w:val="single" w:sz="4" w:space="0" w:color="auto"/>
            </w:tcBorders>
            <w:shd w:val="clear" w:color="auto" w:fill="auto"/>
            <w:vAlign w:val="center"/>
          </w:tcPr>
          <w:p w:rsidR="00446C2D" w:rsidRPr="00AD5959" w:rsidRDefault="00446C2D" w:rsidP="007B70BD">
            <w:pPr>
              <w:spacing w:after="0"/>
              <w:ind w:firstLine="0"/>
              <w:jc w:val="left"/>
              <w:rPr>
                <w:rFonts w:eastAsia="Times New Roman" w:cs="Times New Roman"/>
                <w:szCs w:val="20"/>
                <w:lang w:eastAsia="en-IN" w:bidi="hi-IN"/>
              </w:rPr>
            </w:pPr>
            <w:r w:rsidRPr="00AD5959">
              <w:rPr>
                <w:rFonts w:eastAsia="Times New Roman" w:cs="Times New Roman"/>
                <w:szCs w:val="20"/>
                <w:lang w:eastAsia="en-IN" w:bidi="hi-IN"/>
              </w:rPr>
              <w:t>Male</w:t>
            </w:r>
          </w:p>
        </w:tc>
        <w:tc>
          <w:tcPr>
            <w:tcW w:w="937" w:type="pct"/>
            <w:tcBorders>
              <w:top w:val="nil"/>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81</w:t>
            </w:r>
          </w:p>
        </w:tc>
        <w:tc>
          <w:tcPr>
            <w:tcW w:w="607" w:type="pct"/>
            <w:tcBorders>
              <w:top w:val="nil"/>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92.05</w:t>
            </w:r>
          </w:p>
        </w:tc>
      </w:tr>
      <w:tr w:rsidR="00446C2D" w:rsidRPr="00AD5959" w:rsidTr="007B70BD">
        <w:trPr>
          <w:trHeight w:val="300"/>
          <w:jc w:val="center"/>
        </w:trPr>
        <w:tc>
          <w:tcPr>
            <w:tcW w:w="1412" w:type="pct"/>
            <w:tcBorders>
              <w:left w:val="single" w:sz="4" w:space="0" w:color="auto"/>
              <w:bottom w:val="single" w:sz="4" w:space="0" w:color="auto"/>
              <w:right w:val="single" w:sz="4" w:space="0" w:color="auto"/>
            </w:tcBorders>
            <w:vAlign w:val="center"/>
          </w:tcPr>
          <w:p w:rsidR="00446C2D" w:rsidRPr="00AD5959" w:rsidRDefault="00446C2D" w:rsidP="007B70BD">
            <w:pPr>
              <w:spacing w:after="0"/>
              <w:ind w:firstLine="0"/>
              <w:jc w:val="left"/>
              <w:rPr>
                <w:rFonts w:eastAsia="Times New Roman" w:cs="Times New Roman"/>
                <w:szCs w:val="20"/>
                <w:lang w:eastAsia="en-IN" w:bidi="hi-IN"/>
              </w:rPr>
            </w:pPr>
            <w:r w:rsidRPr="00AD5959">
              <w:rPr>
                <w:rFonts w:eastAsia="Times New Roman" w:cs="Times New Roman"/>
                <w:szCs w:val="20"/>
                <w:lang w:eastAsia="en-IN" w:bidi="hi-IN"/>
              </w:rPr>
              <w:t>Driving experience</w:t>
            </w:r>
          </w:p>
        </w:tc>
        <w:tc>
          <w:tcPr>
            <w:tcW w:w="2044" w:type="pct"/>
            <w:tcBorders>
              <w:top w:val="nil"/>
              <w:left w:val="nil"/>
              <w:bottom w:val="single" w:sz="4" w:space="0" w:color="auto"/>
              <w:right w:val="single" w:sz="4" w:space="0" w:color="auto"/>
            </w:tcBorders>
            <w:shd w:val="clear" w:color="auto" w:fill="auto"/>
            <w:vAlign w:val="center"/>
          </w:tcPr>
          <w:p w:rsidR="00446C2D" w:rsidRPr="00AD5959" w:rsidRDefault="00446C2D" w:rsidP="007B70BD">
            <w:pPr>
              <w:spacing w:after="0"/>
              <w:ind w:firstLine="0"/>
              <w:jc w:val="left"/>
              <w:rPr>
                <w:rFonts w:eastAsia="Times New Roman" w:cs="Times New Roman"/>
                <w:szCs w:val="20"/>
                <w:lang w:eastAsia="en-IN" w:bidi="hi-IN"/>
              </w:rPr>
            </w:pPr>
            <w:r w:rsidRPr="00AD5959">
              <w:rPr>
                <w:rFonts w:eastAsia="Times New Roman" w:cs="Times New Roman"/>
                <w:szCs w:val="20"/>
                <w:lang w:eastAsia="en-IN" w:bidi="hi-IN"/>
              </w:rPr>
              <w:t>Reported in years</w:t>
            </w:r>
          </w:p>
        </w:tc>
        <w:tc>
          <w:tcPr>
            <w:tcW w:w="937" w:type="pct"/>
            <w:tcBorders>
              <w:top w:val="nil"/>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9.89 (7.29)</w:t>
            </w:r>
          </w:p>
        </w:tc>
        <w:tc>
          <w:tcPr>
            <w:tcW w:w="607" w:type="pct"/>
            <w:tcBorders>
              <w:top w:val="nil"/>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w:t>
            </w:r>
          </w:p>
        </w:tc>
      </w:tr>
      <w:tr w:rsidR="00446C2D" w:rsidRPr="00AD5959" w:rsidTr="007B70BD">
        <w:trPr>
          <w:trHeight w:val="406"/>
          <w:jc w:val="center"/>
        </w:trPr>
        <w:tc>
          <w:tcPr>
            <w:tcW w:w="1412" w:type="pct"/>
            <w:vMerge w:val="restart"/>
            <w:tcBorders>
              <w:top w:val="nil"/>
              <w:left w:val="single" w:sz="4" w:space="0" w:color="auto"/>
              <w:bottom w:val="single" w:sz="4" w:space="0" w:color="auto"/>
              <w:right w:val="single" w:sz="4" w:space="0" w:color="auto"/>
            </w:tcBorders>
            <w:shd w:val="clear" w:color="auto" w:fill="auto"/>
            <w:vAlign w:val="center"/>
            <w:hideMark/>
          </w:tcPr>
          <w:p w:rsidR="00446C2D" w:rsidRPr="00AD5959" w:rsidRDefault="00446C2D" w:rsidP="007B70BD">
            <w:pPr>
              <w:spacing w:after="0"/>
              <w:ind w:firstLine="0"/>
              <w:jc w:val="left"/>
              <w:rPr>
                <w:rFonts w:eastAsia="Times New Roman" w:cs="Times New Roman"/>
                <w:szCs w:val="20"/>
                <w:lang w:eastAsia="en-IN" w:bidi="hi-IN"/>
              </w:rPr>
            </w:pPr>
            <w:r w:rsidRPr="00AD5959">
              <w:rPr>
                <w:rFonts w:eastAsia="Times New Roman" w:cs="Times New Roman"/>
                <w:szCs w:val="20"/>
                <w:lang w:eastAsia="en-IN" w:bidi="hi-IN"/>
              </w:rPr>
              <w:t>Driving frequency</w:t>
            </w:r>
          </w:p>
        </w:tc>
        <w:tc>
          <w:tcPr>
            <w:tcW w:w="2044" w:type="pct"/>
            <w:tcBorders>
              <w:top w:val="nil"/>
              <w:left w:val="nil"/>
              <w:bottom w:val="single" w:sz="4" w:space="0" w:color="auto"/>
              <w:right w:val="single" w:sz="4" w:space="0" w:color="auto"/>
            </w:tcBorders>
            <w:shd w:val="clear" w:color="auto" w:fill="auto"/>
            <w:vAlign w:val="center"/>
          </w:tcPr>
          <w:p w:rsidR="00446C2D" w:rsidRPr="00AD5959" w:rsidRDefault="00446C2D" w:rsidP="007B70BD">
            <w:pPr>
              <w:spacing w:after="0"/>
              <w:ind w:firstLine="0"/>
              <w:jc w:val="left"/>
              <w:rPr>
                <w:rFonts w:eastAsia="Times New Roman" w:cs="Times New Roman"/>
                <w:szCs w:val="20"/>
                <w:lang w:eastAsia="en-IN" w:bidi="hi-IN"/>
              </w:rPr>
            </w:pPr>
            <w:r w:rsidRPr="00AD5959">
              <w:rPr>
                <w:rFonts w:eastAsia="Times New Roman" w:cs="Times New Roman"/>
                <w:szCs w:val="20"/>
                <w:lang w:eastAsia="en-IN" w:bidi="hi-IN"/>
              </w:rPr>
              <w:t>Frequent driving (driving on daily basis)</w:t>
            </w:r>
          </w:p>
        </w:tc>
        <w:tc>
          <w:tcPr>
            <w:tcW w:w="937" w:type="pct"/>
            <w:tcBorders>
              <w:top w:val="nil"/>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38</w:t>
            </w:r>
          </w:p>
        </w:tc>
        <w:tc>
          <w:tcPr>
            <w:tcW w:w="607" w:type="pct"/>
            <w:tcBorders>
              <w:top w:val="nil"/>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43.18</w:t>
            </w:r>
          </w:p>
        </w:tc>
      </w:tr>
      <w:tr w:rsidR="00446C2D" w:rsidRPr="00AD5959" w:rsidTr="007B70BD">
        <w:trPr>
          <w:trHeight w:val="193"/>
          <w:jc w:val="center"/>
        </w:trPr>
        <w:tc>
          <w:tcPr>
            <w:tcW w:w="1412" w:type="pct"/>
            <w:vMerge/>
            <w:tcBorders>
              <w:top w:val="nil"/>
              <w:left w:val="single" w:sz="4" w:space="0" w:color="auto"/>
              <w:bottom w:val="single" w:sz="4" w:space="0" w:color="auto"/>
              <w:right w:val="single" w:sz="4" w:space="0" w:color="auto"/>
            </w:tcBorders>
            <w:vAlign w:val="center"/>
            <w:hideMark/>
          </w:tcPr>
          <w:p w:rsidR="00446C2D" w:rsidRPr="00AD5959" w:rsidRDefault="00446C2D" w:rsidP="007B70BD">
            <w:pPr>
              <w:spacing w:after="0"/>
              <w:ind w:firstLine="0"/>
              <w:jc w:val="center"/>
              <w:rPr>
                <w:rFonts w:eastAsia="Times New Roman" w:cs="Times New Roman"/>
                <w:szCs w:val="20"/>
                <w:lang w:eastAsia="en-IN" w:bidi="hi-IN"/>
              </w:rPr>
            </w:pPr>
          </w:p>
        </w:tc>
        <w:tc>
          <w:tcPr>
            <w:tcW w:w="2044" w:type="pct"/>
            <w:tcBorders>
              <w:top w:val="nil"/>
              <w:left w:val="nil"/>
              <w:bottom w:val="single" w:sz="4" w:space="0" w:color="auto"/>
              <w:right w:val="single" w:sz="4" w:space="0" w:color="auto"/>
            </w:tcBorders>
            <w:shd w:val="clear" w:color="auto" w:fill="auto"/>
            <w:vAlign w:val="center"/>
          </w:tcPr>
          <w:p w:rsidR="00446C2D" w:rsidRPr="00AD5959" w:rsidRDefault="00446C2D" w:rsidP="007B70BD">
            <w:pPr>
              <w:spacing w:after="0"/>
              <w:ind w:firstLine="0"/>
              <w:jc w:val="left"/>
              <w:rPr>
                <w:rFonts w:eastAsia="Times New Roman" w:cs="Times New Roman"/>
                <w:szCs w:val="20"/>
                <w:lang w:eastAsia="en-IN" w:bidi="hi-IN"/>
              </w:rPr>
            </w:pPr>
            <w:r w:rsidRPr="00AD5959">
              <w:rPr>
                <w:rFonts w:eastAsia="Times New Roman" w:cs="Times New Roman"/>
                <w:szCs w:val="20"/>
                <w:lang w:eastAsia="en-IN" w:bidi="hi-IN"/>
              </w:rPr>
              <w:t>Infrequent driving (driving once/twice a week or less than that)</w:t>
            </w:r>
          </w:p>
        </w:tc>
        <w:tc>
          <w:tcPr>
            <w:tcW w:w="937" w:type="pct"/>
            <w:tcBorders>
              <w:top w:val="nil"/>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50</w:t>
            </w:r>
          </w:p>
        </w:tc>
        <w:tc>
          <w:tcPr>
            <w:tcW w:w="607" w:type="pct"/>
            <w:tcBorders>
              <w:top w:val="nil"/>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56.82</w:t>
            </w:r>
          </w:p>
        </w:tc>
      </w:tr>
      <w:tr w:rsidR="00446C2D" w:rsidRPr="00AD5959" w:rsidTr="007B70BD">
        <w:trPr>
          <w:trHeight w:val="19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b/>
                <w:szCs w:val="20"/>
                <w:lang w:eastAsia="en-IN" w:bidi="hi-IN"/>
              </w:rPr>
              <w:t>Section (B)</w:t>
            </w:r>
            <w:r w:rsidRPr="00AD5959">
              <w:rPr>
                <w:rFonts w:cs="Times New Roman"/>
                <w:szCs w:val="20"/>
              </w:rPr>
              <w:t xml:space="preserve"> </w:t>
            </w:r>
            <w:r w:rsidRPr="00AD5959">
              <w:rPr>
                <w:rFonts w:eastAsia="Times New Roman" w:cs="Times New Roman"/>
                <w:b/>
                <w:szCs w:val="20"/>
                <w:lang w:eastAsia="en-IN" w:bidi="hi-IN"/>
              </w:rPr>
              <w:t>Driving attributes obtained from the simulator output</w:t>
            </w:r>
          </w:p>
        </w:tc>
      </w:tr>
      <w:tr w:rsidR="00446C2D" w:rsidRPr="00AD5959" w:rsidTr="007B70BD">
        <w:trPr>
          <w:trHeight w:val="323"/>
          <w:jc w:val="center"/>
        </w:trPr>
        <w:tc>
          <w:tcPr>
            <w:tcW w:w="1412" w:type="pct"/>
            <w:tcBorders>
              <w:top w:val="single" w:sz="4" w:space="0" w:color="auto"/>
              <w:left w:val="single" w:sz="4" w:space="0" w:color="auto"/>
              <w:bottom w:val="single" w:sz="4" w:space="0" w:color="auto"/>
              <w:right w:val="single" w:sz="4" w:space="0" w:color="auto"/>
            </w:tcBorders>
          </w:tcPr>
          <w:p w:rsidR="00446C2D" w:rsidRPr="00AD5959" w:rsidRDefault="00446C2D" w:rsidP="007B70BD">
            <w:pPr>
              <w:spacing w:after="0"/>
              <w:ind w:firstLine="0"/>
              <w:jc w:val="left"/>
              <w:rPr>
                <w:rFonts w:eastAsia="Times New Roman" w:cs="Times New Roman"/>
                <w:szCs w:val="20"/>
                <w:lang w:eastAsia="en-IN" w:bidi="hi-IN"/>
              </w:rPr>
            </w:pPr>
            <w:r w:rsidRPr="00AD5959">
              <w:rPr>
                <w:rFonts w:eastAsia="Times New Roman" w:cs="Times New Roman"/>
                <w:szCs w:val="20"/>
                <w:lang w:eastAsia="en-IN" w:bidi="hi-IN"/>
              </w:rPr>
              <w:t>Reaction distance</w:t>
            </w:r>
            <w:r>
              <w:rPr>
                <w:rFonts w:eastAsia="Times New Roman" w:cs="Times New Roman"/>
                <w:szCs w:val="20"/>
                <w:lang w:eastAsia="en-IN" w:bidi="hi-IN"/>
              </w:rPr>
              <w:t xml:space="preserve"> </w:t>
            </w:r>
            <w:r w:rsidRPr="00F95356">
              <w:rPr>
                <w:rFonts w:eastAsia="Times New Roman" w:cs="Times New Roman"/>
                <w:szCs w:val="20"/>
                <w:vertAlign w:val="superscript"/>
                <w:lang w:eastAsia="en-IN" w:bidi="hi-IN"/>
              </w:rPr>
              <w:t>a</w:t>
            </w:r>
          </w:p>
        </w:tc>
        <w:tc>
          <w:tcPr>
            <w:tcW w:w="2044" w:type="pct"/>
            <w:tcBorders>
              <w:top w:val="single" w:sz="4" w:space="0" w:color="auto"/>
              <w:left w:val="nil"/>
              <w:bottom w:val="single" w:sz="4" w:space="0" w:color="auto"/>
              <w:right w:val="single" w:sz="4" w:space="0" w:color="auto"/>
            </w:tcBorders>
            <w:shd w:val="clear" w:color="auto" w:fill="auto"/>
            <w:vAlign w:val="center"/>
          </w:tcPr>
          <w:p w:rsidR="00446C2D" w:rsidRPr="00AD5959" w:rsidRDefault="00446C2D" w:rsidP="007B70BD">
            <w:pPr>
              <w:spacing w:after="0"/>
              <w:ind w:firstLine="0"/>
              <w:jc w:val="left"/>
              <w:rPr>
                <w:rFonts w:eastAsia="Times New Roman" w:cs="Times New Roman"/>
                <w:szCs w:val="20"/>
                <w:lang w:eastAsia="en-IN" w:bidi="hi-IN"/>
              </w:rPr>
            </w:pPr>
            <w:r w:rsidRPr="00AD5959">
              <w:rPr>
                <w:rFonts w:eastAsia="Times New Roman" w:cs="Times New Roman"/>
                <w:szCs w:val="20"/>
                <w:lang w:eastAsia="en-IN" w:bidi="hi-IN"/>
              </w:rPr>
              <w:t>Measured in m</w:t>
            </w:r>
          </w:p>
        </w:tc>
        <w:tc>
          <w:tcPr>
            <w:tcW w:w="937" w:type="pct"/>
            <w:tcBorders>
              <w:top w:val="single" w:sz="4" w:space="0" w:color="auto"/>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63.42 (19.91)</w:t>
            </w:r>
          </w:p>
        </w:tc>
        <w:tc>
          <w:tcPr>
            <w:tcW w:w="607" w:type="pct"/>
            <w:tcBorders>
              <w:top w:val="single" w:sz="4" w:space="0" w:color="auto"/>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w:t>
            </w:r>
          </w:p>
        </w:tc>
      </w:tr>
      <w:tr w:rsidR="00446C2D" w:rsidRPr="00AD5959" w:rsidTr="007B70BD">
        <w:trPr>
          <w:trHeight w:val="264"/>
          <w:jc w:val="center"/>
        </w:trPr>
        <w:tc>
          <w:tcPr>
            <w:tcW w:w="1412" w:type="pct"/>
            <w:tcBorders>
              <w:top w:val="single" w:sz="4" w:space="0" w:color="auto"/>
              <w:left w:val="single" w:sz="4" w:space="0" w:color="auto"/>
              <w:bottom w:val="single" w:sz="4" w:space="0" w:color="auto"/>
              <w:right w:val="single" w:sz="4" w:space="0" w:color="auto"/>
            </w:tcBorders>
          </w:tcPr>
          <w:p w:rsidR="00446C2D" w:rsidRPr="00AD5959" w:rsidRDefault="00446C2D" w:rsidP="007B70BD">
            <w:pPr>
              <w:spacing w:after="0"/>
              <w:ind w:firstLine="0"/>
              <w:jc w:val="left"/>
              <w:rPr>
                <w:rFonts w:eastAsia="Times New Roman" w:cs="Times New Roman"/>
                <w:szCs w:val="20"/>
                <w:lang w:eastAsia="en-IN" w:bidi="hi-IN"/>
              </w:rPr>
            </w:pPr>
            <w:r w:rsidRPr="00AD5959">
              <w:rPr>
                <w:rFonts w:eastAsia="Times New Roman" w:cs="Times New Roman"/>
                <w:szCs w:val="20"/>
                <w:lang w:eastAsia="en-IN" w:bidi="hi-IN"/>
              </w:rPr>
              <w:t>Approach speed</w:t>
            </w:r>
            <w:r>
              <w:rPr>
                <w:rFonts w:eastAsia="Times New Roman" w:cs="Times New Roman"/>
                <w:szCs w:val="20"/>
                <w:lang w:eastAsia="en-IN" w:bidi="hi-IN"/>
              </w:rPr>
              <w:t xml:space="preserve"> </w:t>
            </w:r>
            <w:r w:rsidRPr="00F95356">
              <w:rPr>
                <w:rFonts w:eastAsia="Times New Roman" w:cs="Times New Roman"/>
                <w:szCs w:val="20"/>
                <w:vertAlign w:val="superscript"/>
                <w:lang w:eastAsia="en-IN" w:bidi="hi-IN"/>
              </w:rPr>
              <w:t>b</w:t>
            </w:r>
          </w:p>
        </w:tc>
        <w:tc>
          <w:tcPr>
            <w:tcW w:w="2044" w:type="pct"/>
            <w:tcBorders>
              <w:top w:val="single" w:sz="4" w:space="0" w:color="auto"/>
              <w:left w:val="nil"/>
              <w:bottom w:val="single" w:sz="4" w:space="0" w:color="auto"/>
              <w:right w:val="single" w:sz="4" w:space="0" w:color="auto"/>
            </w:tcBorders>
            <w:shd w:val="clear" w:color="auto" w:fill="auto"/>
            <w:vAlign w:val="center"/>
          </w:tcPr>
          <w:p w:rsidR="00446C2D" w:rsidRPr="00AD5959" w:rsidRDefault="00446C2D" w:rsidP="007B70BD">
            <w:pPr>
              <w:spacing w:after="0"/>
              <w:ind w:firstLine="0"/>
              <w:jc w:val="left"/>
              <w:rPr>
                <w:rFonts w:eastAsia="Times New Roman" w:cs="Times New Roman"/>
                <w:szCs w:val="20"/>
                <w:lang w:eastAsia="en-IN" w:bidi="hi-IN"/>
              </w:rPr>
            </w:pPr>
            <w:r w:rsidRPr="00AD5959">
              <w:rPr>
                <w:rFonts w:eastAsia="Times New Roman" w:cs="Times New Roman"/>
                <w:szCs w:val="20"/>
                <w:lang w:eastAsia="en-IN" w:bidi="hi-IN"/>
              </w:rPr>
              <w:t>Measured in m/s</w:t>
            </w:r>
          </w:p>
        </w:tc>
        <w:tc>
          <w:tcPr>
            <w:tcW w:w="937" w:type="pct"/>
            <w:tcBorders>
              <w:top w:val="single" w:sz="4" w:space="0" w:color="auto"/>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16.90 (4.74)</w:t>
            </w:r>
          </w:p>
        </w:tc>
        <w:tc>
          <w:tcPr>
            <w:tcW w:w="607" w:type="pct"/>
            <w:tcBorders>
              <w:top w:val="single" w:sz="4" w:space="0" w:color="auto"/>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w:t>
            </w:r>
          </w:p>
        </w:tc>
      </w:tr>
      <w:tr w:rsidR="00446C2D" w:rsidRPr="00AD5959" w:rsidTr="007B70BD">
        <w:trPr>
          <w:trHeight w:val="341"/>
          <w:jc w:val="center"/>
        </w:trPr>
        <w:tc>
          <w:tcPr>
            <w:tcW w:w="1412" w:type="pct"/>
            <w:tcBorders>
              <w:top w:val="single" w:sz="4" w:space="0" w:color="auto"/>
              <w:left w:val="single" w:sz="4" w:space="0" w:color="auto"/>
              <w:bottom w:val="single" w:sz="4" w:space="0" w:color="auto"/>
              <w:right w:val="single" w:sz="4" w:space="0" w:color="auto"/>
            </w:tcBorders>
          </w:tcPr>
          <w:p w:rsidR="00446C2D" w:rsidRPr="00AD5959" w:rsidRDefault="00446C2D" w:rsidP="007B70BD">
            <w:pPr>
              <w:spacing w:after="0"/>
              <w:ind w:firstLine="0"/>
              <w:jc w:val="left"/>
              <w:rPr>
                <w:rFonts w:eastAsia="Times New Roman" w:cs="Times New Roman"/>
                <w:szCs w:val="20"/>
                <w:lang w:eastAsia="en-IN" w:bidi="hi-IN"/>
              </w:rPr>
            </w:pPr>
            <w:r w:rsidRPr="00AD5959">
              <w:rPr>
                <w:rFonts w:eastAsia="Times New Roman" w:cs="Times New Roman"/>
                <w:szCs w:val="20"/>
                <w:lang w:eastAsia="en-IN" w:bidi="hi-IN"/>
              </w:rPr>
              <w:t xml:space="preserve">Average deceleration in reaction distance </w:t>
            </w:r>
          </w:p>
        </w:tc>
        <w:tc>
          <w:tcPr>
            <w:tcW w:w="2044" w:type="pct"/>
            <w:tcBorders>
              <w:top w:val="single" w:sz="4" w:space="0" w:color="auto"/>
              <w:left w:val="nil"/>
              <w:bottom w:val="single" w:sz="4" w:space="0" w:color="auto"/>
              <w:right w:val="single" w:sz="4" w:space="0" w:color="auto"/>
            </w:tcBorders>
            <w:shd w:val="clear" w:color="auto" w:fill="auto"/>
            <w:vAlign w:val="center"/>
          </w:tcPr>
          <w:p w:rsidR="00446C2D" w:rsidRPr="00AD5959" w:rsidRDefault="00446C2D" w:rsidP="007B70BD">
            <w:pPr>
              <w:spacing w:after="0"/>
              <w:ind w:firstLine="0"/>
              <w:jc w:val="left"/>
              <w:rPr>
                <w:rFonts w:eastAsia="Times New Roman" w:cs="Times New Roman"/>
                <w:szCs w:val="20"/>
                <w:lang w:eastAsia="en-IN" w:bidi="hi-IN"/>
              </w:rPr>
            </w:pPr>
            <w:r w:rsidRPr="00AD5959">
              <w:rPr>
                <w:rFonts w:eastAsia="Times New Roman" w:cs="Times New Roman"/>
                <w:szCs w:val="20"/>
                <w:lang w:eastAsia="en-IN" w:bidi="hi-IN"/>
              </w:rPr>
              <w:t>Measured in m/s</w:t>
            </w:r>
            <w:r w:rsidRPr="00AD5959">
              <w:rPr>
                <w:rFonts w:eastAsia="Times New Roman" w:cs="Times New Roman"/>
                <w:szCs w:val="20"/>
                <w:vertAlign w:val="superscript"/>
                <w:lang w:eastAsia="en-IN" w:bidi="hi-IN"/>
              </w:rPr>
              <w:t>2</w:t>
            </w:r>
          </w:p>
        </w:tc>
        <w:tc>
          <w:tcPr>
            <w:tcW w:w="937" w:type="pct"/>
            <w:tcBorders>
              <w:top w:val="single" w:sz="4" w:space="0" w:color="auto"/>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1.25 (1.21)</w:t>
            </w:r>
          </w:p>
        </w:tc>
        <w:tc>
          <w:tcPr>
            <w:tcW w:w="607" w:type="pct"/>
            <w:tcBorders>
              <w:top w:val="single" w:sz="4" w:space="0" w:color="auto"/>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w:t>
            </w:r>
          </w:p>
        </w:tc>
      </w:tr>
      <w:tr w:rsidR="00446C2D" w:rsidRPr="00AD5959" w:rsidTr="007B70BD">
        <w:trPr>
          <w:trHeight w:val="70"/>
          <w:jc w:val="center"/>
        </w:trPr>
        <w:tc>
          <w:tcPr>
            <w:tcW w:w="1412" w:type="pct"/>
            <w:tcBorders>
              <w:top w:val="single" w:sz="4" w:space="0" w:color="auto"/>
              <w:left w:val="single" w:sz="4" w:space="0" w:color="auto"/>
              <w:bottom w:val="single" w:sz="4" w:space="0" w:color="auto"/>
              <w:right w:val="single" w:sz="4" w:space="0" w:color="auto"/>
            </w:tcBorders>
          </w:tcPr>
          <w:p w:rsidR="00446C2D" w:rsidRPr="00AD5959" w:rsidRDefault="00446C2D" w:rsidP="007B70BD">
            <w:pPr>
              <w:spacing w:after="0"/>
              <w:ind w:firstLine="0"/>
              <w:jc w:val="left"/>
              <w:rPr>
                <w:rFonts w:eastAsia="Times New Roman" w:cs="Times New Roman"/>
                <w:szCs w:val="20"/>
                <w:lang w:eastAsia="en-IN" w:bidi="hi-IN"/>
              </w:rPr>
            </w:pPr>
            <w:r w:rsidRPr="00AD5959">
              <w:rPr>
                <w:rFonts w:eastAsia="Times New Roman" w:cs="Times New Roman"/>
                <w:szCs w:val="20"/>
                <w:lang w:eastAsia="en-IN" w:bidi="hi-IN"/>
              </w:rPr>
              <w:t>Average speed in the completion zone</w:t>
            </w:r>
          </w:p>
        </w:tc>
        <w:tc>
          <w:tcPr>
            <w:tcW w:w="2044" w:type="pct"/>
            <w:tcBorders>
              <w:top w:val="single" w:sz="4" w:space="0" w:color="auto"/>
              <w:left w:val="nil"/>
              <w:bottom w:val="single" w:sz="4" w:space="0" w:color="auto"/>
              <w:right w:val="single" w:sz="4" w:space="0" w:color="auto"/>
            </w:tcBorders>
            <w:shd w:val="clear" w:color="auto" w:fill="auto"/>
            <w:vAlign w:val="center"/>
          </w:tcPr>
          <w:p w:rsidR="00446C2D" w:rsidRPr="00AD5959" w:rsidRDefault="00446C2D" w:rsidP="007B70BD">
            <w:pPr>
              <w:spacing w:after="0"/>
              <w:ind w:firstLine="0"/>
              <w:jc w:val="left"/>
              <w:rPr>
                <w:rFonts w:eastAsia="Times New Roman" w:cs="Times New Roman"/>
                <w:szCs w:val="20"/>
                <w:lang w:eastAsia="en-IN" w:bidi="hi-IN"/>
              </w:rPr>
            </w:pPr>
            <w:r w:rsidRPr="00AD5959">
              <w:rPr>
                <w:rFonts w:eastAsia="Times New Roman" w:cs="Times New Roman"/>
                <w:szCs w:val="20"/>
                <w:lang w:eastAsia="en-IN" w:bidi="hi-IN"/>
              </w:rPr>
              <w:t>Measured in m/s</w:t>
            </w:r>
          </w:p>
        </w:tc>
        <w:tc>
          <w:tcPr>
            <w:tcW w:w="937" w:type="pct"/>
            <w:tcBorders>
              <w:top w:val="single" w:sz="4" w:space="0" w:color="auto"/>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7.11 (5.08)</w:t>
            </w:r>
          </w:p>
        </w:tc>
        <w:tc>
          <w:tcPr>
            <w:tcW w:w="607" w:type="pct"/>
            <w:tcBorders>
              <w:top w:val="single" w:sz="4" w:space="0" w:color="auto"/>
              <w:left w:val="nil"/>
              <w:bottom w:val="single" w:sz="4" w:space="0" w:color="auto"/>
              <w:right w:val="single" w:sz="4" w:space="0" w:color="auto"/>
            </w:tcBorders>
            <w:shd w:val="clear" w:color="auto" w:fill="auto"/>
            <w:noWrap/>
            <w:vAlign w:val="center"/>
          </w:tcPr>
          <w:p w:rsidR="00446C2D" w:rsidRPr="00AD5959" w:rsidRDefault="00446C2D" w:rsidP="007B70BD">
            <w:pPr>
              <w:spacing w:after="0"/>
              <w:ind w:firstLine="0"/>
              <w:jc w:val="center"/>
              <w:rPr>
                <w:rFonts w:eastAsia="Times New Roman" w:cs="Times New Roman"/>
                <w:szCs w:val="20"/>
                <w:lang w:eastAsia="en-IN" w:bidi="hi-IN"/>
              </w:rPr>
            </w:pPr>
            <w:r w:rsidRPr="00AD5959">
              <w:rPr>
                <w:rFonts w:eastAsia="Times New Roman" w:cs="Times New Roman"/>
                <w:szCs w:val="20"/>
                <w:lang w:eastAsia="en-IN" w:bidi="hi-IN"/>
              </w:rPr>
              <w:t>-</w:t>
            </w:r>
          </w:p>
        </w:tc>
      </w:tr>
    </w:tbl>
    <w:p w:rsidR="00446C2D" w:rsidRDefault="00446C2D" w:rsidP="00446C2D">
      <w:pPr>
        <w:ind w:firstLine="0"/>
      </w:pPr>
      <w:r>
        <w:rPr>
          <w:rFonts w:cs="Times New Roman"/>
          <w:szCs w:val="20"/>
        </w:rPr>
        <w:t xml:space="preserve">Note: </w:t>
      </w:r>
      <w:r w:rsidRPr="009F4661">
        <w:rPr>
          <w:rFonts w:cs="Times New Roman"/>
          <w:szCs w:val="20"/>
          <w:vertAlign w:val="superscript"/>
        </w:rPr>
        <w:t>a</w:t>
      </w:r>
      <w:r>
        <w:rPr>
          <w:rFonts w:cs="Times New Roman"/>
          <w:szCs w:val="20"/>
        </w:rPr>
        <w:t xml:space="preserve">: </w:t>
      </w:r>
      <w:r w:rsidRPr="00AD5959">
        <w:t xml:space="preserve">Reaction distance was </w:t>
      </w:r>
      <w:r>
        <w:t xml:space="preserve">measured as </w:t>
      </w:r>
      <w:r w:rsidRPr="00AD5959">
        <w:t>the distance between the stop line and the point where a driver first reacted to the major road traffic by initia</w:t>
      </w:r>
      <w:r>
        <w:t>ting</w:t>
      </w:r>
      <w:r w:rsidRPr="00AD5959">
        <w:t xml:space="preserve"> the speed reduction. </w:t>
      </w:r>
    </w:p>
    <w:p w:rsidR="00446C2D" w:rsidRDefault="00446C2D" w:rsidP="00446C2D">
      <w:pPr>
        <w:ind w:firstLine="0"/>
      </w:pPr>
      <w:r w:rsidRPr="009F4661">
        <w:rPr>
          <w:vertAlign w:val="superscript"/>
        </w:rPr>
        <w:t>b</w:t>
      </w:r>
      <w:r>
        <w:t xml:space="preserve">: </w:t>
      </w:r>
      <w:r w:rsidRPr="00AD5959">
        <w:t xml:space="preserve">Approach speed was the driving speed at the point when the driver started reducing the speed. </w:t>
      </w:r>
    </w:p>
    <w:p w:rsidR="00446C2D" w:rsidRPr="00AD5959" w:rsidRDefault="00446C2D" w:rsidP="00446C2D">
      <w:pPr>
        <w:ind w:firstLine="0"/>
        <w:rPr>
          <w:rFonts w:cs="Times New Roman"/>
          <w:szCs w:val="20"/>
        </w:rPr>
      </w:pPr>
      <w:r w:rsidRPr="00AD5959">
        <w:rPr>
          <w:rFonts w:cs="Times New Roman"/>
          <w:szCs w:val="20"/>
        </w:rPr>
        <w:t>*</w:t>
      </w:r>
      <w:r>
        <w:rPr>
          <w:rFonts w:cs="Times New Roman"/>
          <w:szCs w:val="20"/>
        </w:rPr>
        <w:t xml:space="preserve">: </w:t>
      </w:r>
      <w:r w:rsidRPr="00AD5959">
        <w:rPr>
          <w:rFonts w:cs="Times New Roman"/>
          <w:szCs w:val="20"/>
        </w:rPr>
        <w:t>Frequency for the categorical variables and Mean (SD) for the continuous variables</w:t>
      </w:r>
    </w:p>
    <w:p w:rsidR="00446C2D" w:rsidRDefault="00446C2D" w:rsidP="00446C2D">
      <w:pPr>
        <w:pStyle w:val="Caption"/>
        <w:keepNext/>
        <w:rPr>
          <w:i w:val="0"/>
          <w:color w:val="auto"/>
          <w:sz w:val="20"/>
        </w:rPr>
      </w:pPr>
    </w:p>
    <w:p w:rsidR="00446C2D" w:rsidRDefault="00446C2D" w:rsidP="00446C2D">
      <w:pPr>
        <w:pStyle w:val="Caption"/>
        <w:keepNext/>
        <w:rPr>
          <w:i w:val="0"/>
          <w:color w:val="auto"/>
          <w:sz w:val="20"/>
        </w:rPr>
      </w:pPr>
    </w:p>
    <w:p w:rsidR="00446C2D" w:rsidRDefault="00446C2D" w:rsidP="00446C2D">
      <w:pPr>
        <w:pStyle w:val="Caption"/>
        <w:keepNext/>
        <w:rPr>
          <w:i w:val="0"/>
          <w:color w:val="auto"/>
          <w:sz w:val="20"/>
        </w:rPr>
      </w:pPr>
    </w:p>
    <w:p w:rsidR="00446C2D" w:rsidRDefault="00446C2D" w:rsidP="00446C2D"/>
    <w:p w:rsidR="00446C2D" w:rsidRDefault="00446C2D" w:rsidP="00446C2D"/>
    <w:p w:rsidR="00446C2D" w:rsidRPr="00390904" w:rsidRDefault="00446C2D" w:rsidP="00446C2D"/>
    <w:p w:rsidR="00446C2D" w:rsidRDefault="00446C2D" w:rsidP="00446C2D">
      <w:pPr>
        <w:pStyle w:val="Caption"/>
        <w:keepNext/>
        <w:rPr>
          <w:i w:val="0"/>
          <w:color w:val="auto"/>
          <w:sz w:val="20"/>
        </w:rPr>
      </w:pPr>
    </w:p>
    <w:p w:rsidR="00446C2D" w:rsidRPr="00AD5959" w:rsidRDefault="00446C2D" w:rsidP="00446C2D">
      <w:pPr>
        <w:pStyle w:val="Caption"/>
        <w:keepNext/>
        <w:rPr>
          <w:i w:val="0"/>
          <w:color w:val="auto"/>
          <w:sz w:val="20"/>
        </w:rPr>
      </w:pPr>
      <w:r w:rsidRPr="0012049B">
        <w:rPr>
          <w:b/>
          <w:i w:val="0"/>
          <w:color w:val="auto"/>
          <w:sz w:val="20"/>
        </w:rPr>
        <w:t xml:space="preserve">Table </w:t>
      </w:r>
      <w:r>
        <w:rPr>
          <w:b/>
          <w:i w:val="0"/>
          <w:color w:val="auto"/>
          <w:sz w:val="20"/>
        </w:rPr>
        <w:t>A2</w:t>
      </w:r>
      <w:r w:rsidRPr="0012049B">
        <w:rPr>
          <w:i w:val="0"/>
          <w:color w:val="auto"/>
          <w:sz w:val="20"/>
        </w:rPr>
        <w:t xml:space="preserve"> Statistical details of parameters with respect to turn type</w:t>
      </w:r>
      <w:r w:rsidRPr="006030B5">
        <w:rPr>
          <w:i w:val="0"/>
          <w:color w:val="auto"/>
          <w:sz w:val="20"/>
        </w:rPr>
        <w:t>.</w:t>
      </w:r>
      <w:r w:rsidRPr="00AD5959">
        <w:rPr>
          <w:i w:val="0"/>
          <w:color w:val="auto"/>
          <w:sz w:val="20"/>
        </w:rPr>
        <w:t xml:space="preserve"> </w:t>
      </w:r>
    </w:p>
    <w:tbl>
      <w:tblPr>
        <w:tblW w:w="5000" w:type="pct"/>
        <w:tblLook w:val="04A0" w:firstRow="1" w:lastRow="0" w:firstColumn="1" w:lastColumn="0" w:noHBand="0" w:noVBand="1"/>
      </w:tblPr>
      <w:tblGrid>
        <w:gridCol w:w="3410"/>
        <w:gridCol w:w="3442"/>
        <w:gridCol w:w="2164"/>
      </w:tblGrid>
      <w:tr w:rsidR="00446C2D" w:rsidRPr="00AD5959" w:rsidTr="007B70BD">
        <w:trPr>
          <w:trHeight w:val="300"/>
        </w:trPr>
        <w:tc>
          <w:tcPr>
            <w:tcW w:w="18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C2D" w:rsidRPr="00AD5959" w:rsidRDefault="00446C2D" w:rsidP="007B70BD">
            <w:pPr>
              <w:spacing w:after="0" w:line="240" w:lineRule="auto"/>
              <w:ind w:firstLine="0"/>
              <w:jc w:val="center"/>
              <w:rPr>
                <w:rFonts w:eastAsia="Times New Roman" w:cs="Times New Roman"/>
                <w:b/>
                <w:szCs w:val="20"/>
                <w:lang w:eastAsia="en-IN"/>
              </w:rPr>
            </w:pPr>
            <w:r w:rsidRPr="00AD5959">
              <w:rPr>
                <w:rFonts w:eastAsia="Times New Roman" w:cs="Times New Roman"/>
                <w:b/>
                <w:szCs w:val="20"/>
                <w:lang w:eastAsia="en-IN"/>
              </w:rPr>
              <w:t>Parameter</w:t>
            </w:r>
          </w:p>
        </w:tc>
        <w:tc>
          <w:tcPr>
            <w:tcW w:w="1909" w:type="pct"/>
            <w:tcBorders>
              <w:top w:val="single" w:sz="4" w:space="0" w:color="auto"/>
              <w:left w:val="nil"/>
              <w:bottom w:val="single" w:sz="4" w:space="0" w:color="auto"/>
              <w:right w:val="single" w:sz="4" w:space="0" w:color="auto"/>
            </w:tcBorders>
            <w:shd w:val="clear" w:color="auto" w:fill="auto"/>
            <w:noWrap/>
            <w:vAlign w:val="center"/>
            <w:hideMark/>
          </w:tcPr>
          <w:p w:rsidR="00446C2D" w:rsidRPr="00AD5959" w:rsidRDefault="00446C2D" w:rsidP="007B70BD">
            <w:pPr>
              <w:spacing w:after="0" w:line="240" w:lineRule="auto"/>
              <w:ind w:firstLine="0"/>
              <w:jc w:val="center"/>
              <w:rPr>
                <w:rFonts w:eastAsia="Times New Roman" w:cs="Times New Roman"/>
                <w:b/>
                <w:szCs w:val="20"/>
                <w:lang w:eastAsia="en-IN"/>
              </w:rPr>
            </w:pPr>
            <w:r w:rsidRPr="00AD5959">
              <w:rPr>
                <w:rFonts w:eastAsia="Times New Roman" w:cs="Times New Roman"/>
                <w:b/>
                <w:szCs w:val="20"/>
                <w:lang w:eastAsia="en-IN"/>
              </w:rPr>
              <w:t>Unit</w:t>
            </w:r>
          </w:p>
        </w:tc>
        <w:tc>
          <w:tcPr>
            <w:tcW w:w="1200" w:type="pct"/>
            <w:tcBorders>
              <w:top w:val="single" w:sz="4" w:space="0" w:color="auto"/>
              <w:left w:val="nil"/>
              <w:bottom w:val="single" w:sz="4" w:space="0" w:color="auto"/>
              <w:right w:val="single" w:sz="4" w:space="0" w:color="auto"/>
            </w:tcBorders>
            <w:shd w:val="clear" w:color="auto" w:fill="auto"/>
            <w:noWrap/>
            <w:vAlign w:val="center"/>
            <w:hideMark/>
          </w:tcPr>
          <w:p w:rsidR="00446C2D" w:rsidRPr="00AD5959" w:rsidRDefault="00446C2D" w:rsidP="007B70BD">
            <w:pPr>
              <w:spacing w:after="0" w:line="240" w:lineRule="auto"/>
              <w:ind w:firstLine="0"/>
              <w:jc w:val="center"/>
              <w:rPr>
                <w:rFonts w:eastAsia="Times New Roman" w:cs="Times New Roman"/>
                <w:b/>
                <w:szCs w:val="20"/>
                <w:lang w:eastAsia="en-IN"/>
              </w:rPr>
            </w:pPr>
            <w:r w:rsidRPr="00AD5959">
              <w:rPr>
                <w:rFonts w:eastAsia="Times New Roman" w:cs="Times New Roman"/>
                <w:b/>
                <w:szCs w:val="20"/>
                <w:lang w:eastAsia="en-IN"/>
              </w:rPr>
              <w:t>Mean (SD)</w:t>
            </w:r>
          </w:p>
        </w:tc>
      </w:tr>
      <w:tr w:rsidR="00446C2D" w:rsidRPr="00AD5959" w:rsidTr="007B70BD">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C2D" w:rsidRPr="00AD5959" w:rsidRDefault="00446C2D" w:rsidP="007B70BD">
            <w:pPr>
              <w:spacing w:after="0" w:line="240" w:lineRule="auto"/>
              <w:jc w:val="center"/>
              <w:rPr>
                <w:rFonts w:eastAsia="Times New Roman" w:cs="Times New Roman"/>
                <w:szCs w:val="20"/>
                <w:lang w:eastAsia="en-IN"/>
              </w:rPr>
            </w:pPr>
            <w:r w:rsidRPr="00AD5959">
              <w:rPr>
                <w:rFonts w:eastAsia="Times New Roman" w:cs="Times New Roman"/>
                <w:szCs w:val="20"/>
                <w:lang w:eastAsia="en-IN"/>
              </w:rPr>
              <w:lastRenderedPageBreak/>
              <w:t>Right turn intersection</w:t>
            </w:r>
          </w:p>
        </w:tc>
      </w:tr>
      <w:tr w:rsidR="00446C2D" w:rsidRPr="00AD5959" w:rsidTr="007B70BD">
        <w:trPr>
          <w:trHeight w:val="300"/>
        </w:trPr>
        <w:tc>
          <w:tcPr>
            <w:tcW w:w="1891" w:type="pct"/>
            <w:tcBorders>
              <w:top w:val="nil"/>
              <w:left w:val="single" w:sz="4" w:space="0" w:color="auto"/>
              <w:bottom w:val="single" w:sz="4" w:space="0" w:color="auto"/>
              <w:right w:val="single" w:sz="4" w:space="0" w:color="auto"/>
            </w:tcBorders>
            <w:shd w:val="clear" w:color="auto" w:fill="auto"/>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 xml:space="preserve">Reaction distance </w:t>
            </w:r>
          </w:p>
        </w:tc>
        <w:tc>
          <w:tcPr>
            <w:tcW w:w="1909" w:type="pct"/>
            <w:tcBorders>
              <w:top w:val="nil"/>
              <w:left w:val="nil"/>
              <w:bottom w:val="single" w:sz="4" w:space="0" w:color="auto"/>
              <w:right w:val="single" w:sz="4" w:space="0" w:color="auto"/>
            </w:tcBorders>
            <w:shd w:val="clear" w:color="auto" w:fill="auto"/>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m</w:t>
            </w:r>
          </w:p>
        </w:tc>
        <w:tc>
          <w:tcPr>
            <w:tcW w:w="1200" w:type="pct"/>
            <w:tcBorders>
              <w:top w:val="nil"/>
              <w:left w:val="nil"/>
              <w:bottom w:val="single" w:sz="4" w:space="0" w:color="auto"/>
              <w:right w:val="single" w:sz="4" w:space="0" w:color="auto"/>
            </w:tcBorders>
            <w:shd w:val="clear" w:color="auto" w:fill="auto"/>
            <w:noWrap/>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63.98 (22.75)</w:t>
            </w:r>
          </w:p>
        </w:tc>
      </w:tr>
      <w:tr w:rsidR="00446C2D" w:rsidRPr="00AD5959" w:rsidTr="007B70BD">
        <w:trPr>
          <w:trHeight w:val="300"/>
        </w:trPr>
        <w:tc>
          <w:tcPr>
            <w:tcW w:w="1891" w:type="pct"/>
            <w:tcBorders>
              <w:top w:val="nil"/>
              <w:left w:val="single" w:sz="4" w:space="0" w:color="auto"/>
              <w:bottom w:val="single" w:sz="4" w:space="0" w:color="auto"/>
              <w:right w:val="single" w:sz="4" w:space="0" w:color="auto"/>
            </w:tcBorders>
            <w:shd w:val="clear" w:color="auto" w:fill="auto"/>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Approach speed</w:t>
            </w:r>
          </w:p>
        </w:tc>
        <w:tc>
          <w:tcPr>
            <w:tcW w:w="1909" w:type="pct"/>
            <w:tcBorders>
              <w:top w:val="nil"/>
              <w:left w:val="nil"/>
              <w:bottom w:val="single" w:sz="4" w:space="0" w:color="auto"/>
              <w:right w:val="single" w:sz="4" w:space="0" w:color="auto"/>
            </w:tcBorders>
            <w:shd w:val="clear" w:color="auto" w:fill="auto"/>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m/s</w:t>
            </w:r>
          </w:p>
        </w:tc>
        <w:tc>
          <w:tcPr>
            <w:tcW w:w="1200" w:type="pct"/>
            <w:tcBorders>
              <w:top w:val="nil"/>
              <w:left w:val="nil"/>
              <w:bottom w:val="single" w:sz="4" w:space="0" w:color="auto"/>
              <w:right w:val="single" w:sz="4" w:space="0" w:color="auto"/>
            </w:tcBorders>
            <w:shd w:val="clear" w:color="auto" w:fill="auto"/>
            <w:noWrap/>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15.56 (5.61)</w:t>
            </w:r>
          </w:p>
        </w:tc>
      </w:tr>
      <w:tr w:rsidR="00446C2D" w:rsidRPr="00AD5959" w:rsidTr="007B70BD">
        <w:trPr>
          <w:trHeight w:val="510"/>
        </w:trPr>
        <w:tc>
          <w:tcPr>
            <w:tcW w:w="1891" w:type="pct"/>
            <w:tcBorders>
              <w:top w:val="nil"/>
              <w:left w:val="single" w:sz="4" w:space="0" w:color="auto"/>
              <w:bottom w:val="single" w:sz="4" w:space="0" w:color="auto"/>
              <w:right w:val="single" w:sz="4" w:space="0" w:color="auto"/>
            </w:tcBorders>
            <w:shd w:val="clear" w:color="auto" w:fill="auto"/>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 xml:space="preserve">Average deceleration in reaction distance </w:t>
            </w:r>
          </w:p>
        </w:tc>
        <w:tc>
          <w:tcPr>
            <w:tcW w:w="1909" w:type="pct"/>
            <w:tcBorders>
              <w:top w:val="nil"/>
              <w:left w:val="nil"/>
              <w:bottom w:val="single" w:sz="4" w:space="0" w:color="auto"/>
              <w:right w:val="single" w:sz="4" w:space="0" w:color="auto"/>
            </w:tcBorders>
            <w:shd w:val="clear" w:color="auto" w:fill="auto"/>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m/s</w:t>
            </w:r>
            <w:r w:rsidRPr="00AD5959">
              <w:rPr>
                <w:rFonts w:eastAsia="Times New Roman" w:cs="Times New Roman"/>
                <w:szCs w:val="20"/>
                <w:vertAlign w:val="superscript"/>
                <w:lang w:eastAsia="en-IN"/>
              </w:rPr>
              <w:t>2</w:t>
            </w:r>
          </w:p>
        </w:tc>
        <w:tc>
          <w:tcPr>
            <w:tcW w:w="1200" w:type="pct"/>
            <w:tcBorders>
              <w:top w:val="nil"/>
              <w:left w:val="nil"/>
              <w:bottom w:val="single" w:sz="4" w:space="0" w:color="auto"/>
              <w:right w:val="single" w:sz="4" w:space="0" w:color="auto"/>
            </w:tcBorders>
            <w:shd w:val="clear" w:color="auto" w:fill="auto"/>
            <w:noWrap/>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1.21 (1.02)</w:t>
            </w:r>
          </w:p>
        </w:tc>
      </w:tr>
      <w:tr w:rsidR="00446C2D" w:rsidRPr="00AD5959" w:rsidTr="007B70BD">
        <w:trPr>
          <w:trHeight w:val="510"/>
        </w:trPr>
        <w:tc>
          <w:tcPr>
            <w:tcW w:w="1891" w:type="pct"/>
            <w:tcBorders>
              <w:top w:val="nil"/>
              <w:left w:val="single" w:sz="4" w:space="0" w:color="auto"/>
              <w:bottom w:val="single" w:sz="4" w:space="0" w:color="auto"/>
              <w:right w:val="single" w:sz="4" w:space="0" w:color="auto"/>
            </w:tcBorders>
            <w:shd w:val="clear" w:color="auto" w:fill="auto"/>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Average speed in the completion zone</w:t>
            </w:r>
          </w:p>
        </w:tc>
        <w:tc>
          <w:tcPr>
            <w:tcW w:w="1909" w:type="pct"/>
            <w:tcBorders>
              <w:top w:val="nil"/>
              <w:left w:val="nil"/>
              <w:bottom w:val="single" w:sz="4" w:space="0" w:color="auto"/>
              <w:right w:val="single" w:sz="4" w:space="0" w:color="auto"/>
            </w:tcBorders>
            <w:shd w:val="clear" w:color="auto" w:fill="auto"/>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m/s</w:t>
            </w:r>
          </w:p>
        </w:tc>
        <w:tc>
          <w:tcPr>
            <w:tcW w:w="1200" w:type="pct"/>
            <w:tcBorders>
              <w:top w:val="nil"/>
              <w:left w:val="nil"/>
              <w:bottom w:val="single" w:sz="4" w:space="0" w:color="auto"/>
              <w:right w:val="single" w:sz="4" w:space="0" w:color="auto"/>
            </w:tcBorders>
            <w:shd w:val="clear" w:color="auto" w:fill="auto"/>
            <w:noWrap/>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5.18 (1.7)</w:t>
            </w:r>
          </w:p>
        </w:tc>
      </w:tr>
      <w:tr w:rsidR="00446C2D" w:rsidRPr="00AD5959" w:rsidTr="007B70BD">
        <w:trPr>
          <w:trHeight w:val="35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C2D" w:rsidRPr="00AD5959" w:rsidRDefault="00446C2D" w:rsidP="007B70BD">
            <w:pPr>
              <w:spacing w:after="0" w:line="240" w:lineRule="auto"/>
              <w:jc w:val="center"/>
              <w:rPr>
                <w:rFonts w:eastAsia="Times New Roman" w:cs="Times New Roman"/>
                <w:szCs w:val="20"/>
                <w:lang w:eastAsia="en-IN"/>
              </w:rPr>
            </w:pPr>
            <w:r w:rsidRPr="00AD5959">
              <w:rPr>
                <w:rFonts w:eastAsia="Times New Roman" w:cs="Times New Roman"/>
                <w:szCs w:val="20"/>
                <w:lang w:eastAsia="en-IN"/>
              </w:rPr>
              <w:t>Go-through intersection</w:t>
            </w:r>
          </w:p>
        </w:tc>
      </w:tr>
      <w:tr w:rsidR="00446C2D" w:rsidRPr="00AD5959" w:rsidTr="007B70BD">
        <w:trPr>
          <w:trHeight w:val="300"/>
        </w:trPr>
        <w:tc>
          <w:tcPr>
            <w:tcW w:w="1891" w:type="pct"/>
            <w:tcBorders>
              <w:top w:val="nil"/>
              <w:left w:val="single" w:sz="4" w:space="0" w:color="auto"/>
              <w:bottom w:val="single" w:sz="4" w:space="0" w:color="auto"/>
              <w:right w:val="single" w:sz="4" w:space="0" w:color="auto"/>
            </w:tcBorders>
            <w:shd w:val="clear" w:color="auto" w:fill="auto"/>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 xml:space="preserve">Reaction distance </w:t>
            </w:r>
          </w:p>
        </w:tc>
        <w:tc>
          <w:tcPr>
            <w:tcW w:w="1909" w:type="pct"/>
            <w:tcBorders>
              <w:top w:val="nil"/>
              <w:left w:val="nil"/>
              <w:bottom w:val="single" w:sz="4" w:space="0" w:color="auto"/>
              <w:right w:val="single" w:sz="4" w:space="0" w:color="auto"/>
            </w:tcBorders>
            <w:shd w:val="clear" w:color="auto" w:fill="auto"/>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m</w:t>
            </w:r>
          </w:p>
        </w:tc>
        <w:tc>
          <w:tcPr>
            <w:tcW w:w="1200" w:type="pct"/>
            <w:tcBorders>
              <w:top w:val="nil"/>
              <w:left w:val="nil"/>
              <w:bottom w:val="single" w:sz="4" w:space="0" w:color="auto"/>
              <w:right w:val="single" w:sz="4" w:space="0" w:color="auto"/>
            </w:tcBorders>
            <w:shd w:val="clear" w:color="auto" w:fill="auto"/>
            <w:noWrap/>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62.90 (16.87)</w:t>
            </w:r>
          </w:p>
        </w:tc>
      </w:tr>
      <w:tr w:rsidR="00446C2D" w:rsidRPr="00AD5959" w:rsidTr="007B70BD">
        <w:trPr>
          <w:trHeight w:val="300"/>
        </w:trPr>
        <w:tc>
          <w:tcPr>
            <w:tcW w:w="1891" w:type="pct"/>
            <w:tcBorders>
              <w:top w:val="nil"/>
              <w:left w:val="single" w:sz="4" w:space="0" w:color="auto"/>
              <w:bottom w:val="single" w:sz="4" w:space="0" w:color="auto"/>
              <w:right w:val="single" w:sz="4" w:space="0" w:color="auto"/>
            </w:tcBorders>
            <w:shd w:val="clear" w:color="auto" w:fill="auto"/>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Approach speed</w:t>
            </w:r>
          </w:p>
        </w:tc>
        <w:tc>
          <w:tcPr>
            <w:tcW w:w="1909" w:type="pct"/>
            <w:tcBorders>
              <w:top w:val="nil"/>
              <w:left w:val="nil"/>
              <w:bottom w:val="single" w:sz="4" w:space="0" w:color="auto"/>
              <w:right w:val="single" w:sz="4" w:space="0" w:color="auto"/>
            </w:tcBorders>
            <w:shd w:val="clear" w:color="auto" w:fill="auto"/>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m/s</w:t>
            </w:r>
          </w:p>
        </w:tc>
        <w:tc>
          <w:tcPr>
            <w:tcW w:w="1200" w:type="pct"/>
            <w:tcBorders>
              <w:top w:val="nil"/>
              <w:left w:val="nil"/>
              <w:bottom w:val="single" w:sz="4" w:space="0" w:color="auto"/>
              <w:right w:val="single" w:sz="4" w:space="0" w:color="auto"/>
            </w:tcBorders>
            <w:shd w:val="clear" w:color="auto" w:fill="auto"/>
            <w:noWrap/>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17.22 (3.75)</w:t>
            </w:r>
          </w:p>
        </w:tc>
      </w:tr>
      <w:tr w:rsidR="00446C2D" w:rsidRPr="00AD5959" w:rsidTr="007B70BD">
        <w:trPr>
          <w:trHeight w:val="510"/>
        </w:trPr>
        <w:tc>
          <w:tcPr>
            <w:tcW w:w="1891" w:type="pct"/>
            <w:tcBorders>
              <w:top w:val="nil"/>
              <w:left w:val="single" w:sz="4" w:space="0" w:color="auto"/>
              <w:bottom w:val="single" w:sz="4" w:space="0" w:color="auto"/>
              <w:right w:val="single" w:sz="4" w:space="0" w:color="auto"/>
            </w:tcBorders>
            <w:shd w:val="clear" w:color="auto" w:fill="auto"/>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 xml:space="preserve">Average deceleration in reaction distance </w:t>
            </w:r>
          </w:p>
        </w:tc>
        <w:tc>
          <w:tcPr>
            <w:tcW w:w="1909" w:type="pct"/>
            <w:tcBorders>
              <w:top w:val="nil"/>
              <w:left w:val="nil"/>
              <w:bottom w:val="single" w:sz="4" w:space="0" w:color="auto"/>
              <w:right w:val="single" w:sz="4" w:space="0" w:color="auto"/>
            </w:tcBorders>
            <w:shd w:val="clear" w:color="auto" w:fill="auto"/>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m/s</w:t>
            </w:r>
            <w:r w:rsidRPr="00AD5959">
              <w:rPr>
                <w:rFonts w:eastAsia="Times New Roman" w:cs="Times New Roman"/>
                <w:szCs w:val="20"/>
                <w:vertAlign w:val="superscript"/>
                <w:lang w:eastAsia="en-IN"/>
              </w:rPr>
              <w:t>2</w:t>
            </w:r>
          </w:p>
        </w:tc>
        <w:tc>
          <w:tcPr>
            <w:tcW w:w="1200" w:type="pct"/>
            <w:tcBorders>
              <w:top w:val="nil"/>
              <w:left w:val="nil"/>
              <w:bottom w:val="single" w:sz="4" w:space="0" w:color="auto"/>
              <w:right w:val="single" w:sz="4" w:space="0" w:color="auto"/>
            </w:tcBorders>
            <w:shd w:val="clear" w:color="auto" w:fill="auto"/>
            <w:noWrap/>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1.28 (1.11)</w:t>
            </w:r>
          </w:p>
        </w:tc>
      </w:tr>
      <w:tr w:rsidR="00446C2D" w:rsidRPr="00AD5959" w:rsidTr="007B70BD">
        <w:trPr>
          <w:trHeight w:val="510"/>
        </w:trPr>
        <w:tc>
          <w:tcPr>
            <w:tcW w:w="1891" w:type="pct"/>
            <w:tcBorders>
              <w:top w:val="nil"/>
              <w:left w:val="single" w:sz="4" w:space="0" w:color="auto"/>
              <w:bottom w:val="single" w:sz="4" w:space="0" w:color="auto"/>
              <w:right w:val="single" w:sz="4" w:space="0" w:color="auto"/>
            </w:tcBorders>
            <w:shd w:val="clear" w:color="auto" w:fill="auto"/>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Average speed in the completion zone</w:t>
            </w:r>
          </w:p>
        </w:tc>
        <w:tc>
          <w:tcPr>
            <w:tcW w:w="1909" w:type="pct"/>
            <w:tcBorders>
              <w:top w:val="nil"/>
              <w:left w:val="nil"/>
              <w:bottom w:val="single" w:sz="4" w:space="0" w:color="auto"/>
              <w:right w:val="single" w:sz="4" w:space="0" w:color="auto"/>
            </w:tcBorders>
            <w:shd w:val="clear" w:color="auto" w:fill="auto"/>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m/s</w:t>
            </w:r>
          </w:p>
        </w:tc>
        <w:tc>
          <w:tcPr>
            <w:tcW w:w="1200" w:type="pct"/>
            <w:tcBorders>
              <w:top w:val="nil"/>
              <w:left w:val="nil"/>
              <w:bottom w:val="single" w:sz="4" w:space="0" w:color="auto"/>
              <w:right w:val="single" w:sz="4" w:space="0" w:color="auto"/>
            </w:tcBorders>
            <w:shd w:val="clear" w:color="auto" w:fill="auto"/>
            <w:noWrap/>
            <w:vAlign w:val="center"/>
            <w:hideMark/>
          </w:tcPr>
          <w:p w:rsidR="00446C2D" w:rsidRPr="00AD5959" w:rsidRDefault="00446C2D" w:rsidP="007B70BD">
            <w:pPr>
              <w:spacing w:after="0" w:line="240" w:lineRule="auto"/>
              <w:ind w:firstLine="0"/>
              <w:jc w:val="center"/>
              <w:rPr>
                <w:rFonts w:eastAsia="Times New Roman" w:cs="Times New Roman"/>
                <w:szCs w:val="20"/>
                <w:lang w:eastAsia="en-IN"/>
              </w:rPr>
            </w:pPr>
            <w:r w:rsidRPr="00AD5959">
              <w:rPr>
                <w:rFonts w:eastAsia="Times New Roman" w:cs="Times New Roman"/>
                <w:szCs w:val="20"/>
                <w:lang w:eastAsia="en-IN"/>
              </w:rPr>
              <w:t>9.22 (6.51)</w:t>
            </w:r>
          </w:p>
        </w:tc>
      </w:tr>
    </w:tbl>
    <w:p w:rsidR="00446C2D" w:rsidRDefault="00446C2D" w:rsidP="00446C2D">
      <w:pPr>
        <w:rPr>
          <w:rFonts w:cs="Times New Roman"/>
          <w:szCs w:val="24"/>
          <w:shd w:val="clear" w:color="auto" w:fill="FFFFFF"/>
        </w:rPr>
      </w:pPr>
    </w:p>
    <w:p w:rsidR="00446C2D" w:rsidRDefault="00446C2D" w:rsidP="00446C2D">
      <w:pPr>
        <w:rPr>
          <w:rFonts w:cs="Times New Roman"/>
          <w:szCs w:val="24"/>
          <w:shd w:val="clear" w:color="auto" w:fill="FFFFFF"/>
        </w:rPr>
      </w:pPr>
    </w:p>
    <w:p w:rsidR="00446C2D" w:rsidRDefault="00446C2D" w:rsidP="00446C2D">
      <w:pPr>
        <w:rPr>
          <w:rFonts w:cs="Times New Roman"/>
          <w:szCs w:val="24"/>
          <w:shd w:val="clear" w:color="auto" w:fill="FFFFFF"/>
        </w:rPr>
      </w:pPr>
    </w:p>
    <w:p w:rsidR="00446C2D" w:rsidRDefault="00446C2D" w:rsidP="00446C2D">
      <w:pPr>
        <w:rPr>
          <w:rFonts w:cs="Times New Roman"/>
          <w:szCs w:val="24"/>
          <w:shd w:val="clear" w:color="auto" w:fill="FFFFFF"/>
        </w:rPr>
      </w:pPr>
    </w:p>
    <w:p w:rsidR="00446C2D" w:rsidRDefault="00446C2D" w:rsidP="00446C2D">
      <w:pPr>
        <w:rPr>
          <w:rFonts w:cs="Times New Roman"/>
          <w:szCs w:val="24"/>
          <w:shd w:val="clear" w:color="auto" w:fill="FFFFFF"/>
        </w:rPr>
      </w:pPr>
    </w:p>
    <w:p w:rsidR="00446C2D" w:rsidRDefault="00446C2D" w:rsidP="00446C2D">
      <w:pPr>
        <w:rPr>
          <w:rFonts w:cs="Times New Roman"/>
          <w:szCs w:val="24"/>
          <w:shd w:val="clear" w:color="auto" w:fill="FFFFFF"/>
        </w:rPr>
      </w:pPr>
    </w:p>
    <w:p w:rsidR="00446C2D" w:rsidRDefault="00446C2D" w:rsidP="00446C2D">
      <w:pPr>
        <w:rPr>
          <w:rFonts w:cs="Times New Roman"/>
          <w:szCs w:val="24"/>
          <w:shd w:val="clear" w:color="auto" w:fill="FFFFFF"/>
        </w:rPr>
      </w:pPr>
    </w:p>
    <w:p w:rsidR="00446C2D" w:rsidRDefault="00446C2D" w:rsidP="00446C2D">
      <w:pPr>
        <w:rPr>
          <w:rFonts w:cs="Times New Roman"/>
          <w:szCs w:val="24"/>
          <w:shd w:val="clear" w:color="auto" w:fill="FFFFFF"/>
        </w:rPr>
      </w:pPr>
    </w:p>
    <w:p w:rsidR="00446C2D" w:rsidRDefault="00446C2D" w:rsidP="00446C2D">
      <w:pPr>
        <w:rPr>
          <w:rFonts w:cs="Times New Roman"/>
          <w:szCs w:val="24"/>
          <w:shd w:val="clear" w:color="auto" w:fill="FFFFFF"/>
        </w:rPr>
      </w:pPr>
    </w:p>
    <w:p w:rsidR="00446C2D" w:rsidRDefault="00446C2D" w:rsidP="00446C2D">
      <w:pPr>
        <w:rPr>
          <w:rFonts w:cs="Times New Roman"/>
          <w:szCs w:val="24"/>
          <w:shd w:val="clear" w:color="auto" w:fill="FFFFFF"/>
        </w:rPr>
      </w:pPr>
    </w:p>
    <w:p w:rsidR="00446C2D" w:rsidRPr="00AD5959" w:rsidRDefault="00446C2D" w:rsidP="00446C2D">
      <w:pPr>
        <w:rPr>
          <w:rFonts w:cs="Times New Roman"/>
          <w:szCs w:val="24"/>
          <w:shd w:val="clear" w:color="auto" w:fill="FFFFFF"/>
        </w:rPr>
      </w:pPr>
    </w:p>
    <w:p w:rsidR="00446C2D" w:rsidRPr="00AD5959" w:rsidRDefault="00446C2D" w:rsidP="00446C2D">
      <w:pPr>
        <w:rPr>
          <w:rFonts w:cs="Times New Roman"/>
          <w:szCs w:val="24"/>
          <w:shd w:val="clear" w:color="auto" w:fill="FFFFFF"/>
        </w:rPr>
      </w:pPr>
    </w:p>
    <w:p w:rsidR="00446C2D" w:rsidRPr="00AD5959" w:rsidRDefault="00446C2D" w:rsidP="00446C2D">
      <w:pPr>
        <w:keepNext/>
        <w:jc w:val="center"/>
      </w:pPr>
      <w:r w:rsidRPr="00AD5959">
        <w:rPr>
          <w:noProof/>
          <w:lang w:val="en-GB" w:eastAsia="en-GB"/>
        </w:rPr>
        <w:drawing>
          <wp:inline distT="0" distB="0" distL="0" distR="0" wp14:anchorId="3482B0A7" wp14:editId="14BFD1A2">
            <wp:extent cx="2640965" cy="1584579"/>
            <wp:effectExtent l="0" t="0" r="6985" b="0"/>
            <wp:docPr id="3" name="Chart 3">
              <a:extLst xmlns:a="http://schemas.openxmlformats.org/drawingml/2006/main">
                <a:ext uri="{FF2B5EF4-FFF2-40B4-BE49-F238E27FC236}">
                  <a16:creationId xmlns:a16="http://schemas.microsoft.com/office/drawing/2014/main" id="{C66EF467-5D19-4686-849C-0C42EFEC91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46C2D" w:rsidRDefault="00446C2D" w:rsidP="00446C2D">
      <w:pPr>
        <w:pStyle w:val="Caption"/>
        <w:jc w:val="center"/>
        <w:rPr>
          <w:i w:val="0"/>
          <w:color w:val="auto"/>
          <w:sz w:val="20"/>
          <w:szCs w:val="20"/>
        </w:rPr>
      </w:pPr>
      <w:r w:rsidRPr="0012049B">
        <w:rPr>
          <w:i w:val="0"/>
          <w:color w:val="auto"/>
          <w:sz w:val="20"/>
          <w:szCs w:val="20"/>
        </w:rPr>
        <w:t xml:space="preserve">Figure </w:t>
      </w:r>
      <w:r>
        <w:rPr>
          <w:i w:val="0"/>
          <w:color w:val="auto"/>
          <w:sz w:val="20"/>
          <w:szCs w:val="20"/>
        </w:rPr>
        <w:t>A1</w:t>
      </w:r>
      <w:r w:rsidRPr="0012049B">
        <w:rPr>
          <w:i w:val="0"/>
          <w:color w:val="auto"/>
          <w:sz w:val="20"/>
          <w:szCs w:val="20"/>
        </w:rPr>
        <w:t xml:space="preserve"> Percentage of acceptance for each gap size in different driving conditions.</w:t>
      </w:r>
    </w:p>
    <w:p w:rsidR="00446C2D" w:rsidRDefault="00446C2D" w:rsidP="00446C2D">
      <w:pPr>
        <w:jc w:val="center"/>
      </w:pPr>
      <w:r w:rsidRPr="00AD5959">
        <w:rPr>
          <w:noProof/>
          <w:lang w:val="en-GB" w:eastAsia="en-GB"/>
        </w:rPr>
        <w:lastRenderedPageBreak/>
        <w:drawing>
          <wp:inline distT="0" distB="0" distL="0" distR="0" wp14:anchorId="1DD9FAF6" wp14:editId="4E7D714E">
            <wp:extent cx="2640965" cy="1512837"/>
            <wp:effectExtent l="0" t="0" r="6985" b="0"/>
            <wp:docPr id="5" name="Chart 5">
              <a:extLst xmlns:a="http://schemas.openxmlformats.org/drawingml/2006/main">
                <a:ext uri="{FF2B5EF4-FFF2-40B4-BE49-F238E27FC236}">
                  <a16:creationId xmlns:a16="http://schemas.microsoft.com/office/drawing/2014/main" id="{01329522-860D-403A-9116-8E4F80C5B6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46C2D" w:rsidRPr="00AD5959" w:rsidRDefault="00446C2D" w:rsidP="00446C2D">
      <w:pPr>
        <w:jc w:val="center"/>
      </w:pPr>
      <w:r w:rsidRPr="009F00FE">
        <w:t>Figure A2</w:t>
      </w:r>
      <w:r w:rsidRPr="00AD5959">
        <w:t xml:space="preserve"> Mean accepted lag for different gap sizes. Error bars denote the standard error.</w:t>
      </w:r>
    </w:p>
    <w:p w:rsidR="00446C2D" w:rsidRDefault="00446C2D" w:rsidP="00446C2D">
      <w:pPr>
        <w:jc w:val="center"/>
      </w:pPr>
    </w:p>
    <w:p w:rsidR="00446C2D" w:rsidRDefault="00446C2D" w:rsidP="00446C2D">
      <w:pPr>
        <w:jc w:val="center"/>
      </w:pPr>
    </w:p>
    <w:p w:rsidR="00446C2D" w:rsidRDefault="00446C2D" w:rsidP="00446C2D">
      <w:pPr>
        <w:jc w:val="center"/>
      </w:pPr>
      <w:r w:rsidRPr="00AD5959">
        <w:rPr>
          <w:noProof/>
          <w:lang w:val="en-GB" w:eastAsia="en-GB"/>
        </w:rPr>
        <w:drawing>
          <wp:inline distT="0" distB="0" distL="0" distR="0" wp14:anchorId="3D70912E" wp14:editId="227E755E">
            <wp:extent cx="2640965" cy="1616903"/>
            <wp:effectExtent l="0" t="0" r="6985" b="2540"/>
            <wp:docPr id="6" name="Chart 6">
              <a:extLst xmlns:a="http://schemas.openxmlformats.org/drawingml/2006/main">
                <a:ext uri="{FF2B5EF4-FFF2-40B4-BE49-F238E27FC236}">
                  <a16:creationId xmlns:a16="http://schemas.microsoft.com/office/drawing/2014/main" id="{B21F030A-1F6E-4EB0-B00B-90B7A2A845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6C2D" w:rsidRPr="00AD5959" w:rsidRDefault="00446C2D" w:rsidP="00446C2D">
      <w:pPr>
        <w:jc w:val="center"/>
      </w:pPr>
      <w:r w:rsidRPr="009F00FE">
        <w:t>Figure A3 Manoeuvre</w:t>
      </w:r>
      <w:r w:rsidRPr="00AD5959">
        <w:t xml:space="preserve"> completion time for different gap sizes. Error bars denote the standard error.</w:t>
      </w:r>
    </w:p>
    <w:p w:rsidR="00446C2D" w:rsidRDefault="00446C2D" w:rsidP="00446C2D"/>
    <w:p w:rsidR="00446C2D" w:rsidRDefault="00446C2D" w:rsidP="00446C2D"/>
    <w:p w:rsidR="00446C2D" w:rsidRDefault="00446C2D" w:rsidP="00446C2D"/>
    <w:p w:rsidR="00446C2D" w:rsidRDefault="00446C2D" w:rsidP="00446C2D"/>
    <w:p w:rsidR="00446C2D" w:rsidRDefault="00446C2D" w:rsidP="00446C2D"/>
    <w:p w:rsidR="00446C2D" w:rsidRDefault="00446C2D" w:rsidP="00446C2D"/>
    <w:p w:rsidR="00446C2D" w:rsidRPr="00390904" w:rsidRDefault="00446C2D" w:rsidP="00446C2D">
      <w:pPr>
        <w:ind w:firstLine="0"/>
        <w:rPr>
          <w:b/>
          <w:sz w:val="24"/>
        </w:rPr>
      </w:pPr>
      <w:r w:rsidRPr="00390904">
        <w:rPr>
          <w:b/>
          <w:sz w:val="24"/>
        </w:rPr>
        <w:t>Appendix B</w:t>
      </w:r>
    </w:p>
    <w:p w:rsidR="00446C2D" w:rsidRDefault="00446C2D" w:rsidP="00446C2D"/>
    <w:p w:rsidR="00446C2D" w:rsidRPr="00AD5959" w:rsidRDefault="00446C2D" w:rsidP="00446C2D">
      <w:pPr>
        <w:pStyle w:val="Heading2"/>
        <w:rPr>
          <w:rFonts w:eastAsiaTheme="minorHAnsi" w:cstheme="minorBidi"/>
          <w:b w:val="0"/>
          <w:szCs w:val="22"/>
        </w:rPr>
      </w:pPr>
      <w:r w:rsidRPr="00AD5959">
        <w:rPr>
          <w:szCs w:val="24"/>
        </w:rPr>
        <w:lastRenderedPageBreak/>
        <w:t>Statistical modelling approach</w:t>
      </w:r>
      <w:r w:rsidRPr="00AD5959">
        <w:t xml:space="preserve">:   </w:t>
      </w:r>
      <w:r w:rsidRPr="00AD5959">
        <w:rPr>
          <w:rFonts w:eastAsiaTheme="minorHAnsi" w:cstheme="minorBidi"/>
          <w:b w:val="0"/>
          <w:szCs w:val="22"/>
        </w:rPr>
        <w:t xml:space="preserve">The Generalised Estimating Equation (GEE) method was used to model each of the dependent variables, as it can account for unknown correlations among the repeated measures </w:t>
      </w:r>
      <w:r w:rsidRPr="00AD5959">
        <w:rPr>
          <w:rFonts w:eastAsiaTheme="minorHAnsi" w:cstheme="minorBidi"/>
          <w:b w:val="0"/>
          <w:szCs w:val="22"/>
        </w:rPr>
        <w:fldChar w:fldCharType="begin" w:fldLock="1"/>
      </w:r>
      <w:r>
        <w:rPr>
          <w:rFonts w:eastAsiaTheme="minorHAnsi" w:cstheme="minorBidi"/>
          <w:b w:val="0"/>
          <w:szCs w:val="22"/>
        </w:rPr>
        <w:instrText>ADDIN CSL_CITATION {"citationItems":[{"id":"ITEM-1","itemData":{"DOI":"10.1016/j.aap.2015.05.001","ISSN":"0001-4575","author":[{"dropping-particle":"","family":"Saifuzzaman","given":"Mohammad","non-dropping-particle":"","parse-names":false,"suffix":""},{"dropping-particle":"","family":"Haque","given":"Mazharul","non-dropping-particle":"","parse-names":false,"suffix":""},{"dropping-particle":"","family":"Zheng","given":"Zuduo","non-dropping-particle":"","parse-names":false,"suffix":""},{"dropping-particle":"","family":"Washington","given":"Simon","non-dropping-particle":"","parse-names":false,"suffix":""}],"container-title":"Accident Analysis and Prevention","id":"ITEM-1","issued":{"date-parts":[["2015"]]},"page":"10-19","publisher":"Elsevier Ltd","title":"Impact of mobile phone use on car-following behaviour of young drivers","type":"article-journal","volume":"82"},"uris":["http://www.mendeley.com/documents/?uuid=76e7dac6-2673-4e8f-a042-08294ea0101a"]}],"mendeley":{"formattedCitation":"(Saifuzzaman et al., 2015)","plainTextFormattedCitation":"(Saifuzzaman et al., 2015)","previouslyFormattedCitation":"(Saifuzzaman et al., 2015)"},"properties":{"noteIndex":0},"schema":"https://github.com/citation-style-language/schema/raw/master/csl-citation.json"}</w:instrText>
      </w:r>
      <w:r w:rsidRPr="00AD5959">
        <w:rPr>
          <w:rFonts w:eastAsiaTheme="minorHAnsi" w:cstheme="minorBidi"/>
          <w:b w:val="0"/>
          <w:szCs w:val="22"/>
        </w:rPr>
        <w:fldChar w:fldCharType="separate"/>
      </w:r>
      <w:r w:rsidRPr="00AD5959">
        <w:rPr>
          <w:rFonts w:eastAsiaTheme="minorHAnsi" w:cstheme="minorBidi"/>
          <w:b w:val="0"/>
          <w:noProof/>
          <w:szCs w:val="22"/>
        </w:rPr>
        <w:t>(Saifuzzaman et al., 2015)</w:t>
      </w:r>
      <w:r w:rsidRPr="00AD5959">
        <w:rPr>
          <w:rFonts w:eastAsiaTheme="minorHAnsi" w:cstheme="minorBidi"/>
          <w:b w:val="0"/>
          <w:szCs w:val="22"/>
        </w:rPr>
        <w:fldChar w:fldCharType="end"/>
      </w:r>
      <w:r w:rsidRPr="00AD5959">
        <w:rPr>
          <w:rFonts w:eastAsiaTheme="minorHAnsi" w:cstheme="minorBidi"/>
          <w:b w:val="0"/>
          <w:szCs w:val="22"/>
        </w:rPr>
        <w:t xml:space="preserve">. Additionally, GEE can be used for both the binary and continuous variables </w:t>
      </w:r>
      <w:r w:rsidRPr="00AD5959">
        <w:rPr>
          <w:rFonts w:eastAsiaTheme="minorHAnsi" w:cstheme="minorBidi"/>
          <w:b w:val="0"/>
          <w:szCs w:val="22"/>
        </w:rPr>
        <w:fldChar w:fldCharType="begin" w:fldLock="1"/>
      </w:r>
      <w:r>
        <w:rPr>
          <w:rFonts w:eastAsiaTheme="minorHAnsi" w:cstheme="minorBidi"/>
          <w:b w:val="0"/>
          <w:szCs w:val="22"/>
        </w:rPr>
        <w:instrText>ADDIN CSL_CITATION {"citationItems":[{"id":"ITEM-1","itemData":{"DOI":"10.1016/j.trf.2013.05.006","ISSN":"13698478","abstract":"A high proportion of road crashes occur at intersections: in Victoria, Australia, 15% of fatal crashes and 25% of serious injury crashes occur at T-intersections, with similar proportions occurring at cross intersections. Many of these crashes can be attributed to drivers' inappropriate gap selection. The current study used a driving simulator to examine the influence of both the driver's intended manoeuvre and the gap duration on gap acceptance behaviour at stop-controlled T-intersections. Drivers completed 18 gap acceptance trials, with manoeuvre (turning across traffic, merging with traffic) and gap duration (3-11 s) manipulated within-subjects. There was a trend whereby drivers accepted shorter gaps when turning across traffic compared to merging with traffic, which was significant at longer gaps (≥9 s) but not at shorter, safety-critical gaps (≤8 s). In addition, accepted lag times varied with manoeuvre. When merging with traffic drivers demonstrated longer accepted lag times, suggesting that turn strategies differ depending on traffic direction and intended manoeuvre. Overall the results suggest that the drivers' intended manoeuvre influences gap acceptance, although gap duration remains the most influential factor. Implications of these findings for the development and design of intersection decision support systems are discussed.","author":[{"dropping-particle":"","family":"Beanland","given":"Vanessa","non-dropping-particle":"","parse-names":false,"suffix":""},{"dropping-particle":"","family":"Lenné","given":"Michael G.","non-dropping-particle":"","parse-names":false,"suffix":""},{"dropping-particle":"","family":"Candappa","given":"Nimmi","non-dropping-particle":"","parse-names":false,"suffix":""},{"dropping-particle":"","family":"Corben","given":"Bruce","non-dropping-particle":"","parse-names":false,"suffix":""}],"container-title":"Transportation Research Part F: Traffic Psychology and Behaviour","id":"ITEM-1","issued":{"date-parts":[["2013"]]},"page":"80-89","publisher":"Elsevier Ltd","title":"Gap acceptance at stop-controlled T-intersections in a simulated rural environment","type":"article-journal","volume":"20"},"uris":["http://www.mendeley.com/documents/?uuid=2543982b-c666-4737-be67-36014683fffa"]}],"mendeley":{"formattedCitation":"(Beanland et al., 2013)","plainTextFormattedCitation":"(Beanland et al., 2013)","previouslyFormattedCitation":"(Beanland et al., 2013)"},"properties":{"noteIndex":0},"schema":"https://github.com/citation-style-language/schema/raw/master/csl-citation.json"}</w:instrText>
      </w:r>
      <w:r w:rsidRPr="00AD5959">
        <w:rPr>
          <w:rFonts w:eastAsiaTheme="minorHAnsi" w:cstheme="minorBidi"/>
          <w:b w:val="0"/>
          <w:szCs w:val="22"/>
        </w:rPr>
        <w:fldChar w:fldCharType="separate"/>
      </w:r>
      <w:r w:rsidRPr="00AD5959">
        <w:rPr>
          <w:rFonts w:eastAsiaTheme="minorHAnsi" w:cstheme="minorBidi"/>
          <w:b w:val="0"/>
          <w:noProof/>
          <w:szCs w:val="22"/>
        </w:rPr>
        <w:t>(Beanland et al., 2013)</w:t>
      </w:r>
      <w:r w:rsidRPr="00AD5959">
        <w:rPr>
          <w:rFonts w:eastAsiaTheme="minorHAnsi" w:cstheme="minorBidi"/>
          <w:b w:val="0"/>
          <w:szCs w:val="22"/>
        </w:rPr>
        <w:fldChar w:fldCharType="end"/>
      </w:r>
      <w:r w:rsidRPr="00AD5959">
        <w:rPr>
          <w:rFonts w:eastAsiaTheme="minorHAnsi" w:cstheme="minorBidi"/>
          <w:b w:val="0"/>
          <w:szCs w:val="22"/>
        </w:rPr>
        <w:t xml:space="preserve">. The GEE method assumes an exponential family distribution for the response variable </w:t>
      </w:r>
      <m:oMath>
        <m:sSub>
          <m:sSubPr>
            <m:ctrlPr>
              <w:rPr>
                <w:rFonts w:ascii="Cambria Math" w:eastAsiaTheme="minorHAnsi" w:hAnsi="Cambria Math" w:cstheme="minorBidi"/>
                <w:b w:val="0"/>
                <w:szCs w:val="22"/>
              </w:rPr>
            </m:ctrlPr>
          </m:sSubPr>
          <m:e>
            <m:r>
              <m:rPr>
                <m:sty m:val="bi"/>
              </m:rPr>
              <w:rPr>
                <w:rFonts w:ascii="Cambria Math" w:eastAsiaTheme="minorHAnsi" w:hAnsi="Cambria Math" w:cstheme="minorBidi"/>
                <w:szCs w:val="22"/>
              </w:rPr>
              <m:t>Y</m:t>
            </m:r>
          </m:e>
          <m:sub>
            <m:r>
              <m:rPr>
                <m:sty m:val="bi"/>
              </m:rPr>
              <w:rPr>
                <w:rFonts w:ascii="Cambria Math" w:eastAsiaTheme="minorHAnsi" w:hAnsi="Cambria Math" w:cstheme="minorBidi"/>
                <w:szCs w:val="22"/>
              </w:rPr>
              <m:t>ij</m:t>
            </m:r>
          </m:sub>
        </m:sSub>
      </m:oMath>
      <w:r w:rsidRPr="00AD5959">
        <w:rPr>
          <w:rFonts w:eastAsiaTheme="minorHAnsi" w:cstheme="minorBidi"/>
          <w:b w:val="0"/>
          <w:szCs w:val="22"/>
        </w:rPr>
        <w:t xml:space="preserve"> (for </w:t>
      </w:r>
      <m:oMath>
        <m:sSup>
          <m:sSupPr>
            <m:ctrlPr>
              <w:rPr>
                <w:rFonts w:ascii="Cambria Math" w:eastAsiaTheme="minorHAnsi" w:hAnsi="Cambria Math" w:cstheme="minorBidi"/>
                <w:b w:val="0"/>
                <w:szCs w:val="22"/>
              </w:rPr>
            </m:ctrlPr>
          </m:sSupPr>
          <m:e>
            <m:r>
              <m:rPr>
                <m:sty m:val="bi"/>
              </m:rPr>
              <w:rPr>
                <w:rFonts w:ascii="Cambria Math" w:eastAsiaTheme="minorHAnsi" w:hAnsi="Cambria Math" w:cstheme="minorBidi"/>
                <w:szCs w:val="22"/>
              </w:rPr>
              <m:t>i</m:t>
            </m:r>
          </m:e>
          <m:sup>
            <m:r>
              <m:rPr>
                <m:sty m:val="bi"/>
              </m:rPr>
              <w:rPr>
                <w:rFonts w:ascii="Cambria Math" w:eastAsiaTheme="minorHAnsi" w:hAnsi="Cambria Math" w:cstheme="minorBidi"/>
                <w:szCs w:val="22"/>
              </w:rPr>
              <m:t>th</m:t>
            </m:r>
          </m:sup>
        </m:sSup>
      </m:oMath>
      <w:r w:rsidRPr="00AD5959">
        <w:rPr>
          <w:rFonts w:eastAsiaTheme="minorHAnsi" w:cstheme="minorBidi"/>
          <w:b w:val="0"/>
          <w:szCs w:val="22"/>
        </w:rPr>
        <w:t>subject (</w:t>
      </w:r>
      <m:oMath>
        <m:r>
          <m:rPr>
            <m:sty m:val="bi"/>
          </m:rPr>
          <w:rPr>
            <w:rFonts w:ascii="Cambria Math" w:eastAsiaTheme="minorHAnsi" w:hAnsi="Cambria Math" w:cstheme="minorBidi"/>
            <w:szCs w:val="22"/>
          </w:rPr>
          <m:t>i</m:t>
        </m:r>
        <m:r>
          <m:rPr>
            <m:sty m:val="b"/>
          </m:rPr>
          <w:rPr>
            <w:rFonts w:ascii="Cambria Math" w:eastAsiaTheme="minorHAnsi" w:hAnsi="Cambria Math" w:cstheme="minorBidi"/>
            <w:szCs w:val="22"/>
          </w:rPr>
          <m:t>=1,2,3…</m:t>
        </m:r>
        <m:r>
          <m:rPr>
            <m:sty m:val="bi"/>
          </m:rPr>
          <w:rPr>
            <w:rFonts w:ascii="Cambria Math" w:eastAsiaTheme="minorHAnsi" w:hAnsi="Cambria Math" w:cstheme="minorBidi"/>
            <w:szCs w:val="22"/>
          </w:rPr>
          <m:t>n</m:t>
        </m:r>
        <m:r>
          <m:rPr>
            <m:sty m:val="b"/>
          </m:rPr>
          <w:rPr>
            <w:rFonts w:ascii="Cambria Math" w:eastAsiaTheme="minorHAnsi" w:hAnsi="Cambria Math" w:cstheme="minorBidi"/>
            <w:szCs w:val="22"/>
          </w:rPr>
          <m:t xml:space="preserve">; </m:t>
        </m:r>
        <m:r>
          <m:rPr>
            <m:sty m:val="bi"/>
          </m:rPr>
          <w:rPr>
            <w:rFonts w:ascii="Cambria Math" w:eastAsiaTheme="minorHAnsi" w:hAnsi="Cambria Math" w:cstheme="minorBidi"/>
            <w:szCs w:val="22"/>
          </w:rPr>
          <m:t>n</m:t>
        </m:r>
      </m:oMath>
      <w:r w:rsidRPr="00AD5959">
        <w:rPr>
          <w:rFonts w:eastAsiaTheme="minorHAnsi" w:cstheme="minorBidi"/>
          <w:b w:val="0"/>
          <w:szCs w:val="22"/>
        </w:rPr>
        <w:t xml:space="preserve">=total subjects) measured at </w:t>
      </w:r>
      <m:oMath>
        <m:sSup>
          <m:sSupPr>
            <m:ctrlPr>
              <w:rPr>
                <w:rFonts w:ascii="Cambria Math" w:eastAsiaTheme="minorHAnsi" w:hAnsi="Cambria Math" w:cstheme="minorBidi"/>
                <w:b w:val="0"/>
                <w:szCs w:val="22"/>
              </w:rPr>
            </m:ctrlPr>
          </m:sSupPr>
          <m:e>
            <m:r>
              <m:rPr>
                <m:sty m:val="bi"/>
              </m:rPr>
              <w:rPr>
                <w:rFonts w:ascii="Cambria Math" w:eastAsiaTheme="minorHAnsi" w:hAnsi="Cambria Math" w:cstheme="minorBidi"/>
                <w:szCs w:val="22"/>
              </w:rPr>
              <m:t>j</m:t>
            </m:r>
          </m:e>
          <m:sup>
            <m:r>
              <m:rPr>
                <m:sty m:val="bi"/>
              </m:rPr>
              <w:rPr>
                <w:rFonts w:ascii="Cambria Math" w:eastAsiaTheme="minorHAnsi" w:hAnsi="Cambria Math" w:cstheme="minorBidi"/>
                <w:szCs w:val="22"/>
              </w:rPr>
              <m:t>th</m:t>
            </m:r>
          </m:sup>
        </m:sSup>
      </m:oMath>
      <w:r w:rsidRPr="00AD5959">
        <w:rPr>
          <w:rFonts w:eastAsiaTheme="minorHAnsi" w:cstheme="minorBidi"/>
          <w:b w:val="0"/>
          <w:szCs w:val="22"/>
        </w:rPr>
        <w:t xml:space="preserve"> occasion (</w:t>
      </w:r>
      <m:oMath>
        <m:r>
          <m:rPr>
            <m:sty m:val="bi"/>
          </m:rPr>
          <w:rPr>
            <w:rFonts w:ascii="Cambria Math" w:eastAsiaTheme="minorHAnsi" w:hAnsi="Cambria Math" w:cstheme="minorBidi"/>
            <w:szCs w:val="22"/>
          </w:rPr>
          <m:t>j</m:t>
        </m:r>
        <m:r>
          <m:rPr>
            <m:sty m:val="b"/>
          </m:rPr>
          <w:rPr>
            <w:rFonts w:ascii="Cambria Math" w:eastAsiaTheme="minorHAnsi" w:hAnsi="Cambria Math" w:cstheme="minorBidi"/>
            <w:szCs w:val="22"/>
          </w:rPr>
          <m:t>=1,2,3…</m:t>
        </m:r>
        <m:r>
          <m:rPr>
            <m:sty m:val="bi"/>
          </m:rPr>
          <w:rPr>
            <w:rFonts w:ascii="Cambria Math" w:eastAsiaTheme="minorHAnsi" w:hAnsi="Cambria Math" w:cstheme="minorBidi"/>
            <w:szCs w:val="22"/>
          </w:rPr>
          <m:t>k</m:t>
        </m:r>
        <m:r>
          <m:rPr>
            <m:sty m:val="b"/>
          </m:rPr>
          <w:rPr>
            <w:rFonts w:ascii="Cambria Math" w:eastAsiaTheme="minorHAnsi" w:hAnsi="Cambria Math" w:cstheme="minorBidi"/>
            <w:szCs w:val="22"/>
          </w:rPr>
          <m:t xml:space="preserve">; </m:t>
        </m:r>
        <m:r>
          <m:rPr>
            <m:sty m:val="bi"/>
          </m:rPr>
          <w:rPr>
            <w:rFonts w:ascii="Cambria Math" w:eastAsiaTheme="minorHAnsi" w:hAnsi="Cambria Math" w:cstheme="minorBidi"/>
            <w:szCs w:val="22"/>
          </w:rPr>
          <m:t>k</m:t>
        </m:r>
      </m:oMath>
      <w:r w:rsidRPr="00AD5959">
        <w:rPr>
          <w:rFonts w:eastAsiaTheme="minorHAnsi" w:cstheme="minorBidi"/>
          <w:b w:val="0"/>
          <w:szCs w:val="22"/>
        </w:rPr>
        <w:t xml:space="preserve">=total occasions for each subject)) with mean </w:t>
      </w:r>
      <m:oMath>
        <m:sSub>
          <m:sSubPr>
            <m:ctrlPr>
              <w:rPr>
                <w:rFonts w:ascii="Cambria Math" w:eastAsiaTheme="minorHAnsi" w:hAnsi="Cambria Math" w:cstheme="minorBidi"/>
                <w:b w:val="0"/>
                <w:szCs w:val="22"/>
              </w:rPr>
            </m:ctrlPr>
          </m:sSubPr>
          <m:e>
            <m:r>
              <m:rPr>
                <m:sty m:val="b"/>
              </m:rPr>
              <w:rPr>
                <w:rFonts w:ascii="Cambria Math" w:eastAsiaTheme="minorHAnsi" w:hAnsi="Cambria Math" w:cstheme="minorBidi"/>
                <w:szCs w:val="22"/>
              </w:rPr>
              <m:t>µ</m:t>
            </m:r>
          </m:e>
          <m:sub>
            <m:r>
              <m:rPr>
                <m:sty m:val="bi"/>
              </m:rPr>
              <w:rPr>
                <w:rFonts w:ascii="Cambria Math" w:eastAsiaTheme="minorHAnsi" w:hAnsi="Cambria Math" w:cstheme="minorBidi"/>
                <w:szCs w:val="22"/>
              </w:rPr>
              <m:t>ij</m:t>
            </m:r>
          </m:sub>
        </m:sSub>
      </m:oMath>
      <w:r w:rsidRPr="00AD5959">
        <w:rPr>
          <w:rFonts w:eastAsiaTheme="minorHAnsi" w:cstheme="minorBidi"/>
          <w:b w:val="0"/>
          <w:szCs w:val="22"/>
        </w:rPr>
        <w:t xml:space="preserve">. Further, the GEE method allows various forms of link function to establish a relationship between </w:t>
      </w:r>
      <m:oMath>
        <m:sSub>
          <m:sSubPr>
            <m:ctrlPr>
              <w:rPr>
                <w:rFonts w:ascii="Cambria Math" w:eastAsiaTheme="minorHAnsi" w:hAnsi="Cambria Math" w:cstheme="minorBidi"/>
                <w:b w:val="0"/>
                <w:szCs w:val="22"/>
              </w:rPr>
            </m:ctrlPr>
          </m:sSubPr>
          <m:e>
            <m:r>
              <m:rPr>
                <m:sty m:val="b"/>
              </m:rPr>
              <w:rPr>
                <w:rFonts w:ascii="Cambria Math" w:eastAsiaTheme="minorHAnsi" w:hAnsi="Cambria Math" w:cstheme="minorBidi"/>
                <w:szCs w:val="22"/>
              </w:rPr>
              <m:t>µ</m:t>
            </m:r>
          </m:e>
          <m:sub>
            <m:r>
              <m:rPr>
                <m:sty m:val="bi"/>
              </m:rPr>
              <w:rPr>
                <w:rFonts w:ascii="Cambria Math" w:eastAsiaTheme="minorHAnsi" w:hAnsi="Cambria Math" w:cstheme="minorBidi"/>
                <w:szCs w:val="22"/>
              </w:rPr>
              <m:t>ij</m:t>
            </m:r>
          </m:sub>
        </m:sSub>
      </m:oMath>
      <w:r w:rsidRPr="00AD5959">
        <w:rPr>
          <w:rFonts w:eastAsiaTheme="minorHAnsi" w:cstheme="minorBidi"/>
          <w:b w:val="0"/>
          <w:szCs w:val="22"/>
        </w:rPr>
        <w:t xml:space="preserve"> and the explanatory variables. The general form of the link function is as follows </w:t>
      </w:r>
      <w:r w:rsidRPr="00AD5959">
        <w:rPr>
          <w:rFonts w:eastAsiaTheme="minorHAnsi" w:cstheme="minorBidi"/>
          <w:b w:val="0"/>
          <w:szCs w:val="22"/>
        </w:rPr>
        <w:fldChar w:fldCharType="begin" w:fldLock="1"/>
      </w:r>
      <w:r>
        <w:rPr>
          <w:rFonts w:eastAsiaTheme="minorHAnsi" w:cstheme="minorBidi"/>
          <w:b w:val="0"/>
          <w:szCs w:val="22"/>
        </w:rPr>
        <w:instrText>ADDIN CSL_CITATION {"citationItems":[{"id":"ITEM-1","itemData":{"DOI":"10.1002/sim.6817","ISBN":"0277-6715","ISSN":"10970258","PMID":"26585756","abstract":"Generalized estimating equations (GEE) is a general statistical method to fit marginal models for longitudinal data in biomedical studies. The variance-covariance matrix of the regression parameter coefficients is usually estimated by a robust \"sandwich\" variance estimator, which does not perform satisfactorily when the sample size is small. To reduce the downward bias and improve the efficiency, several modified variance estimators have been proposed for bias-correction or efficiency improvement. In this paper, we provide a comprehensive review on recent developments of modified variance estimators and compare their small-sample performance theoretically and numerically through simulation and real data examples. In particular, Wald tests and t-tests based on different variance estimators are used for hypothesis testing, and the guideline on appropriate sample sizes for each estimator is provided for preserving type I error in general cases based on numerical results. Moreover, we develop a user-friendly R package \"geesmv\" incorporating all of these variance estimators for public usage in practice.","author":[{"dropping-particle":"","family":"Wang","given":"Ming","non-dropping-particle":"","parse-names":false,"suffix":""},{"dropping-particle":"","family":"Kong","given":"Lan","non-dropping-particle":"","parse-names":false,"suffix":""},{"dropping-particle":"","family":"Li","given":"Zheng","non-dropping-particle":"","parse-names":false,"suffix":""},{"dropping-particle":"","family":"Zhang","given":"Lijun","non-dropping-particle":"","parse-names":false,"suffix":""}],"container-title":"Statistics in Medicine","id":"ITEM-1","issue":"10","issued":{"date-parts":[["2016"]]},"page":"1706-1721","title":"Covariance estimators for generalized estimating equations (GEE) in longitudinal analysis with small samples","type":"article-journal","volume":"35"},"uris":["http://www.mendeley.com/documents/?uuid=51756922-7e13-4ac9-90ed-af7b63ffcec4"]}],"mendeley":{"formattedCitation":"(Wang et al., 2016)","plainTextFormattedCitation":"(Wang et al., 2016)","previouslyFormattedCitation":"(Wang et al., 2016)"},"properties":{"noteIndex":0},"schema":"https://github.com/citation-style-language/schema/raw/master/csl-citation.json"}</w:instrText>
      </w:r>
      <w:r w:rsidRPr="00AD5959">
        <w:rPr>
          <w:rFonts w:eastAsiaTheme="minorHAnsi" w:cstheme="minorBidi"/>
          <w:b w:val="0"/>
          <w:szCs w:val="22"/>
        </w:rPr>
        <w:fldChar w:fldCharType="separate"/>
      </w:r>
      <w:r w:rsidRPr="00AD5959">
        <w:rPr>
          <w:rFonts w:eastAsiaTheme="minorHAnsi" w:cstheme="minorBidi"/>
          <w:b w:val="0"/>
          <w:noProof/>
          <w:szCs w:val="22"/>
        </w:rPr>
        <w:t>(Wang et al., 2016)</w:t>
      </w:r>
      <w:r w:rsidRPr="00AD5959">
        <w:rPr>
          <w:rFonts w:eastAsiaTheme="minorHAnsi" w:cstheme="minorBidi"/>
          <w:b w:val="0"/>
          <w:szCs w:val="22"/>
        </w:rPr>
        <w:fldChar w:fldCharType="end"/>
      </w:r>
      <w:r w:rsidRPr="00AD5959">
        <w:rPr>
          <w:rFonts w:eastAsiaTheme="minorHAnsi" w:cstheme="minorBidi"/>
          <w:b w:val="0"/>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3018"/>
        <w:gridCol w:w="3008"/>
      </w:tblGrid>
      <w:tr w:rsidR="00446C2D" w:rsidRPr="00AD5959" w:rsidTr="007B70BD">
        <w:trPr>
          <w:trHeight w:val="509"/>
        </w:trPr>
        <w:tc>
          <w:tcPr>
            <w:tcW w:w="3080" w:type="dxa"/>
            <w:vAlign w:val="center"/>
          </w:tcPr>
          <w:p w:rsidR="00446C2D" w:rsidRPr="00AD5959" w:rsidRDefault="00446C2D" w:rsidP="007B70BD">
            <w:pPr>
              <w:ind w:firstLine="0"/>
              <w:jc w:val="center"/>
            </w:pPr>
          </w:p>
        </w:tc>
        <w:tc>
          <w:tcPr>
            <w:tcW w:w="3081" w:type="dxa"/>
            <w:vAlign w:val="center"/>
          </w:tcPr>
          <w:p w:rsidR="00446C2D" w:rsidRPr="00AD5959" w:rsidRDefault="00446C2D" w:rsidP="007B70BD">
            <w:pPr>
              <w:ind w:firstLine="0"/>
              <w:jc w:val="center"/>
            </w:pPr>
            <m:oMathPara>
              <m:oMath>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µ</m:t>
                        </m:r>
                      </m:e>
                      <m:sub>
                        <m:r>
                          <w:rPr>
                            <w:rFonts w:ascii="Cambria Math" w:hAnsi="Cambria Math"/>
                          </w:rPr>
                          <m:t>ij</m:t>
                        </m:r>
                      </m:sub>
                    </m:sSub>
                  </m:e>
                </m:d>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ij</m:t>
                    </m:r>
                  </m:sub>
                  <m:sup>
                    <m:r>
                      <w:rPr>
                        <w:rFonts w:ascii="Cambria Math" w:hAnsi="Cambria Math"/>
                      </w:rPr>
                      <m:t>'</m:t>
                    </m:r>
                  </m:sup>
                </m:sSubSup>
                <m:r>
                  <w:rPr>
                    <w:rFonts w:ascii="Cambria Math" w:hAnsi="Cambria Math"/>
                  </w:rPr>
                  <m:t>β</m:t>
                </m:r>
              </m:oMath>
            </m:oMathPara>
          </w:p>
        </w:tc>
        <w:tc>
          <w:tcPr>
            <w:tcW w:w="3081" w:type="dxa"/>
            <w:vAlign w:val="center"/>
          </w:tcPr>
          <w:p w:rsidR="00446C2D" w:rsidRPr="00AD5959" w:rsidRDefault="00446C2D" w:rsidP="007B70BD">
            <w:pPr>
              <w:ind w:firstLine="0"/>
              <w:jc w:val="right"/>
            </w:pPr>
            <w:r w:rsidRPr="00AD5959">
              <w:t>(1)</w:t>
            </w:r>
          </w:p>
        </w:tc>
      </w:tr>
    </w:tbl>
    <w:p w:rsidR="00446C2D" w:rsidRPr="00AD5959" w:rsidRDefault="00446C2D" w:rsidP="00446C2D">
      <w:pPr>
        <w:rPr>
          <w:rFonts w:eastAsiaTheme="minorEastAsia"/>
        </w:rPr>
      </w:pPr>
    </w:p>
    <w:p w:rsidR="00446C2D" w:rsidRPr="00AD5959" w:rsidRDefault="00446C2D" w:rsidP="00446C2D">
      <w:r w:rsidRPr="00AD5959">
        <w:rPr>
          <w:rFonts w:eastAsiaTheme="minorEastAsia"/>
        </w:rPr>
        <w:t xml:space="preserve">Where,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AD5959">
        <w:rPr>
          <w:rFonts w:eastAsiaTheme="minorEastAsia"/>
        </w:rPr>
        <w:t xml:space="preserve"> </w:t>
      </w:r>
      <w:r w:rsidRPr="00AD5959">
        <w:t xml:space="preserve">is the </w:t>
      </w:r>
      <m:oMath>
        <m:r>
          <w:rPr>
            <w:rFonts w:ascii="Cambria Math" w:hAnsi="Cambria Math"/>
          </w:rPr>
          <m:t>m</m:t>
        </m:r>
      </m:oMath>
      <w:r w:rsidRPr="00AD5959">
        <w:t xml:space="preserve">*1 matrix of explanatory variables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m</m:t>
            </m:r>
          </m:sub>
        </m:sSub>
        <m:r>
          <w:rPr>
            <w:rFonts w:ascii="Cambria Math" w:hAnsi="Cambria Math"/>
          </w:rPr>
          <m:t>)</m:t>
        </m:r>
      </m:oMath>
      <w:r w:rsidRPr="00AD5959">
        <w:t xml:space="preserve"> and </w:t>
      </w:r>
      <m:oMath>
        <m:r>
          <w:rPr>
            <w:rFonts w:ascii="Cambria Math" w:hAnsi="Cambria Math"/>
          </w:rPr>
          <m:t>β</m:t>
        </m:r>
      </m:oMath>
      <w:r w:rsidRPr="00AD5959">
        <w:rPr>
          <w:rFonts w:eastAsiaTheme="minorEastAsia"/>
        </w:rPr>
        <w:t xml:space="preserve"> is the coefficients matrix. There exist</w:t>
      </w:r>
      <w:r>
        <w:rPr>
          <w:rFonts w:eastAsiaTheme="minorEastAsia"/>
        </w:rPr>
        <w:t>s</w:t>
      </w:r>
      <w:r w:rsidRPr="00AD5959">
        <w:rPr>
          <w:rFonts w:eastAsiaTheme="minorEastAsia"/>
        </w:rPr>
        <w:t xml:space="preserve"> a number of forms of the link function such as </w:t>
      </w:r>
      <w:r w:rsidRPr="00AD5959">
        <w:t>identity, log, logit, etc.; based on the response variable’s distribution</w:t>
      </w:r>
      <w:r w:rsidRPr="00AD5959">
        <w:rPr>
          <w:rFonts w:eastAsiaTheme="minorEastAsia"/>
        </w:rPr>
        <w:t>.</w:t>
      </w:r>
      <w:r w:rsidRPr="00AD5959">
        <w:t xml:space="preserve"> A normally distributed dependent variable can be modelled with an identity link function i.e., </w:t>
      </w:r>
      <m:oMath>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µ</m:t>
                </m:r>
              </m:e>
              <m:sub>
                <m:r>
                  <w:rPr>
                    <w:rFonts w:ascii="Cambria Math" w:hAnsi="Cambria Math"/>
                  </w:rPr>
                  <m:t>ij</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µ</m:t>
                </m:r>
              </m:e>
              <m:sub>
                <m:r>
                  <w:rPr>
                    <w:rFonts w:ascii="Cambria Math" w:hAnsi="Cambria Math"/>
                  </w:rPr>
                  <m:t>ij</m:t>
                </m:r>
              </m:sub>
            </m:sSub>
          </m:e>
        </m:d>
      </m:oMath>
      <w:r w:rsidRPr="00AD5959">
        <w:rPr>
          <w:rFonts w:eastAsiaTheme="minorEastAsia"/>
        </w:rPr>
        <w:t>.</w:t>
      </w:r>
      <w:r w:rsidRPr="00AD5959">
        <w:t xml:space="preserve"> Whereas, for a response variable with a binomial distribution (i.e., a binary variable), a logit link function is used, which is expressed as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3027"/>
        <w:gridCol w:w="3003"/>
      </w:tblGrid>
      <w:tr w:rsidR="00446C2D" w:rsidRPr="00AD5959" w:rsidTr="007B70BD">
        <w:trPr>
          <w:trHeight w:val="509"/>
        </w:trPr>
        <w:tc>
          <w:tcPr>
            <w:tcW w:w="3080" w:type="dxa"/>
            <w:vAlign w:val="center"/>
          </w:tcPr>
          <w:p w:rsidR="00446C2D" w:rsidRPr="00AD5959" w:rsidRDefault="00446C2D" w:rsidP="007B70BD">
            <w:pPr>
              <w:ind w:firstLine="0"/>
              <w:jc w:val="center"/>
            </w:pPr>
          </w:p>
        </w:tc>
        <w:tc>
          <w:tcPr>
            <w:tcW w:w="3081" w:type="dxa"/>
            <w:vAlign w:val="center"/>
          </w:tcPr>
          <w:p w:rsidR="00446C2D" w:rsidRPr="00AD5959" w:rsidRDefault="00446C2D" w:rsidP="007B70BD">
            <m:oMathPara>
              <m:oMath>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µ</m:t>
                        </m:r>
                      </m:e>
                      <m:sub>
                        <m:r>
                          <w:rPr>
                            <w:rFonts w:ascii="Cambria Math" w:hAnsi="Cambria Math"/>
                          </w:rPr>
                          <m:t>ij</m:t>
                        </m:r>
                      </m:sub>
                    </m:sSub>
                  </m:e>
                </m:d>
                <m:r>
                  <w:rPr>
                    <w:rFonts w:ascii="Cambria Math" w:hAnsi="Cambria Math"/>
                  </w:rPr>
                  <m:t>=logit(</m:t>
                </m:r>
                <m:sSub>
                  <m:sSubPr>
                    <m:ctrlPr>
                      <w:rPr>
                        <w:rFonts w:ascii="Cambria Math" w:hAnsi="Cambria Math"/>
                        <w:i/>
                      </w:rPr>
                    </m:ctrlPr>
                  </m:sSubPr>
                  <m:e>
                    <m:r>
                      <w:rPr>
                        <w:rFonts w:ascii="Cambria Math" w:hAnsi="Cambria Math"/>
                      </w:rPr>
                      <m:t>µ</m:t>
                    </m:r>
                  </m:e>
                  <m:sub>
                    <m:r>
                      <w:rPr>
                        <w:rFonts w:ascii="Cambria Math" w:hAnsi="Cambria Math"/>
                      </w:rPr>
                      <m:t>ij</m:t>
                    </m:r>
                  </m:sub>
                </m:sSub>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ij</m:t>
                    </m:r>
                  </m:sub>
                  <m:sup>
                    <m:r>
                      <w:rPr>
                        <w:rFonts w:ascii="Cambria Math" w:hAnsi="Cambria Math"/>
                      </w:rPr>
                      <m:t>'</m:t>
                    </m:r>
                  </m:sup>
                </m:sSubSup>
                <m:r>
                  <w:rPr>
                    <w:rFonts w:ascii="Cambria Math" w:hAnsi="Cambria Math"/>
                  </w:rPr>
                  <m:t>β</m:t>
                </m:r>
              </m:oMath>
            </m:oMathPara>
          </w:p>
        </w:tc>
        <w:tc>
          <w:tcPr>
            <w:tcW w:w="3081" w:type="dxa"/>
            <w:vAlign w:val="center"/>
          </w:tcPr>
          <w:p w:rsidR="00446C2D" w:rsidRPr="00AD5959" w:rsidRDefault="00446C2D" w:rsidP="007B70BD">
            <w:pPr>
              <w:ind w:firstLine="0"/>
              <w:jc w:val="right"/>
            </w:pPr>
            <w:r w:rsidRPr="00AD5959">
              <w:t>(2)</w:t>
            </w:r>
          </w:p>
        </w:tc>
      </w:tr>
    </w:tbl>
    <w:p w:rsidR="00446C2D" w:rsidRPr="00AD5959" w:rsidRDefault="00446C2D" w:rsidP="00446C2D">
      <w:pPr>
        <w:rPr>
          <w:rFonts w:eastAsiaTheme="minorEastAsia"/>
        </w:rPr>
      </w:pPr>
    </w:p>
    <w:p w:rsidR="00446C2D" w:rsidRPr="00AD5959" w:rsidRDefault="00446C2D" w:rsidP="00446C2D">
      <w:r w:rsidRPr="00AD5959">
        <w:t xml:space="preserve">The probability of </w:t>
      </w:r>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=1</m:t>
        </m:r>
      </m:oMath>
      <w:r w:rsidRPr="00AD5959">
        <w:t xml:space="preserve"> is estimated as below: </w:t>
      </w:r>
      <w:r w:rsidRPr="00AD5959">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3037"/>
        <w:gridCol w:w="2999"/>
      </w:tblGrid>
      <w:tr w:rsidR="00446C2D" w:rsidRPr="00AD5959" w:rsidTr="007B70BD">
        <w:trPr>
          <w:trHeight w:val="509"/>
        </w:trPr>
        <w:tc>
          <w:tcPr>
            <w:tcW w:w="3080" w:type="dxa"/>
            <w:vAlign w:val="center"/>
          </w:tcPr>
          <w:p w:rsidR="00446C2D" w:rsidRPr="00AD5959" w:rsidRDefault="00446C2D" w:rsidP="007B70BD">
            <w:pPr>
              <w:ind w:firstLine="0"/>
              <w:jc w:val="center"/>
            </w:pPr>
          </w:p>
        </w:tc>
        <w:tc>
          <w:tcPr>
            <w:tcW w:w="3081" w:type="dxa"/>
            <w:vAlign w:val="center"/>
          </w:tcPr>
          <w:p w:rsidR="00446C2D" w:rsidRPr="00AD5959" w:rsidRDefault="00446C2D" w:rsidP="007B70BD">
            <w:pPr>
              <w:rPr>
                <w:rFonts w:eastAsiaTheme="minorEastAsia"/>
              </w:rPr>
            </w:pPr>
            <m:oMathPara>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=1</m:t>
                        </m:r>
                      </m:e>
                    </m:d>
                  </m:e>
                </m:func>
                <m:r>
                  <w:rPr>
                    <w:rFonts w:ascii="Cambria Math" w:hAnsi="Cambria Math"/>
                  </w:rPr>
                  <m:t>=</m:t>
                </m:r>
                <m:f>
                  <m:fPr>
                    <m:ctrlPr>
                      <w:rPr>
                        <w:rFonts w:ascii="Cambria Math" w:hAnsi="Cambria Math"/>
                        <w:i/>
                      </w:rPr>
                    </m:ctrlPr>
                  </m:fPr>
                  <m:num>
                    <m:r>
                      <m:rPr>
                        <m:sty m:val="p"/>
                      </m:rPr>
                      <w:rPr>
                        <w:rFonts w:ascii="Cambria Math" w:hAnsi="Cambria Math"/>
                      </w:rPr>
                      <m:t>exp⁡</m:t>
                    </m:r>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ij</m:t>
                        </m:r>
                      </m:sub>
                      <m:sup>
                        <m:r>
                          <w:rPr>
                            <w:rFonts w:ascii="Cambria Math" w:hAnsi="Cambria Math"/>
                          </w:rPr>
                          <m:t>'</m:t>
                        </m:r>
                      </m:sup>
                    </m:sSubSup>
                    <m:r>
                      <w:rPr>
                        <w:rFonts w:ascii="Cambria Math" w:hAnsi="Cambria Math"/>
                      </w:rPr>
                      <m:t>β)</m:t>
                    </m:r>
                  </m:num>
                  <m:den>
                    <m:r>
                      <w:rPr>
                        <w:rFonts w:ascii="Cambria Math" w:hAnsi="Cambria Math"/>
                      </w:rPr>
                      <m:t>1+</m:t>
                    </m:r>
                    <m:r>
                      <m:rPr>
                        <m:sty m:val="p"/>
                      </m:rPr>
                      <w:rPr>
                        <w:rFonts w:ascii="Cambria Math" w:hAnsi="Cambria Math"/>
                      </w:rPr>
                      <m:t>exp⁡</m:t>
                    </m:r>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ij</m:t>
                        </m:r>
                      </m:sub>
                      <m:sup>
                        <m:r>
                          <w:rPr>
                            <w:rFonts w:ascii="Cambria Math" w:hAnsi="Cambria Math"/>
                          </w:rPr>
                          <m:t>'</m:t>
                        </m:r>
                      </m:sup>
                    </m:sSubSup>
                    <m:r>
                      <w:rPr>
                        <w:rFonts w:ascii="Cambria Math" w:hAnsi="Cambria Math"/>
                      </w:rPr>
                      <m:t>β)</m:t>
                    </m:r>
                  </m:den>
                </m:f>
              </m:oMath>
            </m:oMathPara>
          </w:p>
        </w:tc>
        <w:tc>
          <w:tcPr>
            <w:tcW w:w="3081" w:type="dxa"/>
            <w:vAlign w:val="center"/>
          </w:tcPr>
          <w:p w:rsidR="00446C2D" w:rsidRPr="00AD5959" w:rsidRDefault="00446C2D" w:rsidP="007B70BD">
            <w:pPr>
              <w:ind w:firstLine="0"/>
              <w:jc w:val="right"/>
            </w:pPr>
            <w:r w:rsidRPr="00AD5959">
              <w:t>(3)</w:t>
            </w:r>
          </w:p>
        </w:tc>
      </w:tr>
    </w:tbl>
    <w:p w:rsidR="00446C2D" w:rsidRPr="00AD5959" w:rsidRDefault="00446C2D" w:rsidP="00446C2D">
      <w:r w:rsidRPr="00AD5959">
        <w:tab/>
      </w:r>
      <w:r w:rsidRPr="00AD5959">
        <w:tab/>
      </w:r>
    </w:p>
    <w:p w:rsidR="00446C2D" w:rsidRPr="00AD5959" w:rsidRDefault="00446C2D" w:rsidP="00446C2D">
      <w:r w:rsidRPr="00AD5959">
        <w:t>In the present study, the logit link function was used for modelling the gap acceptance behaviour because it was a binary variable (</w:t>
      </w:r>
      <w:r w:rsidRPr="00AD5959">
        <w:rPr>
          <w:i/>
        </w:rPr>
        <w:t>1</w:t>
      </w:r>
      <w:r w:rsidRPr="00AD5959">
        <w:t xml:space="preserve"> if a gap was accepted </w:t>
      </w:r>
      <w:r w:rsidRPr="00AD5959">
        <w:rPr>
          <w:i/>
        </w:rPr>
        <w:t>0</w:t>
      </w:r>
      <w:r w:rsidRPr="00AD5959">
        <w:t xml:space="preserve"> otherwise). Identity link functions were used for modelling the accepted lag and manoeuvre completion time parameters. </w:t>
      </w:r>
    </w:p>
    <w:p w:rsidR="00446C2D" w:rsidRPr="00AD5959" w:rsidRDefault="00446C2D" w:rsidP="00446C2D">
      <w:r w:rsidRPr="00AD5959">
        <w:t xml:space="preserve">The GEE is based on qausi-likelihood theory. For estimating </w:t>
      </w:r>
      <m:oMath>
        <m:r>
          <w:rPr>
            <w:rFonts w:ascii="Cambria Math" w:hAnsi="Cambria Math"/>
          </w:rPr>
          <m:t>β</m:t>
        </m:r>
      </m:oMath>
      <w:r w:rsidRPr="00AD5959">
        <w:rPr>
          <w:rFonts w:eastAsiaTheme="minorEastAsia"/>
        </w:rPr>
        <w:t>,</w:t>
      </w:r>
      <w:r w:rsidRPr="00AD5959">
        <w:t xml:space="preserve"> it is solved as below </w:t>
      </w:r>
      <w:r w:rsidRPr="00AD5959">
        <w:fldChar w:fldCharType="begin" w:fldLock="1"/>
      </w:r>
      <w:r>
        <w:instrText>ADDIN CSL_CITATION {"citationItems":[{"id":"ITEM-1","itemData":{"DOI":"10.1002/sim.6817","ISBN":"0277-6715","ISSN":"10970258","PMID":"26585756","abstract":"Generalized estimating equations (GEE) is a general statistical method to fit marginal models for longitudinal data in biomedical studies. The variance-covariance matrix of the regression parameter coefficients is usually estimated by a robust \"sandwich\" variance estimator, which does not perform satisfactorily when the sample size is small. To reduce the downward bias and improve the efficiency, several modified variance estimators have been proposed for bias-correction or efficiency improvement. In this paper, we provide a comprehensive review on recent developments of modified variance estimators and compare their small-sample performance theoretically and numerically through simulation and real data examples. In particular, Wald tests and t-tests based on different variance estimators are used for hypothesis testing, and the guideline on appropriate sample sizes for each estimator is provided for preserving type I error in general cases based on numerical results. Moreover, we develop a user-friendly R package \"geesmv\" incorporating all of these variance estimators for public usage in practice.","author":[{"dropping-particle":"","family":"Wang","given":"Ming","non-dropping-particle":"","parse-names":false,"suffix":""},{"dropping-particle":"","family":"Kong","given":"Lan","non-dropping-particle":"","parse-names":false,"suffix":""},{"dropping-particle":"","family":"Li","given":"Zheng","non-dropping-particle":"","parse-names":false,"suffix":""},{"dropping-particle":"","family":"Zhang","given":"Lijun","non-dropping-particle":"","parse-names":false,"suffix":""}],"container-title":"Statistics in Medicine","id":"ITEM-1","issue":"10","issued":{"date-parts":[["2016"]]},"page":"1706-1721","title":"Covariance estimators for generalized estimating equations (GEE) in longitudinal analysis with small samples","type":"article-journal","volume":"35"},"uris":["http://www.mendeley.com/documents/?uuid=51756922-7e13-4ac9-90ed-af7b63ffcec4"]}],"mendeley":{"formattedCitation":"(Wang et al., 2016)","plainTextFormattedCitation":"(Wang et al., 2016)","previouslyFormattedCitation":"(Wang et al., 2016)"},"properties":{"noteIndex":0},"schema":"https://github.com/citation-style-language/schema/raw/master/csl-citation.json"}</w:instrText>
      </w:r>
      <w:r w:rsidRPr="00AD5959">
        <w:fldChar w:fldCharType="separate"/>
      </w:r>
      <w:r w:rsidRPr="00AD5959">
        <w:rPr>
          <w:noProof/>
        </w:rPr>
        <w:t>(Wang et al., 2016)</w:t>
      </w:r>
      <w:r w:rsidRPr="00AD5959">
        <w:fldChar w:fldCharType="end"/>
      </w:r>
      <w:r w:rsidRPr="00AD595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3447"/>
        <w:gridCol w:w="2997"/>
      </w:tblGrid>
      <w:tr w:rsidR="00446C2D" w:rsidRPr="00AD5959" w:rsidTr="007B70BD">
        <w:trPr>
          <w:trHeight w:val="890"/>
        </w:trPr>
        <w:tc>
          <w:tcPr>
            <w:tcW w:w="2660" w:type="dxa"/>
            <w:vAlign w:val="center"/>
          </w:tcPr>
          <w:p w:rsidR="00446C2D" w:rsidRPr="00AD5959" w:rsidRDefault="00446C2D" w:rsidP="007B70BD">
            <w:pPr>
              <w:ind w:firstLine="0"/>
              <w:jc w:val="center"/>
            </w:pPr>
          </w:p>
        </w:tc>
        <w:tc>
          <w:tcPr>
            <w:tcW w:w="3501" w:type="dxa"/>
            <w:vAlign w:val="center"/>
          </w:tcPr>
          <w:p w:rsidR="00446C2D" w:rsidRPr="00AD5959" w:rsidRDefault="00446C2D" w:rsidP="007B70BD">
            <m:oMathPara>
              <m:oMath>
                <m:r>
                  <w:rPr>
                    <w:rFonts w:ascii="Cambria Math" w:hAnsi="Cambria Math"/>
                  </w:rPr>
                  <m:t>S</m:t>
                </m:r>
                <m:d>
                  <m:dPr>
                    <m:ctrlPr>
                      <w:rPr>
                        <w:rFonts w:ascii="Cambria Math" w:hAnsi="Cambria Math"/>
                        <w:i/>
                      </w:rPr>
                    </m:ctrlPr>
                  </m:dPr>
                  <m:e>
                    <m:r>
                      <w:rPr>
                        <w:rFonts w:ascii="Cambria Math" w:hAnsi="Cambria Math"/>
                      </w:rPr>
                      <m:t>β</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dµ</m:t>
                            </m:r>
                          </m:e>
                          <m:sub>
                            <m:r>
                              <w:rPr>
                                <w:rFonts w:ascii="Cambria Math" w:hAnsi="Cambria Math"/>
                              </w:rPr>
                              <m:t>i</m:t>
                            </m:r>
                          </m:sub>
                          <m:sup>
                            <m:r>
                              <w:rPr>
                                <w:rFonts w:ascii="Cambria Math" w:hAnsi="Cambria Math"/>
                              </w:rPr>
                              <m:t>'</m:t>
                            </m:r>
                          </m:sup>
                        </m:sSubSup>
                      </m:num>
                      <m:den>
                        <m:r>
                          <w:rPr>
                            <w:rFonts w:ascii="Cambria Math" w:hAnsi="Cambria Math"/>
                          </w:rPr>
                          <m:t>dβ</m:t>
                        </m:r>
                      </m:den>
                    </m:f>
                    <m:r>
                      <w:rPr>
                        <w:rFonts w:ascii="Cambria Math" w:hAnsi="Cambria Math"/>
                      </w:rPr>
                      <m:t>)</m:t>
                    </m:r>
                  </m:e>
                </m:nary>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-1</m:t>
                    </m:r>
                  </m:sup>
                </m:sSubSup>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µ</m:t>
                        </m:r>
                      </m:e>
                      <m:sub>
                        <m:r>
                          <w:rPr>
                            <w:rFonts w:ascii="Cambria Math" w:hAnsi="Cambria Math"/>
                          </w:rPr>
                          <m:t>i</m:t>
                        </m:r>
                      </m:sub>
                    </m:sSub>
                    <m:r>
                      <w:rPr>
                        <w:rFonts w:ascii="Cambria Math" w:hAnsi="Cambria Math"/>
                      </w:rPr>
                      <m:t>β</m:t>
                    </m:r>
                  </m:e>
                </m:d>
                <m:r>
                  <w:rPr>
                    <w:rFonts w:ascii="Cambria Math" w:hAnsi="Cambria Math"/>
                  </w:rPr>
                  <m:t>=0</m:t>
                </m:r>
              </m:oMath>
            </m:oMathPara>
          </w:p>
        </w:tc>
        <w:tc>
          <w:tcPr>
            <w:tcW w:w="3081" w:type="dxa"/>
            <w:vAlign w:val="center"/>
          </w:tcPr>
          <w:p w:rsidR="00446C2D" w:rsidRPr="00AD5959" w:rsidRDefault="00446C2D" w:rsidP="007B70BD">
            <w:pPr>
              <w:ind w:firstLine="0"/>
              <w:jc w:val="right"/>
            </w:pPr>
            <w:r w:rsidRPr="00AD5959">
              <w:t>(4)</w:t>
            </w:r>
          </w:p>
        </w:tc>
      </w:tr>
    </w:tbl>
    <w:p w:rsidR="00446C2D" w:rsidRPr="00AD5959" w:rsidRDefault="00446C2D" w:rsidP="00446C2D"/>
    <w:p w:rsidR="00446C2D" w:rsidRPr="00AD5959" w:rsidRDefault="00446C2D" w:rsidP="00446C2D">
      <w:pPr>
        <w:rPr>
          <w:rFonts w:eastAsiaTheme="minorEastAsia"/>
        </w:rPr>
      </w:pPr>
      <w:r w:rsidRPr="00AD5959">
        <w:t xml:space="preserve">Where,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Pr="00AD5959">
        <w:rPr>
          <w:rFonts w:eastAsiaTheme="minorEastAsia"/>
        </w:rPr>
        <w:t xml:space="preserve"> is the variance-covariance matrix for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AD5959">
        <w:rPr>
          <w:rFonts w:eastAsiaTheme="minorEastAsia"/>
        </w:rPr>
        <w:t xml:space="preserve"> and is expressed as follows </w:t>
      </w:r>
      <w:r w:rsidRPr="00AD5959">
        <w:rPr>
          <w:rFonts w:eastAsiaTheme="minorEastAsia"/>
        </w:rPr>
        <w:fldChar w:fldCharType="begin" w:fldLock="1"/>
      </w:r>
      <w:r>
        <w:rPr>
          <w:rFonts w:eastAsiaTheme="minorEastAsia"/>
        </w:rPr>
        <w:instrText>ADDIN CSL_CITATION {"citationItems":[{"id":"ITEM-1","itemData":{"DOI":"10.1002/sim.6817","ISBN":"0277-6715","ISSN":"10970258","PMID":"26585756","abstract":"Generalized estimating equations (GEE) is a general statistical method to fit marginal models for longitudinal data in biomedical studies. The variance-covariance matrix of the regression parameter coefficients is usually estimated by a robust \"sandwich\" variance estimator, which does not perform satisfactorily when the sample size is small. To reduce the downward bias and improve the efficiency, several modified variance estimators have been proposed for bias-correction or efficiency improvement. In this paper, we provide a comprehensive review on recent developments of modified variance estimators and compare their small-sample performance theoretically and numerically through simulation and real data examples. In particular, Wald tests and t-tests based on different variance estimators are used for hypothesis testing, and the guideline on appropriate sample sizes for each estimator is provided for preserving type I error in general cases based on numerical results. Moreover, we develop a user-friendly R package \"geesmv\" incorporating all of these variance estimators for public usage in practice.","author":[{"dropping-particle":"","family":"Wang","given":"Ming","non-dropping-particle":"","parse-names":false,"suffix":""},{"dropping-particle":"","family":"Kong","given":"Lan","non-dropping-particle":"","parse-names":false,"suffix":""},{"dropping-particle":"","family":"Li","given":"Zheng","non-dropping-particle":"","parse-names":false,"suffix":""},{"dropping-particle":"","family":"Zhang","given":"Lijun","non-dropping-particle":"","parse-names":false,"suffix":""}],"container-title":"Statistics in Medicine","id":"ITEM-1","issue":"10","issued":{"date-parts":[["2016"]]},"page":"1706-1721","title":"Covariance estimators for generalized estimating equations (GEE) in longitudinal analysis with small samples","type":"article-journal","volume":"35"},"uris":["http://www.mendeley.com/documents/?uuid=51756922-7e13-4ac9-90ed-af7b63ffcec4"]}],"mendeley":{"formattedCitation":"(Wang et al., 2016)","plainTextFormattedCitation":"(Wang et al., 2016)","previouslyFormattedCitation":"(Wang et al., 2016)"},"properties":{"noteIndex":0},"schema":"https://github.com/citation-style-language/schema/raw/master/csl-citation.json"}</w:instrText>
      </w:r>
      <w:r w:rsidRPr="00AD5959">
        <w:rPr>
          <w:rFonts w:eastAsiaTheme="minorEastAsia"/>
        </w:rPr>
        <w:fldChar w:fldCharType="separate"/>
      </w:r>
      <w:r w:rsidRPr="0081480B">
        <w:rPr>
          <w:rFonts w:eastAsiaTheme="minorEastAsia"/>
          <w:noProof/>
        </w:rPr>
        <w:t>(Wang et al., 2016)</w:t>
      </w:r>
      <w:r w:rsidRPr="00AD5959">
        <w:rPr>
          <w:rFonts w:eastAsiaTheme="minorEastAsia"/>
        </w:rPr>
        <w:fldChar w:fldCharType="end"/>
      </w:r>
      <w:r w:rsidRPr="00AD5959">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3039"/>
        <w:gridCol w:w="2998"/>
      </w:tblGrid>
      <w:tr w:rsidR="00446C2D" w:rsidRPr="00AD5959" w:rsidTr="007B70BD">
        <w:trPr>
          <w:trHeight w:val="509"/>
        </w:trPr>
        <w:tc>
          <w:tcPr>
            <w:tcW w:w="3080" w:type="dxa"/>
            <w:vAlign w:val="center"/>
          </w:tcPr>
          <w:p w:rsidR="00446C2D" w:rsidRPr="00AD5959" w:rsidRDefault="00446C2D" w:rsidP="007B70BD">
            <w:pPr>
              <w:ind w:firstLine="0"/>
              <w:jc w:val="center"/>
            </w:pPr>
          </w:p>
        </w:tc>
        <w:tc>
          <w:tcPr>
            <w:tcW w:w="3081" w:type="dxa"/>
            <w:vAlign w:val="center"/>
          </w:tcPr>
          <w:p w:rsidR="00446C2D" w:rsidRPr="00AD5959" w:rsidRDefault="00446C2D" w:rsidP="007B70BD">
            <w:pPr>
              <w:rPr>
                <w:rFonts w:eastAsiaTheme="minorEastAsia"/>
              </w:rPr>
            </w:pPr>
            <m:oMathPara>
              <m:oMath>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=ϕ</m:t>
                </m:r>
                <m:sSubSup>
                  <m:sSubSupPr>
                    <m:ctrlPr>
                      <w:rPr>
                        <w:rFonts w:ascii="Cambria Math" w:hAnsi="Cambria Math"/>
                        <w:i/>
                      </w:rPr>
                    </m:ctrlPr>
                  </m:sSubSupPr>
                  <m:e>
                    <m:r>
                      <w:rPr>
                        <w:rFonts w:ascii="Cambria Math" w:hAnsi="Cambria Math"/>
                      </w:rPr>
                      <m:t>A</m:t>
                    </m:r>
                  </m:e>
                  <m:sub>
                    <m:r>
                      <w:rPr>
                        <w:rFonts w:ascii="Cambria Math" w:hAnsi="Cambria Math"/>
                      </w:rPr>
                      <m:t>i</m:t>
                    </m:r>
                  </m:sub>
                  <m:sup>
                    <m:r>
                      <w:rPr>
                        <w:rFonts w:ascii="Cambria Math" w:hAnsi="Cambria Math"/>
                      </w:rPr>
                      <m:t>1/2</m:t>
                    </m:r>
                  </m:sup>
                </m:sSubSup>
                <m:sSub>
                  <m:sSubPr>
                    <m:ctrlPr>
                      <w:rPr>
                        <w:rFonts w:ascii="Cambria Math" w:hAnsi="Cambria Math"/>
                        <w:i/>
                      </w:rPr>
                    </m:ctrlPr>
                  </m:sSubPr>
                  <m:e>
                    <m:r>
                      <w:rPr>
                        <w:rFonts w:ascii="Cambria Math" w:hAnsi="Cambria Math"/>
                      </w:rPr>
                      <m:t>R</m:t>
                    </m:r>
                  </m:e>
                  <m:sub>
                    <m:r>
                      <w:rPr>
                        <w:rFonts w:ascii="Cambria Math" w:hAnsi="Cambria Math"/>
                      </w:rPr>
                      <m:t>i</m:t>
                    </m:r>
                  </m:sub>
                </m:sSub>
                <m:d>
                  <m:dPr>
                    <m:ctrlPr>
                      <w:rPr>
                        <w:rFonts w:ascii="Cambria Math" w:hAnsi="Cambria Math"/>
                        <w:i/>
                      </w:rPr>
                    </m:ctrlPr>
                  </m:dPr>
                  <m:e>
                    <m:r>
                      <w:rPr>
                        <w:rFonts w:ascii="Cambria Math" w:hAnsi="Cambria Math"/>
                      </w:rPr>
                      <m:t>α</m:t>
                    </m:r>
                  </m:e>
                </m:d>
                <m:sSubSup>
                  <m:sSubSupPr>
                    <m:ctrlPr>
                      <w:rPr>
                        <w:rFonts w:ascii="Cambria Math" w:hAnsi="Cambria Math"/>
                        <w:i/>
                      </w:rPr>
                    </m:ctrlPr>
                  </m:sSubSupPr>
                  <m:e>
                    <m:r>
                      <w:rPr>
                        <w:rFonts w:ascii="Cambria Math" w:hAnsi="Cambria Math"/>
                      </w:rPr>
                      <m:t>A</m:t>
                    </m:r>
                  </m:e>
                  <m:sub>
                    <m:r>
                      <w:rPr>
                        <w:rFonts w:ascii="Cambria Math" w:hAnsi="Cambria Math"/>
                      </w:rPr>
                      <m:t>i</m:t>
                    </m:r>
                  </m:sub>
                  <m:sup>
                    <m:r>
                      <w:rPr>
                        <w:rFonts w:ascii="Cambria Math" w:hAnsi="Cambria Math"/>
                      </w:rPr>
                      <m:t>1/2</m:t>
                    </m:r>
                  </m:sup>
                </m:sSubSup>
              </m:oMath>
            </m:oMathPara>
          </w:p>
        </w:tc>
        <w:tc>
          <w:tcPr>
            <w:tcW w:w="3081" w:type="dxa"/>
            <w:vAlign w:val="center"/>
          </w:tcPr>
          <w:p w:rsidR="00446C2D" w:rsidRPr="00AD5959" w:rsidRDefault="00446C2D" w:rsidP="007B70BD">
            <w:pPr>
              <w:ind w:firstLine="0"/>
              <w:jc w:val="right"/>
            </w:pPr>
            <w:r w:rsidRPr="00AD5959">
              <w:t>(5)</w:t>
            </w:r>
          </w:p>
        </w:tc>
      </w:tr>
    </w:tbl>
    <w:p w:rsidR="00446C2D" w:rsidRPr="00AD5959" w:rsidRDefault="00446C2D" w:rsidP="00446C2D">
      <w:pPr>
        <w:rPr>
          <w:rFonts w:eastAsiaTheme="minorEastAsia"/>
        </w:rPr>
      </w:pPr>
    </w:p>
    <w:p w:rsidR="00446C2D" w:rsidRPr="00AD5959" w:rsidRDefault="00446C2D" w:rsidP="00446C2D">
      <w:r w:rsidRPr="00AD5959">
        <w:t xml:space="preserve">Where,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r>
          <w:rPr>
            <w:rFonts w:ascii="Cambria Math" w:eastAsiaTheme="minorEastAsia" w:hAnsi="Cambria Math"/>
          </w:rPr>
          <m:t>=Diag</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ν(µ</m:t>
                </m:r>
              </m:e>
              <m:sub>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ν(µ</m:t>
                </m:r>
              </m:e>
              <m:sub>
                <m:r>
                  <w:rPr>
                    <w:rFonts w:ascii="Cambria Math" w:eastAsiaTheme="minorEastAsia" w:hAnsi="Cambria Math"/>
                  </w:rPr>
                  <m:t>ik</m:t>
                </m:r>
              </m:sub>
            </m:sSub>
            <m:r>
              <w:rPr>
                <w:rFonts w:ascii="Cambria Math" w:eastAsiaTheme="minorEastAsia" w:hAnsi="Cambria Math"/>
              </w:rPr>
              <m:t>)</m:t>
            </m:r>
          </m:e>
        </m:d>
      </m:oMath>
      <w:r w:rsidRPr="00AD5959">
        <w:rPr>
          <w:rFonts w:eastAsiaTheme="minorEastAsia"/>
        </w:rPr>
        <w:t xml:space="preserve"> with </w:t>
      </w:r>
      <m:oMath>
        <m:r>
          <w:rPr>
            <w:rFonts w:ascii="Cambria Math" w:eastAsiaTheme="minorEastAsia" w:hAnsi="Cambria Math"/>
          </w:rPr>
          <m:t>ν</m:t>
        </m:r>
      </m:oMath>
      <w:r w:rsidRPr="00AD5959">
        <w:rPr>
          <w:rFonts w:eastAsiaTheme="minorEastAsia"/>
        </w:rPr>
        <w:t xml:space="preserve"> as the variance function of </w:t>
      </w:r>
      <m:oMath>
        <m:sSub>
          <m:sSubPr>
            <m:ctrlPr>
              <w:rPr>
                <w:rFonts w:ascii="Cambria Math" w:hAnsi="Cambria Math"/>
                <w:i/>
              </w:rPr>
            </m:ctrlPr>
          </m:sSubPr>
          <m:e>
            <m:r>
              <w:rPr>
                <w:rFonts w:ascii="Cambria Math" w:hAnsi="Cambria Math"/>
              </w:rPr>
              <m:t>µ</m:t>
            </m:r>
          </m:e>
          <m:sub>
            <m:r>
              <w:rPr>
                <w:rFonts w:ascii="Cambria Math" w:hAnsi="Cambria Math"/>
              </w:rPr>
              <m:t>i</m:t>
            </m:r>
          </m:sub>
        </m:sSub>
      </m:oMath>
      <w:r w:rsidRPr="00AD5959">
        <w:rPr>
          <w:rFonts w:eastAsiaTheme="minorEastAsia"/>
        </w:rPr>
        <w:t xml:space="preserve">; </w:t>
      </w:r>
      <m:oMath>
        <m:r>
          <w:rPr>
            <w:rFonts w:ascii="Cambria Math" w:hAnsi="Cambria Math"/>
          </w:rPr>
          <m:t>ϕ</m:t>
        </m:r>
      </m:oMath>
      <w:r w:rsidRPr="00AD5959">
        <w:rPr>
          <w:rFonts w:eastAsiaTheme="minorEastAsia"/>
        </w:rPr>
        <w:t xml:space="preserve"> is a scale parameter; and </w:t>
      </w:r>
      <m:oMath>
        <m:sSub>
          <m:sSubPr>
            <m:ctrlPr>
              <w:rPr>
                <w:rFonts w:ascii="Cambria Math" w:hAnsi="Cambria Math"/>
                <w:i/>
              </w:rPr>
            </m:ctrlPr>
          </m:sSubPr>
          <m:e>
            <m:r>
              <w:rPr>
                <w:rFonts w:ascii="Cambria Math" w:hAnsi="Cambria Math"/>
              </w:rPr>
              <m:t>R</m:t>
            </m:r>
          </m:e>
          <m:sub>
            <m:r>
              <w:rPr>
                <w:rFonts w:ascii="Cambria Math" w:hAnsi="Cambria Math"/>
              </w:rPr>
              <m:t>i</m:t>
            </m:r>
          </m:sub>
        </m:sSub>
        <m:d>
          <m:dPr>
            <m:ctrlPr>
              <w:rPr>
                <w:rFonts w:ascii="Cambria Math" w:hAnsi="Cambria Math"/>
                <w:i/>
              </w:rPr>
            </m:ctrlPr>
          </m:dPr>
          <m:e>
            <m:r>
              <w:rPr>
                <w:rFonts w:ascii="Cambria Math" w:hAnsi="Cambria Math"/>
              </w:rPr>
              <m:t>α</m:t>
            </m:r>
          </m:e>
        </m:d>
      </m:oMath>
      <w:r w:rsidRPr="00AD5959">
        <w:rPr>
          <w:rFonts w:eastAsiaTheme="minorEastAsia"/>
        </w:rPr>
        <w:t xml:space="preserve"> describes the correlation repeated measures of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Pr="00AD5959">
        <w:rPr>
          <w:rFonts w:eastAsiaTheme="minorEastAsia"/>
        </w:rPr>
        <w:t xml:space="preserve"> subject with </w:t>
      </w:r>
      <m:oMath>
        <m:r>
          <w:rPr>
            <w:rFonts w:ascii="Cambria Math" w:hAnsi="Cambria Math"/>
          </w:rPr>
          <m:t>α</m:t>
        </m:r>
      </m:oMath>
      <w:r w:rsidRPr="00AD5959">
        <w:rPr>
          <w:rFonts w:eastAsiaTheme="minorEastAsia"/>
        </w:rPr>
        <w:t xml:space="preserve"> as a vector of association of parameters depending on the correlation structure </w:t>
      </w:r>
      <w:r w:rsidRPr="00AD5959">
        <w:rPr>
          <w:rFonts w:eastAsiaTheme="minorEastAsia"/>
        </w:rPr>
        <w:fldChar w:fldCharType="begin" w:fldLock="1"/>
      </w:r>
      <w:r>
        <w:rPr>
          <w:rFonts w:eastAsiaTheme="minorEastAsia"/>
        </w:rPr>
        <w:instrText>ADDIN CSL_CITATION {"citationItems":[{"id":"ITEM-1","itemData":{"DOI":"10.1002/sim.6817","ISBN":"0277-6715","ISSN":"10970258","PMID":"26585756","abstract":"Generalized estimating equations (GEE) is a general statistical method to fit marginal models for longitudinal data in biomedical studies. The variance-covariance matrix of the regression parameter coefficients is usually estimated by a robust \"sandwich\" variance estimator, which does not perform satisfactorily when the sample size is small. To reduce the downward bias and improve the efficiency, several modified variance estimators have been proposed for bias-correction or efficiency improvement. In this paper, we provide a comprehensive review on recent developments of modified variance estimators and compare their small-sample performance theoretically and numerically through simulation and real data examples. In particular, Wald tests and t-tests based on different variance estimators are used for hypothesis testing, and the guideline on appropriate sample sizes for each estimator is provided for preserving type I error in general cases based on numerical results. Moreover, we develop a user-friendly R package \"geesmv\" incorporating all of these variance estimators for public usage in practice.","author":[{"dropping-particle":"","family":"Wang","given":"Ming","non-dropping-particle":"","parse-names":false,"suffix":""},{"dropping-particle":"","family":"Kong","given":"Lan","non-dropping-particle":"","parse-names":false,"suffix":""},{"dropping-particle":"","family":"Li","given":"Zheng","non-dropping-particle":"","parse-names":false,"suffix":""},{"dropping-particle":"","family":"Zhang","given":"Lijun","non-dropping-particle":"","parse-names":false,"suffix":""}],"container-title":"Statistics in Medicine","id":"ITEM-1","issue":"10","issued":{"date-parts":[["2016"]]},"page":"1706-1721","title":"Covariance estimators for generalized estimating equations (GEE) in longitudinal analysis with small samples","type":"article-journal","volume":"35"},"uris":["http://www.mendeley.com/documents/?uuid=51756922-7e13-4ac9-90ed-af7b63ffcec4"]}],"mendeley":{"formattedCitation":"(Wang et al., 2016)","plainTextFormattedCitation":"(Wang et al., 2016)","previouslyFormattedCitation":"(Wang et al., 2016)"},"properties":{"noteIndex":0},"schema":"https://github.com/citation-style-language/schema/raw/master/csl-citation.json"}</w:instrText>
      </w:r>
      <w:r w:rsidRPr="00AD5959">
        <w:rPr>
          <w:rFonts w:eastAsiaTheme="minorEastAsia"/>
        </w:rPr>
        <w:fldChar w:fldCharType="separate"/>
      </w:r>
      <w:r w:rsidRPr="00AD5959">
        <w:rPr>
          <w:rFonts w:eastAsiaTheme="minorEastAsia"/>
          <w:noProof/>
        </w:rPr>
        <w:t>(Wang et al., 2016)</w:t>
      </w:r>
      <w:r w:rsidRPr="00AD5959">
        <w:rPr>
          <w:rFonts w:eastAsiaTheme="minorEastAsia"/>
        </w:rPr>
        <w:fldChar w:fldCharType="end"/>
      </w:r>
      <w:r w:rsidRPr="00AD5959">
        <w:rPr>
          <w:rFonts w:eastAsiaTheme="minorEastAsia"/>
        </w:rPr>
        <w:t>. T</w:t>
      </w:r>
      <w:r w:rsidRPr="00AD5959">
        <w:t xml:space="preserve">he current study used the exchangeable correlation among the various available correlation structures, as it assumes a fixed correlation among the repeated measures of an individual </w:t>
      </w:r>
      <w:r w:rsidRPr="00AD5959">
        <w:fldChar w:fldCharType="begin" w:fldLock="1"/>
      </w:r>
      <w:r>
        <w:instrText>ADDIN CSL_CITATION {"citationItems":[{"id":"ITEM-1","itemData":{"DOI":"10.1016/j.aap.2015.05.001","ISSN":"0001-4575","author":[{"dropping-particle":"","family":"Saifuzzaman","given":"Mohammad","non-dropping-particle":"","parse-names":false,"suffix":""},{"dropping-particle":"","family":"Haque","given":"Mazharul","non-dropping-particle":"","parse-names":false,"suffix":""},{"dropping-particle":"","family":"Zheng","given":"Zuduo","non-dropping-particle":"","parse-names":false,"suffix":""},{"dropping-particle":"","family":"Washington","given":"Simon","non-dropping-particle":"","parse-names":false,"suffix":""}],"container-title":"Accident Analysis and Prevention","id":"ITEM-1","issued":{"date-parts":[["2015"]]},"page":"10-19","publisher":"Elsevier Ltd","title":"Impact of mobile phone use on car-following behaviour of young drivers","type":"article-journal","volume":"82"},"uris":["http://www.mendeley.com/documents/?uuid=76e7dac6-2673-4e8f-a042-08294ea0101a"]},{"id":"ITEM-2","itemData":{"DOI":"10.1002/sim.6817","ISBN":"0277-6715","ISSN":"10970258","PMID":"26585756","abstract":"Generalized estimating equations (GEE) is a general statistical method to fit marginal models for longitudinal data in biomedical studies. The variance-covariance matrix of the regression parameter coefficients is usually estimated by a robust \"sandwich\" variance estimator, which does not perform satisfactorily when the sample size is small. To reduce the downward bias and improve the efficiency, several modified variance estimators have been proposed for bias-correction or efficiency improvement. In this paper, we provide a comprehensive review on recent developments of modified variance estimators and compare their small-sample performance theoretically and numerically through simulation and real data examples. In particular, Wald tests and t-tests based on different variance estimators are used for hypothesis testing, and the guideline on appropriate sample sizes for each estimator is provided for preserving type I error in general cases based on numerical results. Moreover, we develop a user-friendly R package \"geesmv\" incorporating all of these variance estimators for public usage in practice.","author":[{"dropping-particle":"","family":"Wang","given":"Ming","non-dropping-particle":"","parse-names":false,"suffix":""},{"dropping-particle":"","family":"Kong","given":"Lan","non-dropping-particle":"","parse-names":false,"suffix":""},{"dropping-particle":"","family":"Li","given":"Zheng","non-dropping-particle":"","parse-names":false,"suffix":""},{"dropping-particle":"","family":"Zhang","given":"Lijun","non-dropping-particle":"","parse-names":false,"suffix":""}],"container-title":"Statistics in Medicine","id":"ITEM-2","issue":"10","issued":{"date-parts":[["2016"]]},"page":"1706-1721","title":"Covariance estimators for generalized estimating equations (GEE) in longitudinal analysis with small samples","type":"article-journal","volume":"35"},"uris":["http://www.mendeley.com/documents/?uuid=51756922-7e13-4ac9-90ed-af7b63ffcec4"]}],"mendeley":{"formattedCitation":"(Saifuzzaman et al., 2015; Wang et al., 2016)","plainTextFormattedCitation":"(Saifuzzaman et al., 2015; Wang et al., 2016)","previouslyFormattedCitation":"(Saifuzzaman et al., 2015; Wang et al., 2016)"},"properties":{"noteIndex":0},"schema":"https://github.com/citation-style-language/schema/raw/master/csl-citation.json"}</w:instrText>
      </w:r>
      <w:r w:rsidRPr="00AD5959">
        <w:fldChar w:fldCharType="separate"/>
      </w:r>
      <w:r w:rsidRPr="00AD5959">
        <w:rPr>
          <w:noProof/>
        </w:rPr>
        <w:t>(Saifuzzaman et al., 2015; Wang et al., 2016)</w:t>
      </w:r>
      <w:r w:rsidRPr="00AD5959">
        <w:fldChar w:fldCharType="end"/>
      </w:r>
      <w:r w:rsidRPr="00AD5959">
        <w:t>. The exchangeable correlation structure is specified as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6097"/>
        <w:gridCol w:w="1857"/>
      </w:tblGrid>
      <w:tr w:rsidR="00446C2D" w:rsidRPr="00AD5959" w:rsidTr="007B70BD">
        <w:trPr>
          <w:trHeight w:val="509"/>
        </w:trPr>
        <w:tc>
          <w:tcPr>
            <w:tcW w:w="1101" w:type="dxa"/>
            <w:vAlign w:val="center"/>
          </w:tcPr>
          <w:p w:rsidR="00446C2D" w:rsidRPr="00AD5959" w:rsidRDefault="00446C2D" w:rsidP="007B70BD">
            <w:pPr>
              <w:ind w:firstLine="0"/>
              <w:jc w:val="center"/>
            </w:pPr>
          </w:p>
        </w:tc>
        <w:tc>
          <w:tcPr>
            <w:tcW w:w="6237" w:type="dxa"/>
            <w:vAlign w:val="center"/>
          </w:tcPr>
          <w:p w:rsidR="00446C2D" w:rsidRPr="00AD5959" w:rsidRDefault="00446C2D" w:rsidP="007B70BD">
            <w:pPr>
              <w:rPr>
                <w:rFonts w:eastAsiaTheme="minorEastAsia"/>
              </w:rPr>
            </w:pPr>
            <m:oMathPara>
              <m:oMath>
                <m:r>
                  <w:rPr>
                    <w:rFonts w:ascii="Cambria Math" w:hAnsi="Cambria Math"/>
                  </w:rPr>
                  <m:t>α=ρ, Corr</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il</m:t>
                        </m:r>
                      </m:sub>
                    </m:sSub>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  j=l</m:t>
                          </m:r>
                        </m:e>
                      </m:mr>
                      <m:mr>
                        <m:e>
                          <m:r>
                            <w:rPr>
                              <w:rFonts w:ascii="Cambria Math" w:hAnsi="Cambria Math"/>
                            </w:rPr>
                            <m:t>ρ  j≠l</m:t>
                          </m:r>
                        </m:e>
                      </m:mr>
                    </m:m>
                  </m:e>
                </m:d>
                <m:r>
                  <w:rPr>
                    <w:rFonts w:ascii="Cambria Math" w:hAnsi="Cambria Math"/>
                  </w:rPr>
                  <m:t xml:space="preserve">;for </m:t>
                </m:r>
                <m:sSub>
                  <m:sSubPr>
                    <m:ctrlPr>
                      <w:rPr>
                        <w:rFonts w:ascii="Cambria Math" w:hAnsi="Cambria Math"/>
                        <w:i/>
                      </w:rPr>
                    </m:ctrlPr>
                  </m:sSubPr>
                  <m:e>
                    <m:r>
                      <w:rPr>
                        <w:rFonts w:ascii="Cambria Math" w:hAnsi="Cambria Math"/>
                      </w:rPr>
                      <m:t>R</m:t>
                    </m:r>
                  </m:e>
                  <m:sub>
                    <m:r>
                      <w:rPr>
                        <w:rFonts w:ascii="Cambria Math" w:hAnsi="Cambria Math"/>
                      </w:rPr>
                      <m:t>3*3</m:t>
                    </m:r>
                  </m:sub>
                </m:sSub>
                <m:r>
                  <w:rPr>
                    <w:rFonts w:ascii="Cambria Math" w:hAnsi="Cambria Math"/>
                  </w:rPr>
                  <m:t>=</m:t>
                </m:r>
                <m:d>
                  <m:dPr>
                    <m:ctrlPr>
                      <w:rPr>
                        <w:rFonts w:ascii="Cambria Math" w:hAnsi="Cambria Math"/>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 xml:space="preserve">ρ </m:t>
                          </m:r>
                        </m:e>
                        <m:e>
                          <m:r>
                            <w:rPr>
                              <w:rFonts w:ascii="Cambria Math" w:hAnsi="Cambria Math"/>
                            </w:rPr>
                            <m:t xml:space="preserve"> ρ</m:t>
                          </m:r>
                        </m:e>
                      </m:mr>
                      <m:mr>
                        <m:e>
                          <m:r>
                            <w:rPr>
                              <w:rFonts w:ascii="Cambria Math" w:hAnsi="Cambria Math"/>
                            </w:rPr>
                            <m:t>ρ</m:t>
                          </m:r>
                        </m:e>
                        <m:e>
                          <m:r>
                            <w:rPr>
                              <w:rFonts w:ascii="Cambria Math" w:hAnsi="Cambria Math"/>
                            </w:rPr>
                            <m:t>1</m:t>
                          </m:r>
                        </m:e>
                        <m:e>
                          <m:r>
                            <w:rPr>
                              <w:rFonts w:ascii="Cambria Math" w:hAnsi="Cambria Math"/>
                            </w:rPr>
                            <m:t>ρ</m:t>
                          </m:r>
                        </m:e>
                      </m:mr>
                      <m:mr>
                        <m:e>
                          <m:r>
                            <w:rPr>
                              <w:rFonts w:ascii="Cambria Math" w:hAnsi="Cambria Math"/>
                            </w:rPr>
                            <m:t>ρ</m:t>
                          </m:r>
                        </m:e>
                        <m:e>
                          <m:r>
                            <w:rPr>
                              <w:rFonts w:ascii="Cambria Math" w:hAnsi="Cambria Math"/>
                            </w:rPr>
                            <m:t>ρ</m:t>
                          </m:r>
                        </m:e>
                        <m:e>
                          <m:r>
                            <w:rPr>
                              <w:rFonts w:ascii="Cambria Math" w:hAnsi="Cambria Math"/>
                            </w:rPr>
                            <m:t>1</m:t>
                          </m:r>
                        </m:e>
                      </m:mr>
                    </m:m>
                  </m:e>
                </m:d>
              </m:oMath>
            </m:oMathPara>
          </w:p>
        </w:tc>
        <w:tc>
          <w:tcPr>
            <w:tcW w:w="1904" w:type="dxa"/>
            <w:vAlign w:val="center"/>
          </w:tcPr>
          <w:p w:rsidR="00446C2D" w:rsidRPr="00AD5959" w:rsidRDefault="00446C2D" w:rsidP="007B70BD">
            <w:pPr>
              <w:ind w:firstLine="0"/>
              <w:jc w:val="right"/>
            </w:pPr>
            <w:r w:rsidRPr="00AD5959">
              <w:t>(6)</w:t>
            </w:r>
          </w:p>
        </w:tc>
      </w:tr>
    </w:tbl>
    <w:p w:rsidR="00446C2D" w:rsidRPr="00AD5959" w:rsidRDefault="00446C2D" w:rsidP="00446C2D"/>
    <w:p w:rsidR="00446C2D" w:rsidRDefault="00446C2D" w:rsidP="00446C2D">
      <w:r>
        <w:t>References for Appendix B</w:t>
      </w:r>
    </w:p>
    <w:p w:rsidR="00446C2D" w:rsidRPr="006A18D2" w:rsidRDefault="00446C2D" w:rsidP="00446C2D">
      <w:pPr>
        <w:widowControl w:val="0"/>
        <w:autoSpaceDE w:val="0"/>
        <w:autoSpaceDN w:val="0"/>
        <w:adjustRightInd w:val="0"/>
        <w:rPr>
          <w:rFonts w:cs="Times New Roman"/>
          <w:noProof/>
          <w:szCs w:val="24"/>
        </w:rPr>
      </w:pPr>
      <w:r w:rsidRPr="006A18D2">
        <w:rPr>
          <w:rFonts w:cs="Times New Roman"/>
          <w:noProof/>
          <w:szCs w:val="24"/>
        </w:rPr>
        <w:t xml:space="preserve">Saifuzzaman, M., Haque, M., Zheng, Z. and Washington, S. ‘Impact of mobile phone use on car-following behaviour of young drivers’, </w:t>
      </w:r>
      <w:r w:rsidRPr="006A18D2">
        <w:rPr>
          <w:rFonts w:cs="Times New Roman"/>
          <w:i/>
          <w:iCs/>
          <w:noProof/>
          <w:szCs w:val="24"/>
        </w:rPr>
        <w:t>Accid. Anal. Prev.</w:t>
      </w:r>
      <w:r w:rsidRPr="006A18D2">
        <w:rPr>
          <w:rFonts w:cs="Times New Roman"/>
          <w:noProof/>
          <w:szCs w:val="24"/>
        </w:rPr>
        <w:t xml:space="preserve"> 2015;82;10–19.</w:t>
      </w:r>
    </w:p>
    <w:p w:rsidR="00446C2D" w:rsidRPr="006A18D2" w:rsidRDefault="00446C2D" w:rsidP="00446C2D">
      <w:pPr>
        <w:widowControl w:val="0"/>
        <w:autoSpaceDE w:val="0"/>
        <w:autoSpaceDN w:val="0"/>
        <w:adjustRightInd w:val="0"/>
        <w:rPr>
          <w:rFonts w:cs="Times New Roman"/>
          <w:noProof/>
          <w:szCs w:val="24"/>
        </w:rPr>
      </w:pPr>
      <w:r w:rsidRPr="006A18D2">
        <w:rPr>
          <w:rFonts w:cs="Times New Roman"/>
          <w:noProof/>
          <w:szCs w:val="24"/>
        </w:rPr>
        <w:t xml:space="preserve">Wang, M., Kong, L., Li, Z. and Zhang, L. ‘Covariance estimators for generalized estimating equations (GEE) in longitudinal analysis with small samples’, </w:t>
      </w:r>
      <w:r w:rsidRPr="006A18D2">
        <w:rPr>
          <w:rFonts w:cs="Times New Roman"/>
          <w:i/>
          <w:iCs/>
          <w:noProof/>
          <w:szCs w:val="24"/>
        </w:rPr>
        <w:t>Stat. Med.</w:t>
      </w:r>
      <w:r w:rsidRPr="006A18D2">
        <w:rPr>
          <w:rFonts w:cs="Times New Roman"/>
          <w:noProof/>
          <w:szCs w:val="24"/>
        </w:rPr>
        <w:t xml:space="preserve"> 2016;35;1706–1721.</w:t>
      </w:r>
    </w:p>
    <w:p w:rsidR="00446C2D" w:rsidRPr="00AD5959" w:rsidRDefault="00446C2D" w:rsidP="00446C2D"/>
    <w:p w:rsidR="007C2779" w:rsidRPr="00446C2D" w:rsidRDefault="007C2779" w:rsidP="00446C2D">
      <w:bookmarkStart w:id="0" w:name="_GoBack"/>
      <w:bookmarkEnd w:id="0"/>
    </w:p>
    <w:sectPr w:rsidR="007C2779" w:rsidRPr="00446C2D" w:rsidSect="00CA253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C2D" w:rsidRDefault="00446C2D" w:rsidP="00446C2D">
      <w:pPr>
        <w:spacing w:after="0" w:line="240" w:lineRule="auto"/>
      </w:pPr>
      <w:r>
        <w:separator/>
      </w:r>
    </w:p>
  </w:endnote>
  <w:endnote w:type="continuationSeparator" w:id="0">
    <w:p w:rsidR="00446C2D" w:rsidRDefault="00446C2D" w:rsidP="0044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C2D" w:rsidRDefault="00446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90" w:rsidRDefault="00446C2D">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a22a4c5fbb8df4e50c2f19d2" descr="{&quot;HashCode&quot;:15615934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46C2D" w:rsidRPr="00446C2D" w:rsidRDefault="00446C2D" w:rsidP="00446C2D">
                          <w:pPr>
                            <w:spacing w:after="0"/>
                            <w:jc w:val="left"/>
                            <w:rPr>
                              <w:rFonts w:ascii="Rockwell" w:hAnsi="Rockwell"/>
                              <w:color w:val="0078D7"/>
                              <w:sz w:val="18"/>
                            </w:rPr>
                          </w:pPr>
                          <w:r w:rsidRPr="00446C2D">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22a4c5fbb8df4e50c2f19d2" o:spid="_x0000_s1026" type="#_x0000_t202" alt="{&quot;HashCode&quot;:1561593418,&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PAlh14dAwAANwYAAA4AAAAAAAAA&#10;AAAAAAAALgIAAGRycy9lMm9Eb2MueG1sUEsBAi0AFAAGAAgAAAAhAGARxibeAAAACwEAAA8AAAAA&#10;AAAAAAAAAAAAdwUAAGRycy9kb3ducmV2LnhtbFBLBQYAAAAABAAEAPMAAACCBgAAAAA=&#10;" o:allowincell="f" filled="f" stroked="f" strokeweight=".5pt">
              <v:fill o:detectmouseclick="t"/>
              <v:textbox inset="20pt,0,,0">
                <w:txbxContent>
                  <w:p w:rsidR="00446C2D" w:rsidRPr="00446C2D" w:rsidRDefault="00446C2D" w:rsidP="00446C2D">
                    <w:pPr>
                      <w:spacing w:after="0"/>
                      <w:jc w:val="left"/>
                      <w:rPr>
                        <w:rFonts w:ascii="Rockwell" w:hAnsi="Rockwell"/>
                        <w:color w:val="0078D7"/>
                        <w:sz w:val="18"/>
                      </w:rPr>
                    </w:pPr>
                    <w:r w:rsidRPr="00446C2D">
                      <w:rPr>
                        <w:rFonts w:ascii="Rockwell" w:hAnsi="Rockwell"/>
                        <w:color w:val="0078D7"/>
                        <w:sz w:val="18"/>
                      </w:rPr>
                      <w:t>Information Classification: General</w:t>
                    </w:r>
                  </w:p>
                </w:txbxContent>
              </v:textbox>
              <w10:wrap anchorx="page" anchory="page"/>
            </v:shape>
          </w:pict>
        </mc:Fallback>
      </mc:AlternateContent>
    </w:r>
    <w:sdt>
      <w:sdtPr>
        <w:id w:val="2328962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856390" w:rsidRDefault="00446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C2D" w:rsidRDefault="00446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C2D" w:rsidRDefault="00446C2D" w:rsidP="00446C2D">
      <w:pPr>
        <w:spacing w:after="0" w:line="240" w:lineRule="auto"/>
      </w:pPr>
      <w:r>
        <w:separator/>
      </w:r>
    </w:p>
  </w:footnote>
  <w:footnote w:type="continuationSeparator" w:id="0">
    <w:p w:rsidR="00446C2D" w:rsidRDefault="00446C2D" w:rsidP="00446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C2D" w:rsidRDefault="00446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90" w:rsidRDefault="00446C2D" w:rsidP="0087341C">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C2D" w:rsidRDefault="00446C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2D"/>
    <w:rsid w:val="00446C2D"/>
    <w:rsid w:val="007C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D55D2D7-9891-4937-9DFE-2E36481A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C2D"/>
    <w:pPr>
      <w:spacing w:line="360" w:lineRule="auto"/>
      <w:ind w:firstLine="720"/>
      <w:jc w:val="both"/>
    </w:pPr>
    <w:rPr>
      <w:rFonts w:ascii="Times New Roman" w:hAnsi="Times New Roman"/>
      <w:sz w:val="20"/>
      <w:lang w:val="en-IN"/>
    </w:rPr>
  </w:style>
  <w:style w:type="paragraph" w:styleId="Heading2">
    <w:name w:val="heading 2"/>
    <w:basedOn w:val="Normal"/>
    <w:next w:val="Normal"/>
    <w:link w:val="Heading2Char"/>
    <w:uiPriority w:val="9"/>
    <w:unhideWhenUsed/>
    <w:qFormat/>
    <w:rsid w:val="00446C2D"/>
    <w:pPr>
      <w:keepNext/>
      <w:keepLines/>
      <w:spacing w:before="120" w:after="120"/>
      <w:ind w:firstLine="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C2D"/>
    <w:rPr>
      <w:rFonts w:ascii="Times New Roman" w:eastAsiaTheme="majorEastAsia" w:hAnsi="Times New Roman" w:cstheme="majorBidi"/>
      <w:b/>
      <w:sz w:val="20"/>
      <w:szCs w:val="26"/>
      <w:lang w:val="en-IN"/>
    </w:rPr>
  </w:style>
  <w:style w:type="table" w:styleId="TableGrid">
    <w:name w:val="Table Grid"/>
    <w:basedOn w:val="TableNormal"/>
    <w:uiPriority w:val="39"/>
    <w:rsid w:val="00446C2D"/>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46C2D"/>
    <w:pPr>
      <w:spacing w:after="200"/>
    </w:pPr>
    <w:rPr>
      <w:i/>
      <w:iCs/>
      <w:color w:val="44546A" w:themeColor="text2"/>
      <w:sz w:val="18"/>
      <w:szCs w:val="18"/>
    </w:rPr>
  </w:style>
  <w:style w:type="paragraph" w:styleId="Header">
    <w:name w:val="header"/>
    <w:basedOn w:val="Normal"/>
    <w:link w:val="HeaderChar"/>
    <w:uiPriority w:val="99"/>
    <w:unhideWhenUsed/>
    <w:rsid w:val="00446C2D"/>
    <w:pPr>
      <w:tabs>
        <w:tab w:val="center" w:pos="4513"/>
        <w:tab w:val="right" w:pos="9026"/>
      </w:tabs>
      <w:spacing w:after="0"/>
    </w:pPr>
  </w:style>
  <w:style w:type="character" w:customStyle="1" w:styleId="HeaderChar">
    <w:name w:val="Header Char"/>
    <w:basedOn w:val="DefaultParagraphFont"/>
    <w:link w:val="Header"/>
    <w:uiPriority w:val="99"/>
    <w:rsid w:val="00446C2D"/>
    <w:rPr>
      <w:rFonts w:ascii="Times New Roman" w:hAnsi="Times New Roman"/>
      <w:sz w:val="20"/>
      <w:lang w:val="en-IN"/>
    </w:rPr>
  </w:style>
  <w:style w:type="paragraph" w:styleId="Footer">
    <w:name w:val="footer"/>
    <w:basedOn w:val="Normal"/>
    <w:link w:val="FooterChar"/>
    <w:uiPriority w:val="99"/>
    <w:unhideWhenUsed/>
    <w:rsid w:val="00446C2D"/>
    <w:pPr>
      <w:tabs>
        <w:tab w:val="center" w:pos="4513"/>
        <w:tab w:val="right" w:pos="9026"/>
      </w:tabs>
      <w:spacing w:after="0"/>
    </w:pPr>
  </w:style>
  <w:style w:type="character" w:customStyle="1" w:styleId="FooterChar">
    <w:name w:val="Footer Char"/>
    <w:basedOn w:val="DefaultParagraphFont"/>
    <w:link w:val="Footer"/>
    <w:uiPriority w:val="99"/>
    <w:rsid w:val="00446C2D"/>
    <w:rPr>
      <w:rFonts w:ascii="Times New Roman" w:hAnsi="Times New Roman"/>
      <w:sz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69a4752ae8356587/RESEARCH/new%20work/data%20collection_phase_2/excel%20files/analysis_for_unsignalised_intersections/Paper_for_conversation_and_music_player/Full%20paper%20drafts/for%20journal/first_round_submission/graphs_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69a4752ae8356587/RESEARCH/new%20work/data%20collection_phase_2/excel%20files/analysis_for_unsignalised_intersections/final_analsyis_Results_for_conversation_and_music_player/graphs_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69a4752ae8356587/RESEARCH/new%20work/data%20collection_phase_2/excel%20files/analysis_for_unsignalised_intersections/final_analsyis_Results_for_conversation_and_music_player/graphs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198154841128"/>
          <c:y val="5.0925925925925902E-2"/>
          <c:w val="0.80891302989626901"/>
          <c:h val="0.71420952140501504"/>
        </c:manualLayout>
      </c:layout>
      <c:barChart>
        <c:barDir val="col"/>
        <c:grouping val="clustered"/>
        <c:varyColors val="0"/>
        <c:ser>
          <c:idx val="0"/>
          <c:order val="0"/>
          <c:tx>
            <c:strRef>
              <c:f>[graphs_0.xlsx]Sheet1!$V$61</c:f>
              <c:strCache>
                <c:ptCount val="1"/>
                <c:pt idx="0">
                  <c:v>Baseline</c:v>
                </c:pt>
              </c:strCache>
            </c:strRef>
          </c:tx>
          <c:spPr>
            <a:pattFill prst="ltHorz">
              <a:fgClr>
                <a:schemeClr val="tx1"/>
              </a:fgClr>
              <a:bgClr>
                <a:schemeClr val="bg1"/>
              </a:bgClr>
            </a:pattFill>
            <a:ln>
              <a:solidFill>
                <a:schemeClr val="tx1"/>
              </a:solidFill>
            </a:ln>
            <a:effectLst/>
          </c:spPr>
          <c:invertIfNegative val="0"/>
          <c:cat>
            <c:strRef>
              <c:f>[graphs_0.xlsx]Sheet1!$U$62:$U$69</c:f>
              <c:strCache>
                <c:ptCount val="8"/>
                <c:pt idx="0">
                  <c:v>2s</c:v>
                </c:pt>
                <c:pt idx="1">
                  <c:v>3s</c:v>
                </c:pt>
                <c:pt idx="2">
                  <c:v>4s</c:v>
                </c:pt>
                <c:pt idx="3">
                  <c:v>5s</c:v>
                </c:pt>
                <c:pt idx="4">
                  <c:v>6s</c:v>
                </c:pt>
                <c:pt idx="5">
                  <c:v>7s</c:v>
                </c:pt>
                <c:pt idx="6">
                  <c:v>8s</c:v>
                </c:pt>
                <c:pt idx="7">
                  <c:v>No gap</c:v>
                </c:pt>
              </c:strCache>
            </c:strRef>
          </c:cat>
          <c:val>
            <c:numRef>
              <c:f>[graphs_0.xlsx]Sheet1!$V$62:$V$69</c:f>
              <c:numCache>
                <c:formatCode>0%</c:formatCode>
                <c:ptCount val="8"/>
                <c:pt idx="0">
                  <c:v>0.13</c:v>
                </c:pt>
                <c:pt idx="1">
                  <c:v>0.226744186046512</c:v>
                </c:pt>
                <c:pt idx="2">
                  <c:v>0.22093023255814001</c:v>
                </c:pt>
                <c:pt idx="3">
                  <c:v>0.226744186046512</c:v>
                </c:pt>
                <c:pt idx="4">
                  <c:v>0.13372093023255799</c:v>
                </c:pt>
                <c:pt idx="5">
                  <c:v>3.4883720930232398E-2</c:v>
                </c:pt>
                <c:pt idx="6">
                  <c:v>2.32558139534885E-2</c:v>
                </c:pt>
                <c:pt idx="7">
                  <c:v>0</c:v>
                </c:pt>
              </c:numCache>
            </c:numRef>
          </c:val>
          <c:extLst>
            <c:ext xmlns:c16="http://schemas.microsoft.com/office/drawing/2014/chart" uri="{C3380CC4-5D6E-409C-BE32-E72D297353CC}">
              <c16:uniqueId val="{00000000-A2C8-4A85-90AA-BD3B44897370}"/>
            </c:ext>
          </c:extLst>
        </c:ser>
        <c:ser>
          <c:idx val="1"/>
          <c:order val="1"/>
          <c:tx>
            <c:strRef>
              <c:f>[graphs_0.xlsx]Sheet1!$W$61</c:f>
              <c:strCache>
                <c:ptCount val="1"/>
                <c:pt idx="0">
                  <c:v>Conversation</c:v>
                </c:pt>
              </c:strCache>
            </c:strRef>
          </c:tx>
          <c:spPr>
            <a:pattFill prst="dkDnDiag">
              <a:fgClr>
                <a:schemeClr val="tx1"/>
              </a:fgClr>
              <a:bgClr>
                <a:schemeClr val="bg1"/>
              </a:bgClr>
            </a:pattFill>
            <a:ln>
              <a:solidFill>
                <a:schemeClr val="tx1"/>
              </a:solidFill>
            </a:ln>
            <a:effectLst/>
          </c:spPr>
          <c:invertIfNegative val="0"/>
          <c:cat>
            <c:strRef>
              <c:f>[graphs_0.xlsx]Sheet1!$U$62:$U$69</c:f>
              <c:strCache>
                <c:ptCount val="8"/>
                <c:pt idx="0">
                  <c:v>2s</c:v>
                </c:pt>
                <c:pt idx="1">
                  <c:v>3s</c:v>
                </c:pt>
                <c:pt idx="2">
                  <c:v>4s</c:v>
                </c:pt>
                <c:pt idx="3">
                  <c:v>5s</c:v>
                </c:pt>
                <c:pt idx="4">
                  <c:v>6s</c:v>
                </c:pt>
                <c:pt idx="5">
                  <c:v>7s</c:v>
                </c:pt>
                <c:pt idx="6">
                  <c:v>8s</c:v>
                </c:pt>
                <c:pt idx="7">
                  <c:v>No gap</c:v>
                </c:pt>
              </c:strCache>
            </c:strRef>
          </c:cat>
          <c:val>
            <c:numRef>
              <c:f>[graphs_0.xlsx]Sheet1!$W$62:$W$69</c:f>
              <c:numCache>
                <c:formatCode>0%</c:formatCode>
                <c:ptCount val="8"/>
                <c:pt idx="0">
                  <c:v>6.6265060240963805E-2</c:v>
                </c:pt>
                <c:pt idx="1">
                  <c:v>0.126506024096386</c:v>
                </c:pt>
                <c:pt idx="2">
                  <c:v>0.25301204819277101</c:v>
                </c:pt>
                <c:pt idx="3">
                  <c:v>0.24698795180722899</c:v>
                </c:pt>
                <c:pt idx="4">
                  <c:v>0.180722891566265</c:v>
                </c:pt>
                <c:pt idx="5">
                  <c:v>7.8313253012048195E-2</c:v>
                </c:pt>
                <c:pt idx="6">
                  <c:v>3.6144578313252997E-2</c:v>
                </c:pt>
                <c:pt idx="7">
                  <c:v>0.01</c:v>
                </c:pt>
              </c:numCache>
            </c:numRef>
          </c:val>
          <c:extLst>
            <c:ext xmlns:c16="http://schemas.microsoft.com/office/drawing/2014/chart" uri="{C3380CC4-5D6E-409C-BE32-E72D297353CC}">
              <c16:uniqueId val="{00000001-A2C8-4A85-90AA-BD3B44897370}"/>
            </c:ext>
          </c:extLst>
        </c:ser>
        <c:ser>
          <c:idx val="2"/>
          <c:order val="2"/>
          <c:tx>
            <c:strRef>
              <c:f>[graphs_0.xlsx]Sheet1!$X$61</c:f>
              <c:strCache>
                <c:ptCount val="1"/>
                <c:pt idx="0">
                  <c:v>Music player</c:v>
                </c:pt>
              </c:strCache>
            </c:strRef>
          </c:tx>
          <c:spPr>
            <a:pattFill prst="diagBrick">
              <a:fgClr>
                <a:schemeClr val="tx1"/>
              </a:fgClr>
              <a:bgClr>
                <a:schemeClr val="bg1"/>
              </a:bgClr>
            </a:pattFill>
            <a:ln>
              <a:solidFill>
                <a:schemeClr val="tx1"/>
              </a:solidFill>
            </a:ln>
            <a:effectLst/>
          </c:spPr>
          <c:invertIfNegative val="0"/>
          <c:cat>
            <c:strRef>
              <c:f>[graphs_0.xlsx]Sheet1!$U$62:$U$69</c:f>
              <c:strCache>
                <c:ptCount val="8"/>
                <c:pt idx="0">
                  <c:v>2s</c:v>
                </c:pt>
                <c:pt idx="1">
                  <c:v>3s</c:v>
                </c:pt>
                <c:pt idx="2">
                  <c:v>4s</c:v>
                </c:pt>
                <c:pt idx="3">
                  <c:v>5s</c:v>
                </c:pt>
                <c:pt idx="4">
                  <c:v>6s</c:v>
                </c:pt>
                <c:pt idx="5">
                  <c:v>7s</c:v>
                </c:pt>
                <c:pt idx="6">
                  <c:v>8s</c:v>
                </c:pt>
                <c:pt idx="7">
                  <c:v>No gap</c:v>
                </c:pt>
              </c:strCache>
            </c:strRef>
          </c:cat>
          <c:val>
            <c:numRef>
              <c:f>[graphs_0.xlsx]Sheet1!$X$62:$X$69</c:f>
              <c:numCache>
                <c:formatCode>0%</c:formatCode>
                <c:ptCount val="8"/>
                <c:pt idx="0">
                  <c:v>0.23</c:v>
                </c:pt>
                <c:pt idx="1">
                  <c:v>0.2</c:v>
                </c:pt>
                <c:pt idx="2">
                  <c:v>0.25517241379310301</c:v>
                </c:pt>
                <c:pt idx="3">
                  <c:v>0.19310344827586201</c:v>
                </c:pt>
                <c:pt idx="4">
                  <c:v>8.2758620689655199E-2</c:v>
                </c:pt>
                <c:pt idx="5">
                  <c:v>2.7586206896551699E-2</c:v>
                </c:pt>
                <c:pt idx="6">
                  <c:v>1.37931034482759E-2</c:v>
                </c:pt>
                <c:pt idx="7">
                  <c:v>0</c:v>
                </c:pt>
              </c:numCache>
            </c:numRef>
          </c:val>
          <c:extLst>
            <c:ext xmlns:c16="http://schemas.microsoft.com/office/drawing/2014/chart" uri="{C3380CC4-5D6E-409C-BE32-E72D297353CC}">
              <c16:uniqueId val="{00000002-A2C8-4A85-90AA-BD3B44897370}"/>
            </c:ext>
          </c:extLst>
        </c:ser>
        <c:dLbls>
          <c:showLegendKey val="0"/>
          <c:showVal val="0"/>
          <c:showCatName val="0"/>
          <c:showSerName val="0"/>
          <c:showPercent val="0"/>
          <c:showBubbleSize val="0"/>
        </c:dLbls>
        <c:gapWidth val="100"/>
        <c:axId val="-1339731568"/>
        <c:axId val="-1339523968"/>
      </c:barChart>
      <c:catAx>
        <c:axId val="-1339731568"/>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b="1"/>
                  <a:t>Gap size (s)</a:t>
                </a:r>
              </a:p>
            </c:rich>
          </c:tx>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39523968"/>
        <c:crosses val="autoZero"/>
        <c:auto val="1"/>
        <c:lblAlgn val="ctr"/>
        <c:lblOffset val="100"/>
        <c:noMultiLvlLbl val="0"/>
      </c:catAx>
      <c:valAx>
        <c:axId val="-1339523968"/>
        <c:scaling>
          <c:orientation val="minMax"/>
        </c:scaling>
        <c:delete val="0"/>
        <c:axPos val="l"/>
        <c:title>
          <c:tx>
            <c:rich>
              <a:bodyPr rot="-540000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b="1"/>
                  <a:t>Percentage of each gap size </a:t>
                </a:r>
              </a:p>
            </c:rich>
          </c:tx>
          <c:overlay val="0"/>
          <c:spPr>
            <a:noFill/>
            <a:ln>
              <a:noFill/>
            </a:ln>
            <a:effectLst/>
          </c:spPr>
          <c:txPr>
            <a:bodyPr rot="-540000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39731568"/>
        <c:crosses val="autoZero"/>
        <c:crossBetween val="between"/>
      </c:valAx>
      <c:spPr>
        <a:noFill/>
        <a:ln>
          <a:noFill/>
        </a:ln>
        <a:effectLst/>
      </c:spPr>
    </c:plotArea>
    <c:legend>
      <c:legendPos val="b"/>
      <c:layout>
        <c:manualLayout>
          <c:xMode val="edge"/>
          <c:yMode val="edge"/>
          <c:x val="0.13577755905511801"/>
          <c:y val="6.0763342082239699E-2"/>
          <c:w val="0.62099005477164604"/>
          <c:h val="7.3450714494021602E-2"/>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136482939633"/>
          <c:y val="5.0925925925925902E-2"/>
          <c:w val="0.81330796150481199"/>
          <c:h val="0.79210350595344303"/>
        </c:manualLayout>
      </c:layout>
      <c:barChart>
        <c:barDir val="col"/>
        <c:grouping val="clustered"/>
        <c:varyColors val="0"/>
        <c:ser>
          <c:idx val="0"/>
          <c:order val="0"/>
          <c:tx>
            <c:strRef>
              <c:f>[graphs_1.xlsx]graph_accepted_lag!$C$13</c:f>
              <c:strCache>
                <c:ptCount val="1"/>
                <c:pt idx="0">
                  <c:v>Baseline</c:v>
                </c:pt>
              </c:strCache>
            </c:strRef>
          </c:tx>
          <c:spPr>
            <a:pattFill prst="ltHorz">
              <a:fgClr>
                <a:schemeClr val="tx1"/>
              </a:fgClr>
              <a:bgClr>
                <a:schemeClr val="bg1"/>
              </a:bgClr>
            </a:pattFill>
            <a:ln>
              <a:solidFill>
                <a:schemeClr val="tx1"/>
              </a:solidFill>
            </a:ln>
            <a:effectLst/>
          </c:spPr>
          <c:invertIfNegative val="0"/>
          <c:errBars>
            <c:errBarType val="plus"/>
            <c:errValType val="cust"/>
            <c:noEndCap val="0"/>
            <c:plus>
              <c:numRef>
                <c:f>[graphs_1.xlsx]graph_accepted_lag!$H$14:$H$20</c:f>
                <c:numCache>
                  <c:formatCode>General</c:formatCode>
                  <c:ptCount val="7"/>
                  <c:pt idx="0">
                    <c:v>9.8890554761320207E-2</c:v>
                  </c:pt>
                  <c:pt idx="1">
                    <c:v>0.13412321000521199</c:v>
                  </c:pt>
                  <c:pt idx="2">
                    <c:v>0.14210670139031301</c:v>
                  </c:pt>
                  <c:pt idx="3">
                    <c:v>0.18072188366941</c:v>
                  </c:pt>
                  <c:pt idx="4">
                    <c:v>0.234372987955309</c:v>
                  </c:pt>
                  <c:pt idx="5">
                    <c:v>0.43525986442878301</c:v>
                  </c:pt>
                  <c:pt idx="6">
                    <c:v>0.41362766790712902</c:v>
                  </c:pt>
                </c:numCache>
              </c:numRef>
            </c:plus>
            <c:minus>
              <c:numLit>
                <c:formatCode>General</c:formatCode>
                <c:ptCount val="1"/>
                <c:pt idx="0">
                  <c:v>1</c:v>
                </c:pt>
              </c:numLit>
            </c:minus>
            <c:spPr>
              <a:noFill/>
              <a:ln w="9525" cap="flat" cmpd="sng" algn="ctr">
                <a:solidFill>
                  <a:schemeClr val="tx1"/>
                </a:solidFill>
                <a:round/>
              </a:ln>
              <a:effectLst/>
            </c:spPr>
          </c:errBars>
          <c:cat>
            <c:strRef>
              <c:f>[graphs_1.xlsx]graph_accepted_lag!$A$14:$A$20</c:f>
              <c:strCache>
                <c:ptCount val="7"/>
                <c:pt idx="0">
                  <c:v>2s</c:v>
                </c:pt>
                <c:pt idx="1">
                  <c:v>3s</c:v>
                </c:pt>
                <c:pt idx="2">
                  <c:v>4s</c:v>
                </c:pt>
                <c:pt idx="3">
                  <c:v>5s</c:v>
                </c:pt>
                <c:pt idx="4">
                  <c:v>6s</c:v>
                </c:pt>
                <c:pt idx="5">
                  <c:v>7s</c:v>
                </c:pt>
                <c:pt idx="6">
                  <c:v>8s</c:v>
                </c:pt>
              </c:strCache>
            </c:strRef>
          </c:cat>
          <c:val>
            <c:numRef>
              <c:f>[graphs_1.xlsx]graph_accepted_lag!$C$14:$C$20</c:f>
              <c:numCache>
                <c:formatCode>0.00</c:formatCode>
                <c:ptCount val="7"/>
                <c:pt idx="0">
                  <c:v>1.495393222222658</c:v>
                </c:pt>
                <c:pt idx="1">
                  <c:v>1.6043379354845719</c:v>
                </c:pt>
                <c:pt idx="2">
                  <c:v>2.500049189190233</c:v>
                </c:pt>
                <c:pt idx="3">
                  <c:v>3.5850993333345702</c:v>
                </c:pt>
                <c:pt idx="4">
                  <c:v>4.7936990476204624</c:v>
                </c:pt>
                <c:pt idx="5">
                  <c:v>3.2695936666693228</c:v>
                </c:pt>
                <c:pt idx="6">
                  <c:v>4.5043265000004684</c:v>
                </c:pt>
              </c:numCache>
            </c:numRef>
          </c:val>
          <c:extLst>
            <c:ext xmlns:c16="http://schemas.microsoft.com/office/drawing/2014/chart" uri="{C3380CC4-5D6E-409C-BE32-E72D297353CC}">
              <c16:uniqueId val="{00000000-E7E2-4008-8A07-AD849A399B24}"/>
            </c:ext>
          </c:extLst>
        </c:ser>
        <c:ser>
          <c:idx val="1"/>
          <c:order val="1"/>
          <c:tx>
            <c:strRef>
              <c:f>[graphs_1.xlsx]graph_accepted_lag!$D$13</c:f>
              <c:strCache>
                <c:ptCount val="1"/>
                <c:pt idx="0">
                  <c:v>Conversation</c:v>
                </c:pt>
              </c:strCache>
            </c:strRef>
          </c:tx>
          <c:spPr>
            <a:pattFill prst="dkDnDiag">
              <a:fgClr>
                <a:schemeClr val="tx1"/>
              </a:fgClr>
              <a:bgClr>
                <a:schemeClr val="bg1"/>
              </a:bgClr>
            </a:pattFill>
            <a:ln>
              <a:solidFill>
                <a:schemeClr val="tx1"/>
              </a:solidFill>
            </a:ln>
            <a:effectLst/>
          </c:spPr>
          <c:invertIfNegative val="0"/>
          <c:errBars>
            <c:errBarType val="plus"/>
            <c:errValType val="cust"/>
            <c:noEndCap val="0"/>
            <c:plus>
              <c:numRef>
                <c:f>[graphs_1.xlsx]graph_accepted_lag!$I$14:$I$20</c:f>
                <c:numCache>
                  <c:formatCode>General</c:formatCode>
                  <c:ptCount val="7"/>
                  <c:pt idx="0">
                    <c:v>0.117218299818394</c:v>
                  </c:pt>
                  <c:pt idx="1">
                    <c:v>0.14500107525504999</c:v>
                  </c:pt>
                  <c:pt idx="2">
                    <c:v>0.160356522248668</c:v>
                  </c:pt>
                  <c:pt idx="3">
                    <c:v>0.17406550044533001</c:v>
                  </c:pt>
                  <c:pt idx="4">
                    <c:v>0.21737009657970199</c:v>
                  </c:pt>
                  <c:pt idx="5">
                    <c:v>0.38506813816567198</c:v>
                  </c:pt>
                  <c:pt idx="6">
                    <c:v>0.33947575350194897</c:v>
                  </c:pt>
                </c:numCache>
              </c:numRef>
            </c:plus>
            <c:minus>
              <c:numLit>
                <c:formatCode>General</c:formatCode>
                <c:ptCount val="1"/>
                <c:pt idx="0">
                  <c:v>1</c:v>
                </c:pt>
              </c:numLit>
            </c:minus>
            <c:spPr>
              <a:noFill/>
              <a:ln w="9525" cap="flat" cmpd="sng" algn="ctr">
                <a:solidFill>
                  <a:schemeClr val="tx1"/>
                </a:solidFill>
                <a:round/>
              </a:ln>
              <a:effectLst/>
            </c:spPr>
          </c:errBars>
          <c:cat>
            <c:strRef>
              <c:f>[graphs_1.xlsx]graph_accepted_lag!$A$14:$A$20</c:f>
              <c:strCache>
                <c:ptCount val="7"/>
                <c:pt idx="0">
                  <c:v>2s</c:v>
                </c:pt>
                <c:pt idx="1">
                  <c:v>3s</c:v>
                </c:pt>
                <c:pt idx="2">
                  <c:v>4s</c:v>
                </c:pt>
                <c:pt idx="3">
                  <c:v>5s</c:v>
                </c:pt>
                <c:pt idx="4">
                  <c:v>6s</c:v>
                </c:pt>
                <c:pt idx="5">
                  <c:v>7s</c:v>
                </c:pt>
                <c:pt idx="6">
                  <c:v>8s</c:v>
                </c:pt>
              </c:strCache>
            </c:strRef>
          </c:cat>
          <c:val>
            <c:numRef>
              <c:f>[graphs_1.xlsx]graph_accepted_lag!$D$14:$D$20</c:f>
              <c:numCache>
                <c:formatCode>0.00</c:formatCode>
                <c:ptCount val="7"/>
                <c:pt idx="0">
                  <c:v>1.630317090909613</c:v>
                </c:pt>
                <c:pt idx="1">
                  <c:v>1.7467000000006681</c:v>
                </c:pt>
                <c:pt idx="2">
                  <c:v>1.9187652682940159</c:v>
                </c:pt>
                <c:pt idx="3">
                  <c:v>3.7114336585378722</c:v>
                </c:pt>
                <c:pt idx="4">
                  <c:v>4.4089525333343103</c:v>
                </c:pt>
                <c:pt idx="5">
                  <c:v>5.257762000001855</c:v>
                </c:pt>
                <c:pt idx="6">
                  <c:v>4.329283500002985</c:v>
                </c:pt>
              </c:numCache>
            </c:numRef>
          </c:val>
          <c:extLst>
            <c:ext xmlns:c16="http://schemas.microsoft.com/office/drawing/2014/chart" uri="{C3380CC4-5D6E-409C-BE32-E72D297353CC}">
              <c16:uniqueId val="{00000001-E7E2-4008-8A07-AD849A399B24}"/>
            </c:ext>
          </c:extLst>
        </c:ser>
        <c:ser>
          <c:idx val="2"/>
          <c:order val="2"/>
          <c:tx>
            <c:strRef>
              <c:f>[graphs_1.xlsx]graph_accepted_lag!$E$13</c:f>
              <c:strCache>
                <c:ptCount val="1"/>
                <c:pt idx="0">
                  <c:v>Music player</c:v>
                </c:pt>
              </c:strCache>
            </c:strRef>
          </c:tx>
          <c:spPr>
            <a:pattFill prst="diagBrick">
              <a:fgClr>
                <a:schemeClr val="tx1"/>
              </a:fgClr>
              <a:bgClr>
                <a:schemeClr val="bg1"/>
              </a:bgClr>
            </a:pattFill>
            <a:ln>
              <a:solidFill>
                <a:schemeClr val="tx1"/>
              </a:solidFill>
            </a:ln>
            <a:effectLst/>
          </c:spPr>
          <c:invertIfNegative val="0"/>
          <c:errBars>
            <c:errBarType val="plus"/>
            <c:errValType val="cust"/>
            <c:noEndCap val="0"/>
            <c:plus>
              <c:numRef>
                <c:f>[graphs_1.xlsx]graph_accepted_lag!$J$14:$J$20</c:f>
                <c:numCache>
                  <c:formatCode>General</c:formatCode>
                  <c:ptCount val="7"/>
                  <c:pt idx="0">
                    <c:v>9.7012929857812E-2</c:v>
                  </c:pt>
                  <c:pt idx="1">
                    <c:v>0.14131428839009599</c:v>
                  </c:pt>
                  <c:pt idx="2">
                    <c:v>0.16849892152735399</c:v>
                  </c:pt>
                  <c:pt idx="3">
                    <c:v>0.22680250207073999</c:v>
                  </c:pt>
                  <c:pt idx="4">
                    <c:v>0.27799197136716802</c:v>
                  </c:pt>
                  <c:pt idx="5">
                    <c:v>0.69131263082746697</c:v>
                  </c:pt>
                  <c:pt idx="6">
                    <c:v>5.89373502122576E-2</c:v>
                  </c:pt>
                </c:numCache>
              </c:numRef>
            </c:plus>
            <c:minus>
              <c:numLit>
                <c:formatCode>General</c:formatCode>
                <c:ptCount val="1"/>
                <c:pt idx="0">
                  <c:v>1</c:v>
                </c:pt>
              </c:numLit>
            </c:minus>
            <c:spPr>
              <a:noFill/>
              <a:ln w="9525" cap="flat" cmpd="sng" algn="ctr">
                <a:solidFill>
                  <a:schemeClr val="tx1"/>
                </a:solidFill>
                <a:round/>
              </a:ln>
              <a:effectLst/>
            </c:spPr>
          </c:errBars>
          <c:cat>
            <c:strRef>
              <c:f>[graphs_1.xlsx]graph_accepted_lag!$A$14:$A$20</c:f>
              <c:strCache>
                <c:ptCount val="7"/>
                <c:pt idx="0">
                  <c:v>2s</c:v>
                </c:pt>
                <c:pt idx="1">
                  <c:v>3s</c:v>
                </c:pt>
                <c:pt idx="2">
                  <c:v>4s</c:v>
                </c:pt>
                <c:pt idx="3">
                  <c:v>5s</c:v>
                </c:pt>
                <c:pt idx="4">
                  <c:v>6s</c:v>
                </c:pt>
                <c:pt idx="5">
                  <c:v>7s</c:v>
                </c:pt>
                <c:pt idx="6">
                  <c:v>8s</c:v>
                </c:pt>
              </c:strCache>
            </c:strRef>
          </c:cat>
          <c:val>
            <c:numRef>
              <c:f>[graphs_1.xlsx]graph_accepted_lag!$E$14:$E$20</c:f>
              <c:numCache>
                <c:formatCode>0.00</c:formatCode>
                <c:ptCount val="7"/>
                <c:pt idx="0">
                  <c:v>1.2382215833338821</c:v>
                </c:pt>
                <c:pt idx="1">
                  <c:v>1.6479527500008639</c:v>
                </c:pt>
                <c:pt idx="2">
                  <c:v>2.2024377714297798</c:v>
                </c:pt>
                <c:pt idx="3">
                  <c:v>3.8113570714296712</c:v>
                </c:pt>
                <c:pt idx="4">
                  <c:v>4.9986511666674076</c:v>
                </c:pt>
                <c:pt idx="5">
                  <c:v>4.9000840000017263</c:v>
                </c:pt>
                <c:pt idx="6">
                  <c:v>1.0003000000064619</c:v>
                </c:pt>
              </c:numCache>
            </c:numRef>
          </c:val>
          <c:extLst>
            <c:ext xmlns:c16="http://schemas.microsoft.com/office/drawing/2014/chart" uri="{C3380CC4-5D6E-409C-BE32-E72D297353CC}">
              <c16:uniqueId val="{00000002-E7E2-4008-8A07-AD849A399B24}"/>
            </c:ext>
          </c:extLst>
        </c:ser>
        <c:dLbls>
          <c:showLegendKey val="0"/>
          <c:showVal val="0"/>
          <c:showCatName val="0"/>
          <c:showSerName val="0"/>
          <c:showPercent val="0"/>
          <c:showBubbleSize val="0"/>
        </c:dLbls>
        <c:gapWidth val="100"/>
        <c:axId val="-1339966160"/>
        <c:axId val="-828765776"/>
      </c:barChart>
      <c:catAx>
        <c:axId val="-1339966160"/>
        <c:scaling>
          <c:orientation val="minMax"/>
        </c:scaling>
        <c:delete val="0"/>
        <c:axPos val="b"/>
        <c:title>
          <c:tx>
            <c:rich>
              <a:bodyPr rot="0" vert="horz"/>
              <a:lstStyle/>
              <a:p>
                <a:pPr>
                  <a:defRPr/>
                </a:pPr>
                <a:r>
                  <a:rPr lang="en-IN"/>
                  <a:t>Gap size</a:t>
                </a:r>
              </a:p>
            </c:rich>
          </c:tx>
          <c:layout>
            <c:manualLayout>
              <c:xMode val="edge"/>
              <c:yMode val="edge"/>
              <c:x val="0.49367537469031297"/>
              <c:y val="0.93683213461706405"/>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828765776"/>
        <c:crosses val="autoZero"/>
        <c:auto val="1"/>
        <c:lblAlgn val="ctr"/>
        <c:lblOffset val="100"/>
        <c:noMultiLvlLbl val="0"/>
      </c:catAx>
      <c:valAx>
        <c:axId val="-828765776"/>
        <c:scaling>
          <c:orientation val="minMax"/>
        </c:scaling>
        <c:delete val="0"/>
        <c:axPos val="l"/>
        <c:majorGridlines>
          <c:spPr>
            <a:ln w="9525" cap="flat" cmpd="sng" algn="ctr">
              <a:noFill/>
              <a:round/>
            </a:ln>
            <a:effectLst/>
          </c:spPr>
        </c:majorGridlines>
        <c:title>
          <c:tx>
            <c:rich>
              <a:bodyPr rot="-5400000" vert="horz"/>
              <a:lstStyle/>
              <a:p>
                <a:pPr>
                  <a:defRPr/>
                </a:pPr>
                <a:r>
                  <a:rPr lang="en-IN"/>
                  <a:t>Accepted lag (s)</a:t>
                </a:r>
              </a:p>
            </c:rich>
          </c:tx>
          <c:layout>
            <c:manualLayout>
              <c:xMode val="edge"/>
              <c:yMode val="edge"/>
              <c:x val="4.7961256586134197E-2"/>
              <c:y val="0.222095506323674"/>
            </c:manualLayout>
          </c:layout>
          <c:overlay val="0"/>
          <c:spPr>
            <a:noFill/>
            <a:ln>
              <a:noFill/>
            </a:ln>
            <a:effectLst/>
          </c:spPr>
        </c:title>
        <c:numFmt formatCode="0" sourceLinked="0"/>
        <c:majorTickMark val="none"/>
        <c:minorTickMark val="none"/>
        <c:tickLblPos val="nextTo"/>
        <c:spPr>
          <a:noFill/>
          <a:ln>
            <a:solidFill>
              <a:schemeClr val="tx1"/>
            </a:solidFill>
          </a:ln>
          <a:effectLst/>
        </c:spPr>
        <c:txPr>
          <a:bodyPr rot="-60000000" vert="horz"/>
          <a:lstStyle/>
          <a:p>
            <a:pPr>
              <a:defRPr/>
            </a:pPr>
            <a:endParaRPr lang="en-US"/>
          </a:p>
        </c:txPr>
        <c:crossAx val="-1339966160"/>
        <c:crosses val="autoZero"/>
        <c:crossBetween val="between"/>
      </c:valAx>
      <c:spPr>
        <a:noFill/>
        <a:ln>
          <a:noFill/>
        </a:ln>
        <a:effectLst/>
      </c:spPr>
    </c:plotArea>
    <c:legend>
      <c:legendPos val="b"/>
      <c:layout>
        <c:manualLayout>
          <c:xMode val="edge"/>
          <c:yMode val="edge"/>
          <c:x val="0.147641965315083"/>
          <c:y val="2.6796318722069699E-2"/>
          <c:w val="0.63476077873050196"/>
          <c:h val="0.121003325465929"/>
        </c:manualLayout>
      </c:layout>
      <c:overlay val="0"/>
      <c:spPr>
        <a:noFill/>
        <a:ln>
          <a:noFill/>
        </a:ln>
        <a:effectLst/>
      </c:spPr>
      <c:txPr>
        <a:bodyPr rot="0" vert="horz"/>
        <a:lstStyle/>
        <a:p>
          <a:pPr>
            <a:defRPr sz="600"/>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54825782032699"/>
          <c:y val="5.0925925925925902E-2"/>
          <c:w val="0.81191609885023097"/>
          <c:h val="0.78860525387979297"/>
        </c:manualLayout>
      </c:layout>
      <c:barChart>
        <c:barDir val="col"/>
        <c:grouping val="clustered"/>
        <c:varyColors val="0"/>
        <c:ser>
          <c:idx val="0"/>
          <c:order val="0"/>
          <c:tx>
            <c:strRef>
              <c:f>[graphs_1.xlsx]Completion_time_graph!$D$14</c:f>
              <c:strCache>
                <c:ptCount val="1"/>
                <c:pt idx="0">
                  <c:v>Baseline</c:v>
                </c:pt>
              </c:strCache>
            </c:strRef>
          </c:tx>
          <c:spPr>
            <a:pattFill prst="ltHorz">
              <a:fgClr>
                <a:schemeClr val="tx1"/>
              </a:fgClr>
              <a:bgClr>
                <a:schemeClr val="bg1"/>
              </a:bgClr>
            </a:pattFill>
            <a:ln>
              <a:solidFill>
                <a:schemeClr val="tx1"/>
              </a:solidFill>
            </a:ln>
            <a:effectLst/>
          </c:spPr>
          <c:invertIfNegative val="0"/>
          <c:errBars>
            <c:errBarType val="plus"/>
            <c:errValType val="cust"/>
            <c:noEndCap val="0"/>
            <c:plus>
              <c:numRef>
                <c:f>[graphs_1.xlsx]Completion_time_graph!$I$15:$I$21</c:f>
                <c:numCache>
                  <c:formatCode>General</c:formatCode>
                  <c:ptCount val="7"/>
                  <c:pt idx="0">
                    <c:v>0.109509689475787</c:v>
                  </c:pt>
                  <c:pt idx="1">
                    <c:v>8.9291729266950295E-2</c:v>
                  </c:pt>
                  <c:pt idx="2">
                    <c:v>8.0814973321810701E-2</c:v>
                  </c:pt>
                  <c:pt idx="3">
                    <c:v>7.8479592124404904E-2</c:v>
                  </c:pt>
                  <c:pt idx="4">
                    <c:v>0.11038581980679101</c:v>
                  </c:pt>
                  <c:pt idx="5">
                    <c:v>0.184535898794109</c:v>
                  </c:pt>
                  <c:pt idx="6">
                    <c:v>0.21322384888420101</c:v>
                  </c:pt>
                </c:numCache>
              </c:numRef>
            </c:plus>
            <c:minus>
              <c:numLit>
                <c:formatCode>General</c:formatCode>
                <c:ptCount val="1"/>
                <c:pt idx="0">
                  <c:v>1</c:v>
                </c:pt>
              </c:numLit>
            </c:minus>
            <c:spPr>
              <a:noFill/>
              <a:ln w="9525" cap="flat" cmpd="sng" algn="ctr">
                <a:solidFill>
                  <a:schemeClr val="tx1"/>
                </a:solidFill>
                <a:round/>
              </a:ln>
              <a:effectLst/>
            </c:spPr>
          </c:errBars>
          <c:cat>
            <c:strRef>
              <c:f>[graphs_1.xlsx]Completion_time_graph!$B$15:$B$21</c:f>
              <c:strCache>
                <c:ptCount val="7"/>
                <c:pt idx="0">
                  <c:v>2s</c:v>
                </c:pt>
                <c:pt idx="1">
                  <c:v>3s</c:v>
                </c:pt>
                <c:pt idx="2">
                  <c:v>4s</c:v>
                </c:pt>
                <c:pt idx="3">
                  <c:v>5s</c:v>
                </c:pt>
                <c:pt idx="4">
                  <c:v>6s</c:v>
                </c:pt>
                <c:pt idx="5">
                  <c:v>7s</c:v>
                </c:pt>
                <c:pt idx="6">
                  <c:v>8s</c:v>
                </c:pt>
              </c:strCache>
            </c:strRef>
          </c:cat>
          <c:val>
            <c:numRef>
              <c:f>[graphs_1.xlsx]Completion_time_graph!$D$15:$D$21</c:f>
              <c:numCache>
                <c:formatCode>0.00</c:formatCode>
                <c:ptCount val="7"/>
                <c:pt idx="0">
                  <c:v>1.852314814225043</c:v>
                </c:pt>
                <c:pt idx="1">
                  <c:v>2.2459677418980002</c:v>
                </c:pt>
                <c:pt idx="2">
                  <c:v>2.1864864864459221</c:v>
                </c:pt>
                <c:pt idx="3">
                  <c:v>2.2559829059443679</c:v>
                </c:pt>
                <c:pt idx="4">
                  <c:v>2.2908730158292072</c:v>
                </c:pt>
                <c:pt idx="5">
                  <c:v>2.4388888888461602</c:v>
                </c:pt>
                <c:pt idx="6">
                  <c:v>2.3874999999019608</c:v>
                </c:pt>
              </c:numCache>
            </c:numRef>
          </c:val>
          <c:extLst>
            <c:ext xmlns:c16="http://schemas.microsoft.com/office/drawing/2014/chart" uri="{C3380CC4-5D6E-409C-BE32-E72D297353CC}">
              <c16:uniqueId val="{00000000-FB05-4A2D-86A3-7E39716639D5}"/>
            </c:ext>
          </c:extLst>
        </c:ser>
        <c:ser>
          <c:idx val="1"/>
          <c:order val="1"/>
          <c:tx>
            <c:strRef>
              <c:f>[graphs_1.xlsx]Completion_time_graph!$E$14</c:f>
              <c:strCache>
                <c:ptCount val="1"/>
                <c:pt idx="0">
                  <c:v>Conversation</c:v>
                </c:pt>
              </c:strCache>
            </c:strRef>
          </c:tx>
          <c:spPr>
            <a:pattFill prst="dkDnDiag">
              <a:fgClr>
                <a:schemeClr val="tx1"/>
              </a:fgClr>
              <a:bgClr>
                <a:schemeClr val="bg1"/>
              </a:bgClr>
            </a:pattFill>
            <a:ln>
              <a:solidFill>
                <a:schemeClr val="tx1"/>
              </a:solidFill>
            </a:ln>
            <a:effectLst/>
          </c:spPr>
          <c:invertIfNegative val="0"/>
          <c:errBars>
            <c:errBarType val="plus"/>
            <c:errValType val="cust"/>
            <c:noEndCap val="0"/>
            <c:plus>
              <c:numRef>
                <c:f>[graphs_1.xlsx]Completion_time_graph!$J$15:$J$21</c:f>
                <c:numCache>
                  <c:formatCode>General</c:formatCode>
                  <c:ptCount val="7"/>
                  <c:pt idx="0">
                    <c:v>0.12340475524330199</c:v>
                  </c:pt>
                  <c:pt idx="1">
                    <c:v>0.107053781752531</c:v>
                  </c:pt>
                  <c:pt idx="2">
                    <c:v>7.2129100727373094E-2</c:v>
                  </c:pt>
                  <c:pt idx="3">
                    <c:v>6.1758018137579203E-2</c:v>
                  </c:pt>
                  <c:pt idx="4">
                    <c:v>8.7454926662667104E-2</c:v>
                  </c:pt>
                  <c:pt idx="5">
                    <c:v>0.133897305215328</c:v>
                  </c:pt>
                  <c:pt idx="6">
                    <c:v>0.24553190382845499</c:v>
                  </c:pt>
                </c:numCache>
              </c:numRef>
            </c:plus>
            <c:minus>
              <c:numLit>
                <c:formatCode>General</c:formatCode>
                <c:ptCount val="1"/>
                <c:pt idx="0">
                  <c:v>1</c:v>
                </c:pt>
              </c:numLit>
            </c:minus>
            <c:spPr>
              <a:noFill/>
              <a:ln w="9525" cap="flat" cmpd="sng" algn="ctr">
                <a:solidFill>
                  <a:schemeClr val="tx1"/>
                </a:solidFill>
                <a:round/>
              </a:ln>
              <a:effectLst/>
            </c:spPr>
          </c:errBars>
          <c:cat>
            <c:strRef>
              <c:f>[graphs_1.xlsx]Completion_time_graph!$B$15:$B$21</c:f>
              <c:strCache>
                <c:ptCount val="7"/>
                <c:pt idx="0">
                  <c:v>2s</c:v>
                </c:pt>
                <c:pt idx="1">
                  <c:v>3s</c:v>
                </c:pt>
                <c:pt idx="2">
                  <c:v>4s</c:v>
                </c:pt>
                <c:pt idx="3">
                  <c:v>5s</c:v>
                </c:pt>
                <c:pt idx="4">
                  <c:v>6s</c:v>
                </c:pt>
                <c:pt idx="5">
                  <c:v>7s</c:v>
                </c:pt>
                <c:pt idx="6">
                  <c:v>8s</c:v>
                </c:pt>
              </c:strCache>
            </c:strRef>
          </c:cat>
          <c:val>
            <c:numRef>
              <c:f>[graphs_1.xlsx]Completion_time_graph!$E$15:$E$21</c:f>
              <c:numCache>
                <c:formatCode>0.00</c:formatCode>
                <c:ptCount val="7"/>
                <c:pt idx="0">
                  <c:v>1.8030303030111761</c:v>
                </c:pt>
                <c:pt idx="1">
                  <c:v>1.82791666621381</c:v>
                </c:pt>
                <c:pt idx="2">
                  <c:v>2.0926829267936911</c:v>
                </c:pt>
                <c:pt idx="3">
                  <c:v>2.3524390243538269</c:v>
                </c:pt>
                <c:pt idx="4">
                  <c:v>2.1349999999585378</c:v>
                </c:pt>
                <c:pt idx="5">
                  <c:v>2.1974358973623449</c:v>
                </c:pt>
                <c:pt idx="6">
                  <c:v>2.1104166666168682</c:v>
                </c:pt>
              </c:numCache>
            </c:numRef>
          </c:val>
          <c:extLst>
            <c:ext xmlns:c16="http://schemas.microsoft.com/office/drawing/2014/chart" uri="{C3380CC4-5D6E-409C-BE32-E72D297353CC}">
              <c16:uniqueId val="{00000001-FB05-4A2D-86A3-7E39716639D5}"/>
            </c:ext>
          </c:extLst>
        </c:ser>
        <c:ser>
          <c:idx val="2"/>
          <c:order val="2"/>
          <c:tx>
            <c:strRef>
              <c:f>[graphs_1.xlsx]Completion_time_graph!$F$14</c:f>
              <c:strCache>
                <c:ptCount val="1"/>
                <c:pt idx="0">
                  <c:v>Music player</c:v>
                </c:pt>
              </c:strCache>
            </c:strRef>
          </c:tx>
          <c:spPr>
            <a:pattFill prst="diagBrick">
              <a:fgClr>
                <a:schemeClr val="tx1"/>
              </a:fgClr>
              <a:bgClr>
                <a:schemeClr val="bg1"/>
              </a:bgClr>
            </a:pattFill>
            <a:ln>
              <a:solidFill>
                <a:schemeClr val="tx1"/>
              </a:solidFill>
            </a:ln>
            <a:effectLst/>
          </c:spPr>
          <c:invertIfNegative val="0"/>
          <c:errBars>
            <c:errBarType val="plus"/>
            <c:errValType val="cust"/>
            <c:noEndCap val="0"/>
            <c:plus>
              <c:numRef>
                <c:f>[graphs_1.xlsx]Completion_time_graph!$K$15:$K$21</c:f>
                <c:numCache>
                  <c:formatCode>General</c:formatCode>
                  <c:ptCount val="7"/>
                  <c:pt idx="0">
                    <c:v>0.101199543356219</c:v>
                  </c:pt>
                  <c:pt idx="1">
                    <c:v>9.7863235503228604E-2</c:v>
                  </c:pt>
                  <c:pt idx="2">
                    <c:v>0.105704356964418</c:v>
                  </c:pt>
                  <c:pt idx="3">
                    <c:v>6.4375286982993496E-2</c:v>
                  </c:pt>
                  <c:pt idx="4">
                    <c:v>9.4895267894343494E-2</c:v>
                  </c:pt>
                  <c:pt idx="5">
                    <c:v>0.26362194099692898</c:v>
                  </c:pt>
                  <c:pt idx="6">
                    <c:v>0.31230549501084698</c:v>
                  </c:pt>
                </c:numCache>
              </c:numRef>
            </c:plus>
            <c:minus>
              <c:numLit>
                <c:formatCode>General</c:formatCode>
                <c:ptCount val="1"/>
                <c:pt idx="0">
                  <c:v>1</c:v>
                </c:pt>
              </c:numLit>
            </c:minus>
            <c:spPr>
              <a:noFill/>
              <a:ln w="9525" cap="flat" cmpd="sng" algn="ctr">
                <a:solidFill>
                  <a:schemeClr val="tx1"/>
                </a:solidFill>
                <a:round/>
              </a:ln>
              <a:effectLst/>
            </c:spPr>
          </c:errBars>
          <c:cat>
            <c:strRef>
              <c:f>[graphs_1.xlsx]Completion_time_graph!$B$15:$B$21</c:f>
              <c:strCache>
                <c:ptCount val="7"/>
                <c:pt idx="0">
                  <c:v>2s</c:v>
                </c:pt>
                <c:pt idx="1">
                  <c:v>3s</c:v>
                </c:pt>
                <c:pt idx="2">
                  <c:v>4s</c:v>
                </c:pt>
                <c:pt idx="3">
                  <c:v>5s</c:v>
                </c:pt>
                <c:pt idx="4">
                  <c:v>6s</c:v>
                </c:pt>
                <c:pt idx="5">
                  <c:v>7s</c:v>
                </c:pt>
                <c:pt idx="6">
                  <c:v>8s</c:v>
                </c:pt>
              </c:strCache>
            </c:strRef>
          </c:cat>
          <c:val>
            <c:numRef>
              <c:f>[graphs_1.xlsx]Completion_time_graph!$F$15:$F$21</c:f>
              <c:numCache>
                <c:formatCode>0.00</c:formatCode>
                <c:ptCount val="7"/>
                <c:pt idx="0">
                  <c:v>2.0673611110826151</c:v>
                </c:pt>
                <c:pt idx="1">
                  <c:v>2.0223958333043179</c:v>
                </c:pt>
                <c:pt idx="2">
                  <c:v>2.0847619044294818</c:v>
                </c:pt>
                <c:pt idx="3">
                  <c:v>2.469345238057286</c:v>
                </c:pt>
                <c:pt idx="4">
                  <c:v>2.4791666660967988</c:v>
                </c:pt>
                <c:pt idx="5">
                  <c:v>2.558333333293529</c:v>
                </c:pt>
                <c:pt idx="6">
                  <c:v>2.008333333306064</c:v>
                </c:pt>
              </c:numCache>
            </c:numRef>
          </c:val>
          <c:extLst>
            <c:ext xmlns:c16="http://schemas.microsoft.com/office/drawing/2014/chart" uri="{C3380CC4-5D6E-409C-BE32-E72D297353CC}">
              <c16:uniqueId val="{00000002-FB05-4A2D-86A3-7E39716639D5}"/>
            </c:ext>
          </c:extLst>
        </c:ser>
        <c:dLbls>
          <c:showLegendKey val="0"/>
          <c:showVal val="0"/>
          <c:showCatName val="0"/>
          <c:showSerName val="0"/>
          <c:showPercent val="0"/>
          <c:showBubbleSize val="0"/>
        </c:dLbls>
        <c:gapWidth val="100"/>
        <c:axId val="-1339547104"/>
        <c:axId val="-1339460048"/>
      </c:barChart>
      <c:catAx>
        <c:axId val="-1339547104"/>
        <c:scaling>
          <c:orientation val="minMax"/>
        </c:scaling>
        <c:delete val="0"/>
        <c:axPos val="b"/>
        <c:title>
          <c:tx>
            <c:rich>
              <a:bodyPr rot="0" vert="horz"/>
              <a:lstStyle/>
              <a:p>
                <a:pPr>
                  <a:defRPr/>
                </a:pPr>
                <a:r>
                  <a:rPr lang="en-IN"/>
                  <a:t>Gap size</a:t>
                </a:r>
              </a:p>
            </c:rich>
          </c:tx>
          <c:layout>
            <c:manualLayout>
              <c:xMode val="edge"/>
              <c:yMode val="edge"/>
              <c:x val="0.48516129166259903"/>
              <c:y val="0.93364284333049496"/>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1339460048"/>
        <c:crosses val="autoZero"/>
        <c:auto val="1"/>
        <c:lblAlgn val="ctr"/>
        <c:lblOffset val="100"/>
        <c:noMultiLvlLbl val="0"/>
      </c:catAx>
      <c:valAx>
        <c:axId val="-1339460048"/>
        <c:scaling>
          <c:orientation val="minMax"/>
        </c:scaling>
        <c:delete val="0"/>
        <c:axPos val="l"/>
        <c:majorGridlines>
          <c:spPr>
            <a:ln w="9525" cap="flat" cmpd="sng" algn="ctr">
              <a:noFill/>
              <a:round/>
            </a:ln>
            <a:effectLst/>
          </c:spPr>
        </c:majorGridlines>
        <c:title>
          <c:tx>
            <c:rich>
              <a:bodyPr rot="-5400000" vert="horz"/>
              <a:lstStyle/>
              <a:p>
                <a:pPr algn="ctr" rtl="0">
                  <a:defRPr/>
                </a:pPr>
                <a:r>
                  <a:rPr lang="en-IN"/>
                  <a:t>Completion time (s)</a:t>
                </a:r>
              </a:p>
            </c:rich>
          </c:tx>
          <c:layout>
            <c:manualLayout>
              <c:xMode val="edge"/>
              <c:yMode val="edge"/>
              <c:x val="1.83516252581916E-2"/>
              <c:y val="0.18218975573850599"/>
            </c:manualLayout>
          </c:layout>
          <c:overlay val="0"/>
          <c:spPr>
            <a:noFill/>
            <a:ln>
              <a:noFill/>
            </a:ln>
            <a:effectLst/>
          </c:spPr>
        </c:title>
        <c:numFmt formatCode="0.0" sourceLinked="0"/>
        <c:majorTickMark val="none"/>
        <c:minorTickMark val="none"/>
        <c:tickLblPos val="nextTo"/>
        <c:spPr>
          <a:noFill/>
          <a:ln>
            <a:solidFill>
              <a:schemeClr val="tx1"/>
            </a:solidFill>
          </a:ln>
          <a:effectLst/>
        </c:spPr>
        <c:txPr>
          <a:bodyPr rot="-60000000" vert="horz"/>
          <a:lstStyle/>
          <a:p>
            <a:pPr>
              <a:defRPr/>
            </a:pPr>
            <a:endParaRPr lang="en-US"/>
          </a:p>
        </c:txPr>
        <c:crossAx val="-1339547104"/>
        <c:crosses val="autoZero"/>
        <c:crossBetween val="between"/>
      </c:valAx>
      <c:spPr>
        <a:noFill/>
        <a:ln>
          <a:noFill/>
        </a:ln>
        <a:effectLst/>
      </c:spPr>
    </c:plotArea>
    <c:legend>
      <c:legendPos val="b"/>
      <c:layout>
        <c:manualLayout>
          <c:xMode val="edge"/>
          <c:yMode val="edge"/>
          <c:x val="0.16117347966692799"/>
          <c:y val="5.40823769282179E-2"/>
          <c:w val="0.58439528348325998"/>
          <c:h val="7.3468536165852999E-2"/>
        </c:manualLayout>
      </c:layout>
      <c:overlay val="0"/>
      <c:spPr>
        <a:noFill/>
        <a:ln>
          <a:noFill/>
        </a:ln>
        <a:effectLst/>
      </c:spPr>
      <c:txPr>
        <a:bodyPr rot="0" vert="horz"/>
        <a:lstStyle/>
        <a:p>
          <a:pPr>
            <a:defRPr sz="600"/>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3315</Words>
  <Characters>18900</Characters>
  <Application>Microsoft Office Word</Application>
  <DocSecurity>0</DocSecurity>
  <Lines>157</Lines>
  <Paragraphs>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Statistical modelling approach:   The Generalised Estimating Equation (GEE) meth</vt:lpstr>
    </vt:vector>
  </TitlesOfParts>
  <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Gedney, Amanda</dc:creator>
  <cp:keywords/>
  <dc:description/>
  <cp:lastModifiedBy>Gedney, Amanda</cp:lastModifiedBy>
  <cp:revision>1</cp:revision>
  <dcterms:created xsi:type="dcterms:W3CDTF">2019-03-20T19:33:00Z</dcterms:created>
  <dcterms:modified xsi:type="dcterms:W3CDTF">2019-03-20T19:35:00Z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Amanda.Gedney@informa.com</vt:lpwstr>
  </property>
  <property fmtid="{D5CDD505-2E9C-101B-9397-08002B2CF9AE}" pid="5" name="MSIP_Label_181c070e-054b-4d1c-ba4c-fc70b099192e_SetDate">
    <vt:lpwstr>2019-03-20T19:35:44.0520843Z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Amanda.Gedney@informa.com</vt:lpwstr>
  </property>
  <property fmtid="{D5CDD505-2E9C-101B-9397-08002B2CF9AE}" pid="12" name="MSIP_Label_2bbab825-a111-45e4-86a1-18cee0005896_SetDate">
    <vt:lpwstr>2019-03-20T19:35:44.0520843Z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