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8" w:rsidRDefault="00D53D38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Supplementary Material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t>ORIGINAL ARTICLE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t xml:space="preserve">Role of Genomic Biomarkers in Increasing Fetal Hemoglobin Levels Upon Hydroxyurea Therapy and in </w:t>
      </w:r>
      <w:r>
        <w:rPr>
          <w:rFonts w:ascii="Symbol" w:hAnsi="Symbol"/>
        </w:rPr>
        <w:t></w:t>
      </w:r>
      <w:r>
        <w:t>-Thalassemia Intermedia: A Validation Cohort Study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t>Alexandra Kolliopoulou</w:t>
      </w:r>
      <w:r>
        <w:rPr>
          <w:vertAlign w:val="superscript"/>
        </w:rPr>
        <w:t>a</w:t>
      </w:r>
      <w:r>
        <w:t>, Stavroula Siamoglou</w:t>
      </w:r>
      <w:r>
        <w:rPr>
          <w:vertAlign w:val="superscript"/>
        </w:rPr>
        <w:t>b</w:t>
      </w:r>
      <w:r>
        <w:t>, Anne John</w:t>
      </w:r>
      <w:r>
        <w:rPr>
          <w:vertAlign w:val="superscript"/>
        </w:rPr>
        <w:t>c</w:t>
      </w:r>
      <w:r>
        <w:t>, Argyro Sgourou</w:t>
      </w:r>
      <w:r>
        <w:rPr>
          <w:vertAlign w:val="superscript"/>
        </w:rPr>
        <w:t>d</w:t>
      </w:r>
      <w:r>
        <w:t>, Alexandra Kourakli</w:t>
      </w:r>
      <w:r>
        <w:rPr>
          <w:vertAlign w:val="superscript"/>
        </w:rPr>
        <w:t>e</w:t>
      </w:r>
      <w:r>
        <w:t>, Argiris Symeonidis</w:t>
      </w:r>
      <w:r>
        <w:rPr>
          <w:vertAlign w:val="superscript"/>
        </w:rPr>
        <w:t>f</w:t>
      </w:r>
      <w:r>
        <w:t>, Efthymia Vlachaki</w:t>
      </w:r>
      <w:r>
        <w:rPr>
          <w:vertAlign w:val="superscript"/>
        </w:rPr>
        <w:t>g</w:t>
      </w:r>
      <w:r>
        <w:t>, Panagiota Chalkia</w:t>
      </w:r>
      <w:r>
        <w:rPr>
          <w:vertAlign w:val="superscript"/>
        </w:rPr>
        <w:t>h</w:t>
      </w:r>
      <w:r>
        <w:t>, Stamatia Theodoridou</w:t>
      </w:r>
      <w:r>
        <w:rPr>
          <w:vertAlign w:val="superscript"/>
        </w:rPr>
        <w:t>g</w:t>
      </w:r>
      <w:r>
        <w:t>, Bassam R. Ali</w:t>
      </w:r>
      <w:r>
        <w:rPr>
          <w:vertAlign w:val="superscript"/>
        </w:rPr>
        <w:t>c</w:t>
      </w:r>
      <w:r>
        <w:t>, Theodora Katsila</w:t>
      </w:r>
      <w:r>
        <w:rPr>
          <w:vertAlign w:val="superscript"/>
        </w:rPr>
        <w:t>b</w:t>
      </w:r>
      <w:r>
        <w:t>, George P. Patrinos</w:t>
      </w:r>
      <w:r>
        <w:rPr>
          <w:vertAlign w:val="superscript"/>
        </w:rPr>
        <w:t>b,c,i</w:t>
      </w:r>
      <w:r>
        <w:t xml:space="preserve"> and Adamantia Papachatzopoulou</w:t>
      </w:r>
      <w:r>
        <w:rPr>
          <w:vertAlign w:val="superscript"/>
        </w:rPr>
        <w:t>a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rPr>
          <w:vertAlign w:val="superscript"/>
        </w:rPr>
        <w:t>a</w:t>
      </w:r>
      <w:r>
        <w:t xml:space="preserve">University of Patras, Medical Faculty, Laboratory of General Biology, Patras, Greece; </w:t>
      </w:r>
      <w:r>
        <w:rPr>
          <w:vertAlign w:val="superscript"/>
        </w:rPr>
        <w:t>b</w:t>
      </w:r>
      <w:r>
        <w:t xml:space="preserve">School of Health Sciences, Department of Pharmacy, Laboratory of Pharmacogenomics and Individualized Therapy, University of Patras, Greece; </w:t>
      </w:r>
      <w:r>
        <w:rPr>
          <w:vertAlign w:val="superscript"/>
        </w:rPr>
        <w:t>c</w:t>
      </w:r>
      <w:r>
        <w:t xml:space="preserve">United Arab Emirates University, College of Medicine and Health Sciences, Department of Pathology, Al-Ain, United Arab Emirates; </w:t>
      </w:r>
      <w:r>
        <w:rPr>
          <w:vertAlign w:val="superscript"/>
        </w:rPr>
        <w:t>d</w:t>
      </w:r>
      <w:r>
        <w:t xml:space="preserve">School of Science and Technology, Biology Laboratory, Hellenic Open University, Patras, Greece; </w:t>
      </w:r>
      <w:r>
        <w:rPr>
          <w:vertAlign w:val="superscript"/>
        </w:rPr>
        <w:t>e</w:t>
      </w:r>
      <w:r>
        <w:t xml:space="preserve">Thalassemia and Hemoglobinopathies Unit, Hematology Division, Department of Internal Medicine, University of Patras Medical School, University Hospital, Patras, Greece; </w:t>
      </w:r>
      <w:r>
        <w:rPr>
          <w:vertAlign w:val="superscript"/>
        </w:rPr>
        <w:t>f</w:t>
      </w:r>
      <w:r>
        <w:t xml:space="preserve">Medical School, Hematology Division, Department of Internal Medicine, University of Patras, University of Patras, Greece; </w:t>
      </w:r>
      <w:r>
        <w:rPr>
          <w:vertAlign w:val="superscript"/>
        </w:rPr>
        <w:t>g</w:t>
      </w:r>
      <w:r>
        <w:t xml:space="preserve">Adults Thalassemia Unit, ‘Hippokration’ General Hospital of Thessaloniki, Greece; </w:t>
      </w:r>
      <w:r>
        <w:rPr>
          <w:vertAlign w:val="superscript"/>
        </w:rPr>
        <w:t>h</w:t>
      </w:r>
      <w:r>
        <w:t xml:space="preserve">Thalassemia and Sickle Cell Unit, University General Hospital of Thessaloniki, Greece; </w:t>
      </w:r>
      <w:r>
        <w:rPr>
          <w:vertAlign w:val="superscript"/>
        </w:rPr>
        <w:t>i</w:t>
      </w:r>
      <w:r>
        <w:t>United Arab Emirates University, Zayed Center of Health Sciences, Al-Ain, United Arab Emirates</w:t>
      </w:r>
    </w:p>
    <w:p w:rsidR="00D53D38" w:rsidRDefault="00D53D38">
      <w:pPr>
        <w:widowControl w:val="0"/>
      </w:pPr>
    </w:p>
    <w:p w:rsidR="00D53D38" w:rsidRDefault="00D53D38">
      <w:pPr>
        <w:widowControl w:val="0"/>
        <w:sectPr w:rsidR="00D53D38">
          <w:pgSz w:w="12240" w:h="15840"/>
          <w:pgMar w:top="1440" w:right="1440" w:bottom="1440" w:left="1440" w:header="720" w:footer="720" w:gutter="0"/>
          <w:cols w:space="720"/>
        </w:sectPr>
      </w:pPr>
    </w:p>
    <w:p w:rsidR="00D53D38" w:rsidRDefault="00D53D38">
      <w:pPr>
        <w:widowControl w:val="0"/>
      </w:pPr>
      <w:r>
        <w:t xml:space="preserve">Supplementary Table 1. </w:t>
      </w:r>
      <w:r>
        <w:rPr>
          <w:i/>
        </w:rPr>
        <w:t>p</w:t>
      </w:r>
      <w:r>
        <w:t xml:space="preserve"> Values resulting from Fisher’s exact test for the previous studies (Tafrali </w:t>
      </w:r>
      <w:r>
        <w:rPr>
          <w:i/>
        </w:rPr>
        <w:t>et al.</w:t>
      </w:r>
      <w:r>
        <w:t xml:space="preserve"> [1], Gravia </w:t>
      </w:r>
      <w:r>
        <w:rPr>
          <w:i/>
        </w:rPr>
        <w:t>et al.</w:t>
      </w:r>
      <w:r>
        <w:t xml:space="preserve"> [2], Chalikiopoulou </w:t>
      </w:r>
      <w:r>
        <w:rPr>
          <w:i/>
        </w:rPr>
        <w:t>et al.</w:t>
      </w:r>
      <w:r>
        <w:t xml:space="preserve"> [3]; personal communications from I. Papantoni </w:t>
      </w:r>
      <w:r>
        <w:rPr>
          <w:i/>
        </w:rPr>
        <w:t>et al.</w:t>
      </w:r>
      <w:r>
        <w:t xml:space="preserve">, A. Stratopoulos </w:t>
      </w:r>
      <w:r>
        <w:rPr>
          <w:i/>
        </w:rPr>
        <w:t>et al.</w:t>
      </w:r>
      <w:r>
        <w:t xml:space="preserve">, A. Skarpathioti </w:t>
      </w:r>
      <w:r>
        <w:rPr>
          <w:i/>
        </w:rPr>
        <w:t>et al.</w:t>
      </w:r>
      <w:r>
        <w:t xml:space="preserve">, Janaury, 2019), performed for patients of Greek descent, the present study and the total results, taking into account both studies. (Bold </w:t>
      </w:r>
      <w:r>
        <w:rPr>
          <w:i/>
        </w:rPr>
        <w:t>p</w:t>
      </w:r>
      <w:r>
        <w:t xml:space="preserve"> values are statistically significant.)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360"/>
        <w:gridCol w:w="1350"/>
        <w:gridCol w:w="720"/>
        <w:gridCol w:w="1051"/>
        <w:gridCol w:w="2459"/>
        <w:gridCol w:w="1350"/>
        <w:gridCol w:w="2070"/>
        <w:gridCol w:w="1440"/>
        <w:gridCol w:w="216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FLT1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ARG2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MAP3K5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NOS2A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PDE7B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NOS1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ASS1</w:t>
            </w:r>
          </w:p>
        </w:tc>
      </w:tr>
    </w:tbl>
    <w:p w:rsidR="00D53D38" w:rsidRDefault="00D53D38">
      <w:pPr>
        <w:widowControl w:val="0"/>
        <w:rPr>
          <w:vanish/>
          <w:sz w:val="16"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360"/>
        <w:gridCol w:w="1350"/>
        <w:gridCol w:w="720"/>
        <w:gridCol w:w="720"/>
        <w:gridCol w:w="720"/>
        <w:gridCol w:w="720"/>
        <w:gridCol w:w="720"/>
        <w:gridCol w:w="630"/>
        <w:gridCol w:w="720"/>
        <w:gridCol w:w="630"/>
        <w:gridCol w:w="630"/>
        <w:gridCol w:w="720"/>
        <w:gridCol w:w="720"/>
        <w:gridCol w:w="720"/>
        <w:gridCol w:w="720"/>
        <w:gridCol w:w="720"/>
        <w:gridCol w:w="720"/>
        <w:gridCol w:w="72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rs2182008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rs10483801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rs10483802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STR 5'&gt;3'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rs9376230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rs9483947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rs944725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rs1137933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rs2327669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rs11154849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rs9376273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rs816361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rs7977109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rs10793902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rs7860909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rs10901080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C-TDT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0.039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0.873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0.955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0.736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C-NTDT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0.039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0.599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0.396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0.897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1.00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TDT-NTDT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0.054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0.454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0.426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0.581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0.352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0.779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Rs-NRs 20.0%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0.233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0.026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0.591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0.748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0.261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0.663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&lt;0.001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0.737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0.046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&lt;0.0001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Rs-NRs 3-fold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0.645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0.799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0.643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0.896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0.474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0.683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0.345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0.72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C-TDT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0.162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0.382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0.337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1.00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C-NTDT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0.659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0.809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0.129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0.756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TDT-NTDT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0.689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0.785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0.232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0.333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0.794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0.382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0.543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0.758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0.999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Rs-NRs 20.0%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0.547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0.579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0.557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0.152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0.151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0.879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0.256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0.905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0.905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0.374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Rs-NRs 3-fold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0.639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0.094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0.397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0.749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0.875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0.254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0.866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0.098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0.75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C-TDT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0.342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0.497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0.984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0.278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0.641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0.173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0.071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0.373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C-NTDT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0.288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0.176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0.575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0.788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0.238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0.684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0.655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0.868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0.735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TDT-NTDT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0.189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0.093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0.519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0.577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0.568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0.932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0.832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0.391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Rs-NRs 20.0%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0.559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0.177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0.768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0.619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0.157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0.681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0.096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Rs-NRs 3-fold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0.774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0.296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0.367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0.297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0.015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0.573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0.433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0.624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0.699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0.143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0.788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0.411</w:t>
            </w: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 xml:space="preserve">NF: not feasible (according to the requirements of the statistical software use); C-TDT: control-transfusion-dependent </w:t>
      </w:r>
      <w:r>
        <w:rPr>
          <w:rFonts w:ascii="Symbol" w:hAnsi="Symbol"/>
        </w:rPr>
        <w:t></w:t>
      </w:r>
      <w:r>
        <w:t>-thalassemia (</w:t>
      </w:r>
      <w:r>
        <w:rPr>
          <w:rFonts w:ascii="Symbol" w:hAnsi="Symbol"/>
        </w:rPr>
        <w:t></w:t>
      </w:r>
      <w:r>
        <w:t xml:space="preserve">-thal); C-NTDT: control-non transfusion-dependent </w:t>
      </w:r>
      <w:r>
        <w:rPr>
          <w:rFonts w:ascii="Symbol" w:hAnsi="Symbol"/>
        </w:rPr>
        <w:t></w:t>
      </w:r>
      <w:r>
        <w:t xml:space="preserve">-thal; TDT-NTDT: transfusion-dependent </w:t>
      </w:r>
      <w:r>
        <w:rPr>
          <w:rFonts w:ascii="Symbol" w:hAnsi="Symbol"/>
        </w:rPr>
        <w:t></w:t>
      </w:r>
      <w:r>
        <w:t xml:space="preserve">-thal-non transfusion-dependent </w:t>
      </w:r>
      <w:r>
        <w:rPr>
          <w:rFonts w:ascii="Symbol" w:hAnsi="Symbol"/>
        </w:rPr>
        <w:t></w:t>
      </w:r>
      <w:r>
        <w:t>-thal; Rs: responders; NRs: non responders (also see text for criteria).</w:t>
      </w:r>
    </w:p>
    <w:p w:rsidR="00D53D38" w:rsidRDefault="00D53D38">
      <w:pPr>
        <w:widowControl w:val="0"/>
      </w:pPr>
      <w:r>
        <w:rPr>
          <w:vertAlign w:val="superscript"/>
        </w:rPr>
        <w:t>a</w:t>
      </w:r>
      <w:r>
        <w:t>STR-5'-GCGCG-3'.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rPr>
          <w:vertAlign w:val="superscript"/>
        </w:rPr>
        <w:t>b</w:t>
      </w:r>
      <w:r>
        <w:rPr>
          <w:i/>
        </w:rPr>
        <w:t>p</w:t>
      </w:r>
      <w:r>
        <w:t xml:space="preserve"> Value of previous studies.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rPr>
          <w:vertAlign w:val="superscript"/>
        </w:rPr>
        <w:t>c</w:t>
      </w:r>
      <w:r>
        <w:rPr>
          <w:i/>
        </w:rPr>
        <w:t>p</w:t>
      </w:r>
      <w:r>
        <w:t xml:space="preserve"> Value of present study.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rPr>
          <w:vertAlign w:val="superscript"/>
        </w:rPr>
        <w:t>d</w:t>
      </w:r>
      <w:r>
        <w:rPr>
          <w:i/>
        </w:rPr>
        <w:t>p</w:t>
      </w:r>
      <w:r>
        <w:t xml:space="preserve"> Value of both studies.</w:t>
      </w:r>
    </w:p>
    <w:p w:rsidR="00D53D38" w:rsidRDefault="00D53D38">
      <w:pPr>
        <w:widowControl w:val="0"/>
      </w:pPr>
    </w:p>
    <w:p w:rsidR="00D53D38" w:rsidRDefault="00D53D38">
      <w:pPr>
        <w:widowControl w:val="0"/>
        <w:sectPr w:rsidR="00D53D38">
          <w:type w:val="continuous"/>
          <w:pgSz w:w="15840" w:h="12240" w:orient="landscape"/>
          <w:pgMar w:top="1920" w:right="1440" w:bottom="1920" w:left="1440" w:header="1440" w:footer="1440" w:gutter="0"/>
          <w:cols w:space="720"/>
        </w:sectPr>
      </w:pPr>
    </w:p>
    <w:p w:rsidR="00D53D38" w:rsidRDefault="00D53D38">
      <w:pPr>
        <w:widowControl w:val="0"/>
      </w:pPr>
      <w:r>
        <w:t xml:space="preserve">Supplementary Table 2. </w:t>
      </w:r>
      <w:r>
        <w:rPr>
          <w:i/>
        </w:rPr>
        <w:t>HBB</w:t>
      </w:r>
      <w:r>
        <w:t xml:space="preserve"> pathogenic variants of non transfusion-dependent </w:t>
      </w:r>
      <w:r>
        <w:rPr>
          <w:rFonts w:ascii="Symbol" w:hAnsi="Symbol"/>
        </w:rPr>
        <w:t></w:t>
      </w:r>
      <w:r>
        <w:t>-thalassemia patients and their Hb F levels (%).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260"/>
        <w:gridCol w:w="1051"/>
        <w:gridCol w:w="704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Case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Hb F (%)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 xml:space="preserve"> Pathogenic Variants</w:t>
            </w:r>
          </w:p>
        </w:tc>
      </w:tr>
    </w:tbl>
    <w:p w:rsidR="00D53D38" w:rsidRDefault="00D53D38">
      <w:pPr>
        <w:widowControl w:val="0"/>
        <w:rPr>
          <w:vanish/>
          <w:sz w:val="20"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260"/>
        <w:gridCol w:w="1051"/>
        <w:gridCol w:w="3330"/>
        <w:gridCol w:w="371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Conventional Nomenclature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HGVS Nomenclature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HB_TH_2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IVS-I-6(T&gt;C)/IVS-I-6(T&gt;C)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c.92+6T&gt;C/</w:t>
            </w: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c.92+6T&gt;C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HB_TH_3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IVS-I-6(T&gt;C)/IVS-I-6(T&gt;C)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c.92+6T&gt;C/</w:t>
            </w: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c.92+6T&gt;C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HB_TH_5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IVS-I-110(G&gt;A)/IVS-I-110(G&gt;A)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c.93-21G&gt;A/</w:t>
            </w: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c.93-2G&gt;A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HB_TH_6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51.4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FSC 6(–A)/IVS-I-6(T&gt;C)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c.20delA/</w:t>
            </w: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c.92+6T&gt;C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HB_TH_8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20.9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IVS-I-6(T&gt;C)/IVS-I-6(T&gt;C)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c.92+6T&gt;C/</w:t>
            </w: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c.92+6T&gt;C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HB_TH_34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51.4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IVS-I-110(G&gt;A)/codon 39(C&gt;T)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c.93-21G&gt;A/</w:t>
            </w: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HB_TH_57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IVS-I-6(G&gt;A)/IVS-I-110(G&gt;A)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c.92+5G&gt;A/</w:t>
            </w:r>
            <w:r>
              <w:rPr>
                <w:i/>
                <w:sz w:val="20"/>
              </w:rPr>
              <w:t>HBB</w:t>
            </w:r>
            <w:r>
              <w:rPr>
                <w:sz w:val="20"/>
              </w:rPr>
              <w:t>: c.93-21G&gt;A</w:t>
            </w: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NA: not available; FSC: frameshift codon.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br w:type="page"/>
        <w:t xml:space="preserve">Supplementary Table 3. Hb F levels (%) before and after hydroxyurea administration in relation to </w:t>
      </w:r>
      <w:r>
        <w:rPr>
          <w:i/>
        </w:rPr>
        <w:t>HBB</w:t>
      </w:r>
      <w:r>
        <w:t xml:space="preserve"> pathogenic variants of sickle cell disease and </w:t>
      </w:r>
      <w:r>
        <w:rPr>
          <w:rFonts w:ascii="Symbol" w:hAnsi="Symbol"/>
        </w:rPr>
        <w:t></w:t>
      </w:r>
      <w:r>
        <w:t>-thalassemia compound heterozygotes.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440"/>
        <w:gridCol w:w="1141"/>
        <w:gridCol w:w="1080"/>
        <w:gridCol w:w="569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Case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Hb F (%)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Hb F (%)</w:t>
            </w:r>
          </w:p>
        </w:tc>
        <w:tc>
          <w:tcPr>
            <w:tcW w:w="5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 xml:space="preserve"> Pathogenic Variants</w:t>
            </w:r>
          </w:p>
        </w:tc>
      </w:tr>
    </w:tbl>
    <w:p w:rsidR="00D53D38" w:rsidRDefault="00D53D38">
      <w:pPr>
        <w:widowControl w:val="0"/>
        <w:rPr>
          <w:vanish/>
          <w:sz w:val="18"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440"/>
        <w:gridCol w:w="1141"/>
        <w:gridCol w:w="1080"/>
        <w:gridCol w:w="2610"/>
        <w:gridCol w:w="308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(before HU)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(after HU)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Conventional Nomenclature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HGVS Nomenclature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15.5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32.6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9.5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16.4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HB_TH_HU_11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17.5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6(A&gt;T)/IVS-I-110G&gt;A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HB_TH_HU_12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3.6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7.8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HB_TH_HU_13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8.2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HB_TH_HU_14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6(A&gt;T)/IVS-II-6(G&gt;A)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c315+1G&gt;A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24.9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32.9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1.2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9.9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9.5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27.4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6(A&gt;T)/IVS-II-745(C&gt;G)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c.316-106C&gt;G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8.7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12.8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1.1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5.9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HB_TH_HU_26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9.0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6.7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HB_TH_HU_28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1.9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13.4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HB_TH_HU_29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9.6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30.8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HB_TH_HU_31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38.2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HB_TH_HU_33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5.7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7.1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6(A&gt;T)/IVS-II-745(C&gt;G)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c.316-106C&gt;G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HB_TH_HU_35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28.4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c.92+1G&gt;A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HB_TH_HU_37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6.9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19.8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HB_TH_HU_40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4.8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4.0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HB_TH_HU_46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3.2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7.6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6(A&gt;T)/IVS-II-745(C&gt;G)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c.316-106C&gt;G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HB_TH_HU_47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27.7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HB_TH_HU_50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3.9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20.8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HB_TH_HU_52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28.3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6(A&gt;T)/FSC 8(–AA)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c.25_26delAA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HB_TH_HU_54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55.1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6(A&gt;T)/IVS-II-745(C&gt;G)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c.316-106C&gt;G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26.6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HB_TH_HU_57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2.9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9.3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HB_TH_HU_58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9.1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HB_TH_HU_59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7.0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HB_TH_HU_61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2.1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9.8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HB_TH_HU_62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2.2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HB_TH_HU_65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5.3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c.92+1G&gt;A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HB_TH_HU_66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2.2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6(A&gt;T)/IVS-I-6(T&gt;C)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c.92+6T&gt;C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HB_TH_HU_67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17.5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HB_TH_HU_69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7.2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8.3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HB_TH_HU_70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8.3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c.92+1G&gt;A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HB_TH_HU_72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20.2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6.9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HB_TH_HU_73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9.6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6(A&gt;T)/codon 39(C&gt;T)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c.118C&gt;T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HB_TH_HU_74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6.6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14.9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6(A&gt;T)/IVS-I-110(G&gt;A)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c.93-21G&gt;A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HB_TH_HU_76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28.7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6(A&gt;T)/IVS-I-5(G&gt;A)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c.92+5G&gt;A</w:t>
            </w: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AS004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3.8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23.1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codon 6(A&gt;T)/IVS-I-1(G&gt;A)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rPr>
                <w:sz w:val="18"/>
              </w:rPr>
            </w:pP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c.20A&gt;T/</w:t>
            </w:r>
            <w:r>
              <w:rPr>
                <w:i/>
                <w:sz w:val="18"/>
              </w:rPr>
              <w:t>HBB</w:t>
            </w:r>
            <w:r>
              <w:rPr>
                <w:sz w:val="18"/>
              </w:rPr>
              <w:t>: c.92+1G&gt;A</w:t>
            </w: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FSC: frameshift codon.</w:t>
      </w:r>
    </w:p>
    <w:p w:rsidR="00D53D38" w:rsidRDefault="00D53D38">
      <w:pPr>
        <w:widowControl w:val="0"/>
      </w:pPr>
      <w:r>
        <w:br w:type="page"/>
        <w:t xml:space="preserve">Supplementary Table 4. Genotype frequencies of </w:t>
      </w:r>
      <w:r>
        <w:rPr>
          <w:rFonts w:ascii="Symbol" w:hAnsi="Symbol"/>
        </w:rPr>
        <w:t></w:t>
      </w:r>
      <w:r>
        <w:t xml:space="preserve"> type hemoglobinopathies patients and healthy individuals of Hellenic origin for the rs10483801 and rs10483802 </w:t>
      </w:r>
      <w:r>
        <w:rPr>
          <w:i/>
        </w:rPr>
        <w:t>ARG2</w:t>
      </w:r>
      <w:r>
        <w:t xml:space="preserve"> gene variants. Data were analyzed separately for the present study and collectively, also including the patients from a previous study (personal communication from A. Stratopoulos </w:t>
      </w:r>
      <w:r>
        <w:rPr>
          <w:i/>
        </w:rPr>
        <w:t>et al.</w:t>
      </w:r>
      <w:r>
        <w:t>, January, 2019).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01"/>
        <w:gridCol w:w="785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rPr>
                <w:i/>
              </w:rPr>
              <w:t>ARG2</w:t>
            </w:r>
            <w:r>
              <w:t xml:space="preserve"> Gene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Genotype Frequencies (%)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01"/>
        <w:gridCol w:w="3780"/>
        <w:gridCol w:w="407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Present Study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Previous and Present Study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01"/>
        <w:gridCol w:w="1260"/>
        <w:gridCol w:w="1129"/>
        <w:gridCol w:w="1390"/>
        <w:gridCol w:w="1284"/>
        <w:gridCol w:w="1326"/>
        <w:gridCol w:w="1470"/>
        <w:gridCol w:w="1500"/>
        <w:gridCol w:w="1260"/>
        <w:gridCol w:w="1129"/>
        <w:gridCol w:w="1390"/>
        <w:gridCol w:w="1284"/>
        <w:gridCol w:w="1326"/>
        <w:gridCol w:w="135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rs10483801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CA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CA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61.0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31.0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55.0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62.0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9.0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71.0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35.0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59.0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68.0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75.0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25.0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64.0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36.0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50.0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54.0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62.0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52.0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rs10483802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TC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TC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17.0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89.0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32.0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21.0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63.0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41.0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91.0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9.0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73.0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TDT: transfusion-dependent thalassemia; NTDT: non transfusion-dependent thalassemia; Rs: responders; NRs: non responders.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br w:type="page"/>
        <w:t xml:space="preserve">Supplementary Table 5. Genotype frequencies of </w:t>
      </w:r>
      <w:r>
        <w:rPr>
          <w:rFonts w:ascii="Symbol" w:hAnsi="Symbol"/>
        </w:rPr>
        <w:t></w:t>
      </w:r>
      <w:r>
        <w:t xml:space="preserve"> type hemoglobinopathies patients and healthy individuals of Hellenic origin for the rs7860909 and rs10793902 and rs10901080 </w:t>
      </w:r>
      <w:r>
        <w:rPr>
          <w:i/>
        </w:rPr>
        <w:t>ASS1</w:t>
      </w:r>
      <w:r>
        <w:t xml:space="preserve"> gene variants. Data were analyzed separately for the present study and collectively, also including the patients from a previous study by Chalikiopoulou </w:t>
      </w:r>
      <w:r>
        <w:rPr>
          <w:i/>
        </w:rPr>
        <w:t>et al.</w:t>
      </w:r>
      <w:r>
        <w:t xml:space="preserve"> [3].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</w:p>
    <w:tbl>
      <w:tblPr>
        <w:tblW w:w="0" w:type="auto"/>
        <w:tblInd w:w="9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01"/>
        <w:gridCol w:w="785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rPr>
                <w:i/>
              </w:rPr>
              <w:t>ASS1</w:t>
            </w:r>
            <w:r>
              <w:t xml:space="preserve"> Gene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Genotype Frequencies (%)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9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01"/>
        <w:gridCol w:w="3780"/>
        <w:gridCol w:w="407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Present Study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Previous and Present Study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9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01"/>
        <w:gridCol w:w="1260"/>
        <w:gridCol w:w="1129"/>
        <w:gridCol w:w="1390"/>
        <w:gridCol w:w="1284"/>
        <w:gridCol w:w="1326"/>
        <w:gridCol w:w="1470"/>
        <w:gridCol w:w="1500"/>
        <w:gridCol w:w="1260"/>
        <w:gridCol w:w="1129"/>
        <w:gridCol w:w="1390"/>
        <w:gridCol w:w="1284"/>
        <w:gridCol w:w="1326"/>
        <w:gridCol w:w="135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rs7860909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AG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AG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21.0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21.0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52.0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12.0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rs10793902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CT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CT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31.0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44.0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5.0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34.0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41.0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12.0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12.0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25.0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rs10901080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GT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GT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5.0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25.0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38.0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1.0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44.0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75.0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19.0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36.0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2.0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82.0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TDT: transfusion-dependent thalassemia; NTDT: non transfusion-dependent thalassemia; Rs: responders; NRs: non responders.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br w:type="page"/>
        <w:t xml:space="preserve">Supplementary Table 6. Genotype frequencies of </w:t>
      </w:r>
      <w:r>
        <w:rPr>
          <w:rFonts w:ascii="Symbol" w:hAnsi="Symbol"/>
        </w:rPr>
        <w:t></w:t>
      </w:r>
      <w:r>
        <w:t xml:space="preserve"> type hemoglobinopathies patients and healthy individuals of Hellenic origin for the rs9376230 and rs9483947 and promoter short tandem repeat </w:t>
      </w:r>
      <w:r>
        <w:rPr>
          <w:i/>
        </w:rPr>
        <w:t>MAP3K5</w:t>
      </w:r>
      <w:r>
        <w:t xml:space="preserve"> gene variants. Data were analyzed separately for the present study and collectively, also including the patients from a previous study by Tafrali </w:t>
      </w:r>
      <w:r>
        <w:rPr>
          <w:i/>
        </w:rPr>
        <w:t>et al.</w:t>
      </w:r>
      <w:r>
        <w:t xml:space="preserve"> [1].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771"/>
        <w:gridCol w:w="767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rPr>
                <w:i/>
              </w:rPr>
              <w:t xml:space="preserve">MAP3K5 </w:t>
            </w:r>
            <w:r>
              <w:t>Gene</w:t>
            </w:r>
          </w:p>
        </w:tc>
        <w:tc>
          <w:tcPr>
            <w:tcW w:w="7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Genotype Frequencies (%)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771"/>
        <w:gridCol w:w="3600"/>
        <w:gridCol w:w="407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Present Study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Previous and Present Study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771"/>
        <w:gridCol w:w="1080"/>
        <w:gridCol w:w="1129"/>
        <w:gridCol w:w="1390"/>
        <w:gridCol w:w="1284"/>
        <w:gridCol w:w="1326"/>
        <w:gridCol w:w="1470"/>
        <w:gridCol w:w="1680"/>
        <w:gridCol w:w="1080"/>
        <w:gridCol w:w="1129"/>
        <w:gridCol w:w="1390"/>
        <w:gridCol w:w="1284"/>
        <w:gridCol w:w="1326"/>
        <w:gridCol w:w="135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rs9376230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CA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CA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71.0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67.0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35.0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32.0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25.0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25.0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41.0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41.0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24.0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rs9483947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CT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CT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51.0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41.0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12.0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71.0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67.0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65.0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12.0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34.0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60.0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64.0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STR (5'&gt;-3')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4/4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5/5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4/5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4/4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5/5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4/5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49.0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12.0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5.0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44.0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71.0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52.0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63.0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TDT: transfusion-dependent thalassemia; NTDT: non transfusion-dependent thalassemia; Rs: responders; NRs: non responders; STR (5'&gt;3'): short tandem repeat (5'-GCGCG-3').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br w:type="page"/>
        <w:t xml:space="preserve">Supplementary Table 7. Genotype frequencies of </w:t>
      </w:r>
      <w:r>
        <w:rPr>
          <w:rFonts w:ascii="Symbol" w:hAnsi="Symbol"/>
        </w:rPr>
        <w:t></w:t>
      </w:r>
      <w:r>
        <w:t xml:space="preserve"> type hemoglobinopathies patients and healthy individuals of Hellenic origin for the rs23277669, rs9376173 and rs11154849 </w:t>
      </w:r>
      <w:r>
        <w:rPr>
          <w:i/>
        </w:rPr>
        <w:t>PDE7B</w:t>
      </w:r>
      <w:r>
        <w:t xml:space="preserve"> gene variants. Data were analyzed separately for the present study and collectively, also including the patients from a previous study by Tafrali </w:t>
      </w:r>
      <w:r>
        <w:rPr>
          <w:i/>
        </w:rPr>
        <w:t>et al.</w:t>
      </w:r>
      <w:r>
        <w:t xml:space="preserve"> [1].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785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rPr>
                <w:i/>
              </w:rPr>
              <w:t xml:space="preserve">PDE7B </w:t>
            </w:r>
            <w:r>
              <w:t>Gene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Genotype Frequencies (%)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3780"/>
        <w:gridCol w:w="407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Present Study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Previous and Present Study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1260"/>
        <w:gridCol w:w="1129"/>
        <w:gridCol w:w="1390"/>
        <w:gridCol w:w="1284"/>
        <w:gridCol w:w="1326"/>
        <w:gridCol w:w="1470"/>
        <w:gridCol w:w="1500"/>
        <w:gridCol w:w="1260"/>
        <w:gridCol w:w="1129"/>
        <w:gridCol w:w="1390"/>
        <w:gridCol w:w="1284"/>
        <w:gridCol w:w="1326"/>
        <w:gridCol w:w="135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rs2327669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CG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CG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38.0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46.0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61.0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52.0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32.0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52.0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38.0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rs9376173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AC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AC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78.0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21.0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79.0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2.0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84.0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85.0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61.0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25.0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19.0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66.0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rs11154849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CT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CT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71.0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36.0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25.0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44.0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TDT: transfusion-dependent thalassemia; NTDT: non transfusion-dependent thalassemia; Rs: responders; NRs: non responders.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br w:type="page"/>
        <w:t xml:space="preserve">Supplementary Table 8. Genotype frequencies of </w:t>
      </w:r>
      <w:r>
        <w:rPr>
          <w:rFonts w:ascii="Symbol" w:hAnsi="Symbol"/>
        </w:rPr>
        <w:t></w:t>
      </w:r>
      <w:r>
        <w:t xml:space="preserve"> type hemoglobinopathies patients and healthy individuals of Hellenic origin for the rs944725 and rs1137933 </w:t>
      </w:r>
      <w:r>
        <w:rPr>
          <w:i/>
        </w:rPr>
        <w:t>NOS24</w:t>
      </w:r>
      <w:r>
        <w:t xml:space="preserve"> gene variants. Data were analyzed separately for the present study and collectively, also including the patients from a previous study by Chalikiopoulou </w:t>
      </w:r>
      <w:r>
        <w:rPr>
          <w:i/>
        </w:rPr>
        <w:t>et al.</w:t>
      </w:r>
      <w:r>
        <w:t xml:space="preserve"> [3].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785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rPr>
                <w:i/>
              </w:rPr>
              <w:t>NOS24</w:t>
            </w:r>
            <w:r>
              <w:t xml:space="preserve"> Gene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Genotype Frequencies (%)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3780"/>
        <w:gridCol w:w="407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Present Study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Previous and Present Study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1260"/>
        <w:gridCol w:w="1129"/>
        <w:gridCol w:w="1390"/>
        <w:gridCol w:w="1284"/>
        <w:gridCol w:w="1326"/>
        <w:gridCol w:w="1470"/>
        <w:gridCol w:w="1500"/>
        <w:gridCol w:w="1260"/>
        <w:gridCol w:w="1129"/>
        <w:gridCol w:w="1390"/>
        <w:gridCol w:w="1284"/>
        <w:gridCol w:w="1326"/>
        <w:gridCol w:w="135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rs944725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CT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TT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CT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32.0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12.0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32.0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52.0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32.0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rs1137933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GA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GA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35.0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71.0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71.0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41.0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38.0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35.0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TDT: transfusion-dependent thalassemia; NTDT: non transfusion-dependent thalassemia; Rs: responders; NRs: non responders.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br w:type="page"/>
        <w:t xml:space="preserve">Supplementary Table 9. Genotype frequencies of </w:t>
      </w:r>
      <w:r>
        <w:rPr>
          <w:rFonts w:ascii="Symbol" w:hAnsi="Symbol"/>
        </w:rPr>
        <w:t></w:t>
      </w:r>
      <w:r>
        <w:t xml:space="preserve"> type hemoglobinopathies patients and healthy individuals of Hellenic origin for the rs8166361 and rs7977109 </w:t>
      </w:r>
      <w:r>
        <w:rPr>
          <w:i/>
        </w:rPr>
        <w:t>NOS1</w:t>
      </w:r>
      <w:r>
        <w:t xml:space="preserve"> gene variants. Data were analyzed separately for the present study and collectively, also including the patients from a previous study by Chalikiopoulou </w:t>
      </w:r>
      <w:r>
        <w:rPr>
          <w:i/>
        </w:rPr>
        <w:t>et al.</w:t>
      </w:r>
      <w:r>
        <w:t xml:space="preserve"> [3]; (personal communication from A. Stratopoulos </w:t>
      </w:r>
      <w:r>
        <w:rPr>
          <w:i/>
        </w:rPr>
        <w:t>et al.</w:t>
      </w:r>
      <w:r>
        <w:t>, January, 2019).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785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rPr>
                <w:i/>
              </w:rPr>
              <w:t>NOS1</w:t>
            </w:r>
            <w:r>
              <w:t xml:space="preserve"> Gene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Genotype Frequencies (%)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3780"/>
        <w:gridCol w:w="407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Present Study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Previous and Present Study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1260"/>
        <w:gridCol w:w="1129"/>
        <w:gridCol w:w="1390"/>
        <w:gridCol w:w="1284"/>
        <w:gridCol w:w="1326"/>
        <w:gridCol w:w="1470"/>
        <w:gridCol w:w="1500"/>
        <w:gridCol w:w="1260"/>
        <w:gridCol w:w="1129"/>
        <w:gridCol w:w="1390"/>
        <w:gridCol w:w="1284"/>
        <w:gridCol w:w="1326"/>
        <w:gridCol w:w="135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rs8166361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CG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CC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CG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45.0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41.0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rs7977109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GA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GA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96.0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69.0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97.0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54.0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88.0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83.0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64.0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24.0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62.0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75.0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18.0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75.0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20.0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13.0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67.0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TDT: transfusion-dependent thalassemia; NTDT: non transfusion-dependent thalassemia; Rs: responders; NRs: non responders.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br w:type="page"/>
        <w:t xml:space="preserve">Supplementary Table 10. Genotype frequencies of </w:t>
      </w:r>
      <w:r>
        <w:rPr>
          <w:rFonts w:ascii="Symbol" w:hAnsi="Symbol"/>
        </w:rPr>
        <w:t></w:t>
      </w:r>
      <w:r>
        <w:t xml:space="preserve"> type hemoglobinopathies patients and healthy individuals of Hellenic origin for the rs2182008 </w:t>
      </w:r>
      <w:r>
        <w:rPr>
          <w:i/>
        </w:rPr>
        <w:t>FLT1</w:t>
      </w:r>
      <w:r>
        <w:t xml:space="preserve"> gene variants. Data were analyzed separately for the present study and collectively, also including the patients from a previous study (personal communication from I. Papantoni </w:t>
      </w:r>
      <w:r>
        <w:rPr>
          <w:i/>
        </w:rPr>
        <w:t>et al.</w:t>
      </w:r>
      <w:r>
        <w:t>, January, 2019).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785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rPr>
                <w:i/>
              </w:rPr>
              <w:t>FLT1</w:t>
            </w:r>
            <w:r>
              <w:t xml:space="preserve"> Gene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Genotype Frequencies (%)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3780"/>
        <w:gridCol w:w="407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Present Study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Previous and Present Study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1260"/>
        <w:gridCol w:w="1129"/>
        <w:gridCol w:w="1390"/>
        <w:gridCol w:w="1284"/>
        <w:gridCol w:w="1326"/>
        <w:gridCol w:w="1470"/>
        <w:gridCol w:w="1500"/>
        <w:gridCol w:w="1260"/>
        <w:gridCol w:w="1129"/>
        <w:gridCol w:w="1390"/>
        <w:gridCol w:w="1284"/>
        <w:gridCol w:w="1326"/>
        <w:gridCol w:w="135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rs2182008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AG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AG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99.0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1.0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97.0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97.0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89.0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TDT: transfusion-dependent thalassemia; NTDT: non transfusion-dependent thalassemia; Rs: responders; NRs: non responders.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br w:type="page"/>
        <w:t xml:space="preserve">Supplementary Table 11. Genotype frequencies of </w:t>
      </w:r>
      <w:r>
        <w:rPr>
          <w:rFonts w:ascii="Symbol" w:hAnsi="Symbol"/>
        </w:rPr>
        <w:t></w:t>
      </w:r>
      <w:r>
        <w:t xml:space="preserve"> type hemoglobinopathies patients and healthy individuals of Hellenic origin for the rs826729 </w:t>
      </w:r>
      <w:r>
        <w:rPr>
          <w:i/>
        </w:rPr>
        <w:t>TOX</w:t>
      </w:r>
      <w:r>
        <w:t xml:space="preserve"> gene variants. Data were analyzed separately for the present study and collectively, also including the patients from a previous study (personal communication from A. Skarpathioti </w:t>
      </w:r>
      <w:r>
        <w:rPr>
          <w:i/>
        </w:rPr>
        <w:t>et al.</w:t>
      </w:r>
      <w:r>
        <w:t>, January, 2019).</w:t>
      </w:r>
    </w:p>
    <w:p w:rsidR="00D53D38" w:rsidRDefault="00D53D38">
      <w:pPr>
        <w:widowControl w:val="0"/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785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rPr>
                <w:i/>
              </w:rPr>
              <w:t>TOX</w:t>
            </w:r>
            <w:r>
              <w:t xml:space="preserve"> Gene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Genotype Frequencies (%)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3780"/>
        <w:gridCol w:w="4079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Present Study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Previous and Present Study</w:t>
            </w:r>
          </w:p>
        </w:tc>
      </w:tr>
    </w:tbl>
    <w:p w:rsidR="00D53D38" w:rsidRDefault="00D53D38">
      <w:pPr>
        <w:widowControl w:val="0"/>
        <w:rPr>
          <w:vanish/>
        </w:rPr>
      </w:pPr>
    </w:p>
    <w:tbl>
      <w:tblPr>
        <w:tblW w:w="0" w:type="auto"/>
        <w:tblInd w:w="2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1591"/>
        <w:gridCol w:w="1260"/>
        <w:gridCol w:w="1129"/>
        <w:gridCol w:w="1390"/>
        <w:gridCol w:w="1284"/>
        <w:gridCol w:w="1326"/>
        <w:gridCol w:w="1470"/>
        <w:gridCol w:w="1500"/>
        <w:gridCol w:w="1260"/>
        <w:gridCol w:w="1129"/>
        <w:gridCol w:w="1390"/>
        <w:gridCol w:w="1284"/>
        <w:gridCol w:w="1326"/>
        <w:gridCol w:w="1350"/>
      </w:tblGrid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rs826729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GA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GG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AA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000000" w:fill="auto"/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GA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Control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52.0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5.0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64.0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31.0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54.0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36.0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10.0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32.0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NTDT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12.0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71.0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18.0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6.0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47.0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(20.0%)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40.0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56.0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33.0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0.0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58.0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42.0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4.0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48.0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  <w:tr w:rsidR="00D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</w:pPr>
            <w:r>
              <w:t>NRs 3-fold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 xml:space="preserve">  7.0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50.0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43.0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11.0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55.0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53D38" w:rsidRDefault="00D53D38">
            <w:pPr>
              <w:widowControl w:val="0"/>
              <w:jc w:val="center"/>
            </w:pPr>
            <w:r>
              <w:t>34.0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D53D38" w:rsidRDefault="00D53D38">
            <w:pPr>
              <w:widowControl w:val="0"/>
            </w:pPr>
          </w:p>
        </w:tc>
      </w:tr>
    </w:tbl>
    <w:p w:rsidR="00D53D38" w:rsidRDefault="00D53D38">
      <w:pPr>
        <w:widowControl w:val="0"/>
      </w:pPr>
    </w:p>
    <w:p w:rsidR="00D53D38" w:rsidRDefault="00D53D38">
      <w:pPr>
        <w:widowControl w:val="0"/>
      </w:pPr>
      <w:r>
        <w:t>TDT: transfusion-dependent thalassemia; NTDT: non transfusion-dependent thalassemia; Rs: responders; NRs: non responders.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</w:p>
    <w:p w:rsidR="00D53D38" w:rsidRDefault="00D53D38">
      <w:pPr>
        <w:widowControl w:val="0"/>
      </w:pPr>
    </w:p>
    <w:p w:rsidR="00D53D38" w:rsidRDefault="00D53D38">
      <w:pPr>
        <w:widowControl w:val="0"/>
      </w:pP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t>References</w:t>
      </w:r>
    </w:p>
    <w:p w:rsidR="00D53D38" w:rsidRDefault="00D53D38">
      <w:pPr>
        <w:widowControl w:val="0"/>
      </w:pPr>
    </w:p>
    <w:p w:rsidR="00D53D38" w:rsidRDefault="00D53D38">
      <w:pPr>
        <w:widowControl w:val="0"/>
      </w:pPr>
      <w:r>
        <w:t>[1]</w:t>
      </w:r>
      <w:r>
        <w:tab/>
        <w:t xml:space="preserve">Tafrali C, Paizi A, Borg J, </w:t>
      </w:r>
      <w:r>
        <w:rPr>
          <w:i/>
        </w:rPr>
        <w:t>et al.</w:t>
      </w:r>
      <w:r>
        <w:t xml:space="preserve"> Genomic variation in the </w:t>
      </w:r>
      <w:r>
        <w:rPr>
          <w:i/>
        </w:rPr>
        <w:t>MAP3K5</w:t>
      </w:r>
      <w:r>
        <w:t xml:space="preserve"> gene is associated with </w:t>
      </w:r>
      <w:r>
        <w:rPr>
          <w:rFonts w:ascii="Symbol" w:hAnsi="Symbol"/>
        </w:rPr>
        <w:t></w:t>
      </w:r>
      <w:r>
        <w:t>-thalassemia disease severity and hydroxyurea treatment efficacy. Pharmacogenomics. 2013;14(5):469–483.</w:t>
      </w:r>
    </w:p>
    <w:p w:rsidR="00D53D38" w:rsidRDefault="00D53D38">
      <w:pPr>
        <w:widowControl w:val="0"/>
      </w:pPr>
      <w:r>
        <w:t>[2]</w:t>
      </w:r>
      <w:r>
        <w:tab/>
        <w:t xml:space="preserve">Gravia A, Chondrou V, Sgourou A, </w:t>
      </w:r>
      <w:r>
        <w:rPr>
          <w:i/>
        </w:rPr>
        <w:t>et al.</w:t>
      </w:r>
      <w:r>
        <w:t xml:space="preserve"> Individualizing fetal hemoglobin augmenting therapy for </w:t>
      </w:r>
      <w:r>
        <w:rPr>
          <w:rFonts w:ascii="Symbol" w:hAnsi="Symbol"/>
        </w:rPr>
        <w:t></w:t>
      </w:r>
      <w:r>
        <w:t>-type hemoglobinopathies patients. Pharmacogenomics. 2014;15(10):1355–1364.</w:t>
      </w:r>
    </w:p>
    <w:p w:rsidR="00D53D38" w:rsidRDefault="00D53D38">
      <w:pPr>
        <w:widowControl w:val="0"/>
      </w:pPr>
      <w:r>
        <w:t>[3]</w:t>
      </w:r>
      <w:r>
        <w:tab/>
        <w:t xml:space="preserve">Chalikiopoulou C, Tavianatou AG, Sgourou A, </w:t>
      </w:r>
      <w:r>
        <w:rPr>
          <w:i/>
        </w:rPr>
        <w:t>et al.</w:t>
      </w:r>
      <w:r>
        <w:t xml:space="preserve"> Genomic variants in the </w:t>
      </w:r>
      <w:r>
        <w:rPr>
          <w:i/>
        </w:rPr>
        <w:t>ASS1</w:t>
      </w:r>
      <w:r>
        <w:t xml:space="preserve"> gene, involved in the nitric oxide biosynthesis and signaling pathway, predict hydroxyurea efficacy in compound sickle cell disease/</w:t>
      </w:r>
      <w:r>
        <w:rPr>
          <w:rFonts w:ascii="Symbol" w:hAnsi="Symbol"/>
        </w:rPr>
        <w:t></w:t>
      </w:r>
      <w:r>
        <w:t>-thalassemia patients. Pharmacogenomics. 2016;17(4):393–403.</w:t>
      </w:r>
    </w:p>
    <w:sectPr w:rsidR="00D53D38" w:rsidSect="00D53D38">
      <w:type w:val="continuous"/>
      <w:pgSz w:w="12240" w:h="15840"/>
      <w:pgMar w:top="1920" w:right="1440" w:bottom="1920" w:left="135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D38"/>
    <w:rsid w:val="00D5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basedOn w:val="Normal"/>
    <w:pPr>
      <w:widowControl w:val="0"/>
    </w:pPr>
    <w:rPr>
      <w:sz w:val="18"/>
    </w:rPr>
  </w:style>
  <w:style w:type="character" w:customStyle="1" w:styleId="BalloonText1">
    <w:name w:val="Balloon Text1"/>
    <w:basedOn w:val="DefaultParagraphFont"/>
    <w:rPr>
      <w:rFonts w:cs="Times New Roman"/>
      <w:sz w:val="18"/>
    </w:rPr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NoList1">
    <w:name w:val="No List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