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514" w:rsidRPr="006D1378" w:rsidRDefault="004C5514" w:rsidP="004C5514">
      <w:r>
        <w:t>Supplementary material 4</w:t>
      </w:r>
      <w:r w:rsidRPr="006D1378">
        <w:t>: Physical health conditions associated with PTSD</w:t>
      </w:r>
    </w:p>
    <w:tbl>
      <w:tblPr>
        <w:tblW w:w="201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4779"/>
        <w:gridCol w:w="1391"/>
        <w:gridCol w:w="1327"/>
        <w:gridCol w:w="1759"/>
        <w:gridCol w:w="2268"/>
        <w:gridCol w:w="1701"/>
        <w:gridCol w:w="1701"/>
        <w:gridCol w:w="1559"/>
        <w:gridCol w:w="1985"/>
      </w:tblGrid>
      <w:tr w:rsidR="004C5514" w:rsidRPr="00A42E20" w:rsidTr="00DF65BA">
        <w:trPr>
          <w:trHeight w:val="1000"/>
          <w:tblHeader/>
        </w:trPr>
        <w:tc>
          <w:tcPr>
            <w:tcW w:w="1654" w:type="dxa"/>
            <w:vMerge w:val="restart"/>
            <w:shd w:val="clear" w:color="auto" w:fill="auto"/>
            <w:vAlign w:val="center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Author</w:t>
            </w:r>
          </w:p>
        </w:tc>
        <w:tc>
          <w:tcPr>
            <w:tcW w:w="4779" w:type="dxa"/>
            <w:vMerge w:val="restart"/>
            <w:shd w:val="clear" w:color="auto" w:fill="auto"/>
            <w:vAlign w:val="center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Measure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PTSD+ sample</w:t>
            </w:r>
          </w:p>
        </w:tc>
        <w:tc>
          <w:tcPr>
            <w:tcW w:w="1327" w:type="dxa"/>
            <w:vMerge w:val="restart"/>
            <w:shd w:val="clear" w:color="auto" w:fill="auto"/>
            <w:vAlign w:val="center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PTSD- sample</w:t>
            </w:r>
          </w:p>
        </w:tc>
        <w:tc>
          <w:tcPr>
            <w:tcW w:w="5728" w:type="dxa"/>
            <w:gridSpan w:val="3"/>
            <w:shd w:val="clear" w:color="auto" w:fill="auto"/>
            <w:vAlign w:val="center"/>
          </w:tcPr>
          <w:p w:rsidR="004C5514" w:rsidRPr="00A42E20" w:rsidRDefault="004C5514" w:rsidP="00DF6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Univariable A</w:t>
            </w:r>
            <w:r w:rsidRPr="00A42E2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nalysis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4C5514" w:rsidRPr="00A42E20" w:rsidRDefault="004C5514" w:rsidP="00DF65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Multivariable analysis</w:t>
            </w:r>
          </w:p>
        </w:tc>
      </w:tr>
      <w:tr w:rsidR="004C5514" w:rsidRPr="00A42E20" w:rsidTr="00DF65BA">
        <w:trPr>
          <w:trHeight w:val="1000"/>
          <w:tblHeader/>
        </w:trPr>
        <w:tc>
          <w:tcPr>
            <w:tcW w:w="1654" w:type="dxa"/>
            <w:vMerge/>
            <w:shd w:val="clear" w:color="auto" w:fill="auto"/>
            <w:vAlign w:val="center"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779" w:type="dxa"/>
            <w:vMerge/>
            <w:shd w:val="clear" w:color="auto" w:fill="auto"/>
            <w:vAlign w:val="center"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27" w:type="dxa"/>
            <w:vMerge/>
            <w:shd w:val="clear" w:color="auto" w:fill="auto"/>
            <w:vAlign w:val="center"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59" w:type="dxa"/>
            <w:shd w:val="clear" w:color="auto" w:fill="auto"/>
            <w:vAlign w:val="bottom"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Positive association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Negative Association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Non-significant association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Positive association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Negative Association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Non-significant association</w:t>
            </w:r>
          </w:p>
        </w:tc>
      </w:tr>
      <w:tr w:rsidR="004C5514" w:rsidRPr="00A42E20" w:rsidTr="00DF65BA">
        <w:trPr>
          <w:trHeight w:val="300"/>
        </w:trPr>
        <w:tc>
          <w:tcPr>
            <w:tcW w:w="20124" w:type="dxa"/>
            <w:gridSpan w:val="10"/>
            <w:shd w:val="clear" w:color="auto" w:fill="auto"/>
            <w:noWrap/>
            <w:vAlign w:val="bottom"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Cardiovascular outcomes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Frayne et al., 2011</w:t>
            </w:r>
          </w:p>
        </w:tc>
        <w:tc>
          <w:tcPr>
            <w:tcW w:w="4779" w:type="dxa"/>
            <w:shd w:val="clear" w:color="auto" w:fill="auto"/>
            <w:vAlign w:val="center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Acute Myocardial infraction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AOR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1.21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95%CI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0.55, 2.65)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Frayne et al., 2011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Aortic, peripheral and visceral artery aneurysms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AOR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1.57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95%CI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0.78, 3.17)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Frayne et al., 2011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Aortic, peripheral arterial embolism or thrombosis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AOR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8.17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95%CI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1.80, 37.05)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Frayne et al., 2011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Cardiac arrest, ventricular fibrillation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AOR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3.</w:t>
            </w:r>
            <w:r w:rsidRPr="00D9142B">
              <w:rPr>
                <w:rFonts w:ascii="Calibri" w:eastAsia="Times New Roman" w:hAnsi="Calibri" w:cs="Times New Roman"/>
                <w:color w:val="000000"/>
                <w:lang w:eastAsia="en-GB"/>
              </w:rPr>
              <w:t>16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95%CI</w:t>
            </w:r>
            <w:proofErr w:type="spellEnd"/>
            <w:r w:rsidRPr="00D914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0.78</w:t>
            </w: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, 12.73)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Frayne et al., 2011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Cardiac dysrhythmias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AOR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1.36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95%CI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1.21, 1.52)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Frayne et al., 2011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Circulatory diseases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30.10%</w:t>
            </w: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27.90%</w:t>
            </w: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AOR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1.29 (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95%CI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1.25-1.34)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Nazarian et al., 2012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Circulatory diseases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22.80%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22.40%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Circulatory disease as function of PTSD 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AOR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1.10 (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95%CI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1.03-1.16)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Nazarian et al., 2012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Circulatory diseases (chest pain)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6.40%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7.00%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Frayne et al., 2011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Conduction disorders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AOR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1.17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95%CI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0.83, 1.65)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Frayne et al., 2011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Congestive heart failure; non-hypertensive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AOR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8 </w:t>
            </w:r>
            <w:r w:rsidRPr="0045570F">
              <w:rPr>
                <w:rFonts w:ascii="Calibri" w:eastAsia="Times New Roman" w:hAnsi="Calibri" w:cs="Times New Roman"/>
                <w:color w:val="000000"/>
                <w:lang w:eastAsia="en-GB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95%CI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0.75, 1.86)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Frayne et al., 2011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Coronary Atherosclerosis, other heart disease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AOR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1.35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95%CI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1.16, 1.57)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Cohen et al., 2009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Dyslipidemia</w:t>
            </w:r>
            <w:proofErr w:type="spellEnd"/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45570F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570F">
              <w:rPr>
                <w:rFonts w:ascii="Calibri" w:eastAsia="Times New Roman" w:hAnsi="Calibri" w:cs="Times New Roman"/>
                <w:color w:val="000000"/>
                <w:lang w:eastAsia="en-GB"/>
              </w:rPr>
              <w:t>21.00%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45570F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5570F">
              <w:rPr>
                <w:rFonts w:ascii="Calibri" w:eastAsia="Times New Roman" w:hAnsi="Calibri" w:cs="Times New Roman"/>
                <w:color w:val="000000"/>
                <w:lang w:eastAsia="en-GB"/>
              </w:rPr>
              <w:t>10.90%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model 1 OR 2.70 (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95%CI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2.63-2.78)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Cohen et al., 2009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Dyslipidemia</w:t>
            </w:r>
            <w:proofErr w:type="spellEnd"/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model 2 OR 1.45 (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95%CI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1.39-1.50)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Frayne et al., 2011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Heart Valve Disorders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AOR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0.94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95%CI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0.79, 1.11)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Frayne et al., 2011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Hematologic diseases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2.20%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2.2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1.05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95%CI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0.94, 1.17)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Frayne et al., 2011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Hemorrhoids</w:t>
            </w:r>
            <w:proofErr w:type="spellEnd"/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AOR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1.26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95%CI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1.15, 1.37)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Nazarian et al., 2012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Hemorrhoids</w:t>
            </w:r>
            <w:proofErr w:type="spellEnd"/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4.00%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3.90%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Frayne et al., 2011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Hyperlipidaemia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14.40%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11.90%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AOR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1.15 (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95%CI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1.10-1.19)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Cohen et al., 2009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Hypertension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16.40%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8.10%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model 1 OR 2.88 (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95%CI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2.79-2.97)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Cohen et al., 2009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Hypertension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model 2 OR 1.56 (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95%CI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1.50-1.63)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Frayne et al., 2011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Hypertension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20.20%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19.50%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AOR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1.24 (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95%CI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1.19-1.30)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Nazarian et al., 2012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Hypertension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22.70%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23.20%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Frayne et al., 2011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Hypertension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AOR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1.24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95%CI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1.19, 1.30)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Bersani et al., 2016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Hypertension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Mann Whitey U-test 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x2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=.10 p&gt;.05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Bersani et al., 2016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Hypertension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Mann Whitey U-test 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x2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=.25 p&gt;.05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Paulus et al., 2013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Hypertension (diagnosed and un-diagnosed)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34.09%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16.33%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Burg et al. 2017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Hypertension event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Non-treatment seeking 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AHR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1.37 (95% CI 1.33-1.40) (p&lt;.01)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Burg et al. 2017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Hypertension event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Treatment seeking 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AHR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1.13 (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95%CI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1.10-1.16) (p&lt;.01)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Frayne et al., 2011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Hypertension with complications, secondary hypertension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AOR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0.83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95%CI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0.58, 1.19)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Frayne et al., 2011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Hypotension and other misc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ellaneous</w:t>
            </w: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circulatory conditions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AOR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1.28 (1.09, 1.49)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Frayne et al., 2011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Other and ill-defined heart disease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AOR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1.23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95%CI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0.95, 1.59)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Frayne et al., 2011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Other diseases of veins, lymphatics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AOR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1.05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95%CI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0.86, 1.28)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Frayne et al., 2011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Peri</w:t>
            </w:r>
            <w:proofErr w:type="gram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-;Endo</w:t>
            </w:r>
            <w:proofErr w:type="gram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-;myocarditis; cardiomyopathy (except TB, STD)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AOR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1.20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95%CI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0.84, 1.72)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Frayne et al., 2011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Peripheral and visceral Atherosclerosis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AOR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8.17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95%CI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1.80, 37.05)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Frayne et al., 2011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Phlebitis; thrombophlebitis and thromboembolism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AOR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1.20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95%CI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0.90, 1.60)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Frayne et al., 2011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Pulmonary Heart Disease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AOR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1.63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95%CI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1.04, 2.56)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20124" w:type="dxa"/>
            <w:gridSpan w:val="10"/>
            <w:shd w:val="clear" w:color="auto" w:fill="auto"/>
            <w:noWrap/>
            <w:vAlign w:val="bottom"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Diabetes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Bersani et al., 2016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Diabetes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Mann Whitney U-test 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x2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=.13 p&gt;.05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Bersani et al., 2016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Diabetes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Mann Whitney U-test 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x2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=.83 p&gt;.05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Frayne et al., 2011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Diabetes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4.10%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4.60%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AOR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1.08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95%CI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1.00, 1.17)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Nazarian et al., 2012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Diabetes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3.80%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4.50%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Endocrine/metabolic disease as function of PTSD 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AOR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1.07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95%CI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1.01, 1.13)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Cohen et al., 2009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Diabetes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2.00%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1.10%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AOR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2.57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95%CI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2.37, 2.78)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Cohen et al., 2009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Diabetes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Model 2 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AOR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1.07 (0.969, 1.18)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20124" w:type="dxa"/>
            <w:gridSpan w:val="10"/>
            <w:shd w:val="clear" w:color="auto" w:fill="auto"/>
            <w:noWrap/>
            <w:vAlign w:val="bottom"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Heart function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Blessing et al., 2017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Diastolic Blood Pressure (NR)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72.58 ± 8.20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70.50 ± 8.16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ANOVA d=.25 (p=.11)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ANCOVA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d=.25 (p=.08)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Paulus et al., 2013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Diastolic Blood Pressure (NR)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87.60 ± 6.30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No PTSD 78.40 ± 7.20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Two sample t-test df=184 d=1.36 (p&lt;.001)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Paulus et al., 2013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Diastolic Blood Pressure (NR)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No trauma 77.10 ± 6.80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ANOVA PTSD+, PTSD- and no trauma F=48.48 (p&lt;.05)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Paulus et al., 2013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Diastolic Blood Pressure (NR)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PTSD+ and PTSD- 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ANCOVA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(sig)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Caska et al., 2014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Diastolic Blood Pressure (sitting)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76.60 ± 8.50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79.00 ± 8.50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Agorastos et al, 2013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Heart Rate (24 hour)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64.10 ± 4.20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56.80 ± 6.80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t-test t=-2.45 df=13 (p=.03)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ANCOVA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f=8.49 (p=.02)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Agorastos et al, 2013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Heart Rate (day time)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64.50 ± 3.80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59.10 ± 6.20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t-test t=-1.97 df=13 (p=.07)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ANCOVA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f=.53 (p=.48)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Blessing et al., 2017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Heart Rate (daytime)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72.36 ± 10.38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64.25 ± 11.01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ANOVA d=.76 (p&lt;.01)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proofErr w:type="gram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ANCOVA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d</w:t>
            </w:r>
            <w:proofErr w:type="gram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=.71 (p&lt;.01)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Paulus et al., 2013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Heart Rate (likely daytime)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78.90 ± 9.80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73.10 ± 8.00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Two sample t-test df=184 d=0.65 (p&lt;.001)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Caska et al., 2014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Heart Rate (likely daytime) (sitting)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75.60 ± 12.10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67.80 ± 10.50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Agorastos et al, 2013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Heart Rate (night time)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61.30 ± 6.50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51.80 ± 7.50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t-test t=-2.61 df=13 (p=.02)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ANCOVA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f=6.49 (p=.03)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Ginsberg, Berry &amp; Powell, 2010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Heart Rate Variability Coherence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0.20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1.20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Ginsberg, Berry &amp; Powell, 2010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Heart Rate Variability High Frequency (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ms2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/Hz)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150.70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184.20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Ray et al., 2017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Heart Rate Variability </w:t>
            </w:r>
            <w:proofErr w:type="gram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ln(</w:t>
            </w:r>
            <w:proofErr w:type="gram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High Frequency )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PTSD 5.25 ± 1.26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-4.76 ± 1.78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Pearson correlation CAPS-</w:t>
            </w:r>
            <w:proofErr w:type="gram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ln(</w:t>
            </w:r>
            <w:proofErr w:type="gram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HF) -.09 (p&gt;.05)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Ray et al., 2017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Heart Rate Variability </w:t>
            </w:r>
            <w:proofErr w:type="gram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ln(</w:t>
            </w:r>
            <w:proofErr w:type="gram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High Frequency)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PTSD + AUD 5.63 ± 1.16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Ginsberg, Berry &amp; Powell, 2010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Heart Rate Variability Low Frequency (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ms2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/Hz)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253.10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527.70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Agorastos et al, 2013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Heart Rate Variability Low Frequency/High Frequency (24 hour)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2.25 ± 1.34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1.05± 0.52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t-test t=-2.34 df=13 (p=.04)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ANCOVA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f= 2.19 (p=.17)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Agorastos et al, 2013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Heart Rate Variability Low Frequency/High Frequency (day)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2.72 ± 1.93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1.20 ± 0.53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t-test t=-2.02 df=6.79 (p=.08)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ANCOVA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f= 3.05 (p=.11)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Agorastos et al, 2013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Heart Rate Variability Low Frequency/High Frequency(night)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1.73 ± 0.97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0.76 ± 0.35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t-test t=-2.52 df=7.31 (p=.04)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ANCOVA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f= 8.63 (p=.01)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Ginsberg, Berry &amp; Powell, 2010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Heart Rate Variability Power (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ms2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/Hz)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813.00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1142.00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Ray et al., 2017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Heart Rate Variability Root Mean Square of the Successive Differences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PTSD 23.82 ± 14.11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42.00 ± 15.00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Pearson correlation CAPS-RMSSD .05 (p&gt;.05)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Ray et al., 2017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Heart Rate Variability Root Mean Square of the Successive Differences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PTSD + AUD 29.47 ± 15.86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Agorastos et al, 2013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Heart Rate Variability Root Mean Square of the Successive Differences (24 hour)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65.10 ± 32.90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106.90 ± 43.00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t-test t=2.08 df=13 (p=.06)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ANCOVA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f=1.59 (p=.24)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Agorastos et al, 2013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Heart Rate Variability Root Mean Square of the Successive Differences (day time)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63.50 ± 27.20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104.00 ± 43.60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t-test t=2.12 df=13 (p=.05)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ANCOVA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f=.60 (p=.46)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Agorastos et al, 2013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Heart Rate Variability Root Mean Square of the Successive Differences (night time)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69.90 ± 41.50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114.20 ± 51.50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t-test t=1.98 df=13 (p=.07)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ANCOVA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f=2.29 (p=.17)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Ray et al., 2017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Heart Rate Variability: Standard Deviation of the Normal Normal Interval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PTSD 29.75 ± 29.75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50.00 ± 16.00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Pearson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’s</w:t>
            </w: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correlation CAPS-SDNN .05 (p&gt;.05)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Ray et al., 2017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Heart Rate Variability: Standard Deviation of the Normal Normal Interval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PTSD + AUD 35.63 ± 18.86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Tan et al., 2009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Heart Rate Variability: Standard Deviation of the Normal Normal Interval 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44.96 ± 19.78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51.46 ± 34.48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Agorastos et al, 2013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Heart Rate Variability: Standard Deviation of the Normal Normal Interval Interval (24 hour)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127.50 ± 30.61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155.00 ± 55.40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t-test t=1.16 df=13 (p=.27)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ANCOVA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f= .10 (p=.76)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Ramaswamy et al., 2015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HF (ln) at rest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6.31 ± 1.16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Ramaswamy et al., 2015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HF (ln) deep breathing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7.37 ± 2.57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Ray et al., 2017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High Frequency Heart Rate Variability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PTSD 315.89 ± 509.96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657 ± 777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Ray et al., 2017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High Frequency Heart Rate Variability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PTSD + AUD ± 467.66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Ramaswamy et al., 2015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LF (ln) at rest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6.53 ± 1.11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Ramaswamy et al., 2015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LF (ln) deep breathing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8.37 ± 2.77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Agorastos et al, 2013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Nonlinear analysis (fast-day)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1.15 ± 0.19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0.93 ± 0.15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t-test t=2.47 df=13 (p=.03)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ANCOVA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f= 3.68 (p=.09)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Agorastos et al, 2013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Nonlinear analysis (fast-night)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1.07 ± 0.22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0.87 ± 0.17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t-test t=-2.00 df=13 (p=.07)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ANCOVA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f= 4.11 (p=.08)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Agorastos et al, 2013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Nonlinear analysis (slow-day)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0.96 ± 0.10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1.00 ± 0.05 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t-test t=0.82 df=13 (p=.43)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ANCOVA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f= .93 (p=.36)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Agorastos et al, 2013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Nonlinear analysis (slow-night)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1.00 ± 0.09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1.08 ± 0.06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t-test t=2.04 df=13 (p=.06)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ANCOVA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f= 2.49 (p=.15)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Agorastos et al, 2013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Normal Normal Interval (24 hour)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942.40 ± 59.00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1076.70 ± 131.90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t-test t=2.48 df=13 (p=.03)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ANCOVA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f=6.45 </w:t>
            </w:r>
            <w:proofErr w:type="gram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( p</w:t>
            </w:r>
            <w:proofErr w:type="gram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=.03)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Agorastos et al, 2013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Normal Normal Intervals that differ by &gt;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50ms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(24 hour) (%)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32.20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± 18.80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48.70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± 18.30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t-test t=1.71 df=13 (p=.11)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ANCOVA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f= 2.23 (p=.16)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Agorastos et al, 2013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Normal Normal Intervals that differ by &gt;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50ms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(24 hour) (n)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28633.10 ± 17055.0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37713.10 ± 13445.50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t-test t=1.15 df=13 (p=.27)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ANCOVA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f= 1.08 (p=.32)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Ramaswamy et al., 2015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QT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375 ± 43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Ramaswamy et al., 2015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Qtvi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(at rest)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-1.82 ± 0.43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Ramaswamy et al., 2015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Qtvi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(deep breathing)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-1.76 ± 0.31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Ramaswamy et al., 2015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Inter Beat Interval</w:t>
            </w: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mean (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ms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941 ± 161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Blessing et al., 2017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Systolic Blood Pressure (NR)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117.16 ± 10.65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118.83 ± 10.70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ANOVA d=-.16 (p=.33)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ANCOVA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d=-.15 (p=.37)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Paulus et al., 2013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Systolic Blood Pressure (NR)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133.80 ± 8.60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No PTSD 122.30 ± 9.60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Two sample t-test df=184 d=1.27 (p&lt;.001)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Paulus et al., 2013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Systolic Blood Pressure (NR)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No trauma 120.10 ± 8.90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ANOVA PTSD+, PTSD- and no trauma F=50.13 (p&lt;.05)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Paulus et al., 2013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Systolic Blood Pressure (NR)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PTSD+ and PTSD- 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ANCOVA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(sig)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Caska et al., 2014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Systolic Blood Pressure (sitting)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120.00 ± 11.50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122.60 ± 12.40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Ginsberg, Berry &amp; Powell, 2010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Very Low Frequency Heart Rate Variability(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ms2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/Hz)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409.60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430.30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20124" w:type="dxa"/>
            <w:gridSpan w:val="10"/>
            <w:shd w:val="clear" w:color="auto" w:fill="auto"/>
            <w:noWrap/>
            <w:vAlign w:val="bottom"/>
          </w:tcPr>
          <w:p w:rsidR="004C5514" w:rsidRPr="00C95621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C95621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Inflammation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Blessing et al., 2017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C-Reactive Protein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3.62 ± 5.52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1.48 ± 2.14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ANOVA d=.51 (p&lt;.01)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ANCOVA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d=.48 (p&lt;.01)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Lindqvist et al., 2014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C-Reactive Protein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3.27 ± 5.66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1.66 ± 2.30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ANCOVA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f=1.08 (p=.301)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Lindqvist et al., 2017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High Sensitivity C-Reactive Protein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4.10 ± 5.18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1.59 ± 2.58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Student's T-test </w:t>
            </w:r>
            <w:r w:rsidR="00DF65BA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df=89 </w:t>
            </w: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t=2.86 (p&lt;.01)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ANCOVA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f=6.06 (p&lt;.05)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Lerman et al., 2016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IL-10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.38 ± .35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0.41 ± .28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Lerman et al., 2016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IL-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1b</w:t>
            </w:r>
            <w:proofErr w:type="spellEnd"/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0.1 ± .01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0.17 ± .07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NR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Bersani et al., 2016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Inflammatory conditions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Mann Whitney U-test 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x2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=.31 p&gt;.05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Bersani et al., 2016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Inflammatory conditions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Mann Whitney U-test 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x2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=.87 p&gt;.05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Lindqvist et al., 2014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Interferon-Gamma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1.41 ± 1.79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0.65 ± 0.38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ANCOVA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f=</w:t>
            </w:r>
            <w:r w:rsidR="00DF65BA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.13 (p=.005)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Lindqvist et al., 2017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Interferon-Gamma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6.16 ± 7.06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3.60 ± 1.45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Student's T-test t=0.53 (p&gt;.10)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ANCOVA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f=.03 (p&gt;.10)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Lindqvist et al., 2014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Interkeukin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-1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0.14 ± 0.17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0.11 ± 0.10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ANCOVA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f=2.55 (p=.114)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Lindqvist et al., 2014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Interleukin-10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2.15 ± 1.49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1.94 ± 1.47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ANCOVA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f=1.98 (p=.163)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Lindqvist et al., 2017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Interleukin-10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0.26 ± 0.12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0.28 ± 0.26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Student's T-test t=1.53 (p&gt;.10)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ANCOVA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f=2.00 (p&gt;.10)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Lindqvist et al., 2014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Interleukin-6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1.04 ± 0.85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0.81 ± 0.78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ANCOVA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f=2.82 (p=.096)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Lindqvist et al., 2017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Interleukin-6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0.60 ± 0.51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0.35 ± 0.19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Student's T-test t=3.10 (p&lt;.01)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ANCOVA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f=6.86 (p&lt;.05)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Blessing et al., 2017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Interleukin-6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1.04 ± 0.85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0.80 ± 0.79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ANOVA d=.29 p=.01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ANCOVA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d=.25 (p&gt;.05)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Lindqvist et al., 2014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Pro-inflammatory cytokine score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0.89 ± 3.48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-0.81 ± 2.45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ANCOVA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f=10.02 (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df1,90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) p=.002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Lindqvist et al., 2017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Pro-inflammatory cytokine score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1.03 ± 2.99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-0.97 ± 2.31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Independent t-test t=2.91 p=&lt;.01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ANCOVA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f=5.47 p&lt;.05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Lindqvist et al., 2014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Tumor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Necrosis Factor-Alpha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4.27 ± 4.00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3.07 ± 0.70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ANCOVA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f=8.32 (p=.005)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Lindqvist et al., 2017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Tumor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Necrosis Factor-Alpha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3.40 ± .359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3.30 ± 5.80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Student's T-test t=1.80 (p&lt;.10)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ANCOVA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f=2.24 (p&gt;.10)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Blessing et al., 2017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Tumor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Necrosis Factor-Alpha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4.23 ± 3.98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3.06 ± 0.70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ANOVA d=.41 (p=.03)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ANCOVA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d=.37 (p</w:t>
            </w:r>
            <w:r w:rsidR="00A10E33">
              <w:rPr>
                <w:rFonts w:ascii="Calibri" w:eastAsia="Times New Roman" w:hAnsi="Calibri" w:cs="Times New Roman"/>
                <w:color w:val="000000"/>
                <w:lang w:eastAsia="en-GB"/>
              </w:rPr>
              <w:t>&lt;</w:t>
            </w: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.05)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20124" w:type="dxa"/>
            <w:gridSpan w:val="10"/>
            <w:shd w:val="clear" w:color="auto" w:fill="auto"/>
            <w:noWrap/>
            <w:vAlign w:val="bottom"/>
          </w:tcPr>
          <w:p w:rsidR="004C5514" w:rsidRPr="00C95621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C95621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Lipids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Blessing et al., 2017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Cholesterol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179.73 ± 36.25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171.14 ± 27.72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ANOVA d=.27 (p=.09)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ANCOVA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d=</w:t>
            </w:r>
            <w:r w:rsidR="00A10E33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24 (p=.13)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Blessing et al., 2017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High Density Lipoprotein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47.80 ± 12.54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50.09 (13.11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ANOVA d=-0.18 (p=.26)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ANCOVA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d=-.15 (p=.35)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Nazarian et al., 2012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lipid metabolism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27.60%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24.90%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Endocrine/metabolic disease as function of PTSD 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AOR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1.07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95%CI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1.01, 1.13)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Blessing et al., 2017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Triglycerides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121.49 ± 68.10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100.59 ± 74.64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ANOVA d=.29 (p=.02)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ANCOVA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d=.23 (p&lt;.05)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20124" w:type="dxa"/>
            <w:gridSpan w:val="10"/>
            <w:shd w:val="clear" w:color="auto" w:fill="auto"/>
            <w:noWrap/>
            <w:vAlign w:val="bottom"/>
          </w:tcPr>
          <w:p w:rsidR="004C5514" w:rsidRPr="00C95621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C95621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Obesity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Buta et al., 2018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BMI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Association between PTSD and BMI trajectory Estimate=28.5 (SE .01) 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p,.001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Buta et al., 2018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BMI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10kg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/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m2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per year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26kg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/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m2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per year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Association between PTSD and BMI slope (per year) p&lt;.001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Buta et al., 2018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BMI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Association between PTSD and BMI trajectory estimate=.45 SE=.02 p&lt;.001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Buta et al., 2018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BMI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Association between PTSD and BMI slope (per year) p&lt;.001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Maguen et al., 2013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BMI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28.6 ± 4.73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28.5 ± 4.52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Agorastos et al, 2013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BMI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25.70 ± 2.00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26.50 ± 2.30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T-test (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df15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)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d 0.40 p=.480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Blessing et al., 2017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BMI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29.90 ± 5.00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28.40 ± 4.80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t test p=.04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Lindqvist et al., 2014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BMI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29.90 ± 5.10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28.30 ± 4.20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DF65BA"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-1.71 (df 100) p=.09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Lindqvist et al., 2017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BMI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30.00 ± 5.00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28.80 ± 5.80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0.85 (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df56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) p=.40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Maguen et al., 2013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Obese class 1 (BMI 30-35)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43455 (25.9%)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67236 (25%)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Maguen et al., 2013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Obese class 2 (35-40)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18407 (6.8%)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13017 (6.8%)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Maguen et al., 2013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Obese class 3 (40+)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3928 (1.7%)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2827 (1.5%)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Maguen et al., 2013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Obese losing weight over 3 years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3216 (1.2%)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3625 (2.2%)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Age and Race 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AOR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1.25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95%CI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1.19, 1.31)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Maguen et al., 2013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Obese losing weight over 3 years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Full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1.15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95%CI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1.10, 1.21)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Maguen et al., 2013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Obese stable weight over 3 years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16493 (6.1%)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12268 (6.3%)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Stable obese versus stable overweight Age and Race 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AOR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1.22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95%CI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1.18, 1.25)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Maguen et al., 2013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Obese stable weight over 3 years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Stable obese versus stable overweight full 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AOR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1.15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95%CI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1.11, 1.18)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Frayne et al., 2011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Overweight/Obese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13.50%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11.90%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AOR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1.22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95%CI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1.16, 1.28)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Maguen et al., 2013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Overweight/Obese gaining weight over 3 years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3642 (1.4%)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5336 (3.2%)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Age and Race 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AOR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1.42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95%CI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1.37, 1.48)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Maguen et al., 2013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Overweight/Obese gaining weight over 3 years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Full 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AOR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1.2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95%CI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1.15, 1.25)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Nazarian et al., 2012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Overweight/obesity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15.20%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13.60%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Endocrine/metabolic disease as function of PTSD 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AOR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1.07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95%CI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1.01, 1.13)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Lindqvist et al., 2014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Waist to hip ratio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0.91 (0.08)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0.89 (0.12)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-1.60 (df 100) p=.41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20124" w:type="dxa"/>
            <w:gridSpan w:val="10"/>
            <w:shd w:val="clear" w:color="auto" w:fill="auto"/>
            <w:noWrap/>
            <w:vAlign w:val="bottom"/>
          </w:tcPr>
          <w:p w:rsidR="004C5514" w:rsidRPr="00C95621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</w:pPr>
            <w:r w:rsidRPr="00C95621">
              <w:rPr>
                <w:rFonts w:ascii="Calibri" w:eastAsia="Times New Roman" w:hAnsi="Calibri" w:cs="Times New Roman"/>
                <w:color w:val="000000"/>
                <w:sz w:val="36"/>
                <w:lang w:eastAsia="en-GB"/>
              </w:rPr>
              <w:t>Tobacco use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Kirby et al., 2008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Current smoker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29 (32%)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Kirby et al., 2008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Heavy 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smokrs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(&gt;20 cigarettes/day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15 (50%)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Kirby et al., 2008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Lifetime smoker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61 (68%)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Blessing et al., 2017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Smoking every day/some </w:t>
            </w:r>
            <w:proofErr w:type="gram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days</w:t>
            </w:r>
            <w:proofErr w:type="gramEnd"/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21 (32%)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9 (12%)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t test p=.005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Japuntich et al., 2016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Tobacco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PTSD symptoms and changes in tobacco use post-deployment (NR)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Cohen et al., 2009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Tobacco use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30.80% 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9.8% 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model 1 OR 3.63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95%CI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3.54-3.71)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Cohen et al., 2009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Tobacco use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model 2 OR 2.61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95%CI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2.52, 2.71)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Lindqvist et al., 2014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Tobacco use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11 (21.57%)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3 (5.90%)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8.28 (df 2) p=.016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Lindqvist et al., 2017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Tobacco use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13 (42%)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5 (17%)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4.68 (</w:t>
            </w:r>
            <w:proofErr w:type="spell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DF1</w:t>
            </w:r>
            <w:proofErr w:type="spell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) P=.031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Paulus et al., 2013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Tobacco use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27%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33%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Ray et al., 2017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Tobacco use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30.00%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4C5514" w:rsidRPr="00A42E20" w:rsidTr="00DF65BA">
        <w:trPr>
          <w:trHeight w:val="300"/>
        </w:trPr>
        <w:tc>
          <w:tcPr>
            <w:tcW w:w="1654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Ray et al., 2017</w:t>
            </w:r>
          </w:p>
        </w:tc>
        <w:tc>
          <w:tcPr>
            <w:tcW w:w="477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Tobacco use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Pearson’s correlation CAPS </w:t>
            </w:r>
            <w:proofErr w:type="gramStart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  <w:proofErr w:type="gramEnd"/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and Tobacco use .14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4C5514" w:rsidRPr="00A42E20" w:rsidRDefault="004C5514" w:rsidP="00DF65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42E2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4C5514" w:rsidRPr="006D1378" w:rsidRDefault="004C5514" w:rsidP="004C5514"/>
    <w:p w:rsidR="004C5514" w:rsidRPr="006D1378" w:rsidRDefault="004C5514" w:rsidP="004C5514">
      <w:r>
        <w:softHyphen/>
      </w:r>
    </w:p>
    <w:p w:rsidR="004C5514" w:rsidRDefault="004C5514" w:rsidP="004C5514"/>
    <w:p w:rsidR="00D00CC7" w:rsidRDefault="00D00CC7"/>
    <w:sectPr w:rsidR="00D00CC7" w:rsidSect="00DF65BA">
      <w:pgSz w:w="23811" w:h="16838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0729"/>
    <w:multiLevelType w:val="hybridMultilevel"/>
    <w:tmpl w:val="A7445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01EA0"/>
    <w:multiLevelType w:val="hybridMultilevel"/>
    <w:tmpl w:val="11D69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C7F66"/>
    <w:multiLevelType w:val="hybridMultilevel"/>
    <w:tmpl w:val="7EE6B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61032"/>
    <w:multiLevelType w:val="hybridMultilevel"/>
    <w:tmpl w:val="5D6ED102"/>
    <w:lvl w:ilvl="0" w:tplc="33F48B88">
      <w:start w:val="4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F06B0"/>
    <w:multiLevelType w:val="hybridMultilevel"/>
    <w:tmpl w:val="7EAAA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84480"/>
    <w:multiLevelType w:val="hybridMultilevel"/>
    <w:tmpl w:val="42A64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E0F61"/>
    <w:multiLevelType w:val="hybridMultilevel"/>
    <w:tmpl w:val="43BCE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14"/>
    <w:rsid w:val="003739F4"/>
    <w:rsid w:val="004C5514"/>
    <w:rsid w:val="009A25CA"/>
    <w:rsid w:val="00A10E33"/>
    <w:rsid w:val="00D00CC7"/>
    <w:rsid w:val="00DF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E86E9"/>
  <w15:chartTrackingRefBased/>
  <w15:docId w15:val="{6ED5DF88-11B8-4B6F-A17D-A2646A3A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51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C5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51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551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551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551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C5514"/>
    <w:rPr>
      <w:i/>
      <w:iCs/>
      <w:color w:val="404040" w:themeColor="text1" w:themeTint="BF"/>
    </w:rPr>
  </w:style>
  <w:style w:type="paragraph" w:customStyle="1" w:styleId="EndNoteBibliographyTitle">
    <w:name w:val="EndNote Bibliography Title"/>
    <w:basedOn w:val="Normal"/>
    <w:link w:val="EndNoteBibliographyTitleChar"/>
    <w:rsid w:val="004C5514"/>
    <w:pPr>
      <w:spacing w:after="0"/>
      <w:jc w:val="center"/>
    </w:pPr>
    <w:rPr>
      <w:rFonts w:ascii="Cambria" w:eastAsiaTheme="majorEastAsia" w:hAnsi="Cambria" w:cstheme="majorBidi"/>
      <w:noProof/>
      <w:color w:val="2F5496" w:themeColor="accent1" w:themeShade="BF"/>
      <w:sz w:val="24"/>
      <w:szCs w:val="28"/>
      <w:lang w:val="en-US"/>
    </w:rPr>
  </w:style>
  <w:style w:type="character" w:customStyle="1" w:styleId="EndNoteBibliographyTitleChar">
    <w:name w:val="EndNote Bibliography Title Char"/>
    <w:basedOn w:val="Heading1Char"/>
    <w:link w:val="EndNoteBibliographyTitle"/>
    <w:rsid w:val="004C5514"/>
    <w:rPr>
      <w:rFonts w:ascii="Cambria" w:eastAsiaTheme="majorEastAsia" w:hAnsi="Cambria" w:cstheme="majorBidi"/>
      <w:b w:val="0"/>
      <w:bCs w:val="0"/>
      <w:noProof/>
      <w:color w:val="2F5496" w:themeColor="accent1" w:themeShade="BF"/>
      <w:sz w:val="24"/>
      <w:szCs w:val="28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C5514"/>
    <w:pPr>
      <w:spacing w:line="240" w:lineRule="auto"/>
    </w:pPr>
    <w:rPr>
      <w:rFonts w:ascii="Cambria" w:eastAsiaTheme="majorEastAsia" w:hAnsi="Cambria" w:cstheme="majorBidi"/>
      <w:noProof/>
      <w:color w:val="2F5496" w:themeColor="accent1" w:themeShade="BF"/>
      <w:sz w:val="24"/>
      <w:szCs w:val="28"/>
      <w:lang w:val="en-US"/>
    </w:rPr>
  </w:style>
  <w:style w:type="character" w:customStyle="1" w:styleId="EndNoteBibliographyChar">
    <w:name w:val="EndNote Bibliography Char"/>
    <w:basedOn w:val="Heading1Char"/>
    <w:link w:val="EndNoteBibliography"/>
    <w:rsid w:val="004C5514"/>
    <w:rPr>
      <w:rFonts w:ascii="Cambria" w:eastAsiaTheme="majorEastAsia" w:hAnsi="Cambria" w:cstheme="majorBidi"/>
      <w:b w:val="0"/>
      <w:bCs w:val="0"/>
      <w:noProof/>
      <w:color w:val="2F5496" w:themeColor="accent1" w:themeShade="BF"/>
      <w:sz w:val="24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4C55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51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551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C5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5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5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5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C5514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color w:val="008000"/>
      <w:w w:val="120"/>
      <w:sz w:val="24"/>
      <w:szCs w:val="24"/>
      <w:lang w:val="en-CA"/>
    </w:rPr>
  </w:style>
  <w:style w:type="character" w:customStyle="1" w:styleId="HeaderChar">
    <w:name w:val="Header Char"/>
    <w:basedOn w:val="DefaultParagraphFont"/>
    <w:link w:val="Header"/>
    <w:rsid w:val="004C5514"/>
    <w:rPr>
      <w:rFonts w:ascii="Garamond" w:eastAsia="Times New Roman" w:hAnsi="Garamond" w:cs="Times New Roman"/>
      <w:color w:val="008000"/>
      <w:w w:val="120"/>
      <w:sz w:val="24"/>
      <w:szCs w:val="24"/>
      <w:lang w:val="en-CA"/>
    </w:rPr>
  </w:style>
  <w:style w:type="table" w:styleId="TableGrid">
    <w:name w:val="Table Grid"/>
    <w:basedOn w:val="TableNormal"/>
    <w:uiPriority w:val="59"/>
    <w:rsid w:val="004C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C5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514"/>
  </w:style>
  <w:style w:type="table" w:customStyle="1" w:styleId="PlainTable21">
    <w:name w:val="Plain Table 21"/>
    <w:basedOn w:val="TableNormal"/>
    <w:uiPriority w:val="42"/>
    <w:rsid w:val="004C55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C5514"/>
    <w:rPr>
      <w:color w:val="954F72" w:themeColor="followedHyperlink"/>
      <w:u w:val="single"/>
    </w:rPr>
  </w:style>
  <w:style w:type="table" w:customStyle="1" w:styleId="PlainTable11">
    <w:name w:val="Plain Table 11"/>
    <w:basedOn w:val="TableNormal"/>
    <w:uiPriority w:val="41"/>
    <w:rsid w:val="004C55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4C5514"/>
    <w:pPr>
      <w:spacing w:after="0" w:line="240" w:lineRule="auto"/>
    </w:pPr>
  </w:style>
  <w:style w:type="paragraph" w:customStyle="1" w:styleId="Default">
    <w:name w:val="Default"/>
    <w:rsid w:val="004C55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4C5514"/>
    <w:rPr>
      <w:rFonts w:cs="Times New Roman"/>
      <w:color w:val="auto"/>
    </w:rPr>
  </w:style>
  <w:style w:type="character" w:customStyle="1" w:styleId="dbname">
    <w:name w:val="dbname"/>
    <w:basedOn w:val="DefaultParagraphFont"/>
    <w:rsid w:val="004C5514"/>
  </w:style>
  <w:style w:type="character" w:customStyle="1" w:styleId="dbdate">
    <w:name w:val="dbdate"/>
    <w:basedOn w:val="DefaultParagraphFont"/>
    <w:rsid w:val="004C5514"/>
  </w:style>
  <w:style w:type="table" w:styleId="MediumShading2-Accent2">
    <w:name w:val="Medium Shading 2 Accent 2"/>
    <w:basedOn w:val="TableNormal"/>
    <w:uiPriority w:val="64"/>
    <w:rsid w:val="004C55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4C5514"/>
    <w:rPr>
      <w:i/>
      <w:iCs/>
    </w:rPr>
  </w:style>
  <w:style w:type="paragraph" w:styleId="NormalWeb">
    <w:name w:val="Normal (Web)"/>
    <w:basedOn w:val="Normal"/>
    <w:uiPriority w:val="99"/>
    <w:unhideWhenUsed/>
    <w:rsid w:val="004C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C55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Dyball, Daniel</dc:creator>
  <cp:keywords/>
  <dc:description/>
  <cp:lastModifiedBy>Dyball, Daniel</cp:lastModifiedBy>
  <cp:revision>2</cp:revision>
  <dcterms:created xsi:type="dcterms:W3CDTF">2019-01-04T10:59:00Z</dcterms:created>
  <dcterms:modified xsi:type="dcterms:W3CDTF">2019-01-30T18:18:00Z</dcterms:modified>
</cp:coreProperties>
</file>