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54" w:rsidRDefault="002E6B7E" w:rsidP="00A86EBE">
      <w:pPr>
        <w:spacing w:after="120" w:line="480" w:lineRule="auto"/>
        <w:jc w:val="both"/>
        <w:rPr>
          <w:rFonts w:ascii="Times New Roman" w:eastAsiaTheme="minorEastAsia" w:hAnsi="Times New Roman" w:cs="Times New Roman"/>
          <w:b/>
          <w:sz w:val="24"/>
          <w:szCs w:val="24"/>
          <w:lang w:val="en-US" w:eastAsia="fr-FR"/>
        </w:rPr>
      </w:pPr>
      <w:r w:rsidRPr="002E6B7E">
        <w:rPr>
          <w:rFonts w:ascii="Times New Roman" w:eastAsiaTheme="minorEastAsia" w:hAnsi="Times New Roman" w:cs="Times New Roman"/>
          <w:b/>
          <w:sz w:val="24"/>
          <w:szCs w:val="24"/>
          <w:lang w:val="en-US" w:eastAsia="fr-FR"/>
        </w:rPr>
        <w:t>Supplemental Information</w:t>
      </w:r>
    </w:p>
    <w:p w:rsidR="00DB2133" w:rsidRDefault="00DB2133" w:rsidP="002C4B1A">
      <w:pPr>
        <w:spacing w:after="0" w:line="360" w:lineRule="auto"/>
        <w:jc w:val="both"/>
        <w:rPr>
          <w:rFonts w:ascii="Times New Roman" w:hAnsi="Times New Roman" w:cs="Times New Roman"/>
          <w:szCs w:val="24"/>
          <w:lang w:val="en-US"/>
        </w:rPr>
      </w:pPr>
      <w:r w:rsidRPr="00623AC7">
        <w:rPr>
          <w:rFonts w:ascii="Times New Roman" w:hAnsi="Times New Roman" w:cs="Times New Roman"/>
          <w:b/>
          <w:szCs w:val="24"/>
          <w:lang w:val="en-US"/>
        </w:rPr>
        <w:t xml:space="preserve">Figure </w:t>
      </w:r>
      <w:r>
        <w:rPr>
          <w:rFonts w:ascii="Times New Roman" w:hAnsi="Times New Roman" w:cs="Times New Roman"/>
          <w:b/>
          <w:szCs w:val="24"/>
          <w:lang w:val="en-US"/>
        </w:rPr>
        <w:t>S</w:t>
      </w:r>
      <w:r w:rsidR="00797DCF">
        <w:rPr>
          <w:rFonts w:ascii="Times New Roman" w:hAnsi="Times New Roman" w:cs="Times New Roman"/>
          <w:b/>
          <w:szCs w:val="24"/>
          <w:lang w:val="en-US"/>
        </w:rPr>
        <w:t>1</w:t>
      </w:r>
      <w:r w:rsidRPr="00623AC7">
        <w:rPr>
          <w:rFonts w:ascii="Times New Roman" w:hAnsi="Times New Roman" w:cs="Times New Roman"/>
          <w:b/>
          <w:szCs w:val="24"/>
          <w:lang w:val="en-US"/>
        </w:rPr>
        <w:t>:</w:t>
      </w:r>
      <w:r w:rsidRPr="00623AC7">
        <w:rPr>
          <w:rFonts w:ascii="Times New Roman" w:hAnsi="Times New Roman" w:cs="Times New Roman"/>
          <w:szCs w:val="24"/>
          <w:lang w:val="en-US"/>
        </w:rPr>
        <w:t xml:space="preserve"> Translocation factor for </w:t>
      </w:r>
      <w:r w:rsidRPr="00623AC7">
        <w:rPr>
          <w:rFonts w:ascii="Times New Roman" w:hAnsi="Times New Roman" w:cs="Times New Roman"/>
          <w:i/>
          <w:szCs w:val="24"/>
          <w:lang w:val="en-US"/>
        </w:rPr>
        <w:t xml:space="preserve">F. </w:t>
      </w:r>
      <w:proofErr w:type="spellStart"/>
      <w:r w:rsidRPr="00623AC7">
        <w:rPr>
          <w:rFonts w:ascii="Times New Roman" w:hAnsi="Times New Roman" w:cs="Times New Roman"/>
          <w:i/>
          <w:szCs w:val="24"/>
          <w:lang w:val="en-US"/>
        </w:rPr>
        <w:t>esculentum</w:t>
      </w:r>
      <w:proofErr w:type="spellEnd"/>
      <w:r w:rsidRPr="00623AC7">
        <w:rPr>
          <w:rFonts w:ascii="Times New Roman" w:hAnsi="Times New Roman" w:cs="Times New Roman"/>
          <w:szCs w:val="24"/>
          <w:lang w:val="en-US"/>
        </w:rPr>
        <w:t xml:space="preserve"> cultivars in Eglantiers (A) </w:t>
      </w:r>
      <w:r>
        <w:rPr>
          <w:rFonts w:ascii="Times New Roman" w:hAnsi="Times New Roman" w:cs="Times New Roman"/>
          <w:szCs w:val="24"/>
          <w:lang w:val="en-US"/>
        </w:rPr>
        <w:t>vs. Oblates soil (B)</w:t>
      </w:r>
      <w:r w:rsidRPr="00623AC7">
        <w:rPr>
          <w:rFonts w:ascii="Times New Roman" w:hAnsi="Times New Roman" w:cs="Times New Roman"/>
          <w:szCs w:val="24"/>
          <w:lang w:val="en-US"/>
        </w:rPr>
        <w:t xml:space="preserve"> </w:t>
      </w:r>
      <w:r>
        <w:rPr>
          <w:rFonts w:ascii="Times New Roman" w:hAnsi="Times New Roman" w:cs="Times New Roman"/>
          <w:szCs w:val="24"/>
          <w:lang w:val="en-US"/>
        </w:rPr>
        <w:t xml:space="preserve">under </w:t>
      </w:r>
      <w:r w:rsidRPr="00623AC7">
        <w:rPr>
          <w:rFonts w:ascii="Times New Roman" w:hAnsi="Times New Roman" w:cs="Times New Roman"/>
          <w:szCs w:val="24"/>
          <w:lang w:val="en-US"/>
        </w:rPr>
        <w:t>laboratory conditions, w</w:t>
      </w:r>
      <w:r>
        <w:rPr>
          <w:rFonts w:ascii="Times New Roman" w:hAnsi="Times New Roman" w:cs="Times New Roman"/>
          <w:szCs w:val="24"/>
          <w:lang w:val="en-US"/>
        </w:rPr>
        <w:t>ith application of CA</w:t>
      </w:r>
      <w:r w:rsidRPr="00623AC7">
        <w:rPr>
          <w:rFonts w:ascii="Times New Roman" w:hAnsi="Times New Roman" w:cs="Times New Roman"/>
          <w:szCs w:val="24"/>
          <w:lang w:val="en-US"/>
        </w:rPr>
        <w:t xml:space="preserve"> at 5 and 50 </w:t>
      </w:r>
      <w:proofErr w:type="spellStart"/>
      <w:r w:rsidRPr="00623AC7">
        <w:rPr>
          <w:rFonts w:ascii="Times New Roman" w:hAnsi="Times New Roman" w:cs="Times New Roman"/>
          <w:szCs w:val="24"/>
          <w:lang w:val="en-US"/>
        </w:rPr>
        <w:t>mmol</w:t>
      </w:r>
      <w:proofErr w:type="spellEnd"/>
      <w:r w:rsidRPr="00623AC7">
        <w:rPr>
          <w:rFonts w:ascii="Times New Roman" w:hAnsi="Times New Roman" w:cs="Times New Roman"/>
          <w:szCs w:val="24"/>
          <w:lang w:val="en-US"/>
        </w:rPr>
        <w:t xml:space="preserve"> kg</w:t>
      </w:r>
      <w:r w:rsidRPr="00623AC7">
        <w:rPr>
          <w:rFonts w:ascii="Times New Roman" w:hAnsi="Times New Roman" w:cs="Times New Roman"/>
          <w:szCs w:val="24"/>
          <w:vertAlign w:val="superscript"/>
          <w:lang w:val="en-US"/>
        </w:rPr>
        <w:t>-1</w:t>
      </w:r>
      <w:r w:rsidRPr="00623AC7">
        <w:rPr>
          <w:rFonts w:ascii="Times New Roman" w:hAnsi="Times New Roman" w:cs="Times New Roman"/>
          <w:szCs w:val="24"/>
          <w:lang w:val="en-US"/>
        </w:rPr>
        <w:t xml:space="preserve"> one week before harvest. Letters </w:t>
      </w:r>
      <w:r>
        <w:rPr>
          <w:rFonts w:ascii="Times New Roman" w:hAnsi="Times New Roman" w:cs="Times New Roman"/>
          <w:szCs w:val="24"/>
          <w:lang w:val="en-US"/>
        </w:rPr>
        <w:t xml:space="preserve">denote </w:t>
      </w:r>
      <w:r w:rsidRPr="00623AC7">
        <w:rPr>
          <w:rFonts w:ascii="Times New Roman" w:hAnsi="Times New Roman" w:cs="Times New Roman"/>
          <w:szCs w:val="24"/>
          <w:lang w:val="en-US"/>
        </w:rPr>
        <w:t>homogenous groups according to the ANOVA</w:t>
      </w:r>
      <w:r>
        <w:rPr>
          <w:rFonts w:ascii="Times New Roman" w:hAnsi="Times New Roman" w:cs="Times New Roman"/>
          <w:szCs w:val="24"/>
          <w:lang w:val="en-US"/>
        </w:rPr>
        <w:t xml:space="preserve"> protocol</w:t>
      </w:r>
    </w:p>
    <w:p w:rsidR="00DB2133" w:rsidRDefault="002C4B1A" w:rsidP="00A86EBE">
      <w:pPr>
        <w:spacing w:after="0" w:line="480" w:lineRule="auto"/>
        <w:jc w:val="both"/>
        <w:rPr>
          <w:rFonts w:ascii="Times New Roman" w:hAnsi="Times New Roman" w:cs="Times New Roman"/>
          <w:szCs w:val="24"/>
          <w:lang w:val="en-US"/>
        </w:rPr>
      </w:pPr>
      <w:r w:rsidRPr="00982D5A">
        <w:rPr>
          <w:rFonts w:ascii="Times New Roman" w:hAnsi="Times New Roman" w:cs="Times New Roman"/>
          <w:b/>
          <w:noProof/>
          <w:sz w:val="24"/>
          <w:szCs w:val="24"/>
          <w:lang w:eastAsia="fr-FR"/>
        </w:rPr>
        <w:drawing>
          <wp:inline distT="0" distB="0" distL="0" distR="0">
            <wp:extent cx="2822057" cy="1847850"/>
            <wp:effectExtent l="0" t="0" r="0" b="0"/>
            <wp:docPr id="1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982D5A">
        <w:rPr>
          <w:rFonts w:ascii="Times New Roman" w:hAnsi="Times New Roman" w:cs="Times New Roman"/>
          <w:noProof/>
          <w:sz w:val="24"/>
          <w:szCs w:val="24"/>
          <w:lang w:eastAsia="fr-FR"/>
        </w:rPr>
        <w:drawing>
          <wp:inline distT="0" distB="0" distL="0" distR="0">
            <wp:extent cx="2834627" cy="1847850"/>
            <wp:effectExtent l="0" t="0" r="0" b="0"/>
            <wp:docPr id="11"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2133" w:rsidRPr="0075518D" w:rsidRDefault="00A86EBE" w:rsidP="00A86EBE">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w:t>
      </w:r>
      <w:r w:rsidR="00DB2133" w:rsidRPr="0075518D">
        <w:rPr>
          <w:rFonts w:ascii="Times New Roman" w:hAnsi="Times New Roman" w:cs="Times New Roman"/>
          <w:b/>
          <w:sz w:val="24"/>
          <w:szCs w:val="24"/>
          <w:lang w:val="en-US"/>
        </w:rPr>
        <w:t>able S1:</w:t>
      </w:r>
      <w:r w:rsidR="00DB2133" w:rsidRPr="0075518D">
        <w:rPr>
          <w:rFonts w:ascii="Times New Roman" w:hAnsi="Times New Roman" w:cs="Times New Roman"/>
          <w:sz w:val="24"/>
          <w:szCs w:val="24"/>
          <w:lang w:val="en-US"/>
        </w:rPr>
        <w:t xml:space="preserve"> </w:t>
      </w:r>
      <w:proofErr w:type="spellStart"/>
      <w:r w:rsidR="00DB2133" w:rsidRPr="0075518D">
        <w:rPr>
          <w:rFonts w:ascii="Times New Roman" w:hAnsi="Times New Roman" w:cs="Times New Roman"/>
          <w:sz w:val="24"/>
          <w:szCs w:val="24"/>
          <w:lang w:val="en-US"/>
        </w:rPr>
        <w:t>Physico</w:t>
      </w:r>
      <w:proofErr w:type="spellEnd"/>
      <w:r w:rsidR="00DB2133" w:rsidRPr="0075518D">
        <w:rPr>
          <w:rFonts w:ascii="Times New Roman" w:hAnsi="Times New Roman" w:cs="Times New Roman"/>
          <w:sz w:val="24"/>
          <w:szCs w:val="24"/>
          <w:lang w:val="en-US"/>
        </w:rPr>
        <w:t>-chemical characteristics of soils from both the "Eglantiers" and "Oblates" sites. Analyses were performed by the SADEF (France) and INRA (Arras, France) laboratories, both accredited by France's National Accreditation Authority (COFRAC).</w:t>
      </w:r>
    </w:p>
    <w:tbl>
      <w:tblPr>
        <w:tblStyle w:val="LightShading"/>
        <w:tblW w:w="0" w:type="auto"/>
        <w:tblLook w:val="04A0"/>
      </w:tblPr>
      <w:tblGrid>
        <w:gridCol w:w="1191"/>
        <w:gridCol w:w="943"/>
        <w:gridCol w:w="944"/>
        <w:gridCol w:w="943"/>
        <w:gridCol w:w="944"/>
        <w:gridCol w:w="1336"/>
        <w:gridCol w:w="1029"/>
        <w:gridCol w:w="989"/>
        <w:gridCol w:w="944"/>
      </w:tblGrid>
      <w:tr w:rsidR="00DB2133" w:rsidRPr="0075518D" w:rsidTr="00587A1F">
        <w:trPr>
          <w:cnfStyle w:val="100000000000"/>
        </w:trPr>
        <w:tc>
          <w:tcPr>
            <w:cnfStyle w:val="001000000000"/>
            <w:tcW w:w="1191" w:type="dxa"/>
            <w:shd w:val="clear" w:color="auto" w:fill="auto"/>
          </w:tcPr>
          <w:p w:rsidR="00DB2133" w:rsidRPr="0075518D" w:rsidRDefault="00DB2133" w:rsidP="00587A1F">
            <w:pPr>
              <w:rPr>
                <w:rFonts w:ascii="Times New Roman" w:hAnsi="Times New Roman" w:cs="Times New Roman"/>
                <w:b w:val="0"/>
                <w:sz w:val="24"/>
                <w:szCs w:val="24"/>
                <w:lang w:val="en-US"/>
              </w:rPr>
            </w:pPr>
          </w:p>
        </w:tc>
        <w:tc>
          <w:tcPr>
            <w:tcW w:w="943" w:type="dxa"/>
            <w:shd w:val="clear" w:color="auto" w:fill="auto"/>
          </w:tcPr>
          <w:p w:rsidR="00DB2133" w:rsidRPr="0075518D" w:rsidRDefault="00DB2133" w:rsidP="00587A1F">
            <w:pPr>
              <w:jc w:val="center"/>
              <w:cnfStyle w:val="100000000000"/>
              <w:rPr>
                <w:rFonts w:ascii="Times New Roman" w:hAnsi="Times New Roman" w:cs="Times New Roman"/>
                <w:b w:val="0"/>
                <w:sz w:val="24"/>
                <w:szCs w:val="24"/>
                <w:lang w:val="en-US"/>
              </w:rPr>
            </w:pPr>
            <w:r w:rsidRPr="0075518D">
              <w:rPr>
                <w:rFonts w:ascii="Times New Roman" w:hAnsi="Times New Roman" w:cs="Times New Roman"/>
                <w:b w:val="0"/>
                <w:sz w:val="24"/>
                <w:szCs w:val="24"/>
                <w:lang w:val="en-US"/>
              </w:rPr>
              <w:t>Clay (%)</w:t>
            </w:r>
          </w:p>
        </w:tc>
        <w:tc>
          <w:tcPr>
            <w:tcW w:w="944" w:type="dxa"/>
            <w:shd w:val="clear" w:color="auto" w:fill="auto"/>
          </w:tcPr>
          <w:p w:rsidR="00DB2133" w:rsidRPr="0075518D" w:rsidRDefault="00DB2133" w:rsidP="00587A1F">
            <w:pPr>
              <w:jc w:val="center"/>
              <w:cnfStyle w:val="100000000000"/>
              <w:rPr>
                <w:rFonts w:ascii="Times New Roman" w:hAnsi="Times New Roman" w:cs="Times New Roman"/>
                <w:b w:val="0"/>
                <w:sz w:val="24"/>
                <w:szCs w:val="24"/>
                <w:lang w:val="en-US"/>
              </w:rPr>
            </w:pPr>
            <w:r w:rsidRPr="0075518D">
              <w:rPr>
                <w:rFonts w:ascii="Times New Roman" w:hAnsi="Times New Roman" w:cs="Times New Roman"/>
                <w:b w:val="0"/>
                <w:sz w:val="24"/>
                <w:szCs w:val="24"/>
                <w:lang w:val="en-US"/>
              </w:rPr>
              <w:t>Sand (%)</w:t>
            </w:r>
          </w:p>
        </w:tc>
        <w:tc>
          <w:tcPr>
            <w:tcW w:w="943" w:type="dxa"/>
            <w:shd w:val="clear" w:color="auto" w:fill="auto"/>
          </w:tcPr>
          <w:p w:rsidR="00DB2133" w:rsidRPr="0075518D" w:rsidRDefault="00DB2133" w:rsidP="00587A1F">
            <w:pPr>
              <w:jc w:val="center"/>
              <w:cnfStyle w:val="100000000000"/>
              <w:rPr>
                <w:rFonts w:ascii="Times New Roman" w:hAnsi="Times New Roman" w:cs="Times New Roman"/>
                <w:b w:val="0"/>
                <w:sz w:val="24"/>
                <w:szCs w:val="24"/>
                <w:lang w:val="en-US"/>
              </w:rPr>
            </w:pPr>
            <w:r w:rsidRPr="0075518D">
              <w:rPr>
                <w:rFonts w:ascii="Times New Roman" w:hAnsi="Times New Roman" w:cs="Times New Roman"/>
                <w:b w:val="0"/>
                <w:sz w:val="24"/>
                <w:szCs w:val="24"/>
                <w:lang w:val="en-US"/>
              </w:rPr>
              <w:t>Silt (%)</w:t>
            </w:r>
          </w:p>
        </w:tc>
        <w:tc>
          <w:tcPr>
            <w:tcW w:w="944" w:type="dxa"/>
            <w:shd w:val="clear" w:color="auto" w:fill="auto"/>
          </w:tcPr>
          <w:p w:rsidR="00DB2133" w:rsidRPr="0075518D" w:rsidRDefault="00DB2133" w:rsidP="00587A1F">
            <w:pPr>
              <w:jc w:val="center"/>
              <w:cnfStyle w:val="100000000000"/>
              <w:rPr>
                <w:rFonts w:ascii="Times New Roman" w:hAnsi="Times New Roman" w:cs="Times New Roman"/>
                <w:b w:val="0"/>
                <w:sz w:val="24"/>
                <w:szCs w:val="24"/>
                <w:lang w:val="en-US"/>
              </w:rPr>
            </w:pPr>
            <w:r w:rsidRPr="0075518D">
              <w:rPr>
                <w:rFonts w:ascii="Times New Roman" w:hAnsi="Times New Roman" w:cs="Times New Roman"/>
                <w:b w:val="0"/>
                <w:sz w:val="24"/>
                <w:szCs w:val="24"/>
                <w:lang w:val="en-US"/>
              </w:rPr>
              <w:t>pH</w:t>
            </w:r>
          </w:p>
        </w:tc>
        <w:tc>
          <w:tcPr>
            <w:tcW w:w="1150" w:type="dxa"/>
            <w:shd w:val="clear" w:color="auto" w:fill="auto"/>
          </w:tcPr>
          <w:p w:rsidR="00DB2133" w:rsidRPr="0075518D" w:rsidRDefault="00DB2133" w:rsidP="00587A1F">
            <w:pPr>
              <w:jc w:val="center"/>
              <w:cnfStyle w:val="100000000000"/>
              <w:rPr>
                <w:rFonts w:ascii="Times New Roman" w:hAnsi="Times New Roman" w:cs="Times New Roman"/>
                <w:b w:val="0"/>
                <w:sz w:val="24"/>
                <w:szCs w:val="24"/>
                <w:lang w:val="en-US"/>
              </w:rPr>
            </w:pPr>
            <w:r w:rsidRPr="0075518D">
              <w:rPr>
                <w:rFonts w:ascii="Times New Roman" w:hAnsi="Times New Roman" w:cs="Times New Roman"/>
                <w:b w:val="0"/>
                <w:sz w:val="24"/>
                <w:szCs w:val="24"/>
                <w:lang w:val="en-US"/>
              </w:rPr>
              <w:t xml:space="preserve">CEC </w:t>
            </w:r>
            <w:proofErr w:type="spellStart"/>
            <w:r w:rsidRPr="0075518D">
              <w:rPr>
                <w:rFonts w:ascii="Times New Roman" w:hAnsi="Times New Roman" w:cs="Times New Roman"/>
                <w:b w:val="0"/>
                <w:sz w:val="24"/>
                <w:szCs w:val="24"/>
                <w:lang w:val="en-US"/>
              </w:rPr>
              <w:t>Metson</w:t>
            </w:r>
            <w:proofErr w:type="spellEnd"/>
          </w:p>
          <w:p w:rsidR="00DB2133" w:rsidRPr="0075518D" w:rsidRDefault="00DB2133" w:rsidP="00587A1F">
            <w:pPr>
              <w:jc w:val="center"/>
              <w:cnfStyle w:val="100000000000"/>
              <w:rPr>
                <w:rFonts w:ascii="Times New Roman" w:hAnsi="Times New Roman" w:cs="Times New Roman"/>
                <w:b w:val="0"/>
                <w:sz w:val="24"/>
                <w:szCs w:val="24"/>
                <w:lang w:val="en-US"/>
              </w:rPr>
            </w:pPr>
            <w:r w:rsidRPr="0075518D">
              <w:rPr>
                <w:rFonts w:ascii="Times New Roman" w:hAnsi="Times New Roman" w:cs="Times New Roman"/>
                <w:b w:val="0"/>
                <w:sz w:val="24"/>
                <w:szCs w:val="24"/>
                <w:lang w:val="en-US"/>
              </w:rPr>
              <w:t>(</w:t>
            </w:r>
            <w:proofErr w:type="spellStart"/>
            <w:r w:rsidRPr="0075518D">
              <w:rPr>
                <w:rFonts w:ascii="Times New Roman" w:hAnsi="Times New Roman" w:cs="Times New Roman"/>
                <w:b w:val="0"/>
                <w:sz w:val="24"/>
                <w:szCs w:val="24"/>
                <w:lang w:val="en-US"/>
              </w:rPr>
              <w:t>meq</w:t>
            </w:r>
            <w:proofErr w:type="spellEnd"/>
            <w:r w:rsidRPr="0075518D">
              <w:rPr>
                <w:rFonts w:ascii="Times New Roman" w:hAnsi="Times New Roman" w:cs="Times New Roman"/>
                <w:b w:val="0"/>
                <w:sz w:val="24"/>
                <w:szCs w:val="24"/>
                <w:lang w:val="en-US"/>
              </w:rPr>
              <w:t>/100g)</w:t>
            </w:r>
          </w:p>
        </w:tc>
        <w:tc>
          <w:tcPr>
            <w:tcW w:w="943" w:type="dxa"/>
            <w:shd w:val="clear" w:color="auto" w:fill="auto"/>
          </w:tcPr>
          <w:p w:rsidR="00DB2133" w:rsidRPr="0075518D" w:rsidRDefault="00DB2133" w:rsidP="00587A1F">
            <w:pPr>
              <w:jc w:val="center"/>
              <w:cnfStyle w:val="100000000000"/>
              <w:rPr>
                <w:rFonts w:ascii="Times New Roman" w:hAnsi="Times New Roman" w:cs="Times New Roman"/>
                <w:b w:val="0"/>
                <w:sz w:val="24"/>
                <w:szCs w:val="24"/>
                <w:lang w:val="en-US"/>
              </w:rPr>
            </w:pPr>
            <w:r w:rsidRPr="0075518D">
              <w:rPr>
                <w:rFonts w:ascii="Times New Roman" w:hAnsi="Times New Roman" w:cs="Times New Roman"/>
                <w:b w:val="0"/>
                <w:sz w:val="24"/>
                <w:szCs w:val="24"/>
                <w:lang w:val="en-US"/>
              </w:rPr>
              <w:t xml:space="preserve">Average total </w:t>
            </w:r>
            <w:proofErr w:type="spellStart"/>
            <w:r w:rsidRPr="0075518D">
              <w:rPr>
                <w:rFonts w:ascii="Times New Roman" w:hAnsi="Times New Roman" w:cs="Times New Roman"/>
                <w:b w:val="0"/>
                <w:sz w:val="24"/>
                <w:szCs w:val="24"/>
                <w:lang w:val="en-US"/>
              </w:rPr>
              <w:t>Pb</w:t>
            </w:r>
            <w:proofErr w:type="spellEnd"/>
            <w:r w:rsidRPr="0075518D">
              <w:rPr>
                <w:rFonts w:ascii="Times New Roman" w:hAnsi="Times New Roman" w:cs="Times New Roman"/>
                <w:b w:val="0"/>
                <w:sz w:val="24"/>
                <w:szCs w:val="24"/>
                <w:lang w:val="en-US"/>
              </w:rPr>
              <w:t xml:space="preserve"> (mg kg</w:t>
            </w:r>
            <w:r w:rsidRPr="0075518D">
              <w:rPr>
                <w:rFonts w:ascii="Times New Roman" w:hAnsi="Times New Roman" w:cs="Times New Roman"/>
                <w:b w:val="0"/>
                <w:sz w:val="24"/>
                <w:szCs w:val="24"/>
                <w:vertAlign w:val="superscript"/>
                <w:lang w:val="en-US"/>
              </w:rPr>
              <w:t>-1</w:t>
            </w:r>
            <w:r w:rsidRPr="0075518D">
              <w:rPr>
                <w:rFonts w:ascii="Times New Roman" w:hAnsi="Times New Roman" w:cs="Times New Roman"/>
                <w:b w:val="0"/>
                <w:sz w:val="24"/>
                <w:szCs w:val="24"/>
                <w:lang w:val="en-US"/>
              </w:rPr>
              <w:t>)</w:t>
            </w:r>
          </w:p>
        </w:tc>
        <w:tc>
          <w:tcPr>
            <w:tcW w:w="944" w:type="dxa"/>
            <w:shd w:val="clear" w:color="auto" w:fill="auto"/>
          </w:tcPr>
          <w:p w:rsidR="00DB2133" w:rsidRPr="0075518D" w:rsidRDefault="00DB2133" w:rsidP="00587A1F">
            <w:pPr>
              <w:jc w:val="center"/>
              <w:cnfStyle w:val="100000000000"/>
              <w:rPr>
                <w:rFonts w:ascii="Times New Roman" w:hAnsi="Times New Roman" w:cs="Times New Roman"/>
                <w:b w:val="0"/>
                <w:sz w:val="24"/>
                <w:szCs w:val="24"/>
                <w:lang w:val="en-US"/>
              </w:rPr>
            </w:pPr>
            <w:r w:rsidRPr="0075518D">
              <w:rPr>
                <w:rFonts w:ascii="Times New Roman" w:hAnsi="Times New Roman" w:cs="Times New Roman"/>
                <w:b w:val="0"/>
                <w:sz w:val="24"/>
                <w:szCs w:val="24"/>
                <w:lang w:val="en-US"/>
              </w:rPr>
              <w:t>Organic C (%)</w:t>
            </w:r>
          </w:p>
        </w:tc>
        <w:tc>
          <w:tcPr>
            <w:tcW w:w="944" w:type="dxa"/>
            <w:shd w:val="clear" w:color="auto" w:fill="auto"/>
          </w:tcPr>
          <w:p w:rsidR="00DB2133" w:rsidRPr="0075518D" w:rsidRDefault="00DB2133" w:rsidP="00587A1F">
            <w:pPr>
              <w:jc w:val="center"/>
              <w:cnfStyle w:val="100000000000"/>
              <w:rPr>
                <w:rFonts w:ascii="Times New Roman" w:hAnsi="Times New Roman" w:cs="Times New Roman"/>
                <w:b w:val="0"/>
                <w:sz w:val="24"/>
                <w:szCs w:val="24"/>
                <w:lang w:val="en-US"/>
              </w:rPr>
            </w:pPr>
            <w:r w:rsidRPr="0075518D">
              <w:rPr>
                <w:rFonts w:ascii="Times New Roman" w:hAnsi="Times New Roman" w:cs="Times New Roman"/>
                <w:b w:val="0"/>
                <w:sz w:val="24"/>
                <w:szCs w:val="24"/>
                <w:lang w:val="en-US"/>
              </w:rPr>
              <w:t xml:space="preserve">C/N ratio </w:t>
            </w:r>
          </w:p>
        </w:tc>
      </w:tr>
      <w:tr w:rsidR="00DB2133" w:rsidRPr="0075518D" w:rsidTr="00587A1F">
        <w:trPr>
          <w:cnfStyle w:val="000000100000"/>
        </w:trPr>
        <w:tc>
          <w:tcPr>
            <w:cnfStyle w:val="001000000000"/>
            <w:tcW w:w="1191" w:type="dxa"/>
            <w:shd w:val="clear" w:color="auto" w:fill="auto"/>
          </w:tcPr>
          <w:p w:rsidR="00DB2133" w:rsidRPr="0075518D" w:rsidRDefault="00DB2133" w:rsidP="00587A1F">
            <w:pPr>
              <w:rPr>
                <w:rFonts w:ascii="Times New Roman" w:hAnsi="Times New Roman" w:cs="Times New Roman"/>
                <w:b w:val="0"/>
                <w:sz w:val="24"/>
                <w:szCs w:val="24"/>
                <w:lang w:val="en-US"/>
              </w:rPr>
            </w:pPr>
            <w:r w:rsidRPr="0075518D">
              <w:rPr>
                <w:rFonts w:ascii="Times New Roman" w:hAnsi="Times New Roman" w:cs="Times New Roman"/>
                <w:b w:val="0"/>
                <w:sz w:val="24"/>
                <w:szCs w:val="24"/>
                <w:lang w:val="en-US"/>
              </w:rPr>
              <w:t>Eglantiers</w:t>
            </w:r>
          </w:p>
        </w:tc>
        <w:tc>
          <w:tcPr>
            <w:tcW w:w="943" w:type="dxa"/>
            <w:shd w:val="clear" w:color="auto" w:fill="auto"/>
          </w:tcPr>
          <w:p w:rsidR="00DB2133" w:rsidRPr="0075518D" w:rsidRDefault="00DB2133" w:rsidP="00587A1F">
            <w:pP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14.0</w:t>
            </w:r>
          </w:p>
        </w:tc>
        <w:tc>
          <w:tcPr>
            <w:tcW w:w="944" w:type="dxa"/>
            <w:shd w:val="clear" w:color="auto" w:fill="auto"/>
          </w:tcPr>
          <w:p w:rsidR="00DB2133" w:rsidRPr="0075518D" w:rsidRDefault="00DB2133" w:rsidP="00587A1F">
            <w:pP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57.4</w:t>
            </w:r>
          </w:p>
        </w:tc>
        <w:tc>
          <w:tcPr>
            <w:tcW w:w="943" w:type="dxa"/>
            <w:shd w:val="clear" w:color="auto" w:fill="auto"/>
          </w:tcPr>
          <w:p w:rsidR="00DB2133" w:rsidRPr="0075518D" w:rsidRDefault="00DB2133" w:rsidP="00587A1F">
            <w:pP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28.4</w:t>
            </w:r>
          </w:p>
        </w:tc>
        <w:tc>
          <w:tcPr>
            <w:tcW w:w="944" w:type="dxa"/>
            <w:shd w:val="clear" w:color="auto" w:fill="auto"/>
          </w:tcPr>
          <w:p w:rsidR="00DB2133" w:rsidRPr="0075518D" w:rsidRDefault="00DB2133" w:rsidP="00587A1F">
            <w:pP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7.3</w:t>
            </w:r>
          </w:p>
        </w:tc>
        <w:tc>
          <w:tcPr>
            <w:tcW w:w="1150" w:type="dxa"/>
            <w:shd w:val="clear" w:color="auto" w:fill="auto"/>
          </w:tcPr>
          <w:p w:rsidR="00DB2133" w:rsidRPr="0075518D" w:rsidRDefault="00DB2133" w:rsidP="00587A1F">
            <w:pP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8.7</w:t>
            </w:r>
          </w:p>
        </w:tc>
        <w:tc>
          <w:tcPr>
            <w:tcW w:w="943" w:type="dxa"/>
            <w:shd w:val="clear" w:color="auto" w:fill="auto"/>
          </w:tcPr>
          <w:p w:rsidR="00DB2133" w:rsidRPr="0075518D" w:rsidRDefault="00DB2133" w:rsidP="00587A1F">
            <w:pP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170</w:t>
            </w:r>
          </w:p>
        </w:tc>
        <w:tc>
          <w:tcPr>
            <w:tcW w:w="944" w:type="dxa"/>
            <w:shd w:val="clear" w:color="auto" w:fill="auto"/>
          </w:tcPr>
          <w:p w:rsidR="00DB2133" w:rsidRPr="0075518D" w:rsidRDefault="00DB2133" w:rsidP="00587A1F">
            <w:pP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2.1</w:t>
            </w:r>
          </w:p>
        </w:tc>
        <w:tc>
          <w:tcPr>
            <w:tcW w:w="944" w:type="dxa"/>
            <w:shd w:val="clear" w:color="auto" w:fill="auto"/>
          </w:tcPr>
          <w:p w:rsidR="00DB2133" w:rsidRPr="0075518D" w:rsidRDefault="00DB2133" w:rsidP="00587A1F">
            <w:pP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14.0</w:t>
            </w:r>
          </w:p>
        </w:tc>
      </w:tr>
      <w:tr w:rsidR="00DB2133" w:rsidRPr="0075518D" w:rsidTr="00587A1F">
        <w:tc>
          <w:tcPr>
            <w:cnfStyle w:val="001000000000"/>
            <w:tcW w:w="1191" w:type="dxa"/>
            <w:shd w:val="clear" w:color="auto" w:fill="auto"/>
          </w:tcPr>
          <w:p w:rsidR="00DB2133" w:rsidRPr="0075518D" w:rsidRDefault="00DB2133" w:rsidP="00587A1F">
            <w:pPr>
              <w:rPr>
                <w:rFonts w:ascii="Times New Roman" w:hAnsi="Times New Roman" w:cs="Times New Roman"/>
                <w:b w:val="0"/>
                <w:sz w:val="24"/>
                <w:szCs w:val="24"/>
                <w:lang w:val="en-US"/>
              </w:rPr>
            </w:pPr>
            <w:r w:rsidRPr="0075518D">
              <w:rPr>
                <w:rFonts w:ascii="Times New Roman" w:hAnsi="Times New Roman" w:cs="Times New Roman"/>
                <w:b w:val="0"/>
                <w:sz w:val="24"/>
                <w:szCs w:val="24"/>
                <w:lang w:val="en-US"/>
              </w:rPr>
              <w:t>Oblates</w:t>
            </w:r>
          </w:p>
        </w:tc>
        <w:tc>
          <w:tcPr>
            <w:tcW w:w="943" w:type="dxa"/>
            <w:shd w:val="clear" w:color="auto" w:fill="auto"/>
          </w:tcPr>
          <w:p w:rsidR="00DB2133" w:rsidRPr="0075518D" w:rsidRDefault="00DB2133" w:rsidP="00587A1F">
            <w:pP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9.5</w:t>
            </w:r>
          </w:p>
        </w:tc>
        <w:tc>
          <w:tcPr>
            <w:tcW w:w="944" w:type="dxa"/>
            <w:shd w:val="clear" w:color="auto" w:fill="auto"/>
          </w:tcPr>
          <w:p w:rsidR="00DB2133" w:rsidRPr="0075518D" w:rsidRDefault="00DB2133" w:rsidP="00587A1F">
            <w:pP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70.0</w:t>
            </w:r>
          </w:p>
        </w:tc>
        <w:tc>
          <w:tcPr>
            <w:tcW w:w="943" w:type="dxa"/>
            <w:shd w:val="clear" w:color="auto" w:fill="auto"/>
          </w:tcPr>
          <w:p w:rsidR="00DB2133" w:rsidRPr="0075518D" w:rsidRDefault="00DB2133" w:rsidP="00587A1F">
            <w:pP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20.4</w:t>
            </w:r>
          </w:p>
        </w:tc>
        <w:tc>
          <w:tcPr>
            <w:tcW w:w="944" w:type="dxa"/>
            <w:shd w:val="clear" w:color="auto" w:fill="auto"/>
          </w:tcPr>
          <w:p w:rsidR="00DB2133" w:rsidRPr="0075518D" w:rsidRDefault="00DB2133" w:rsidP="00587A1F">
            <w:pP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6.6</w:t>
            </w:r>
          </w:p>
        </w:tc>
        <w:tc>
          <w:tcPr>
            <w:tcW w:w="1150" w:type="dxa"/>
            <w:shd w:val="clear" w:color="auto" w:fill="auto"/>
          </w:tcPr>
          <w:p w:rsidR="00DB2133" w:rsidRPr="0075518D" w:rsidRDefault="00DB2133" w:rsidP="00587A1F">
            <w:pP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12.9</w:t>
            </w:r>
          </w:p>
        </w:tc>
        <w:tc>
          <w:tcPr>
            <w:tcW w:w="943" w:type="dxa"/>
            <w:shd w:val="clear" w:color="auto" w:fill="auto"/>
          </w:tcPr>
          <w:p w:rsidR="00DB2133" w:rsidRPr="0075518D" w:rsidRDefault="00DB2133" w:rsidP="00587A1F">
            <w:pP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171</w:t>
            </w:r>
          </w:p>
        </w:tc>
        <w:tc>
          <w:tcPr>
            <w:tcW w:w="944" w:type="dxa"/>
            <w:shd w:val="clear" w:color="auto" w:fill="auto"/>
          </w:tcPr>
          <w:p w:rsidR="00DB2133" w:rsidRPr="0075518D" w:rsidRDefault="00DB2133" w:rsidP="00587A1F">
            <w:pP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3.7</w:t>
            </w:r>
          </w:p>
        </w:tc>
        <w:tc>
          <w:tcPr>
            <w:tcW w:w="944" w:type="dxa"/>
            <w:shd w:val="clear" w:color="auto" w:fill="auto"/>
          </w:tcPr>
          <w:p w:rsidR="00DB2133" w:rsidRPr="0075518D" w:rsidRDefault="00DB2133" w:rsidP="00587A1F">
            <w:pP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14.4</w:t>
            </w:r>
          </w:p>
        </w:tc>
      </w:tr>
    </w:tbl>
    <w:p w:rsidR="00DB2133" w:rsidRDefault="00DB2133" w:rsidP="00DB2133">
      <w:pPr>
        <w:rPr>
          <w:lang w:val="en-US"/>
        </w:rPr>
      </w:pPr>
    </w:p>
    <w:p w:rsidR="002C4B1A" w:rsidRPr="0075518D" w:rsidRDefault="002C4B1A" w:rsidP="00A86EBE">
      <w:pPr>
        <w:spacing w:after="0" w:line="360" w:lineRule="auto"/>
        <w:jc w:val="both"/>
        <w:rPr>
          <w:rFonts w:ascii="Times New Roman" w:hAnsi="Times New Roman" w:cs="Times New Roman"/>
          <w:sz w:val="24"/>
          <w:szCs w:val="24"/>
          <w:lang w:val="en-US"/>
        </w:rPr>
      </w:pPr>
      <w:bookmarkStart w:id="0" w:name="_GoBack"/>
      <w:r w:rsidRPr="0075518D">
        <w:rPr>
          <w:rFonts w:ascii="Times New Roman" w:hAnsi="Times New Roman" w:cs="Times New Roman"/>
          <w:b/>
          <w:sz w:val="24"/>
          <w:szCs w:val="24"/>
          <w:lang w:val="en-US"/>
        </w:rPr>
        <w:t>Table S2:</w:t>
      </w:r>
      <w:r w:rsidRPr="0075518D">
        <w:rPr>
          <w:rFonts w:ascii="Times New Roman" w:hAnsi="Times New Roman" w:cs="Times New Roman"/>
          <w:sz w:val="24"/>
          <w:szCs w:val="24"/>
          <w:lang w:val="en-US"/>
        </w:rPr>
        <w:t xml:space="preserve"> Comparison of soil pH between field and laboratory conditions, at the end of each experiment, with or without </w:t>
      </w:r>
      <w:r w:rsidRPr="0075518D">
        <w:rPr>
          <w:rFonts w:ascii="Times New Roman" w:hAnsi="Times New Roman" w:cs="Times New Roman"/>
          <w:i/>
          <w:sz w:val="24"/>
          <w:szCs w:val="24"/>
          <w:lang w:val="en-US"/>
        </w:rPr>
        <w:t xml:space="preserve">F. </w:t>
      </w:r>
      <w:proofErr w:type="spellStart"/>
      <w:r w:rsidRPr="0075518D">
        <w:rPr>
          <w:rFonts w:ascii="Times New Roman" w:hAnsi="Times New Roman" w:cs="Times New Roman"/>
          <w:i/>
          <w:sz w:val="24"/>
          <w:szCs w:val="24"/>
          <w:lang w:val="en-US"/>
        </w:rPr>
        <w:t>esculentum</w:t>
      </w:r>
      <w:proofErr w:type="spellEnd"/>
      <w:r w:rsidRPr="0075518D">
        <w:rPr>
          <w:rFonts w:ascii="Times New Roman" w:hAnsi="Times New Roman" w:cs="Times New Roman"/>
          <w:sz w:val="24"/>
          <w:szCs w:val="24"/>
          <w:lang w:val="en-US"/>
        </w:rPr>
        <w:t xml:space="preserve"> cultivars and with or without citric acid (CA) at both sites (Eglantiers and Oblates). Letters denote homogenous groups according to the ANOVA protocol.</w:t>
      </w:r>
    </w:p>
    <w:tbl>
      <w:tblPr>
        <w:tblStyle w:val="LightShading"/>
        <w:tblW w:w="0" w:type="auto"/>
        <w:tblLook w:val="04A0"/>
      </w:tblPr>
      <w:tblGrid>
        <w:gridCol w:w="1403"/>
        <w:gridCol w:w="1362"/>
        <w:gridCol w:w="1066"/>
        <w:gridCol w:w="1052"/>
        <w:gridCol w:w="1075"/>
        <w:gridCol w:w="1176"/>
        <w:gridCol w:w="1066"/>
        <w:gridCol w:w="1088"/>
      </w:tblGrid>
      <w:tr w:rsidR="002C4B1A" w:rsidRPr="0075518D" w:rsidTr="00587A1F">
        <w:trPr>
          <w:cnfStyle w:val="100000000000"/>
        </w:trPr>
        <w:tc>
          <w:tcPr>
            <w:cnfStyle w:val="001000000000"/>
            <w:tcW w:w="1206" w:type="dxa"/>
            <w:tcBorders>
              <w:bottom w:val="single" w:sz="4" w:space="0" w:color="auto"/>
            </w:tcBorders>
            <w:shd w:val="clear" w:color="auto" w:fill="auto"/>
          </w:tcPr>
          <w:p w:rsidR="002C4B1A" w:rsidRPr="0075518D" w:rsidRDefault="002C4B1A" w:rsidP="00587A1F">
            <w:pPr>
              <w:jc w:val="center"/>
              <w:rPr>
                <w:rFonts w:ascii="Times New Roman" w:hAnsi="Times New Roman" w:cs="Times New Roman"/>
                <w:sz w:val="24"/>
                <w:szCs w:val="24"/>
                <w:lang w:val="en-US"/>
              </w:rPr>
            </w:pPr>
            <w:r w:rsidRPr="0075518D">
              <w:rPr>
                <w:rFonts w:ascii="Times New Roman" w:hAnsi="Times New Roman" w:cs="Times New Roman"/>
                <w:sz w:val="24"/>
                <w:szCs w:val="24"/>
                <w:lang w:val="en-US"/>
              </w:rPr>
              <w:t>pH</w:t>
            </w:r>
          </w:p>
        </w:tc>
        <w:tc>
          <w:tcPr>
            <w:tcW w:w="1397" w:type="dxa"/>
            <w:tcBorders>
              <w:bottom w:val="single" w:sz="4" w:space="0" w:color="auto"/>
            </w:tcBorders>
            <w:shd w:val="clear" w:color="auto" w:fill="auto"/>
          </w:tcPr>
          <w:p w:rsidR="002C4B1A" w:rsidRPr="0075518D" w:rsidRDefault="002C4B1A" w:rsidP="00587A1F">
            <w:pPr>
              <w:jc w:val="center"/>
              <w:cnfStyle w:val="100000000000"/>
              <w:rPr>
                <w:rFonts w:ascii="Times New Roman" w:hAnsi="Times New Roman" w:cs="Times New Roman"/>
                <w:sz w:val="24"/>
                <w:szCs w:val="24"/>
                <w:lang w:val="en-US"/>
              </w:rPr>
            </w:pPr>
          </w:p>
        </w:tc>
        <w:tc>
          <w:tcPr>
            <w:tcW w:w="3279" w:type="dxa"/>
            <w:gridSpan w:val="3"/>
            <w:tcBorders>
              <w:bottom w:val="single" w:sz="4" w:space="0" w:color="auto"/>
            </w:tcBorders>
            <w:shd w:val="clear" w:color="auto" w:fill="auto"/>
          </w:tcPr>
          <w:p w:rsidR="002C4B1A" w:rsidRPr="0075518D" w:rsidRDefault="002C4B1A" w:rsidP="00587A1F">
            <w:pPr>
              <w:jc w:val="center"/>
              <w:cnfStyle w:val="100000000000"/>
              <w:rPr>
                <w:rFonts w:ascii="Times New Roman" w:hAnsi="Times New Roman" w:cs="Times New Roman"/>
                <w:sz w:val="24"/>
                <w:szCs w:val="24"/>
                <w:lang w:val="en-US"/>
              </w:rPr>
            </w:pPr>
            <w:r w:rsidRPr="0075518D">
              <w:rPr>
                <w:rFonts w:ascii="Times New Roman" w:hAnsi="Times New Roman" w:cs="Times New Roman"/>
                <w:sz w:val="24"/>
                <w:szCs w:val="24"/>
                <w:lang w:val="en-US"/>
              </w:rPr>
              <w:t>Eglantiers</w:t>
            </w:r>
          </w:p>
        </w:tc>
        <w:tc>
          <w:tcPr>
            <w:tcW w:w="3406" w:type="dxa"/>
            <w:gridSpan w:val="3"/>
            <w:tcBorders>
              <w:bottom w:val="single" w:sz="4" w:space="0" w:color="auto"/>
            </w:tcBorders>
            <w:shd w:val="clear" w:color="auto" w:fill="auto"/>
          </w:tcPr>
          <w:p w:rsidR="002C4B1A" w:rsidRPr="0075518D" w:rsidRDefault="002C4B1A" w:rsidP="00587A1F">
            <w:pPr>
              <w:jc w:val="center"/>
              <w:cnfStyle w:val="100000000000"/>
              <w:rPr>
                <w:rFonts w:ascii="Times New Roman" w:hAnsi="Times New Roman" w:cs="Times New Roman"/>
                <w:sz w:val="24"/>
                <w:szCs w:val="24"/>
                <w:lang w:val="en-US"/>
              </w:rPr>
            </w:pPr>
            <w:r w:rsidRPr="0075518D">
              <w:rPr>
                <w:rFonts w:ascii="Times New Roman" w:hAnsi="Times New Roman" w:cs="Times New Roman"/>
                <w:sz w:val="24"/>
                <w:szCs w:val="24"/>
                <w:lang w:val="en-US"/>
              </w:rPr>
              <w:t>Oblates</w:t>
            </w:r>
          </w:p>
        </w:tc>
      </w:tr>
      <w:tr w:rsidR="002C4B1A" w:rsidRPr="0075518D" w:rsidTr="00587A1F">
        <w:trPr>
          <w:cnfStyle w:val="000000100000"/>
          <w:trHeight w:val="301"/>
        </w:trPr>
        <w:tc>
          <w:tcPr>
            <w:cnfStyle w:val="001000000000"/>
            <w:tcW w:w="1206" w:type="dxa"/>
            <w:tcBorders>
              <w:top w:val="single" w:sz="4" w:space="0" w:color="auto"/>
              <w:bottom w:val="single" w:sz="4" w:space="0" w:color="auto"/>
            </w:tcBorders>
            <w:shd w:val="clear" w:color="auto" w:fill="auto"/>
          </w:tcPr>
          <w:p w:rsidR="002C4B1A" w:rsidRPr="0075518D" w:rsidRDefault="002C4B1A" w:rsidP="00587A1F">
            <w:pPr>
              <w:jc w:val="center"/>
              <w:rPr>
                <w:rFonts w:ascii="Times New Roman" w:hAnsi="Times New Roman" w:cs="Times New Roman"/>
                <w:sz w:val="24"/>
                <w:szCs w:val="24"/>
                <w:lang w:val="en-US"/>
              </w:rPr>
            </w:pPr>
          </w:p>
        </w:tc>
        <w:tc>
          <w:tcPr>
            <w:tcW w:w="1397" w:type="dxa"/>
            <w:tcBorders>
              <w:top w:val="single" w:sz="4" w:space="0" w:color="auto"/>
              <w:bottom w:val="single" w:sz="4" w:space="0" w:color="auto"/>
            </w:tcBorders>
            <w:shd w:val="clear" w:color="auto" w:fill="auto"/>
          </w:tcPr>
          <w:p w:rsidR="002C4B1A" w:rsidRPr="0075518D" w:rsidRDefault="002C4B1A" w:rsidP="00587A1F">
            <w:pPr>
              <w:keepNext/>
              <w:keepLines/>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CA (</w:t>
            </w:r>
            <w:proofErr w:type="spellStart"/>
            <w:r w:rsidRPr="0075518D">
              <w:rPr>
                <w:rFonts w:ascii="Times New Roman" w:hAnsi="Times New Roman" w:cs="Times New Roman"/>
                <w:sz w:val="24"/>
                <w:szCs w:val="24"/>
                <w:lang w:val="en-US"/>
              </w:rPr>
              <w:t>mmol</w:t>
            </w:r>
            <w:proofErr w:type="spellEnd"/>
            <w:r w:rsidRPr="0075518D">
              <w:rPr>
                <w:rFonts w:ascii="Times New Roman" w:hAnsi="Times New Roman" w:cs="Times New Roman"/>
                <w:sz w:val="24"/>
                <w:szCs w:val="24"/>
                <w:lang w:val="en-US"/>
              </w:rPr>
              <w:t xml:space="preserve"> kg</w:t>
            </w:r>
            <w:r w:rsidRPr="0075518D">
              <w:rPr>
                <w:rFonts w:ascii="Times New Roman" w:hAnsi="Times New Roman" w:cs="Times New Roman"/>
                <w:sz w:val="24"/>
                <w:szCs w:val="24"/>
                <w:vertAlign w:val="superscript"/>
                <w:lang w:val="en-US"/>
              </w:rPr>
              <w:t>-1</w:t>
            </w:r>
            <w:r w:rsidRPr="0075518D">
              <w:rPr>
                <w:rFonts w:ascii="Times New Roman" w:hAnsi="Times New Roman" w:cs="Times New Roman"/>
                <w:sz w:val="24"/>
                <w:szCs w:val="24"/>
                <w:lang w:val="en-US"/>
              </w:rPr>
              <w:t>)</w:t>
            </w:r>
          </w:p>
        </w:tc>
        <w:tc>
          <w:tcPr>
            <w:tcW w:w="1095" w:type="dxa"/>
            <w:tcBorders>
              <w:top w:val="single" w:sz="4" w:space="0" w:color="auto"/>
              <w:bottom w:val="single" w:sz="4" w:space="0" w:color="auto"/>
            </w:tcBorders>
            <w:shd w:val="clear" w:color="auto" w:fill="auto"/>
          </w:tcPr>
          <w:p w:rsidR="002C4B1A" w:rsidRPr="0075518D" w:rsidRDefault="002C4B1A" w:rsidP="00587A1F">
            <w:pPr>
              <w:keepNext/>
              <w:keepLines/>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0</w:t>
            </w:r>
          </w:p>
        </w:tc>
        <w:tc>
          <w:tcPr>
            <w:tcW w:w="1080" w:type="dxa"/>
            <w:tcBorders>
              <w:top w:val="single" w:sz="4" w:space="0" w:color="auto"/>
              <w:bottom w:val="single" w:sz="4" w:space="0" w:color="auto"/>
            </w:tcBorders>
            <w:shd w:val="clear" w:color="auto" w:fill="auto"/>
          </w:tcPr>
          <w:p w:rsidR="002C4B1A" w:rsidRPr="0075518D" w:rsidRDefault="002C4B1A" w:rsidP="00587A1F">
            <w:pPr>
              <w:keepNext/>
              <w:keepLines/>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5</w:t>
            </w:r>
          </w:p>
        </w:tc>
        <w:tc>
          <w:tcPr>
            <w:tcW w:w="1104" w:type="dxa"/>
            <w:tcBorders>
              <w:top w:val="single" w:sz="4" w:space="0" w:color="auto"/>
              <w:bottom w:val="single" w:sz="4" w:space="0" w:color="auto"/>
            </w:tcBorders>
            <w:shd w:val="clear" w:color="auto" w:fill="auto"/>
          </w:tcPr>
          <w:p w:rsidR="002C4B1A" w:rsidRPr="0075518D" w:rsidRDefault="002C4B1A" w:rsidP="00587A1F">
            <w:pPr>
              <w:keepNext/>
              <w:keepLines/>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50</w:t>
            </w:r>
          </w:p>
        </w:tc>
        <w:tc>
          <w:tcPr>
            <w:tcW w:w="1207" w:type="dxa"/>
            <w:tcBorders>
              <w:top w:val="single" w:sz="4" w:space="0" w:color="auto"/>
              <w:bottom w:val="single" w:sz="4" w:space="0" w:color="auto"/>
            </w:tcBorders>
            <w:shd w:val="clear" w:color="auto" w:fill="auto"/>
          </w:tcPr>
          <w:p w:rsidR="002C4B1A" w:rsidRPr="0075518D" w:rsidRDefault="002C4B1A" w:rsidP="00587A1F">
            <w:pPr>
              <w:keepNext/>
              <w:keepLines/>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0</w:t>
            </w:r>
          </w:p>
        </w:tc>
        <w:tc>
          <w:tcPr>
            <w:tcW w:w="1088" w:type="dxa"/>
            <w:tcBorders>
              <w:top w:val="single" w:sz="4" w:space="0" w:color="auto"/>
              <w:bottom w:val="single" w:sz="4" w:space="0" w:color="auto"/>
            </w:tcBorders>
            <w:shd w:val="clear" w:color="auto" w:fill="auto"/>
          </w:tcPr>
          <w:p w:rsidR="002C4B1A" w:rsidRPr="0075518D" w:rsidRDefault="002C4B1A" w:rsidP="00587A1F">
            <w:pPr>
              <w:keepNext/>
              <w:keepLines/>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5</w:t>
            </w:r>
          </w:p>
        </w:tc>
        <w:tc>
          <w:tcPr>
            <w:tcW w:w="1111" w:type="dxa"/>
            <w:tcBorders>
              <w:top w:val="single" w:sz="4" w:space="0" w:color="auto"/>
              <w:bottom w:val="single" w:sz="4" w:space="0" w:color="auto"/>
            </w:tcBorders>
            <w:shd w:val="clear" w:color="auto" w:fill="auto"/>
          </w:tcPr>
          <w:p w:rsidR="002C4B1A" w:rsidRPr="0075518D" w:rsidRDefault="002C4B1A" w:rsidP="00587A1F">
            <w:pPr>
              <w:keepNext/>
              <w:keepLines/>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50</w:t>
            </w:r>
          </w:p>
        </w:tc>
      </w:tr>
      <w:tr w:rsidR="002C4B1A" w:rsidRPr="0075518D" w:rsidTr="00587A1F">
        <w:trPr>
          <w:trHeight w:val="283"/>
        </w:trPr>
        <w:tc>
          <w:tcPr>
            <w:cnfStyle w:val="001000000000"/>
            <w:tcW w:w="1206" w:type="dxa"/>
            <w:vMerge w:val="restart"/>
            <w:tcBorders>
              <w:top w:val="single" w:sz="4" w:space="0" w:color="auto"/>
            </w:tcBorders>
            <w:shd w:val="clear" w:color="auto" w:fill="auto"/>
            <w:vAlign w:val="center"/>
          </w:tcPr>
          <w:p w:rsidR="002C4B1A" w:rsidRPr="0075518D" w:rsidRDefault="002C4B1A" w:rsidP="00587A1F">
            <w:pPr>
              <w:jc w:val="center"/>
              <w:rPr>
                <w:rFonts w:ascii="Times New Roman" w:hAnsi="Times New Roman" w:cs="Times New Roman"/>
                <w:sz w:val="24"/>
                <w:szCs w:val="24"/>
                <w:lang w:val="en-US"/>
              </w:rPr>
            </w:pPr>
            <w:r w:rsidRPr="0075518D">
              <w:rPr>
                <w:rFonts w:ascii="Times New Roman" w:hAnsi="Times New Roman" w:cs="Times New Roman"/>
                <w:sz w:val="24"/>
                <w:szCs w:val="24"/>
                <w:lang w:val="en-US"/>
              </w:rPr>
              <w:t>Field</w:t>
            </w:r>
          </w:p>
        </w:tc>
        <w:tc>
          <w:tcPr>
            <w:tcW w:w="1397" w:type="dxa"/>
            <w:tcBorders>
              <w:top w:val="single" w:sz="4" w:space="0" w:color="auto"/>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No plants</w:t>
            </w:r>
          </w:p>
        </w:tc>
        <w:tc>
          <w:tcPr>
            <w:tcW w:w="1095" w:type="dxa"/>
            <w:tcBorders>
              <w:top w:val="single" w:sz="4" w:space="0" w:color="auto"/>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7.40</w:t>
            </w:r>
            <w:r w:rsidRPr="0075518D">
              <w:rPr>
                <w:rFonts w:ascii="Times New Roman" w:hAnsi="Times New Roman" w:cs="Times New Roman"/>
                <w:sz w:val="24"/>
                <w:szCs w:val="24"/>
                <w:vertAlign w:val="superscript"/>
                <w:lang w:val="en-US"/>
              </w:rPr>
              <w:t>a</w:t>
            </w:r>
          </w:p>
        </w:tc>
        <w:tc>
          <w:tcPr>
            <w:tcW w:w="1080" w:type="dxa"/>
            <w:tcBorders>
              <w:top w:val="single" w:sz="4" w:space="0" w:color="auto"/>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p>
        </w:tc>
        <w:tc>
          <w:tcPr>
            <w:tcW w:w="1104" w:type="dxa"/>
            <w:tcBorders>
              <w:top w:val="single" w:sz="4" w:space="0" w:color="auto"/>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p>
        </w:tc>
        <w:tc>
          <w:tcPr>
            <w:tcW w:w="1207" w:type="dxa"/>
            <w:tcBorders>
              <w:top w:val="single" w:sz="4" w:space="0" w:color="auto"/>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p>
        </w:tc>
        <w:tc>
          <w:tcPr>
            <w:tcW w:w="1088" w:type="dxa"/>
            <w:tcBorders>
              <w:top w:val="single" w:sz="4" w:space="0" w:color="auto"/>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p>
        </w:tc>
        <w:tc>
          <w:tcPr>
            <w:tcW w:w="1111" w:type="dxa"/>
            <w:tcBorders>
              <w:top w:val="single" w:sz="4" w:space="0" w:color="auto"/>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p>
        </w:tc>
      </w:tr>
      <w:tr w:rsidR="002C4B1A" w:rsidRPr="0075518D" w:rsidTr="00587A1F">
        <w:trPr>
          <w:cnfStyle w:val="000000100000"/>
          <w:trHeight w:val="283"/>
        </w:trPr>
        <w:tc>
          <w:tcPr>
            <w:cnfStyle w:val="001000000000"/>
            <w:tcW w:w="1206" w:type="dxa"/>
            <w:vMerge/>
            <w:tcBorders>
              <w:bottom w:val="single" w:sz="8" w:space="0" w:color="000000" w:themeColor="text1"/>
            </w:tcBorders>
            <w:shd w:val="clear" w:color="auto" w:fill="auto"/>
          </w:tcPr>
          <w:p w:rsidR="002C4B1A" w:rsidRPr="0075518D" w:rsidRDefault="002C4B1A" w:rsidP="00587A1F">
            <w:pPr>
              <w:jc w:val="center"/>
              <w:rPr>
                <w:rFonts w:ascii="Times New Roman" w:hAnsi="Times New Roman" w:cs="Times New Roman"/>
                <w:sz w:val="24"/>
                <w:szCs w:val="24"/>
                <w:lang w:val="en-US"/>
              </w:rPr>
            </w:pPr>
          </w:p>
        </w:tc>
        <w:tc>
          <w:tcPr>
            <w:tcW w:w="1397" w:type="dxa"/>
            <w:tcBorders>
              <w:top w:val="single" w:sz="4" w:space="0" w:color="auto"/>
              <w:bottom w:val="single" w:sz="8" w:space="0" w:color="000000" w:themeColor="text1"/>
            </w:tcBorders>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 xml:space="preserve">La </w:t>
            </w:r>
            <w:proofErr w:type="spellStart"/>
            <w:r w:rsidRPr="0075518D">
              <w:rPr>
                <w:rFonts w:ascii="Times New Roman" w:hAnsi="Times New Roman" w:cs="Times New Roman"/>
                <w:sz w:val="24"/>
                <w:szCs w:val="24"/>
                <w:lang w:val="en-US"/>
              </w:rPr>
              <w:t>Harpe</w:t>
            </w:r>
            <w:proofErr w:type="spellEnd"/>
          </w:p>
        </w:tc>
        <w:tc>
          <w:tcPr>
            <w:tcW w:w="1095" w:type="dxa"/>
            <w:tcBorders>
              <w:top w:val="single" w:sz="4" w:space="0" w:color="auto"/>
              <w:bottom w:val="single" w:sz="8" w:space="0" w:color="000000" w:themeColor="text1"/>
            </w:tcBorders>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7.36</w:t>
            </w:r>
            <w:r w:rsidRPr="0075518D">
              <w:rPr>
                <w:rFonts w:ascii="Times New Roman" w:hAnsi="Times New Roman" w:cs="Times New Roman"/>
                <w:sz w:val="24"/>
                <w:szCs w:val="24"/>
                <w:vertAlign w:val="superscript"/>
                <w:lang w:val="en-US"/>
              </w:rPr>
              <w:t>a</w:t>
            </w:r>
          </w:p>
        </w:tc>
        <w:tc>
          <w:tcPr>
            <w:tcW w:w="1080" w:type="dxa"/>
            <w:tcBorders>
              <w:top w:val="single" w:sz="4" w:space="0" w:color="auto"/>
              <w:bottom w:val="single" w:sz="8" w:space="0" w:color="000000" w:themeColor="text1"/>
            </w:tcBorders>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7.42</w:t>
            </w:r>
            <w:r w:rsidRPr="0075518D">
              <w:rPr>
                <w:rFonts w:ascii="Times New Roman" w:hAnsi="Times New Roman" w:cs="Times New Roman"/>
                <w:sz w:val="24"/>
                <w:szCs w:val="24"/>
                <w:vertAlign w:val="superscript"/>
                <w:lang w:val="en-US"/>
              </w:rPr>
              <w:t>a</w:t>
            </w:r>
          </w:p>
        </w:tc>
        <w:tc>
          <w:tcPr>
            <w:tcW w:w="1104" w:type="dxa"/>
            <w:tcBorders>
              <w:top w:val="single" w:sz="4" w:space="0" w:color="auto"/>
              <w:bottom w:val="single" w:sz="8" w:space="0" w:color="000000" w:themeColor="text1"/>
            </w:tcBorders>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w:t>
            </w:r>
          </w:p>
        </w:tc>
        <w:tc>
          <w:tcPr>
            <w:tcW w:w="1207" w:type="dxa"/>
            <w:tcBorders>
              <w:top w:val="single" w:sz="4" w:space="0" w:color="auto"/>
              <w:bottom w:val="single" w:sz="8" w:space="0" w:color="000000" w:themeColor="text1"/>
            </w:tcBorders>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w:t>
            </w:r>
          </w:p>
        </w:tc>
        <w:tc>
          <w:tcPr>
            <w:tcW w:w="1088" w:type="dxa"/>
            <w:tcBorders>
              <w:top w:val="single" w:sz="4" w:space="0" w:color="auto"/>
              <w:bottom w:val="single" w:sz="8" w:space="0" w:color="000000" w:themeColor="text1"/>
            </w:tcBorders>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w:t>
            </w:r>
          </w:p>
        </w:tc>
        <w:tc>
          <w:tcPr>
            <w:tcW w:w="1111" w:type="dxa"/>
            <w:tcBorders>
              <w:top w:val="single" w:sz="4" w:space="0" w:color="auto"/>
              <w:bottom w:val="single" w:sz="8" w:space="0" w:color="000000" w:themeColor="text1"/>
            </w:tcBorders>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w:t>
            </w:r>
          </w:p>
        </w:tc>
      </w:tr>
      <w:tr w:rsidR="002C4B1A" w:rsidRPr="0075518D" w:rsidTr="00587A1F">
        <w:trPr>
          <w:trHeight w:val="283"/>
        </w:trPr>
        <w:tc>
          <w:tcPr>
            <w:cnfStyle w:val="001000000000"/>
            <w:tcW w:w="1206" w:type="dxa"/>
            <w:vMerge w:val="restart"/>
            <w:tcBorders>
              <w:top w:val="single" w:sz="4" w:space="0" w:color="auto"/>
            </w:tcBorders>
            <w:shd w:val="clear" w:color="auto" w:fill="auto"/>
            <w:vAlign w:val="center"/>
          </w:tcPr>
          <w:p w:rsidR="002C4B1A" w:rsidRPr="0075518D" w:rsidRDefault="002C4B1A" w:rsidP="00587A1F">
            <w:pPr>
              <w:jc w:val="center"/>
              <w:rPr>
                <w:rFonts w:ascii="Times New Roman" w:hAnsi="Times New Roman" w:cs="Times New Roman"/>
                <w:sz w:val="24"/>
                <w:szCs w:val="24"/>
                <w:lang w:val="en-US"/>
              </w:rPr>
            </w:pPr>
            <w:r w:rsidRPr="0075518D">
              <w:rPr>
                <w:rFonts w:ascii="Times New Roman" w:hAnsi="Times New Roman" w:cs="Times New Roman"/>
                <w:sz w:val="24"/>
                <w:szCs w:val="24"/>
                <w:lang w:val="en-US"/>
              </w:rPr>
              <w:t>Laboratory</w:t>
            </w:r>
          </w:p>
        </w:tc>
        <w:tc>
          <w:tcPr>
            <w:tcW w:w="1397" w:type="dxa"/>
            <w:tcBorders>
              <w:top w:val="single" w:sz="4" w:space="0" w:color="auto"/>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No plants</w:t>
            </w:r>
          </w:p>
        </w:tc>
        <w:tc>
          <w:tcPr>
            <w:tcW w:w="1095" w:type="dxa"/>
            <w:tcBorders>
              <w:top w:val="single" w:sz="4" w:space="0" w:color="auto"/>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7.34</w:t>
            </w:r>
            <w:r w:rsidRPr="0075518D">
              <w:rPr>
                <w:rFonts w:ascii="Times New Roman" w:hAnsi="Times New Roman" w:cs="Times New Roman"/>
                <w:sz w:val="24"/>
                <w:szCs w:val="24"/>
                <w:vertAlign w:val="superscript"/>
                <w:lang w:val="en-US"/>
              </w:rPr>
              <w:t>a</w:t>
            </w:r>
          </w:p>
        </w:tc>
        <w:tc>
          <w:tcPr>
            <w:tcW w:w="1080" w:type="dxa"/>
            <w:tcBorders>
              <w:top w:val="single" w:sz="4" w:space="0" w:color="auto"/>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7.54</w:t>
            </w:r>
            <w:r w:rsidRPr="0075518D">
              <w:rPr>
                <w:rFonts w:ascii="Times New Roman" w:hAnsi="Times New Roman" w:cs="Times New Roman"/>
                <w:sz w:val="24"/>
                <w:szCs w:val="24"/>
                <w:vertAlign w:val="superscript"/>
                <w:lang w:val="en-US"/>
              </w:rPr>
              <w:t>a</w:t>
            </w:r>
          </w:p>
        </w:tc>
        <w:tc>
          <w:tcPr>
            <w:tcW w:w="1104" w:type="dxa"/>
            <w:tcBorders>
              <w:top w:val="single" w:sz="4" w:space="0" w:color="auto"/>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4.65</w:t>
            </w:r>
            <w:r w:rsidRPr="0075518D">
              <w:rPr>
                <w:rFonts w:ascii="Times New Roman" w:hAnsi="Times New Roman" w:cs="Times New Roman"/>
                <w:sz w:val="24"/>
                <w:szCs w:val="24"/>
                <w:vertAlign w:val="superscript"/>
                <w:lang w:val="en-US"/>
              </w:rPr>
              <w:t>b</w:t>
            </w:r>
          </w:p>
        </w:tc>
        <w:tc>
          <w:tcPr>
            <w:tcW w:w="1207" w:type="dxa"/>
            <w:tcBorders>
              <w:top w:val="single" w:sz="4" w:space="0" w:color="auto"/>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6.64</w:t>
            </w:r>
            <w:r w:rsidRPr="0075518D">
              <w:rPr>
                <w:rFonts w:ascii="Times New Roman" w:hAnsi="Times New Roman" w:cs="Times New Roman"/>
                <w:sz w:val="24"/>
                <w:szCs w:val="24"/>
                <w:vertAlign w:val="superscript"/>
                <w:lang w:val="en-US"/>
              </w:rPr>
              <w:t>a</w:t>
            </w:r>
            <w:r w:rsidRPr="0075518D">
              <w:rPr>
                <w:rFonts w:ascii="Times New Roman" w:hAnsi="Times New Roman" w:cs="Times New Roman"/>
                <w:sz w:val="24"/>
                <w:szCs w:val="24"/>
                <w:lang w:val="en-US"/>
              </w:rPr>
              <w:t>’</w:t>
            </w:r>
          </w:p>
        </w:tc>
        <w:tc>
          <w:tcPr>
            <w:tcW w:w="1088" w:type="dxa"/>
            <w:tcBorders>
              <w:top w:val="single" w:sz="4" w:space="0" w:color="auto"/>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6.69</w:t>
            </w:r>
            <w:r w:rsidRPr="0075518D">
              <w:rPr>
                <w:rFonts w:ascii="Times New Roman" w:hAnsi="Times New Roman" w:cs="Times New Roman"/>
                <w:sz w:val="24"/>
                <w:szCs w:val="24"/>
                <w:vertAlign w:val="superscript"/>
                <w:lang w:val="en-US"/>
              </w:rPr>
              <w:t>a</w:t>
            </w:r>
            <w:r w:rsidRPr="0075518D">
              <w:rPr>
                <w:rFonts w:ascii="Times New Roman" w:hAnsi="Times New Roman" w:cs="Times New Roman"/>
                <w:sz w:val="24"/>
                <w:szCs w:val="24"/>
                <w:lang w:val="en-US"/>
              </w:rPr>
              <w:t>’</w:t>
            </w:r>
          </w:p>
        </w:tc>
        <w:tc>
          <w:tcPr>
            <w:tcW w:w="1111" w:type="dxa"/>
            <w:tcBorders>
              <w:top w:val="single" w:sz="4" w:space="0" w:color="auto"/>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4.12</w:t>
            </w:r>
            <w:r w:rsidRPr="0075518D">
              <w:rPr>
                <w:rFonts w:ascii="Times New Roman" w:hAnsi="Times New Roman" w:cs="Times New Roman"/>
                <w:sz w:val="24"/>
                <w:szCs w:val="24"/>
                <w:vertAlign w:val="superscript"/>
                <w:lang w:val="en-US"/>
              </w:rPr>
              <w:t>b</w:t>
            </w:r>
            <w:r w:rsidRPr="0075518D">
              <w:rPr>
                <w:rFonts w:ascii="Times New Roman" w:hAnsi="Times New Roman" w:cs="Times New Roman"/>
                <w:sz w:val="24"/>
                <w:szCs w:val="24"/>
                <w:lang w:val="en-US"/>
              </w:rPr>
              <w:t>’</w:t>
            </w:r>
          </w:p>
        </w:tc>
      </w:tr>
      <w:tr w:rsidR="002C4B1A" w:rsidRPr="0075518D" w:rsidTr="00587A1F">
        <w:trPr>
          <w:cnfStyle w:val="000000100000"/>
          <w:trHeight w:val="283"/>
        </w:trPr>
        <w:tc>
          <w:tcPr>
            <w:cnfStyle w:val="001000000000"/>
            <w:tcW w:w="1206" w:type="dxa"/>
            <w:vMerge/>
            <w:shd w:val="clear" w:color="auto" w:fill="auto"/>
            <w:vAlign w:val="center"/>
          </w:tcPr>
          <w:p w:rsidR="002C4B1A" w:rsidRPr="0075518D" w:rsidRDefault="002C4B1A" w:rsidP="00587A1F">
            <w:pPr>
              <w:jc w:val="center"/>
              <w:rPr>
                <w:rFonts w:ascii="Times New Roman" w:hAnsi="Times New Roman" w:cs="Times New Roman"/>
                <w:sz w:val="24"/>
                <w:szCs w:val="24"/>
                <w:lang w:val="en-US"/>
              </w:rPr>
            </w:pPr>
          </w:p>
        </w:tc>
        <w:tc>
          <w:tcPr>
            <w:tcW w:w="1397" w:type="dxa"/>
            <w:tcBorders>
              <w:top w:val="single" w:sz="4" w:space="0" w:color="auto"/>
            </w:tcBorders>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PI 647646</w:t>
            </w:r>
          </w:p>
        </w:tc>
        <w:tc>
          <w:tcPr>
            <w:tcW w:w="1095" w:type="dxa"/>
            <w:tcBorders>
              <w:top w:val="single" w:sz="4" w:space="0" w:color="auto"/>
            </w:tcBorders>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7.61</w:t>
            </w:r>
            <w:r w:rsidRPr="0075518D">
              <w:rPr>
                <w:rFonts w:ascii="Times New Roman" w:hAnsi="Times New Roman" w:cs="Times New Roman"/>
                <w:sz w:val="24"/>
                <w:szCs w:val="24"/>
                <w:vertAlign w:val="superscript"/>
                <w:lang w:val="en-US"/>
              </w:rPr>
              <w:t>a</w:t>
            </w:r>
          </w:p>
        </w:tc>
        <w:tc>
          <w:tcPr>
            <w:tcW w:w="1080" w:type="dxa"/>
            <w:tcBorders>
              <w:top w:val="single" w:sz="4" w:space="0" w:color="auto"/>
            </w:tcBorders>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7.53</w:t>
            </w:r>
            <w:r w:rsidRPr="0075518D">
              <w:rPr>
                <w:rFonts w:ascii="Times New Roman" w:hAnsi="Times New Roman" w:cs="Times New Roman"/>
                <w:sz w:val="24"/>
                <w:szCs w:val="24"/>
                <w:vertAlign w:val="superscript"/>
                <w:lang w:val="en-US"/>
              </w:rPr>
              <w:t>a</w:t>
            </w:r>
          </w:p>
        </w:tc>
        <w:tc>
          <w:tcPr>
            <w:tcW w:w="1104" w:type="dxa"/>
            <w:tcBorders>
              <w:top w:val="single" w:sz="4" w:space="0" w:color="auto"/>
            </w:tcBorders>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4.97</w:t>
            </w:r>
            <w:r w:rsidRPr="0075518D">
              <w:rPr>
                <w:rFonts w:ascii="Times New Roman" w:hAnsi="Times New Roman" w:cs="Times New Roman"/>
                <w:sz w:val="24"/>
                <w:szCs w:val="24"/>
                <w:vertAlign w:val="superscript"/>
                <w:lang w:val="en-US"/>
              </w:rPr>
              <w:t>b</w:t>
            </w:r>
          </w:p>
        </w:tc>
        <w:tc>
          <w:tcPr>
            <w:tcW w:w="1207" w:type="dxa"/>
            <w:tcBorders>
              <w:top w:val="single" w:sz="4" w:space="0" w:color="auto"/>
            </w:tcBorders>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6.48</w:t>
            </w:r>
            <w:r w:rsidRPr="0075518D">
              <w:rPr>
                <w:rFonts w:ascii="Times New Roman" w:hAnsi="Times New Roman" w:cs="Times New Roman"/>
                <w:sz w:val="24"/>
                <w:szCs w:val="24"/>
                <w:vertAlign w:val="superscript"/>
                <w:lang w:val="en-US"/>
              </w:rPr>
              <w:t>a</w:t>
            </w:r>
            <w:r w:rsidRPr="0075518D">
              <w:rPr>
                <w:rFonts w:ascii="Times New Roman" w:hAnsi="Times New Roman" w:cs="Times New Roman"/>
                <w:sz w:val="24"/>
                <w:szCs w:val="24"/>
                <w:lang w:val="en-US"/>
              </w:rPr>
              <w:t>’</w:t>
            </w:r>
          </w:p>
        </w:tc>
        <w:tc>
          <w:tcPr>
            <w:tcW w:w="1088" w:type="dxa"/>
            <w:tcBorders>
              <w:top w:val="single" w:sz="4" w:space="0" w:color="auto"/>
            </w:tcBorders>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6.47</w:t>
            </w:r>
            <w:r w:rsidRPr="0075518D">
              <w:rPr>
                <w:rFonts w:ascii="Times New Roman" w:hAnsi="Times New Roman" w:cs="Times New Roman"/>
                <w:sz w:val="24"/>
                <w:szCs w:val="24"/>
                <w:vertAlign w:val="superscript"/>
                <w:lang w:val="en-US"/>
              </w:rPr>
              <w:t>a</w:t>
            </w:r>
            <w:r w:rsidRPr="0075518D">
              <w:rPr>
                <w:rFonts w:ascii="Times New Roman" w:hAnsi="Times New Roman" w:cs="Times New Roman"/>
                <w:sz w:val="24"/>
                <w:szCs w:val="24"/>
                <w:lang w:val="en-US"/>
              </w:rPr>
              <w:t>’</w:t>
            </w:r>
          </w:p>
        </w:tc>
        <w:tc>
          <w:tcPr>
            <w:tcW w:w="1111" w:type="dxa"/>
            <w:tcBorders>
              <w:top w:val="single" w:sz="4" w:space="0" w:color="auto"/>
            </w:tcBorders>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4.54</w:t>
            </w:r>
            <w:r w:rsidRPr="0075518D">
              <w:rPr>
                <w:rFonts w:ascii="Times New Roman" w:hAnsi="Times New Roman" w:cs="Times New Roman"/>
                <w:sz w:val="24"/>
                <w:szCs w:val="24"/>
                <w:vertAlign w:val="superscript"/>
                <w:lang w:val="en-US"/>
              </w:rPr>
              <w:t>b</w:t>
            </w:r>
            <w:r w:rsidRPr="0075518D">
              <w:rPr>
                <w:rFonts w:ascii="Times New Roman" w:hAnsi="Times New Roman" w:cs="Times New Roman"/>
                <w:sz w:val="24"/>
                <w:szCs w:val="24"/>
                <w:lang w:val="en-US"/>
              </w:rPr>
              <w:t>’</w:t>
            </w:r>
          </w:p>
        </w:tc>
      </w:tr>
      <w:tr w:rsidR="002C4B1A" w:rsidRPr="0075518D" w:rsidTr="00587A1F">
        <w:trPr>
          <w:trHeight w:val="283"/>
        </w:trPr>
        <w:tc>
          <w:tcPr>
            <w:cnfStyle w:val="001000000000"/>
            <w:tcW w:w="1206" w:type="dxa"/>
            <w:vMerge/>
            <w:shd w:val="clear" w:color="auto" w:fill="auto"/>
          </w:tcPr>
          <w:p w:rsidR="002C4B1A" w:rsidRPr="0075518D" w:rsidRDefault="002C4B1A" w:rsidP="00587A1F">
            <w:pPr>
              <w:jc w:val="center"/>
              <w:rPr>
                <w:rFonts w:ascii="Times New Roman" w:hAnsi="Times New Roman" w:cs="Times New Roman"/>
                <w:sz w:val="24"/>
                <w:szCs w:val="24"/>
                <w:lang w:val="en-US"/>
              </w:rPr>
            </w:pPr>
          </w:p>
        </w:tc>
        <w:tc>
          <w:tcPr>
            <w:tcW w:w="1397" w:type="dxa"/>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PI 590988</w:t>
            </w:r>
          </w:p>
        </w:tc>
        <w:tc>
          <w:tcPr>
            <w:tcW w:w="1095" w:type="dxa"/>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7.52</w:t>
            </w:r>
            <w:r w:rsidRPr="0075518D">
              <w:rPr>
                <w:rFonts w:ascii="Times New Roman" w:hAnsi="Times New Roman" w:cs="Times New Roman"/>
                <w:sz w:val="24"/>
                <w:szCs w:val="24"/>
                <w:vertAlign w:val="superscript"/>
                <w:lang w:val="en-US"/>
              </w:rPr>
              <w:t>a</w:t>
            </w:r>
          </w:p>
        </w:tc>
        <w:tc>
          <w:tcPr>
            <w:tcW w:w="1080" w:type="dxa"/>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7.47</w:t>
            </w:r>
            <w:r w:rsidRPr="0075518D">
              <w:rPr>
                <w:rFonts w:ascii="Times New Roman" w:hAnsi="Times New Roman" w:cs="Times New Roman"/>
                <w:sz w:val="24"/>
                <w:szCs w:val="24"/>
                <w:vertAlign w:val="superscript"/>
                <w:lang w:val="en-US"/>
              </w:rPr>
              <w:t>a</w:t>
            </w:r>
          </w:p>
        </w:tc>
        <w:tc>
          <w:tcPr>
            <w:tcW w:w="1104" w:type="dxa"/>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4.78</w:t>
            </w:r>
            <w:r w:rsidRPr="0075518D">
              <w:rPr>
                <w:rFonts w:ascii="Times New Roman" w:hAnsi="Times New Roman" w:cs="Times New Roman"/>
                <w:sz w:val="24"/>
                <w:szCs w:val="24"/>
                <w:vertAlign w:val="superscript"/>
                <w:lang w:val="en-US"/>
              </w:rPr>
              <w:t>b</w:t>
            </w:r>
          </w:p>
        </w:tc>
        <w:tc>
          <w:tcPr>
            <w:tcW w:w="1207" w:type="dxa"/>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6.51</w:t>
            </w:r>
            <w:r w:rsidRPr="0075518D">
              <w:rPr>
                <w:rFonts w:ascii="Times New Roman" w:hAnsi="Times New Roman" w:cs="Times New Roman"/>
                <w:sz w:val="24"/>
                <w:szCs w:val="24"/>
                <w:vertAlign w:val="superscript"/>
                <w:lang w:val="en-US"/>
              </w:rPr>
              <w:t>a</w:t>
            </w:r>
            <w:r w:rsidRPr="0075518D">
              <w:rPr>
                <w:rFonts w:ascii="Times New Roman" w:hAnsi="Times New Roman" w:cs="Times New Roman"/>
                <w:sz w:val="24"/>
                <w:szCs w:val="24"/>
                <w:lang w:val="en-US"/>
              </w:rPr>
              <w:t>’</w:t>
            </w:r>
          </w:p>
        </w:tc>
        <w:tc>
          <w:tcPr>
            <w:tcW w:w="1088" w:type="dxa"/>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6.51</w:t>
            </w:r>
            <w:r w:rsidRPr="0075518D">
              <w:rPr>
                <w:rFonts w:ascii="Times New Roman" w:hAnsi="Times New Roman" w:cs="Times New Roman"/>
                <w:sz w:val="24"/>
                <w:szCs w:val="24"/>
                <w:vertAlign w:val="superscript"/>
                <w:lang w:val="en-US"/>
              </w:rPr>
              <w:t>a</w:t>
            </w:r>
            <w:r w:rsidRPr="0075518D">
              <w:rPr>
                <w:rFonts w:ascii="Times New Roman" w:hAnsi="Times New Roman" w:cs="Times New Roman"/>
                <w:sz w:val="24"/>
                <w:szCs w:val="24"/>
                <w:lang w:val="en-US"/>
              </w:rPr>
              <w:t>’</w:t>
            </w:r>
          </w:p>
        </w:tc>
        <w:tc>
          <w:tcPr>
            <w:tcW w:w="1111" w:type="dxa"/>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4.14</w:t>
            </w:r>
            <w:r w:rsidRPr="0075518D">
              <w:rPr>
                <w:rFonts w:ascii="Times New Roman" w:hAnsi="Times New Roman" w:cs="Times New Roman"/>
                <w:sz w:val="24"/>
                <w:szCs w:val="24"/>
                <w:vertAlign w:val="superscript"/>
                <w:lang w:val="en-US"/>
              </w:rPr>
              <w:t>b</w:t>
            </w:r>
            <w:r w:rsidRPr="0075518D">
              <w:rPr>
                <w:rFonts w:ascii="Times New Roman" w:hAnsi="Times New Roman" w:cs="Times New Roman"/>
                <w:sz w:val="24"/>
                <w:szCs w:val="24"/>
                <w:lang w:val="en-US"/>
              </w:rPr>
              <w:t>’</w:t>
            </w:r>
          </w:p>
        </w:tc>
      </w:tr>
      <w:tr w:rsidR="002C4B1A" w:rsidRPr="0075518D" w:rsidTr="00587A1F">
        <w:trPr>
          <w:cnfStyle w:val="000000100000"/>
          <w:trHeight w:val="283"/>
        </w:trPr>
        <w:tc>
          <w:tcPr>
            <w:cnfStyle w:val="001000000000"/>
            <w:tcW w:w="1206" w:type="dxa"/>
            <w:vMerge/>
            <w:shd w:val="clear" w:color="auto" w:fill="auto"/>
          </w:tcPr>
          <w:p w:rsidR="002C4B1A" w:rsidRPr="0075518D" w:rsidRDefault="002C4B1A" w:rsidP="00587A1F">
            <w:pPr>
              <w:jc w:val="center"/>
              <w:rPr>
                <w:rFonts w:ascii="Times New Roman" w:hAnsi="Times New Roman" w:cs="Times New Roman"/>
                <w:sz w:val="24"/>
                <w:szCs w:val="24"/>
                <w:lang w:val="en-US"/>
              </w:rPr>
            </w:pPr>
          </w:p>
        </w:tc>
        <w:tc>
          <w:tcPr>
            <w:tcW w:w="1397" w:type="dxa"/>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PI 590989</w:t>
            </w:r>
          </w:p>
        </w:tc>
        <w:tc>
          <w:tcPr>
            <w:tcW w:w="1095" w:type="dxa"/>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7.49</w:t>
            </w:r>
            <w:r w:rsidRPr="0075518D">
              <w:rPr>
                <w:rFonts w:ascii="Times New Roman" w:hAnsi="Times New Roman" w:cs="Times New Roman"/>
                <w:sz w:val="24"/>
                <w:szCs w:val="24"/>
                <w:vertAlign w:val="superscript"/>
                <w:lang w:val="en-US"/>
              </w:rPr>
              <w:t>a</w:t>
            </w:r>
          </w:p>
        </w:tc>
        <w:tc>
          <w:tcPr>
            <w:tcW w:w="1080" w:type="dxa"/>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7.47</w:t>
            </w:r>
            <w:r w:rsidRPr="0075518D">
              <w:rPr>
                <w:rFonts w:ascii="Times New Roman" w:hAnsi="Times New Roman" w:cs="Times New Roman"/>
                <w:sz w:val="24"/>
                <w:szCs w:val="24"/>
                <w:vertAlign w:val="superscript"/>
                <w:lang w:val="en-US"/>
              </w:rPr>
              <w:t>a</w:t>
            </w:r>
          </w:p>
        </w:tc>
        <w:tc>
          <w:tcPr>
            <w:tcW w:w="1104" w:type="dxa"/>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4.74</w:t>
            </w:r>
            <w:r w:rsidRPr="0075518D">
              <w:rPr>
                <w:rFonts w:ascii="Times New Roman" w:hAnsi="Times New Roman" w:cs="Times New Roman"/>
                <w:sz w:val="24"/>
                <w:szCs w:val="24"/>
                <w:vertAlign w:val="superscript"/>
                <w:lang w:val="en-US"/>
              </w:rPr>
              <w:t>b</w:t>
            </w:r>
          </w:p>
        </w:tc>
        <w:tc>
          <w:tcPr>
            <w:tcW w:w="1207" w:type="dxa"/>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6.54</w:t>
            </w:r>
            <w:r w:rsidRPr="0075518D">
              <w:rPr>
                <w:rFonts w:ascii="Times New Roman" w:hAnsi="Times New Roman" w:cs="Times New Roman"/>
                <w:sz w:val="24"/>
                <w:szCs w:val="24"/>
                <w:vertAlign w:val="superscript"/>
                <w:lang w:val="en-US"/>
              </w:rPr>
              <w:t>a</w:t>
            </w:r>
            <w:r w:rsidRPr="0075518D">
              <w:rPr>
                <w:rFonts w:ascii="Times New Roman" w:hAnsi="Times New Roman" w:cs="Times New Roman"/>
                <w:sz w:val="24"/>
                <w:szCs w:val="24"/>
                <w:lang w:val="en-US"/>
              </w:rPr>
              <w:t>’</w:t>
            </w:r>
          </w:p>
        </w:tc>
        <w:tc>
          <w:tcPr>
            <w:tcW w:w="1088" w:type="dxa"/>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6.39</w:t>
            </w:r>
            <w:r w:rsidRPr="0075518D">
              <w:rPr>
                <w:rFonts w:ascii="Times New Roman" w:hAnsi="Times New Roman" w:cs="Times New Roman"/>
                <w:sz w:val="24"/>
                <w:szCs w:val="24"/>
                <w:vertAlign w:val="superscript"/>
                <w:lang w:val="en-US"/>
              </w:rPr>
              <w:t>a</w:t>
            </w:r>
            <w:r w:rsidRPr="0075518D">
              <w:rPr>
                <w:rFonts w:ascii="Times New Roman" w:hAnsi="Times New Roman" w:cs="Times New Roman"/>
                <w:sz w:val="24"/>
                <w:szCs w:val="24"/>
                <w:lang w:val="en-US"/>
              </w:rPr>
              <w:t>’</w:t>
            </w:r>
          </w:p>
        </w:tc>
        <w:tc>
          <w:tcPr>
            <w:tcW w:w="1111" w:type="dxa"/>
            <w:shd w:val="clear" w:color="auto" w:fill="auto"/>
          </w:tcPr>
          <w:p w:rsidR="002C4B1A" w:rsidRPr="0075518D" w:rsidRDefault="002C4B1A" w:rsidP="00587A1F">
            <w:pPr>
              <w:jc w:val="center"/>
              <w:cnfStyle w:val="000000100000"/>
              <w:rPr>
                <w:rFonts w:ascii="Times New Roman" w:hAnsi="Times New Roman" w:cs="Times New Roman"/>
                <w:sz w:val="24"/>
                <w:szCs w:val="24"/>
                <w:lang w:val="en-US"/>
              </w:rPr>
            </w:pPr>
            <w:r w:rsidRPr="0075518D">
              <w:rPr>
                <w:rFonts w:ascii="Times New Roman" w:hAnsi="Times New Roman" w:cs="Times New Roman"/>
                <w:sz w:val="24"/>
                <w:szCs w:val="24"/>
                <w:lang w:val="en-US"/>
              </w:rPr>
              <w:t>4.42</w:t>
            </w:r>
            <w:r w:rsidRPr="0075518D">
              <w:rPr>
                <w:rFonts w:ascii="Times New Roman" w:hAnsi="Times New Roman" w:cs="Times New Roman"/>
                <w:sz w:val="24"/>
                <w:szCs w:val="24"/>
                <w:vertAlign w:val="superscript"/>
                <w:lang w:val="en-US"/>
              </w:rPr>
              <w:t>b</w:t>
            </w:r>
            <w:r w:rsidRPr="0075518D">
              <w:rPr>
                <w:rFonts w:ascii="Times New Roman" w:hAnsi="Times New Roman" w:cs="Times New Roman"/>
                <w:sz w:val="24"/>
                <w:szCs w:val="24"/>
                <w:lang w:val="en-US"/>
              </w:rPr>
              <w:t>’</w:t>
            </w:r>
          </w:p>
        </w:tc>
      </w:tr>
      <w:tr w:rsidR="002C4B1A" w:rsidRPr="0075518D" w:rsidTr="00587A1F">
        <w:trPr>
          <w:trHeight w:val="283"/>
        </w:trPr>
        <w:tc>
          <w:tcPr>
            <w:cnfStyle w:val="001000000000"/>
            <w:tcW w:w="1206" w:type="dxa"/>
            <w:vMerge/>
            <w:tcBorders>
              <w:bottom w:val="single" w:sz="4" w:space="0" w:color="auto"/>
            </w:tcBorders>
            <w:shd w:val="clear" w:color="auto" w:fill="auto"/>
          </w:tcPr>
          <w:p w:rsidR="002C4B1A" w:rsidRPr="0075518D" w:rsidRDefault="002C4B1A" w:rsidP="00587A1F">
            <w:pPr>
              <w:jc w:val="center"/>
              <w:rPr>
                <w:rFonts w:ascii="Times New Roman" w:hAnsi="Times New Roman" w:cs="Times New Roman"/>
                <w:sz w:val="24"/>
                <w:szCs w:val="24"/>
                <w:lang w:val="en-US"/>
              </w:rPr>
            </w:pPr>
          </w:p>
        </w:tc>
        <w:tc>
          <w:tcPr>
            <w:tcW w:w="1397" w:type="dxa"/>
            <w:tcBorders>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 xml:space="preserve">La </w:t>
            </w:r>
            <w:proofErr w:type="spellStart"/>
            <w:r w:rsidRPr="0075518D">
              <w:rPr>
                <w:rFonts w:ascii="Times New Roman" w:hAnsi="Times New Roman" w:cs="Times New Roman"/>
                <w:sz w:val="24"/>
                <w:szCs w:val="24"/>
                <w:lang w:val="en-US"/>
              </w:rPr>
              <w:t>Harpe</w:t>
            </w:r>
            <w:proofErr w:type="spellEnd"/>
          </w:p>
        </w:tc>
        <w:tc>
          <w:tcPr>
            <w:tcW w:w="1095" w:type="dxa"/>
            <w:tcBorders>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7.64</w:t>
            </w:r>
            <w:r w:rsidRPr="0075518D">
              <w:rPr>
                <w:rFonts w:ascii="Times New Roman" w:hAnsi="Times New Roman" w:cs="Times New Roman"/>
                <w:sz w:val="24"/>
                <w:szCs w:val="24"/>
                <w:vertAlign w:val="superscript"/>
                <w:lang w:val="en-US"/>
              </w:rPr>
              <w:t>a</w:t>
            </w:r>
          </w:p>
        </w:tc>
        <w:tc>
          <w:tcPr>
            <w:tcW w:w="1080" w:type="dxa"/>
            <w:tcBorders>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7.63</w:t>
            </w:r>
            <w:r w:rsidRPr="0075518D">
              <w:rPr>
                <w:rFonts w:ascii="Times New Roman" w:hAnsi="Times New Roman" w:cs="Times New Roman"/>
                <w:sz w:val="24"/>
                <w:szCs w:val="24"/>
                <w:vertAlign w:val="superscript"/>
                <w:lang w:val="en-US"/>
              </w:rPr>
              <w:t>a</w:t>
            </w:r>
          </w:p>
        </w:tc>
        <w:tc>
          <w:tcPr>
            <w:tcW w:w="1104" w:type="dxa"/>
            <w:tcBorders>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4.87</w:t>
            </w:r>
            <w:r w:rsidRPr="0075518D">
              <w:rPr>
                <w:rFonts w:ascii="Times New Roman" w:hAnsi="Times New Roman" w:cs="Times New Roman"/>
                <w:sz w:val="24"/>
                <w:szCs w:val="24"/>
                <w:vertAlign w:val="superscript"/>
                <w:lang w:val="en-US"/>
              </w:rPr>
              <w:t>b</w:t>
            </w:r>
          </w:p>
        </w:tc>
        <w:tc>
          <w:tcPr>
            <w:tcW w:w="1207" w:type="dxa"/>
            <w:tcBorders>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6.62</w:t>
            </w:r>
            <w:r w:rsidRPr="0075518D">
              <w:rPr>
                <w:rFonts w:ascii="Times New Roman" w:hAnsi="Times New Roman" w:cs="Times New Roman"/>
                <w:sz w:val="24"/>
                <w:szCs w:val="24"/>
                <w:vertAlign w:val="superscript"/>
                <w:lang w:val="en-US"/>
              </w:rPr>
              <w:t>a</w:t>
            </w:r>
            <w:r w:rsidRPr="0075518D">
              <w:rPr>
                <w:rFonts w:ascii="Times New Roman" w:hAnsi="Times New Roman" w:cs="Times New Roman"/>
                <w:sz w:val="24"/>
                <w:szCs w:val="24"/>
                <w:lang w:val="en-US"/>
              </w:rPr>
              <w:t>’</w:t>
            </w:r>
          </w:p>
        </w:tc>
        <w:tc>
          <w:tcPr>
            <w:tcW w:w="1088" w:type="dxa"/>
            <w:tcBorders>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6.53</w:t>
            </w:r>
            <w:r w:rsidRPr="0075518D">
              <w:rPr>
                <w:rFonts w:ascii="Times New Roman" w:hAnsi="Times New Roman" w:cs="Times New Roman"/>
                <w:sz w:val="24"/>
                <w:szCs w:val="24"/>
                <w:vertAlign w:val="superscript"/>
                <w:lang w:val="en-US"/>
              </w:rPr>
              <w:t>a</w:t>
            </w:r>
            <w:r w:rsidRPr="0075518D">
              <w:rPr>
                <w:rFonts w:ascii="Times New Roman" w:hAnsi="Times New Roman" w:cs="Times New Roman"/>
                <w:sz w:val="24"/>
                <w:szCs w:val="24"/>
                <w:lang w:val="en-US"/>
              </w:rPr>
              <w:t>’</w:t>
            </w:r>
          </w:p>
        </w:tc>
        <w:tc>
          <w:tcPr>
            <w:tcW w:w="1111" w:type="dxa"/>
            <w:tcBorders>
              <w:bottom w:val="single" w:sz="4" w:space="0" w:color="auto"/>
            </w:tcBorders>
            <w:shd w:val="clear" w:color="auto" w:fill="auto"/>
          </w:tcPr>
          <w:p w:rsidR="002C4B1A" w:rsidRPr="0075518D" w:rsidRDefault="002C4B1A" w:rsidP="00587A1F">
            <w:pPr>
              <w:jc w:val="center"/>
              <w:cnfStyle w:val="000000000000"/>
              <w:rPr>
                <w:rFonts w:ascii="Times New Roman" w:hAnsi="Times New Roman" w:cs="Times New Roman"/>
                <w:sz w:val="24"/>
                <w:szCs w:val="24"/>
                <w:lang w:val="en-US"/>
              </w:rPr>
            </w:pPr>
            <w:r w:rsidRPr="0075518D">
              <w:rPr>
                <w:rFonts w:ascii="Times New Roman" w:hAnsi="Times New Roman" w:cs="Times New Roman"/>
                <w:sz w:val="24"/>
                <w:szCs w:val="24"/>
                <w:lang w:val="en-US"/>
              </w:rPr>
              <w:t>4.65</w:t>
            </w:r>
            <w:r w:rsidRPr="0075518D">
              <w:rPr>
                <w:rFonts w:ascii="Times New Roman" w:hAnsi="Times New Roman" w:cs="Times New Roman"/>
                <w:sz w:val="24"/>
                <w:szCs w:val="24"/>
                <w:vertAlign w:val="superscript"/>
                <w:lang w:val="en-US"/>
              </w:rPr>
              <w:t>b</w:t>
            </w:r>
            <w:r w:rsidRPr="0075518D">
              <w:rPr>
                <w:rFonts w:ascii="Times New Roman" w:hAnsi="Times New Roman" w:cs="Times New Roman"/>
                <w:sz w:val="24"/>
                <w:szCs w:val="24"/>
                <w:lang w:val="en-US"/>
              </w:rPr>
              <w:t>’</w:t>
            </w:r>
          </w:p>
        </w:tc>
      </w:tr>
    </w:tbl>
    <w:p w:rsidR="002C4B1A" w:rsidRPr="0075518D" w:rsidRDefault="002C4B1A" w:rsidP="002C4B1A">
      <w:pPr>
        <w:rPr>
          <w:rFonts w:ascii="Times New Roman" w:hAnsi="Times New Roman" w:cs="Times New Roman"/>
          <w:sz w:val="24"/>
          <w:szCs w:val="24"/>
          <w:lang w:val="en-US"/>
        </w:rPr>
      </w:pPr>
    </w:p>
    <w:bookmarkEnd w:id="0"/>
    <w:p w:rsidR="00DB2133" w:rsidRPr="002E6B7E" w:rsidRDefault="00DB2133" w:rsidP="002E6B7E">
      <w:pPr>
        <w:spacing w:after="240" w:line="480" w:lineRule="auto"/>
        <w:jc w:val="both"/>
        <w:rPr>
          <w:rFonts w:ascii="Times New Roman" w:eastAsiaTheme="minorEastAsia" w:hAnsi="Times New Roman" w:cs="Times New Roman"/>
          <w:b/>
          <w:sz w:val="24"/>
          <w:szCs w:val="24"/>
          <w:lang w:val="en-US" w:eastAsia="fr-FR"/>
        </w:rPr>
      </w:pPr>
    </w:p>
    <w:sectPr w:rsidR="00DB2133" w:rsidRPr="002E6B7E" w:rsidSect="00A1447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C90" w:rsidRDefault="00604C90" w:rsidP="002E6B7E">
      <w:pPr>
        <w:spacing w:after="0" w:line="240" w:lineRule="auto"/>
      </w:pPr>
      <w:r>
        <w:separator/>
      </w:r>
    </w:p>
  </w:endnote>
  <w:endnote w:type="continuationSeparator" w:id="0">
    <w:p w:rsidR="00604C90" w:rsidRDefault="00604C90" w:rsidP="002E6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1511"/>
      <w:docPartObj>
        <w:docPartGallery w:val="Page Numbers (Bottom of Page)"/>
        <w:docPartUnique/>
      </w:docPartObj>
    </w:sdtPr>
    <w:sdtContent>
      <w:p w:rsidR="0075518D" w:rsidRDefault="0075518D">
        <w:pPr>
          <w:pStyle w:val="Footer"/>
          <w:jc w:val="right"/>
        </w:pPr>
        <w:r>
          <w:t>S</w:t>
        </w:r>
        <w:r w:rsidR="00A1447D">
          <w:fldChar w:fldCharType="begin"/>
        </w:r>
        <w:r>
          <w:instrText>PAGE   \* MERGEFORMAT</w:instrText>
        </w:r>
        <w:r w:rsidR="00A1447D">
          <w:fldChar w:fldCharType="separate"/>
        </w:r>
        <w:r w:rsidR="00A86EBE">
          <w:rPr>
            <w:noProof/>
          </w:rPr>
          <w:t>1</w:t>
        </w:r>
        <w:r w:rsidR="00A1447D">
          <w:fldChar w:fldCharType="end"/>
        </w:r>
      </w:p>
    </w:sdtContent>
  </w:sdt>
  <w:p w:rsidR="002E6B7E" w:rsidRDefault="002E6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C90" w:rsidRDefault="00604C90" w:rsidP="002E6B7E">
      <w:pPr>
        <w:spacing w:after="0" w:line="240" w:lineRule="auto"/>
      </w:pPr>
      <w:r>
        <w:separator/>
      </w:r>
    </w:p>
  </w:footnote>
  <w:footnote w:type="continuationSeparator" w:id="0">
    <w:p w:rsidR="00604C90" w:rsidRDefault="00604C90" w:rsidP="002E6B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2E6B7E"/>
    <w:rsid w:val="00235393"/>
    <w:rsid w:val="00286EE1"/>
    <w:rsid w:val="002A43CB"/>
    <w:rsid w:val="002C4B1A"/>
    <w:rsid w:val="002E6B7E"/>
    <w:rsid w:val="003847E5"/>
    <w:rsid w:val="00604C90"/>
    <w:rsid w:val="0075518D"/>
    <w:rsid w:val="00797DCF"/>
    <w:rsid w:val="00A1447D"/>
    <w:rsid w:val="00A86EBE"/>
    <w:rsid w:val="00B4723C"/>
    <w:rsid w:val="00D8773F"/>
    <w:rsid w:val="00DB21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B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6B7E"/>
  </w:style>
  <w:style w:type="paragraph" w:styleId="Footer">
    <w:name w:val="footer"/>
    <w:basedOn w:val="Normal"/>
    <w:link w:val="FooterChar"/>
    <w:uiPriority w:val="99"/>
    <w:unhideWhenUsed/>
    <w:rsid w:val="002E6B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B7E"/>
  </w:style>
  <w:style w:type="table" w:styleId="LightShading">
    <w:name w:val="Light Shading"/>
    <w:basedOn w:val="TableNormal"/>
    <w:uiPriority w:val="60"/>
    <w:rsid w:val="00DB2133"/>
    <w:pPr>
      <w:spacing w:after="0" w:line="240" w:lineRule="auto"/>
    </w:pPr>
    <w:rPr>
      <w:rFonts w:eastAsiaTheme="minorEastAsia"/>
      <w:color w:val="000000" w:themeColor="text1" w:themeShade="BF"/>
      <w:lang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9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rmelle\Desktop\LPGN%202012-2015\21.%20manips%20LPGN\17.%20PHYTLAB\bl&#233;%20noir%20sept-nov%202014\r&#233;sultats%20phytlab%20bl&#233;%20noi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braud-a\Bureau\manips%20LPGN\17.%20PHYTLAB\bl&#233;%20noir%20sept-nov%202014\r&#233;sultats%20phytlab%20bl&#233;%20noi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7290869192766894"/>
          <c:y val="5.8047493403693931E-2"/>
          <c:w val="0.79561522633744863"/>
          <c:h val="0.69708976377952769"/>
        </c:manualLayout>
      </c:layout>
      <c:barChart>
        <c:barDir val="col"/>
        <c:grouping val="clustered"/>
        <c:ser>
          <c:idx val="0"/>
          <c:order val="0"/>
          <c:tx>
            <c:strRef>
              <c:f>FT!$H$42</c:f>
              <c:strCache>
                <c:ptCount val="1"/>
                <c:pt idx="0">
                  <c:v>PI 647646</c:v>
                </c:pt>
              </c:strCache>
            </c:strRef>
          </c:tx>
          <c:spPr>
            <a:solidFill>
              <a:schemeClr val="bg1"/>
            </a:solidFill>
            <a:ln>
              <a:solidFill>
                <a:schemeClr val="tx1"/>
              </a:solidFill>
            </a:ln>
          </c:spPr>
          <c:dLbls>
            <c:dLbl>
              <c:idx val="0"/>
              <c:tx>
                <c:rich>
                  <a:bodyPr/>
                  <a:lstStyle/>
                  <a:p>
                    <a:r>
                      <a:rPr lang="en-US"/>
                      <a:t>b</a:t>
                    </a:r>
                  </a:p>
                </c:rich>
              </c:tx>
              <c:showVal val="1"/>
              <c:extLst>
                <c:ext xmlns:c15="http://schemas.microsoft.com/office/drawing/2012/chart" uri="{CE6537A1-D6FC-4f65-9D91-7224C49458BB}">
                  <c15:layout/>
                </c:ext>
              </c:extLst>
            </c:dLbl>
            <c:dLbl>
              <c:idx val="1"/>
              <c:tx>
                <c:rich>
                  <a:bodyPr/>
                  <a:lstStyle/>
                  <a:p>
                    <a:r>
                      <a:rPr lang="en-US"/>
                      <a:t>ab</a:t>
                    </a:r>
                  </a:p>
                </c:rich>
              </c:tx>
              <c:showVal val="1"/>
              <c:extLst>
                <c:ext xmlns:c15="http://schemas.microsoft.com/office/drawing/2012/chart" uri="{CE6537A1-D6FC-4f65-9D91-7224C49458BB}">
                  <c15:layout/>
                </c:ext>
              </c:extLst>
            </c:dLbl>
            <c:dLbl>
              <c:idx val="2"/>
              <c:tx>
                <c:rich>
                  <a:bodyPr/>
                  <a:lstStyle/>
                  <a:p>
                    <a:r>
                      <a:rPr lang="en-US"/>
                      <a:t>ab</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FT!$I$41:$K$41</c:f>
              <c:strCache>
                <c:ptCount val="3"/>
                <c:pt idx="0">
                  <c:v>control</c:v>
                </c:pt>
                <c:pt idx="1">
                  <c:v>CA5</c:v>
                </c:pt>
                <c:pt idx="2">
                  <c:v>CA50</c:v>
                </c:pt>
              </c:strCache>
            </c:strRef>
          </c:cat>
          <c:val>
            <c:numRef>
              <c:f>FT!$I$42:$K$42</c:f>
              <c:numCache>
                <c:formatCode>0.00</c:formatCode>
                <c:ptCount val="3"/>
                <c:pt idx="0">
                  <c:v>2.9286593222685953E-2</c:v>
                </c:pt>
                <c:pt idx="1">
                  <c:v>3.4338523021044301E-2</c:v>
                </c:pt>
                <c:pt idx="2">
                  <c:v>0.12582033915834243</c:v>
                </c:pt>
              </c:numCache>
            </c:numRef>
          </c:val>
        </c:ser>
        <c:ser>
          <c:idx val="1"/>
          <c:order val="1"/>
          <c:tx>
            <c:strRef>
              <c:f>FT!$H$43</c:f>
              <c:strCache>
                <c:ptCount val="1"/>
                <c:pt idx="0">
                  <c:v>PI 590988</c:v>
                </c:pt>
              </c:strCache>
            </c:strRef>
          </c:tx>
          <c:spPr>
            <a:solidFill>
              <a:schemeClr val="bg1">
                <a:lumMod val="85000"/>
              </a:schemeClr>
            </a:solidFill>
            <a:ln>
              <a:solidFill>
                <a:schemeClr val="tx1"/>
              </a:solidFill>
            </a:ln>
          </c:spPr>
          <c:dLbls>
            <c:dLbl>
              <c:idx val="0"/>
              <c:tx>
                <c:rich>
                  <a:bodyPr/>
                  <a:lstStyle/>
                  <a:p>
                    <a:r>
                      <a:rPr lang="en-US"/>
                      <a:t>ab</a:t>
                    </a:r>
                  </a:p>
                </c:rich>
              </c:tx>
              <c:showVal val="1"/>
              <c:extLst>
                <c:ext xmlns:c15="http://schemas.microsoft.com/office/drawing/2012/chart" uri="{CE6537A1-D6FC-4f65-9D91-7224C49458BB}">
                  <c15:layout/>
                </c:ext>
              </c:extLst>
            </c:dLbl>
            <c:dLbl>
              <c:idx val="1"/>
              <c:tx>
                <c:rich>
                  <a:bodyPr/>
                  <a:lstStyle/>
                  <a:p>
                    <a:r>
                      <a:rPr lang="en-US"/>
                      <a:t>ab</a:t>
                    </a:r>
                  </a:p>
                </c:rich>
              </c:tx>
              <c:showVal val="1"/>
              <c:extLst>
                <c:ext xmlns:c15="http://schemas.microsoft.com/office/drawing/2012/chart" uri="{CE6537A1-D6FC-4f65-9D91-7224C49458BB}">
                  <c15:layout/>
                </c:ext>
              </c:extLst>
            </c:dLbl>
            <c:dLbl>
              <c:idx val="2"/>
              <c:tx>
                <c:rich>
                  <a:bodyPr/>
                  <a:lstStyle/>
                  <a:p>
                    <a:r>
                      <a:rPr lang="en-US"/>
                      <a:t>a</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FT!$I$41:$K$41</c:f>
              <c:strCache>
                <c:ptCount val="3"/>
                <c:pt idx="0">
                  <c:v>control</c:v>
                </c:pt>
                <c:pt idx="1">
                  <c:v>CA5</c:v>
                </c:pt>
                <c:pt idx="2">
                  <c:v>CA50</c:v>
                </c:pt>
              </c:strCache>
            </c:strRef>
          </c:cat>
          <c:val>
            <c:numRef>
              <c:f>FT!$I$43:$K$43</c:f>
              <c:numCache>
                <c:formatCode>0.00</c:formatCode>
                <c:ptCount val="3"/>
                <c:pt idx="0">
                  <c:v>3.5118060708270643E-2</c:v>
                </c:pt>
                <c:pt idx="1">
                  <c:v>4.0914199659808512E-2</c:v>
                </c:pt>
                <c:pt idx="2">
                  <c:v>0.15297770226775642</c:v>
                </c:pt>
              </c:numCache>
            </c:numRef>
          </c:val>
        </c:ser>
        <c:ser>
          <c:idx val="2"/>
          <c:order val="2"/>
          <c:tx>
            <c:strRef>
              <c:f>FT!$H$44</c:f>
              <c:strCache>
                <c:ptCount val="1"/>
                <c:pt idx="0">
                  <c:v>PI 590989</c:v>
                </c:pt>
              </c:strCache>
            </c:strRef>
          </c:tx>
          <c:spPr>
            <a:solidFill>
              <a:schemeClr val="bg1">
                <a:lumMod val="65000"/>
              </a:schemeClr>
            </a:solidFill>
            <a:ln>
              <a:solidFill>
                <a:schemeClr val="tx1"/>
              </a:solidFill>
            </a:ln>
          </c:spPr>
          <c:dLbls>
            <c:dLbl>
              <c:idx val="0"/>
              <c:tx>
                <c:rich>
                  <a:bodyPr/>
                  <a:lstStyle/>
                  <a:p>
                    <a:r>
                      <a:rPr lang="en-US"/>
                      <a:t>ab</a:t>
                    </a:r>
                  </a:p>
                </c:rich>
              </c:tx>
              <c:showVal val="1"/>
              <c:extLst>
                <c:ext xmlns:c15="http://schemas.microsoft.com/office/drawing/2012/chart" uri="{CE6537A1-D6FC-4f65-9D91-7224C49458BB}">
                  <c15:layout/>
                </c:ext>
              </c:extLst>
            </c:dLbl>
            <c:dLbl>
              <c:idx val="1"/>
              <c:tx>
                <c:rich>
                  <a:bodyPr/>
                  <a:lstStyle/>
                  <a:p>
                    <a:r>
                      <a:rPr lang="en-US"/>
                      <a:t>ab</a:t>
                    </a:r>
                  </a:p>
                </c:rich>
              </c:tx>
              <c:showVal val="1"/>
              <c:extLst>
                <c:ext xmlns:c15="http://schemas.microsoft.com/office/drawing/2012/chart" uri="{CE6537A1-D6FC-4f65-9D91-7224C49458BB}">
                  <c15:layout/>
                </c:ext>
              </c:extLst>
            </c:dLbl>
            <c:dLbl>
              <c:idx val="2"/>
              <c:tx>
                <c:rich>
                  <a:bodyPr/>
                  <a:lstStyle/>
                  <a:p>
                    <a:r>
                      <a:rPr lang="en-US"/>
                      <a:t>ab</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FT!$I$41:$K$41</c:f>
              <c:strCache>
                <c:ptCount val="3"/>
                <c:pt idx="0">
                  <c:v>control</c:v>
                </c:pt>
                <c:pt idx="1">
                  <c:v>CA5</c:v>
                </c:pt>
                <c:pt idx="2">
                  <c:v>CA50</c:v>
                </c:pt>
              </c:strCache>
            </c:strRef>
          </c:cat>
          <c:val>
            <c:numRef>
              <c:f>FT!$I$44:$K$44</c:f>
              <c:numCache>
                <c:formatCode>0.00</c:formatCode>
                <c:ptCount val="3"/>
                <c:pt idx="0">
                  <c:v>9.6993317456198491E-2</c:v>
                </c:pt>
                <c:pt idx="1">
                  <c:v>9.6993317456198491E-2</c:v>
                </c:pt>
                <c:pt idx="2">
                  <c:v>0.14038582084896936</c:v>
                </c:pt>
              </c:numCache>
            </c:numRef>
          </c:val>
        </c:ser>
        <c:ser>
          <c:idx val="3"/>
          <c:order val="3"/>
          <c:tx>
            <c:strRef>
              <c:f>FT!$H$45</c:f>
              <c:strCache>
                <c:ptCount val="1"/>
                <c:pt idx="0">
                  <c:v>La Harpe</c:v>
                </c:pt>
              </c:strCache>
            </c:strRef>
          </c:tx>
          <c:spPr>
            <a:solidFill>
              <a:schemeClr val="tx1"/>
            </a:solidFill>
          </c:spPr>
          <c:dLbls>
            <c:dLbl>
              <c:idx val="0"/>
              <c:tx>
                <c:rich>
                  <a:bodyPr/>
                  <a:lstStyle/>
                  <a:p>
                    <a:r>
                      <a:rPr lang="en-US"/>
                      <a:t>ab</a:t>
                    </a:r>
                  </a:p>
                </c:rich>
              </c:tx>
              <c:showVal val="1"/>
              <c:extLst>
                <c:ext xmlns:c15="http://schemas.microsoft.com/office/drawing/2012/chart" uri="{CE6537A1-D6FC-4f65-9D91-7224C49458BB}">
                  <c15:layout/>
                </c:ext>
              </c:extLst>
            </c:dLbl>
            <c:dLbl>
              <c:idx val="1"/>
              <c:tx>
                <c:rich>
                  <a:bodyPr/>
                  <a:lstStyle/>
                  <a:p>
                    <a:r>
                      <a:rPr lang="en-US"/>
                      <a:t>ab</a:t>
                    </a:r>
                  </a:p>
                </c:rich>
              </c:tx>
              <c:showVal val="1"/>
              <c:extLst>
                <c:ext xmlns:c15="http://schemas.microsoft.com/office/drawing/2012/chart" uri="{CE6537A1-D6FC-4f65-9D91-7224C49458BB}">
                  <c15:layout/>
                </c:ext>
              </c:extLst>
            </c:dLbl>
            <c:dLbl>
              <c:idx val="2"/>
              <c:tx>
                <c:rich>
                  <a:bodyPr/>
                  <a:lstStyle/>
                  <a:p>
                    <a:r>
                      <a:rPr lang="en-US"/>
                      <a:t>a</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FT!$I$41:$K$41</c:f>
              <c:strCache>
                <c:ptCount val="3"/>
                <c:pt idx="0">
                  <c:v>control</c:v>
                </c:pt>
                <c:pt idx="1">
                  <c:v>CA5</c:v>
                </c:pt>
                <c:pt idx="2">
                  <c:v>CA50</c:v>
                </c:pt>
              </c:strCache>
            </c:strRef>
          </c:cat>
          <c:val>
            <c:numRef>
              <c:f>FT!$I$45:$K$45</c:f>
              <c:numCache>
                <c:formatCode>0.00</c:formatCode>
                <c:ptCount val="3"/>
                <c:pt idx="0">
                  <c:v>7.3182963029385581E-2</c:v>
                </c:pt>
                <c:pt idx="1">
                  <c:v>5.6653621587496504E-2</c:v>
                </c:pt>
                <c:pt idx="2">
                  <c:v>0.14834072213350305</c:v>
                </c:pt>
              </c:numCache>
            </c:numRef>
          </c:val>
        </c:ser>
        <c:axId val="223509120"/>
        <c:axId val="197648384"/>
      </c:barChart>
      <c:catAx>
        <c:axId val="223509120"/>
        <c:scaling>
          <c:orientation val="minMax"/>
        </c:scaling>
        <c:axPos val="b"/>
        <c:numFmt formatCode="General" sourceLinked="0"/>
        <c:tickLblPos val="nextTo"/>
        <c:crossAx val="197648384"/>
        <c:crosses val="autoZero"/>
        <c:auto val="1"/>
        <c:lblAlgn val="ctr"/>
        <c:lblOffset val="100"/>
      </c:catAx>
      <c:valAx>
        <c:axId val="197648384"/>
        <c:scaling>
          <c:orientation val="minMax"/>
          <c:max val="0.4"/>
          <c:min val="0"/>
        </c:scaling>
        <c:axPos val="l"/>
        <c:title>
          <c:tx>
            <c:rich>
              <a:bodyPr rot="-5400000" vert="horz"/>
              <a:lstStyle/>
              <a:p>
                <a:pPr>
                  <a:defRPr/>
                </a:pPr>
                <a:r>
                  <a:rPr lang="en-US"/>
                  <a:t>Translocation factor</a:t>
                </a:r>
              </a:p>
            </c:rich>
          </c:tx>
        </c:title>
        <c:numFmt formatCode="0.00" sourceLinked="1"/>
        <c:tickLblPos val="nextTo"/>
        <c:crossAx val="223509120"/>
        <c:crosses val="autoZero"/>
        <c:crossBetween val="between"/>
      </c:valAx>
    </c:plotArea>
    <c:legend>
      <c:legendPos val="b"/>
    </c:legend>
    <c:plotVisOnly val="1"/>
    <c:dispBlanksAs val="gap"/>
  </c:chart>
  <c:spPr>
    <a:ln>
      <a:noFill/>
    </a:ln>
  </c:spPr>
  <c:txPr>
    <a:bodyPr/>
    <a:lstStyle/>
    <a:p>
      <a:pPr>
        <a:defRPr sz="800">
          <a:latin typeface="Times New Roman" pitchFamily="18" charset="0"/>
          <a:cs typeface="Times New Roman" pitchFamily="18" charset="0"/>
        </a:defRPr>
      </a:pPr>
      <a:endParaRPr lang="fr-FR"/>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0.15507681755829941"/>
          <c:y val="5.5842920300920834E-2"/>
          <c:w val="0.81213065843621401"/>
          <c:h val="0.70583097903000269"/>
        </c:manualLayout>
      </c:layout>
      <c:barChart>
        <c:barDir val="col"/>
        <c:grouping val="clustered"/>
        <c:ser>
          <c:idx val="0"/>
          <c:order val="0"/>
          <c:tx>
            <c:strRef>
              <c:f>FT!$H$6</c:f>
              <c:strCache>
                <c:ptCount val="1"/>
                <c:pt idx="0">
                  <c:v>PI 647646</c:v>
                </c:pt>
              </c:strCache>
            </c:strRef>
          </c:tx>
          <c:spPr>
            <a:solidFill>
              <a:sysClr val="window" lastClr="FFFFFF"/>
            </a:solidFill>
            <a:ln>
              <a:solidFill>
                <a:schemeClr val="tx1"/>
              </a:solidFill>
            </a:ln>
          </c:spPr>
          <c:dLbls>
            <c:dLbl>
              <c:idx val="0"/>
              <c:tx>
                <c:rich>
                  <a:bodyPr/>
                  <a:lstStyle/>
                  <a:p>
                    <a:r>
                      <a:rPr lang="en-US"/>
                      <a:t>bc</a:t>
                    </a:r>
                  </a:p>
                </c:rich>
              </c:tx>
              <c:showVal val="1"/>
              <c:extLst>
                <c:ext xmlns:c15="http://schemas.microsoft.com/office/drawing/2012/chart" uri="{CE6537A1-D6FC-4f65-9D91-7224C49458BB}">
                  <c15:layout/>
                </c:ext>
              </c:extLst>
            </c:dLbl>
            <c:dLbl>
              <c:idx val="1"/>
              <c:tx>
                <c:rich>
                  <a:bodyPr/>
                  <a:lstStyle/>
                  <a:p>
                    <a:r>
                      <a:rPr lang="en-US"/>
                      <a:t>c</a:t>
                    </a:r>
                  </a:p>
                </c:rich>
              </c:tx>
              <c:showVal val="1"/>
              <c:extLst>
                <c:ext xmlns:c15="http://schemas.microsoft.com/office/drawing/2012/chart" uri="{CE6537A1-D6FC-4f65-9D91-7224C49458BB}">
                  <c15:layout/>
                </c:ext>
              </c:extLst>
            </c:dLbl>
            <c:dLbl>
              <c:idx val="2"/>
              <c:tx>
                <c:rich>
                  <a:bodyPr/>
                  <a:lstStyle/>
                  <a:p>
                    <a:r>
                      <a:rPr lang="en-US"/>
                      <a:t>ab</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FT!$I$5:$K$5</c:f>
              <c:strCache>
                <c:ptCount val="3"/>
                <c:pt idx="0">
                  <c:v>control</c:v>
                </c:pt>
                <c:pt idx="1">
                  <c:v>CA5</c:v>
                </c:pt>
                <c:pt idx="2">
                  <c:v>CA50</c:v>
                </c:pt>
              </c:strCache>
            </c:strRef>
          </c:cat>
          <c:val>
            <c:numRef>
              <c:f>FT!$I$6:$K$6</c:f>
              <c:numCache>
                <c:formatCode>0.00</c:formatCode>
                <c:ptCount val="3"/>
                <c:pt idx="0">
                  <c:v>0.11899424826147963</c:v>
                </c:pt>
                <c:pt idx="1">
                  <c:v>4.7913465489149883E-2</c:v>
                </c:pt>
                <c:pt idx="2">
                  <c:v>0.25126872959950697</c:v>
                </c:pt>
              </c:numCache>
            </c:numRef>
          </c:val>
        </c:ser>
        <c:ser>
          <c:idx val="1"/>
          <c:order val="1"/>
          <c:tx>
            <c:strRef>
              <c:f>FT!$H$7</c:f>
              <c:strCache>
                <c:ptCount val="1"/>
                <c:pt idx="0">
                  <c:v>PI 590988</c:v>
                </c:pt>
              </c:strCache>
            </c:strRef>
          </c:tx>
          <c:spPr>
            <a:solidFill>
              <a:schemeClr val="bg1">
                <a:lumMod val="85000"/>
              </a:schemeClr>
            </a:solidFill>
            <a:ln>
              <a:solidFill>
                <a:schemeClr val="tx1"/>
              </a:solidFill>
            </a:ln>
          </c:spPr>
          <c:dLbls>
            <c:dLbl>
              <c:idx val="0"/>
              <c:tx>
                <c:rich>
                  <a:bodyPr/>
                  <a:lstStyle/>
                  <a:p>
                    <a:r>
                      <a:rPr lang="en-US"/>
                      <a:t>bc</a:t>
                    </a:r>
                  </a:p>
                </c:rich>
              </c:tx>
              <c:showVal val="1"/>
              <c:extLst>
                <c:ext xmlns:c15="http://schemas.microsoft.com/office/drawing/2012/chart" uri="{CE6537A1-D6FC-4f65-9D91-7224C49458BB}">
                  <c15:layout/>
                </c:ext>
              </c:extLst>
            </c:dLbl>
            <c:dLbl>
              <c:idx val="1"/>
              <c:tx>
                <c:rich>
                  <a:bodyPr/>
                  <a:lstStyle/>
                  <a:p>
                    <a:r>
                      <a:rPr lang="en-US"/>
                      <a:t>ac</a:t>
                    </a:r>
                  </a:p>
                </c:rich>
              </c:tx>
              <c:showVal val="1"/>
              <c:extLst>
                <c:ext xmlns:c15="http://schemas.microsoft.com/office/drawing/2012/chart" uri="{CE6537A1-D6FC-4f65-9D91-7224C49458BB}">
                  <c15:layout/>
                </c:ext>
              </c:extLst>
            </c:dLbl>
            <c:dLbl>
              <c:idx val="2"/>
              <c:tx>
                <c:rich>
                  <a:bodyPr/>
                  <a:lstStyle/>
                  <a:p>
                    <a:r>
                      <a:rPr lang="en-US"/>
                      <a:t>ac</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FT!$I$5:$K$5</c:f>
              <c:strCache>
                <c:ptCount val="3"/>
                <c:pt idx="0">
                  <c:v>control</c:v>
                </c:pt>
                <c:pt idx="1">
                  <c:v>CA5</c:v>
                </c:pt>
                <c:pt idx="2">
                  <c:v>CA50</c:v>
                </c:pt>
              </c:strCache>
            </c:strRef>
          </c:cat>
          <c:val>
            <c:numRef>
              <c:f>FT!$I$7:$K$7</c:f>
              <c:numCache>
                <c:formatCode>0.00</c:formatCode>
                <c:ptCount val="3"/>
                <c:pt idx="0">
                  <c:v>0.10744992158942675</c:v>
                </c:pt>
                <c:pt idx="1">
                  <c:v>0.14533322556160791</c:v>
                </c:pt>
                <c:pt idx="2">
                  <c:v>0.17901002908411856</c:v>
                </c:pt>
              </c:numCache>
            </c:numRef>
          </c:val>
        </c:ser>
        <c:ser>
          <c:idx val="2"/>
          <c:order val="2"/>
          <c:tx>
            <c:strRef>
              <c:f>FT!$H$8</c:f>
              <c:strCache>
                <c:ptCount val="1"/>
                <c:pt idx="0">
                  <c:v>PI 590989</c:v>
                </c:pt>
              </c:strCache>
            </c:strRef>
          </c:tx>
          <c:spPr>
            <a:solidFill>
              <a:schemeClr val="bg1">
                <a:lumMod val="75000"/>
              </a:schemeClr>
            </a:solidFill>
            <a:ln>
              <a:solidFill>
                <a:schemeClr val="tx1"/>
              </a:solidFill>
            </a:ln>
          </c:spPr>
          <c:dLbls>
            <c:dLbl>
              <c:idx val="0"/>
              <c:tx>
                <c:rich>
                  <a:bodyPr/>
                  <a:lstStyle/>
                  <a:p>
                    <a:r>
                      <a:rPr lang="en-US"/>
                      <a:t>bc</a:t>
                    </a:r>
                  </a:p>
                </c:rich>
              </c:tx>
              <c:showVal val="1"/>
              <c:extLst>
                <c:ext xmlns:c15="http://schemas.microsoft.com/office/drawing/2012/chart" uri="{CE6537A1-D6FC-4f65-9D91-7224C49458BB}">
                  <c15:layout/>
                </c:ext>
              </c:extLst>
            </c:dLbl>
            <c:dLbl>
              <c:idx val="1"/>
              <c:layout>
                <c:manualLayout>
                  <c:x val="0"/>
                  <c:y val="0"/>
                </c:manualLayout>
              </c:layout>
              <c:tx>
                <c:rich>
                  <a:bodyPr/>
                  <a:lstStyle/>
                  <a:p>
                    <a:r>
                      <a:rPr lang="en-US"/>
                      <a:t>bc</a:t>
                    </a:r>
                  </a:p>
                </c:rich>
              </c:tx>
              <c:showVal val="1"/>
              <c:extLst>
                <c:ext xmlns:c15="http://schemas.microsoft.com/office/drawing/2012/chart" uri="{CE6537A1-D6FC-4f65-9D91-7224C49458BB}">
                  <c15:layout/>
                </c:ext>
              </c:extLst>
            </c:dLbl>
            <c:dLbl>
              <c:idx val="2"/>
              <c:tx>
                <c:rich>
                  <a:bodyPr/>
                  <a:lstStyle/>
                  <a:p>
                    <a:r>
                      <a:rPr lang="en-US"/>
                      <a:t>ac</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FT!$I$5:$K$5</c:f>
              <c:strCache>
                <c:ptCount val="3"/>
                <c:pt idx="0">
                  <c:v>control</c:v>
                </c:pt>
                <c:pt idx="1">
                  <c:v>CA5</c:v>
                </c:pt>
                <c:pt idx="2">
                  <c:v>CA50</c:v>
                </c:pt>
              </c:strCache>
            </c:strRef>
          </c:cat>
          <c:val>
            <c:numRef>
              <c:f>FT!$I$8:$K$8</c:f>
              <c:numCache>
                <c:formatCode>0.00</c:formatCode>
                <c:ptCount val="3"/>
                <c:pt idx="0">
                  <c:v>8.8583140910493768E-2</c:v>
                </c:pt>
                <c:pt idx="1">
                  <c:v>9.7185670201711039E-2</c:v>
                </c:pt>
                <c:pt idx="2">
                  <c:v>0.20653835735343712</c:v>
                </c:pt>
              </c:numCache>
            </c:numRef>
          </c:val>
        </c:ser>
        <c:ser>
          <c:idx val="3"/>
          <c:order val="3"/>
          <c:tx>
            <c:strRef>
              <c:f>FT!$H$9</c:f>
              <c:strCache>
                <c:ptCount val="1"/>
                <c:pt idx="0">
                  <c:v>La Harpe</c:v>
                </c:pt>
              </c:strCache>
            </c:strRef>
          </c:tx>
          <c:spPr>
            <a:solidFill>
              <a:schemeClr val="tx1"/>
            </a:solidFill>
          </c:spPr>
          <c:dLbls>
            <c:dLbl>
              <c:idx val="0"/>
              <c:tx>
                <c:rich>
                  <a:bodyPr/>
                  <a:lstStyle/>
                  <a:p>
                    <a:r>
                      <a:rPr lang="en-US"/>
                      <a:t>ac</a:t>
                    </a:r>
                  </a:p>
                </c:rich>
              </c:tx>
              <c:showVal val="1"/>
              <c:extLst>
                <c:ext xmlns:c15="http://schemas.microsoft.com/office/drawing/2012/chart" uri="{CE6537A1-D6FC-4f65-9D91-7224C49458BB}">
                  <c15:layout/>
                </c:ext>
              </c:extLst>
            </c:dLbl>
            <c:dLbl>
              <c:idx val="1"/>
              <c:tx>
                <c:rich>
                  <a:bodyPr/>
                  <a:lstStyle/>
                  <a:p>
                    <a:r>
                      <a:rPr lang="en-US"/>
                      <a:t>bc</a:t>
                    </a:r>
                  </a:p>
                </c:rich>
              </c:tx>
              <c:showVal val="1"/>
              <c:extLst>
                <c:ext xmlns:c15="http://schemas.microsoft.com/office/drawing/2012/chart" uri="{CE6537A1-D6FC-4f65-9D91-7224C49458BB}">
                  <c15:layout/>
                </c:ext>
              </c:extLst>
            </c:dLbl>
            <c:dLbl>
              <c:idx val="2"/>
              <c:tx>
                <c:rich>
                  <a:bodyPr/>
                  <a:lstStyle/>
                  <a:p>
                    <a:r>
                      <a:rPr lang="en-US"/>
                      <a:t>a</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FT!$I$5:$K$5</c:f>
              <c:strCache>
                <c:ptCount val="3"/>
                <c:pt idx="0">
                  <c:v>control</c:v>
                </c:pt>
                <c:pt idx="1">
                  <c:v>CA5</c:v>
                </c:pt>
                <c:pt idx="2">
                  <c:v>CA50</c:v>
                </c:pt>
              </c:strCache>
            </c:strRef>
          </c:cat>
          <c:val>
            <c:numRef>
              <c:f>FT!$I$9:$K$9</c:f>
              <c:numCache>
                <c:formatCode>0.00</c:formatCode>
                <c:ptCount val="3"/>
                <c:pt idx="0">
                  <c:v>0.16600176612079026</c:v>
                </c:pt>
                <c:pt idx="1">
                  <c:v>6.7991907518839031E-2</c:v>
                </c:pt>
                <c:pt idx="2">
                  <c:v>0.33597522929835977</c:v>
                </c:pt>
              </c:numCache>
            </c:numRef>
          </c:val>
        </c:ser>
        <c:axId val="197722112"/>
        <c:axId val="197723648"/>
      </c:barChart>
      <c:catAx>
        <c:axId val="197722112"/>
        <c:scaling>
          <c:orientation val="minMax"/>
        </c:scaling>
        <c:axPos val="b"/>
        <c:numFmt formatCode="General" sourceLinked="0"/>
        <c:tickLblPos val="nextTo"/>
        <c:crossAx val="197723648"/>
        <c:crosses val="autoZero"/>
        <c:auto val="1"/>
        <c:lblAlgn val="ctr"/>
        <c:lblOffset val="100"/>
      </c:catAx>
      <c:valAx>
        <c:axId val="197723648"/>
        <c:scaling>
          <c:orientation val="minMax"/>
          <c:min val="0"/>
        </c:scaling>
        <c:axPos val="l"/>
        <c:title>
          <c:tx>
            <c:rich>
              <a:bodyPr rot="-5400000" vert="horz"/>
              <a:lstStyle/>
              <a:p>
                <a:pPr>
                  <a:defRPr/>
                </a:pPr>
                <a:r>
                  <a:rPr lang="en-US"/>
                  <a:t>Translocation factor</a:t>
                </a:r>
              </a:p>
            </c:rich>
          </c:tx>
        </c:title>
        <c:numFmt formatCode="0.00" sourceLinked="1"/>
        <c:tickLblPos val="nextTo"/>
        <c:crossAx val="197722112"/>
        <c:crosses val="autoZero"/>
        <c:crossBetween val="between"/>
      </c:valAx>
    </c:plotArea>
    <c:legend>
      <c:legendPos val="b"/>
    </c:legend>
    <c:plotVisOnly val="1"/>
    <c:dispBlanksAs val="gap"/>
  </c:chart>
  <c:spPr>
    <a:ln>
      <a:noFill/>
    </a:ln>
  </c:spPr>
  <c:txPr>
    <a:bodyPr/>
    <a:lstStyle/>
    <a:p>
      <a:pPr>
        <a:defRPr sz="800">
          <a:latin typeface="Times New Roman" pitchFamily="18" charset="0"/>
          <a:cs typeface="Times New Roman" pitchFamily="18" charset="0"/>
        </a:defRPr>
      </a:pPr>
      <a:endParaRPr lang="fr-FR"/>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0.90383</cdr:x>
      <cdr:y>0</cdr:y>
    </cdr:from>
    <cdr:to>
      <cdr:x>1</cdr:x>
      <cdr:y>0.12481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736850" y="-152400"/>
          <a:ext cx="280440" cy="23776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0.93398</cdr:x>
      <cdr:y>0</cdr:y>
    </cdr:from>
    <cdr:to>
      <cdr:x>1</cdr:x>
      <cdr:y>0.09886</cdr:y>
    </cdr:to>
    <cdr:sp macro="" textlink="">
      <cdr:nvSpPr>
        <cdr:cNvPr id="2" name="TextBox 1"/>
        <cdr:cNvSpPr txBox="1"/>
      </cdr:nvSpPr>
      <cdr:spPr>
        <a:xfrm xmlns:a="http://schemas.openxmlformats.org/drawingml/2006/main">
          <a:off x="2757720" y="-43132"/>
          <a:ext cx="192514" cy="1884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fr-FR" sz="1100" b="1"/>
            <a:t>B</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Armelle BRAUD</dc:creator>
  <cp:lastModifiedBy>armelle J</cp:lastModifiedBy>
  <cp:revision>3</cp:revision>
  <dcterms:created xsi:type="dcterms:W3CDTF">2018-01-14T16:04:00Z</dcterms:created>
  <dcterms:modified xsi:type="dcterms:W3CDTF">2018-01-14T16:05:00Z</dcterms:modified>
</cp:coreProperties>
</file>