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50" w:rsidRPr="00DB6F4F" w:rsidRDefault="004B7650" w:rsidP="004B7650">
      <w:pPr>
        <w:shd w:val="clear" w:color="auto" w:fill="FFFFFF" w:themeFill="background1"/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b/>
          <w:szCs w:val="22"/>
        </w:rPr>
        <w:t>Appendix A:</w:t>
      </w:r>
      <w:r w:rsidRPr="00DB6F4F">
        <w:rPr>
          <w:rFonts w:asciiTheme="minorHAnsi" w:hAnsiTheme="minorHAnsi" w:cs="Arial"/>
          <w:szCs w:val="22"/>
        </w:rPr>
        <w:t xml:space="preserve"> Patient groups according to NTMLD treatment regimen and regimen frequency.</w:t>
      </w:r>
    </w:p>
    <w:tbl>
      <w:tblPr>
        <w:tblStyle w:val="TableGrid"/>
        <w:tblW w:w="11721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590"/>
        <w:gridCol w:w="1613"/>
        <w:gridCol w:w="1200"/>
      </w:tblGrid>
      <w:tr w:rsidR="004B7650" w:rsidRPr="00DB6F4F" w:rsidTr="00F5384B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Group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Antibiotic regimen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Number of patients on the regimen, 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Patients, %</w:t>
            </w:r>
          </w:p>
        </w:tc>
      </w:tr>
      <w:tr w:rsidR="004B7650" w:rsidRPr="00DB6F4F" w:rsidTr="00F5384B"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GBT</w:t>
            </w:r>
            <w:r w:rsidRPr="00DB6F4F">
              <w:rPr>
                <w:rFonts w:asciiTheme="minorHAnsi" w:hAnsiTheme="minorHAnsi" w:cs="Arial"/>
                <w:b/>
                <w:szCs w:val="22"/>
                <w:vertAlign w:val="superscript"/>
              </w:rPr>
              <w:t>a,b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AZITHROMYCIN+ETHAMBUTOL+RIFAMPIN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58%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92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AZITHROMYCIN+ETHAMBUTOL+RIFABUTIN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AZITHROMYCIN+CIPROFLOXACIN+ETHAMBUTOL+RIFAMPIN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7%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5%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AZITHROMYCIN+ETHAMBUTOL+LEVOFLOXACIN+RIFAMPIN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AZITHROMYCIN+ETHAMBUTOL+MOXIFLOXACIN+RIFAMPIN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AZITHROMYCIN+CLARITHROMYCIN+ETHAMBUTOL+RIFAMPIN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CIPROFLOXACIN+CLARITHROMYCIN+ETHAMBUTOL+RIFAMPIN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CLARITHROMYCIN+ETHAMBUTOL+LEVOFLOXACIN+RIFAMPIN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CLARITHROMYCIN+ETHAMBUTOL+MOXIFLOXACIN+RIFAMPIN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AZITHROMYCIN+CLARITHROMYCIN+ETHAMBUTOL+RIFABUTIN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AZITHROMYCIN+ETHAMBUTOL+LEVOFLOXACIN+RIFABUTIN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AZITHROMYCIN+ETHAMBUTOL+RIFABUTIN+RIFAMPIN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AMIKACIN+AZITHROMYCIN+ETHAMBUTOL+RIFAMPIN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CIPROFLOXACIN+CLARITHROMYCIN+ETHAMBUTOL+RIFABUTIN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CLARITHROMYCIN+ETHAMBUTOL+LEVOFLOXACIN+RIFABUTIN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CLARITHROMYCIN+ETHAMBUTOL+RIFABUTIN+RIFAMPIN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AMIKACIN+AZITHROMYCIN+ETHAMBUTOL+MOXIFLOXACIN+RIFAMPIN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AZITHROMYCIN+CIPROFLOXACIN+ETHAMBUTOL+LEVOFLOXACIN+RIFAMPIN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AZITHROMYCIN+CIPROFLOXACIN+ETHAMBUTOL+MOXIFLOXACIN+RIFAMPIN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AZITHROMYCIN+CIPROFLOXACIN+ETHAMBUTOL+RIFABUTIN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AZITHROMYCIN+CLARITHROMYCIN+ETHAMBUTOL+RIFABUTIN+RIFAMPIN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AZITHROMYCIN+ETHAMBUTOL+LEVOFLOXACIN+MOXIFLOXACIN+RIFAMPIN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CLARITHROMYCIN+ETHAMBUTOL+LINEZOLID+RIFAMPIN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8" w:space="0" w:color="6C64B4"/>
              <w:bottom w:val="single" w:sz="4" w:space="0" w:color="auto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CLARITHROMYCIN+ETHAMBUTOL+MOXIFLOXACIN+RIFABUTIN</w:t>
            </w:r>
          </w:p>
        </w:tc>
        <w:tc>
          <w:tcPr>
            <w:tcW w:w="1613" w:type="dxa"/>
            <w:tcBorders>
              <w:top w:val="single" w:sz="8" w:space="0" w:color="6C64B4"/>
              <w:bottom w:val="single" w:sz="4" w:space="0" w:color="auto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6C64B4"/>
              <w:bottom w:val="single" w:sz="4" w:space="0" w:color="auto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0%</w:t>
            </w:r>
          </w:p>
        </w:tc>
      </w:tr>
      <w:tr w:rsidR="004B7650" w:rsidRPr="00DB6F4F" w:rsidTr="00F5384B"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Non-GBT</w:t>
            </w:r>
            <w:r w:rsidRPr="00DB6F4F">
              <w:rPr>
                <w:rFonts w:asciiTheme="minorHAnsi" w:hAnsiTheme="minorHAnsi" w:cs="Arial"/>
                <w:b/>
                <w:szCs w:val="22"/>
                <w:vertAlign w:val="superscript"/>
              </w:rPr>
              <w:t>a,c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AZITHROMYCIN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43%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CLARITHROMYCIN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30%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ETHAMBUTOL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81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27%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AZITHROMYCIN+ETHAMBUTOL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18%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ETHAMBUTOL+RIFAMPIN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17%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CIPROFLOXACIN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16%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RIFAMPIN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15%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CLARITHROMYCIN+ETHAMBUTOL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13%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AZITHROMYCIN+RIFAMPIN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10%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LEVOFLOXACIN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9%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AZITHROMYCIN+CIPROFLOXACIN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8%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MOXIFLOXACIN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8%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CLARITHROMYCIN+RIFAMPIN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6%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AZITHROMYCIN+LEVOFLOXACIN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CIPROFLOXACIN+CLARITHROMYCIN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RIFABUTIN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AZITHROMYCIN+CLARITHROMYCIN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AZITHROMYCIN+MOXIFLOXACIN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ETHAMBUTOL+RIFABUTIN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CLARITHROMYCIN+LEVOFLOXACIN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CLARITHROMYCIN+RIFABUTIN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CLARITHROMYCIN+MOXIFLOXACIN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AMIKACIN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AMIKACIN+AZITHROMYCIN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3%</w:t>
            </w:r>
          </w:p>
        </w:tc>
      </w:tr>
      <w:tr w:rsidR="004B7650" w:rsidRPr="00DB6F4F" w:rsidTr="00F5384B">
        <w:tc>
          <w:tcPr>
            <w:tcW w:w="1318" w:type="dxa"/>
            <w:vMerge/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pStyle w:val="p1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 w:val="22"/>
                <w:szCs w:val="22"/>
              </w:rPr>
              <w:t>LINEZOLID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3%</w:t>
            </w:r>
          </w:p>
        </w:tc>
      </w:tr>
      <w:tr w:rsidR="004B7650" w:rsidRPr="00DB6F4F" w:rsidTr="00F5384B">
        <w:trPr>
          <w:trHeight w:val="1"/>
        </w:trPr>
        <w:tc>
          <w:tcPr>
            <w:tcW w:w="1318" w:type="dxa"/>
            <w:tcBorders>
              <w:top w:val="single" w:sz="4" w:space="0" w:color="auto"/>
              <w:bottom w:val="single" w:sz="36" w:space="0" w:color="6C64B4"/>
            </w:tcBorders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Untreated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36" w:space="0" w:color="6C64B4"/>
            </w:tcBorders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szCs w:val="22"/>
              </w:rPr>
              <w:t>N/A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36" w:space="0" w:color="6C64B4"/>
            </w:tcBorders>
            <w:vAlign w:val="center"/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36" w:space="0" w:color="6C64B4"/>
            </w:tcBorders>
          </w:tcPr>
          <w:p w:rsidR="004B7650" w:rsidRPr="00DB6F4F" w:rsidRDefault="004B7650" w:rsidP="00F5384B">
            <w:pPr>
              <w:shd w:val="clear" w:color="auto" w:fill="FFFFFF" w:themeFill="background1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4B7650" w:rsidRPr="00DB6F4F" w:rsidRDefault="004B7650" w:rsidP="004B7650">
      <w:pPr>
        <w:shd w:val="clear" w:color="auto" w:fill="FFFFFF" w:themeFill="background1"/>
        <w:ind w:hanging="1080"/>
        <w:rPr>
          <w:rFonts w:asciiTheme="minorHAnsi" w:hAnsiTheme="minorHAnsi" w:cs="Arial"/>
          <w:bCs/>
          <w:szCs w:val="22"/>
        </w:rPr>
      </w:pPr>
      <w:r w:rsidRPr="00DB6F4F">
        <w:rPr>
          <w:rFonts w:asciiTheme="minorHAnsi" w:hAnsiTheme="minorHAnsi" w:cs="Arial"/>
          <w:bCs/>
          <w:szCs w:val="22"/>
        </w:rPr>
        <w:t xml:space="preserve">GBT, guidelines-based treatment; N/A, not applicable; NTMLD, </w:t>
      </w:r>
      <w:r w:rsidRPr="00DB6F4F">
        <w:rPr>
          <w:rFonts w:asciiTheme="minorHAnsi" w:hAnsiTheme="minorHAnsi" w:cs="Arial"/>
          <w:szCs w:val="22"/>
        </w:rPr>
        <w:t>nontuberculous mycobacterial lung disease</w:t>
      </w:r>
      <w:r w:rsidRPr="00DB6F4F">
        <w:rPr>
          <w:rFonts w:asciiTheme="minorHAnsi" w:hAnsiTheme="minorHAnsi" w:cs="Arial"/>
          <w:bCs/>
          <w:szCs w:val="22"/>
        </w:rPr>
        <w:t>.</w:t>
      </w:r>
    </w:p>
    <w:p w:rsidR="004B7650" w:rsidRPr="00DB6F4F" w:rsidRDefault="004B7650" w:rsidP="004B7650">
      <w:pPr>
        <w:shd w:val="clear" w:color="auto" w:fill="FFFFFF" w:themeFill="background1"/>
        <w:ind w:hanging="1080"/>
        <w:rPr>
          <w:rFonts w:asciiTheme="minorHAnsi" w:hAnsiTheme="minorHAnsi" w:cs="Arial"/>
          <w:bCs/>
          <w:szCs w:val="22"/>
        </w:rPr>
      </w:pPr>
      <w:r w:rsidRPr="00DB6F4F">
        <w:rPr>
          <w:rFonts w:asciiTheme="minorHAnsi" w:hAnsiTheme="minorHAnsi" w:cs="Arial"/>
          <w:bCs/>
          <w:szCs w:val="22"/>
        </w:rPr>
        <w:t>Numbers sum to greater than 100% because many patients received greater than 1 regimen</w:t>
      </w:r>
    </w:p>
    <w:p w:rsidR="004B7650" w:rsidRPr="00DB6F4F" w:rsidRDefault="004B7650" w:rsidP="004B7650">
      <w:pPr>
        <w:shd w:val="clear" w:color="auto" w:fill="FFFFFF" w:themeFill="background1"/>
        <w:ind w:hanging="1080"/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szCs w:val="22"/>
          <w:vertAlign w:val="superscript"/>
        </w:rPr>
        <w:t>a</w:t>
      </w:r>
      <w:r w:rsidRPr="00DB6F4F">
        <w:rPr>
          <w:rFonts w:asciiTheme="minorHAnsi" w:hAnsiTheme="minorHAnsi" w:cs="Arial"/>
          <w:szCs w:val="22"/>
        </w:rPr>
        <w:t xml:space="preserve">Drug usage was evaluated during Year 1. </w:t>
      </w:r>
      <w:r w:rsidRPr="00DB6F4F">
        <w:rPr>
          <w:rFonts w:asciiTheme="minorHAnsi" w:hAnsiTheme="minorHAnsi" w:cs="Arial"/>
          <w:color w:val="000000" w:themeColor="text1"/>
          <w:szCs w:val="22"/>
        </w:rPr>
        <w:t>To meet the definition of ‘treated,’ patients were required to have ≥30 days of continuous supply of antibiotics during Year 1 after NTMLD diagnosis. A regimen was defined as an antibiotic or combination thereof supplied for at least 30 consecutive days.</w:t>
      </w:r>
    </w:p>
    <w:p w:rsidR="004B7650" w:rsidRPr="00DB6F4F" w:rsidRDefault="004B7650" w:rsidP="004B7650">
      <w:pPr>
        <w:shd w:val="clear" w:color="auto" w:fill="FFFFFF" w:themeFill="background1"/>
        <w:ind w:hanging="1080"/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szCs w:val="22"/>
          <w:vertAlign w:val="superscript"/>
        </w:rPr>
        <w:t>b</w:t>
      </w:r>
      <w:r w:rsidRPr="00DB6F4F">
        <w:rPr>
          <w:rFonts w:asciiTheme="minorHAnsi" w:hAnsiTheme="minorHAnsi" w:cs="Arial"/>
          <w:szCs w:val="22"/>
        </w:rPr>
        <w:t>Twenty-six different drug combinations were observed across 294 patients.</w:t>
      </w:r>
    </w:p>
    <w:p w:rsidR="004B7650" w:rsidRPr="00DB6F4F" w:rsidRDefault="004B7650" w:rsidP="004B7650">
      <w:pPr>
        <w:shd w:val="clear" w:color="auto" w:fill="FFFFFF" w:themeFill="background1"/>
        <w:ind w:left="-1080"/>
        <w:rPr>
          <w:rFonts w:asciiTheme="minorHAnsi" w:hAnsiTheme="minorHAnsi" w:cs="Arial"/>
          <w:b/>
          <w:szCs w:val="22"/>
        </w:rPr>
      </w:pPr>
      <w:r w:rsidRPr="00DB6F4F">
        <w:rPr>
          <w:rFonts w:asciiTheme="minorHAnsi" w:hAnsiTheme="minorHAnsi" w:cs="Arial"/>
          <w:szCs w:val="22"/>
          <w:vertAlign w:val="superscript"/>
        </w:rPr>
        <w:t>c</w:t>
      </w:r>
      <w:r w:rsidRPr="00DB6F4F">
        <w:rPr>
          <w:rFonts w:asciiTheme="minorHAnsi" w:hAnsiTheme="minorHAnsi" w:cs="Arial"/>
          <w:szCs w:val="22"/>
        </w:rPr>
        <w:t>O</w:t>
      </w:r>
      <w:r w:rsidRPr="00DB6F4F">
        <w:rPr>
          <w:rFonts w:asciiTheme="minorHAnsi" w:hAnsiTheme="minorHAnsi" w:cs="Arial"/>
          <w:color w:val="222222"/>
          <w:szCs w:val="22"/>
        </w:rPr>
        <w:t>nly regimens (n=27) used by at least 3% patients in the non-GBT group is listed. Total number of regimens in this group was 116</w:t>
      </w:r>
    </w:p>
    <w:p w:rsidR="004B7650" w:rsidRPr="00DB6F4F" w:rsidRDefault="004B7650" w:rsidP="004B7650">
      <w:pPr>
        <w:spacing w:after="160"/>
        <w:rPr>
          <w:rFonts w:asciiTheme="minorHAnsi" w:hAnsiTheme="minorHAnsi" w:cs="Arial"/>
          <w:b/>
          <w:szCs w:val="22"/>
        </w:rPr>
      </w:pPr>
      <w:r w:rsidRPr="00DB6F4F">
        <w:rPr>
          <w:rFonts w:asciiTheme="minorHAnsi" w:hAnsiTheme="minorHAnsi" w:cs="Arial"/>
          <w:b/>
          <w:szCs w:val="22"/>
        </w:rPr>
        <w:br w:type="page"/>
      </w: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b/>
          <w:szCs w:val="22"/>
        </w:rPr>
        <w:lastRenderedPageBreak/>
        <w:t>Appendix B.</w:t>
      </w:r>
      <w:r w:rsidRPr="00DB6F4F">
        <w:rPr>
          <w:rFonts w:asciiTheme="minorHAnsi" w:hAnsiTheme="minorHAnsi" w:cs="Arial"/>
          <w:szCs w:val="22"/>
        </w:rPr>
        <w:t xml:space="preserve"> Listing of ICD codes for baseline diseases.</w:t>
      </w:r>
    </w:p>
    <w:tbl>
      <w:tblPr>
        <w:tblStyle w:val="TableGrid"/>
        <w:tblW w:w="11340" w:type="dxa"/>
        <w:tblInd w:w="-702" w:type="dxa"/>
        <w:tblLook w:val="04A0" w:firstRow="1" w:lastRow="0" w:firstColumn="1" w:lastColumn="0" w:noHBand="0" w:noVBand="1"/>
      </w:tblPr>
      <w:tblGrid>
        <w:gridCol w:w="2070"/>
        <w:gridCol w:w="4896"/>
        <w:gridCol w:w="4374"/>
      </w:tblGrid>
      <w:tr w:rsidR="004B7650" w:rsidRPr="00DB6F4F" w:rsidTr="00F5384B">
        <w:tc>
          <w:tcPr>
            <w:tcW w:w="207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Baseline Variables</w:t>
            </w:r>
          </w:p>
        </w:tc>
        <w:tc>
          <w:tcPr>
            <w:tcW w:w="4896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ICD-9</w:t>
            </w:r>
          </w:p>
        </w:tc>
        <w:tc>
          <w:tcPr>
            <w:tcW w:w="4374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szCs w:val="22"/>
              </w:rPr>
              <w:t>ICD-10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Aspergillosis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117.3x, 484.6x, 518.6x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B44.x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Asthma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493.x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J45.x</w:t>
            </w:r>
          </w:p>
        </w:tc>
      </w:tr>
      <w:tr w:rsidR="004B7650" w:rsidRPr="00DB6F4F" w:rsidTr="00F5384B">
        <w:tc>
          <w:tcPr>
            <w:tcW w:w="2070" w:type="dxa"/>
            <w:vAlign w:val="bottom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Atherosclerosis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440.x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I70.x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Bronchiectasis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4940, 4941, 74861 ,0115 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J479, J471, J470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CAD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414.0x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I25.1x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Cancer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140.x-172.x, 174.x-195.8, 200.x-208.x, 238.6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C00.x-C26.x, C30.x-C34.x, C37.x-C41.x, C43.x, C45.x-C58.x, C60.x-C76.x, C81.x-C85.x, C88.x, C90.x-C97.x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CHF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398.91, 402.01, 402.11, 402.91, 404.01, 404.03, 404.11, 404.13, 404.91, 404.93, 425.4-425.9, 428.x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I09.9, I11.0, I13.0, I13.2, I25.5, I42.0, I42.5-I42.9, I43.x, I50.x, P29.0 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kern w:val="24"/>
                <w:szCs w:val="22"/>
              </w:rPr>
              <w:t>Colitis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556.x, 558.9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K52.x 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kern w:val="24"/>
                <w:szCs w:val="22"/>
              </w:rPr>
              <w:t>COPD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490.x, 491.x, 492.x, 496.x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J20.x, J21.x, J40.x, J41.x, J42.x, J43.x, J44.x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Cystic fibrosis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277.02 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E84.0 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kern w:val="24"/>
                <w:szCs w:val="22"/>
              </w:rPr>
              <w:t>Crohn’s disease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555.x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K50.x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Depression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311.x, 296.3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F33.x, F32.x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Diabetes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250.0-250.3, 250.4-250.7, 250.8, 250.9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E10.0, E10.l, E10.6, E10.8, E10.9, E11.0, E11.1, E11.6, E11.8, E11.9, E12.0, E12.1, E12.6, E12.8, E12.9, E13.0, E13.1, E13.6, E13.8, E13.9, E14.0, E14.1, E14.6, E14.8, E14.9, E10.2-E10.5, E10.7, E11.2-E11.5, E11.7, E12.2-E12.5, E12.7, E13.2-E13.5, E13.7, E14.2-E14.5, E14.7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GERD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530.81, 530.84, 530.85 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K210, K219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 xml:space="preserve">HIV 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042.x-044.x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B20.x-B22.x, B24.x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Hyperlipidemia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272.0, 272.1, 272.2, 272.3, 272.4 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E78.x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Hypertension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401.x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I10.x, I11.x, I12.x, I13.x, I15.x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Immune deficiency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szCs w:val="22"/>
              </w:rPr>
              <w:t>042.x, 279.x, 204.x, 202.4</w:t>
            </w:r>
          </w:p>
        </w:tc>
        <w:tc>
          <w:tcPr>
            <w:tcW w:w="4374" w:type="dxa"/>
            <w:vAlign w:val="bottom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szCs w:val="22"/>
              </w:rPr>
              <w:t>D80, D80.x, D81, D81.x, D83, D83.x, D84, D84.x, D89, D89.x, D89.xx</w:t>
            </w:r>
          </w:p>
        </w:tc>
      </w:tr>
      <w:tr w:rsidR="004B7650" w:rsidRPr="00DB6F4F" w:rsidTr="00F5384B">
        <w:tc>
          <w:tcPr>
            <w:tcW w:w="2070" w:type="dxa"/>
            <w:shd w:val="clear" w:color="auto" w:fill="auto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kern w:val="24"/>
                <w:szCs w:val="22"/>
              </w:rPr>
            </w:pPr>
            <w:r w:rsidRPr="00DB6F4F">
              <w:rPr>
                <w:rFonts w:asciiTheme="minorHAnsi" w:hAnsiTheme="minorHAnsi" w:cs="Arial"/>
                <w:kern w:val="24"/>
                <w:szCs w:val="22"/>
              </w:rPr>
              <w:t>Lung cancer</w:t>
            </w:r>
          </w:p>
        </w:tc>
        <w:tc>
          <w:tcPr>
            <w:tcW w:w="4896" w:type="dxa"/>
            <w:shd w:val="clear" w:color="auto" w:fill="auto"/>
            <w:vAlign w:val="bottom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szCs w:val="22"/>
                <w:shd w:val="clear" w:color="auto" w:fill="FFFFFF"/>
              </w:rPr>
              <w:t>162.x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szCs w:val="22"/>
                <w:shd w:val="clear" w:color="auto" w:fill="FFFFFF"/>
              </w:rPr>
              <w:t>C34.x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Mental disorder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290-319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F00-F79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Metastatic carcinoma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196.x-199.x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C77.x-C80.x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kern w:val="24"/>
                <w:szCs w:val="22"/>
              </w:rPr>
              <w:t>Multiple sclerosis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340.x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G35.x</w:t>
            </w:r>
          </w:p>
        </w:tc>
      </w:tr>
      <w:tr w:rsidR="004B7650" w:rsidRPr="00DB6F4F" w:rsidTr="00F5384B">
        <w:tc>
          <w:tcPr>
            <w:tcW w:w="2070" w:type="dxa"/>
            <w:vAlign w:val="bottom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Moderate or severe liver disease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456.0-456.2, 572.2-572.8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I85.0, I85.9, I86.4, I98.2, K70.4, K71.1, K72.1, K72.9, K76.5, K76.6, K76.7 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Myocardial infarction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410.x, 412.x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I21.x, I22.x, I25.2 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Obesity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278.x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E66.x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Organ transplant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V42.0, V42.1, V42.6, V42.7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Z94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Pectus excavatum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738.3, 754.81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Q67.6, M95.4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Pneumonia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480, 481, 482, 483, 484, 485, 486 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szCs w:val="22"/>
              </w:rPr>
              <w:t>J12, J12.x, J13, J14, J15, J15.x, J15.xx, J15.xxx, J16, J16.x, J17, J18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Rheumatoid disease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446.5, 710.0-710.4, 714.0-714.2, 714.8, 725.x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M05.x, M06.x, M31.5, M32.x-M34.x, M35.1, M35.3, M36.0</w:t>
            </w:r>
          </w:p>
        </w:tc>
      </w:tr>
      <w:tr w:rsidR="004B7650" w:rsidRPr="00DB6F4F" w:rsidTr="00F5384B"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t>Tobacco use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305.1x, 6490.x, 989.84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Z72.0, F17.2, 099.33</w:t>
            </w:r>
          </w:p>
        </w:tc>
      </w:tr>
      <w:tr w:rsidR="004B7650" w:rsidRPr="00DB6F4F" w:rsidTr="00F5384B">
        <w:trPr>
          <w:trHeight w:val="296"/>
        </w:trPr>
        <w:tc>
          <w:tcPr>
            <w:tcW w:w="2070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161616"/>
                <w:kern w:val="24"/>
                <w:szCs w:val="22"/>
              </w:rPr>
              <w:lastRenderedPageBreak/>
              <w:t>Tuberculosis</w:t>
            </w:r>
          </w:p>
        </w:tc>
        <w:tc>
          <w:tcPr>
            <w:tcW w:w="4896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011.x </w:t>
            </w:r>
          </w:p>
        </w:tc>
        <w:tc>
          <w:tcPr>
            <w:tcW w:w="4374" w:type="dxa"/>
            <w:vAlign w:val="center"/>
          </w:tcPr>
          <w:p w:rsidR="004B7650" w:rsidRPr="00DB6F4F" w:rsidRDefault="004B7650" w:rsidP="00F5384B">
            <w:pPr>
              <w:rPr>
                <w:rFonts w:asciiTheme="minorHAnsi" w:hAnsiTheme="minorHAnsi" w:cs="Arial"/>
                <w:szCs w:val="22"/>
              </w:rPr>
            </w:pPr>
            <w:r w:rsidRPr="00DB6F4F">
              <w:rPr>
                <w:rFonts w:asciiTheme="minorHAnsi" w:hAnsiTheme="minorHAnsi" w:cs="Arial"/>
                <w:color w:val="222222"/>
                <w:szCs w:val="22"/>
              </w:rPr>
              <w:t>A15.x</w:t>
            </w:r>
          </w:p>
        </w:tc>
      </w:tr>
    </w:tbl>
    <w:p w:rsidR="004B7650" w:rsidRPr="00DB6F4F" w:rsidRDefault="004B7650" w:rsidP="004B7650">
      <w:pPr>
        <w:shd w:val="clear" w:color="auto" w:fill="FFFFFF" w:themeFill="background1"/>
        <w:ind w:left="-720"/>
        <w:rPr>
          <w:rFonts w:asciiTheme="minorHAnsi" w:eastAsia="Times New Roman" w:hAnsiTheme="minorHAnsi" w:cs="Arial"/>
          <w:color w:val="000000" w:themeColor="text1"/>
          <w:szCs w:val="22"/>
        </w:rPr>
      </w:pPr>
      <w:r w:rsidRPr="00DB6F4F">
        <w:rPr>
          <w:rFonts w:asciiTheme="minorHAnsi" w:eastAsia="Times New Roman" w:hAnsiTheme="minorHAnsi" w:cs="Arial"/>
          <w:color w:val="000000" w:themeColor="text1"/>
          <w:szCs w:val="22"/>
        </w:rPr>
        <w:t>CAD, coronary artery disease; CHF, congestive heart failure; COPD, chronic obstructive pulmonary disease; GBT, guidelines-based treatment; GERD, gastroesophageal reflux disease; HIV, human immunodeficiency virus; ICD, International Classification of Diseases.</w:t>
      </w: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</w:p>
    <w:p w:rsidR="004B7650" w:rsidRPr="00DB6F4F" w:rsidRDefault="004B7650" w:rsidP="004B7650">
      <w:pPr>
        <w:spacing w:after="160"/>
        <w:rPr>
          <w:rFonts w:asciiTheme="minorHAnsi" w:hAnsiTheme="minorHAnsi" w:cs="Arial"/>
          <w:b/>
          <w:szCs w:val="22"/>
        </w:rPr>
      </w:pPr>
      <w:r w:rsidRPr="00DB6F4F">
        <w:rPr>
          <w:rFonts w:asciiTheme="minorHAnsi" w:hAnsiTheme="minorHAnsi" w:cs="Arial"/>
          <w:b/>
          <w:szCs w:val="22"/>
        </w:rPr>
        <w:br w:type="page"/>
      </w:r>
    </w:p>
    <w:p w:rsidR="004B7650" w:rsidRPr="00DB6F4F" w:rsidRDefault="004B7650" w:rsidP="004B7650">
      <w:pPr>
        <w:rPr>
          <w:rFonts w:asciiTheme="minorHAnsi" w:hAnsiTheme="minorHAnsi" w:cs="Arial"/>
          <w:b/>
          <w:szCs w:val="22"/>
        </w:rPr>
      </w:pPr>
      <w:r w:rsidRPr="00DB6F4F">
        <w:rPr>
          <w:rFonts w:asciiTheme="minorHAnsi" w:hAnsiTheme="minorHAnsi" w:cs="Arial"/>
          <w:b/>
          <w:szCs w:val="22"/>
        </w:rPr>
        <w:lastRenderedPageBreak/>
        <w:t xml:space="preserve">Appendix C. </w:t>
      </w: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b/>
          <w:szCs w:val="22"/>
        </w:rPr>
        <w:t>Table.</w:t>
      </w:r>
      <w:r w:rsidRPr="00DB6F4F">
        <w:rPr>
          <w:rFonts w:asciiTheme="minorHAnsi" w:hAnsiTheme="minorHAnsi" w:cs="Arial"/>
          <w:szCs w:val="22"/>
        </w:rPr>
        <w:t xml:space="preserve"> Most frequently assigned* principal causes (ICD-9 or ICD-10 codes) for hospitalization in Year 2, accounting for 47.5% of total all-cause admissions (N=510).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5880"/>
        <w:gridCol w:w="1684"/>
      </w:tblGrid>
      <w:tr w:rsidR="004B7650" w:rsidRPr="00DB6F4F" w:rsidTr="00F5384B">
        <w:trPr>
          <w:trHeight w:val="60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ICD-9 or</w:t>
            </w:r>
          </w:p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ICD-10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Description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Number of Occurrences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color w:val="000000"/>
                <w:szCs w:val="22"/>
              </w:rPr>
              <w:t>Total respiratory hospitalizations, n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color w:val="000000"/>
                <w:szCs w:val="22"/>
              </w:rPr>
              <w:t xml:space="preserve">163 </w:t>
            </w:r>
            <w:r w:rsidRPr="00DB6F4F">
              <w:rPr>
                <w:rFonts w:asciiTheme="minorHAnsi" w:hAnsiTheme="minorHAnsi" w:cs="Arial"/>
                <w:b/>
                <w:color w:val="000000"/>
                <w:szCs w:val="22"/>
                <w:vertAlign w:val="superscript"/>
              </w:rPr>
              <w:t>b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486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Pneumonia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35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49121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Obstructive chronic bronchitis with (acute) exacerbation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27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27702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Cystic fibrosis with pulmonary manifestations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25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0310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NTMLD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14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4821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Pneumonia due to Pseudomonas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51881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Acute respiratory failure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49122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Obstructive chronic bronchitis with acute bronchitis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4941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Bronchiectasis with acute exacerbation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41519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Other pulmonary embolism and infarction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8</w:t>
            </w:r>
          </w:p>
        </w:tc>
      </w:tr>
      <w:tr w:rsidR="004B7650" w:rsidRPr="00DB6F4F" w:rsidTr="00F5384B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515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Post-inflammatory pulmonary fibrosis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8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51884</w:t>
            </w:r>
          </w:p>
        </w:tc>
        <w:tc>
          <w:tcPr>
            <w:tcW w:w="5880" w:type="dxa"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Acute and chronic respiratory failure</w:t>
            </w:r>
          </w:p>
        </w:tc>
        <w:tc>
          <w:tcPr>
            <w:tcW w:w="1684" w:type="dxa"/>
            <w:noWrap/>
            <w:hideMark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8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color w:val="000000"/>
                <w:szCs w:val="22"/>
              </w:rPr>
              <w:t>Total non-respiratory hospitalizations, n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b/>
                <w:color w:val="000000"/>
                <w:szCs w:val="22"/>
              </w:rPr>
              <w:t xml:space="preserve">79 </w:t>
            </w:r>
            <w:r w:rsidRPr="00DB6F4F">
              <w:rPr>
                <w:rFonts w:asciiTheme="minorHAnsi" w:hAnsiTheme="minorHAnsi" w:cs="Arial"/>
                <w:b/>
                <w:color w:val="000000"/>
                <w:szCs w:val="22"/>
                <w:vertAlign w:val="superscript"/>
              </w:rPr>
              <w:t>b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V5789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Care involving other specified rehabilitation procedure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33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0389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Unspecified septicemia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5990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Urinary tract infection, site not specified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42731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Atrial fibrillation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5849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Acute kidney failure, unspecified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</w:tr>
      <w:tr w:rsidR="004B7650" w:rsidRPr="00DB6F4F" w:rsidTr="00F5384B">
        <w:trPr>
          <w:trHeight w:val="390"/>
          <w:jc w:val="center"/>
        </w:trPr>
        <w:tc>
          <w:tcPr>
            <w:tcW w:w="1720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042</w:t>
            </w:r>
          </w:p>
        </w:tc>
        <w:tc>
          <w:tcPr>
            <w:tcW w:w="5880" w:type="dxa"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Human immunodeficiency virus [HIV] disease</w:t>
            </w:r>
          </w:p>
        </w:tc>
        <w:tc>
          <w:tcPr>
            <w:tcW w:w="1684" w:type="dxa"/>
            <w:noWrap/>
          </w:tcPr>
          <w:p w:rsidR="004B7650" w:rsidRPr="00DB6F4F" w:rsidRDefault="004B7650" w:rsidP="00F5384B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DB6F4F">
              <w:rPr>
                <w:rFonts w:asciiTheme="minorHAnsi" w:hAnsiTheme="minorHAnsi" w:cs="Arial"/>
                <w:color w:val="000000"/>
                <w:szCs w:val="22"/>
              </w:rPr>
              <w:t>8</w:t>
            </w:r>
          </w:p>
        </w:tc>
      </w:tr>
    </w:tbl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szCs w:val="22"/>
          <w:vertAlign w:val="superscript"/>
        </w:rPr>
        <w:t>a</w:t>
      </w:r>
      <w:r w:rsidRPr="00DB6F4F">
        <w:rPr>
          <w:rFonts w:asciiTheme="minorHAnsi" w:hAnsiTheme="minorHAnsi" w:cs="Arial"/>
          <w:szCs w:val="22"/>
        </w:rPr>
        <w:t xml:space="preserve"> Most frequently assigned principal diagnostic codes defined as those individually responsible for ≥1.5% of the admissions overall</w:t>
      </w: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szCs w:val="22"/>
          <w:vertAlign w:val="superscript"/>
        </w:rPr>
        <w:t>b</w:t>
      </w:r>
      <w:r w:rsidRPr="00DB6F4F">
        <w:rPr>
          <w:rFonts w:asciiTheme="minorHAnsi" w:hAnsiTheme="minorHAnsi" w:cs="Arial"/>
          <w:szCs w:val="22"/>
        </w:rPr>
        <w:t xml:space="preserve"> There are 242 hospitalizations assigned with these 17 most frequent principal causes.</w:t>
      </w: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</w:p>
    <w:p w:rsidR="004B7650" w:rsidRPr="00DB6F4F" w:rsidRDefault="004B7650" w:rsidP="004B7650">
      <w:pPr>
        <w:spacing w:after="160"/>
        <w:rPr>
          <w:rFonts w:asciiTheme="minorHAnsi" w:hAnsiTheme="minorHAnsi" w:cs="Arial"/>
          <w:b/>
          <w:szCs w:val="22"/>
        </w:rPr>
      </w:pPr>
      <w:r w:rsidRPr="00DB6F4F">
        <w:rPr>
          <w:rFonts w:asciiTheme="minorHAnsi" w:hAnsiTheme="minorHAnsi" w:cs="Arial"/>
          <w:b/>
          <w:szCs w:val="22"/>
        </w:rPr>
        <w:br w:type="page"/>
      </w:r>
    </w:p>
    <w:p w:rsidR="004B7650" w:rsidRPr="00DB6F4F" w:rsidRDefault="004B7650" w:rsidP="004B7650">
      <w:pPr>
        <w:rPr>
          <w:rFonts w:asciiTheme="minorHAnsi" w:hAnsiTheme="minorHAnsi" w:cs="Arial"/>
          <w:szCs w:val="22"/>
        </w:rPr>
      </w:pPr>
      <w:r w:rsidRPr="00DB6F4F">
        <w:rPr>
          <w:rFonts w:asciiTheme="minorHAnsi" w:hAnsiTheme="minorHAnsi" w:cs="Arial"/>
          <w:b/>
          <w:szCs w:val="22"/>
        </w:rPr>
        <w:lastRenderedPageBreak/>
        <w:t>Figure.</w:t>
      </w:r>
      <w:r w:rsidRPr="00DB6F4F">
        <w:rPr>
          <w:rFonts w:asciiTheme="minorHAnsi" w:hAnsiTheme="minorHAnsi" w:cs="Arial"/>
          <w:szCs w:val="22"/>
        </w:rPr>
        <w:t xml:space="preserve"> Proportions of respiratory vs non-respiratory hospitalizations in the individual groups and overall as measured by the most frequently assigned principal causes (ICD-9 or ICD-10 codes) for hospitalization in Year 2.</w:t>
      </w:r>
      <w:r w:rsidRPr="00DB6F4F" w:rsidDel="000B7488">
        <w:rPr>
          <w:rFonts w:asciiTheme="minorHAnsi" w:hAnsiTheme="minorHAnsi" w:cs="Arial"/>
          <w:szCs w:val="22"/>
        </w:rPr>
        <w:t xml:space="preserve"> </w:t>
      </w:r>
      <w:r w:rsidRPr="00DB6F4F">
        <w:rPr>
          <w:rFonts w:asciiTheme="minorHAnsi" w:hAnsiTheme="minorHAnsi" w:cs="Arial"/>
          <w:szCs w:val="22"/>
        </w:rPr>
        <w:t>There were 122 all-cause hospitalizations in the GBT group, 160 in the non-GBT group, and 228 in the untreated group.</w:t>
      </w:r>
    </w:p>
    <w:p w:rsidR="004B7650" w:rsidRPr="00DB6F4F" w:rsidRDefault="004B7650" w:rsidP="004B7650">
      <w:pPr>
        <w:rPr>
          <w:rFonts w:asciiTheme="minorHAnsi" w:hAnsiTheme="minorHAnsi" w:cs="Arial"/>
          <w:color w:val="000000"/>
          <w:szCs w:val="22"/>
        </w:rPr>
      </w:pPr>
    </w:p>
    <w:p w:rsidR="00DE3148" w:rsidRDefault="004B7650">
      <w:r w:rsidRPr="00DB6F4F">
        <w:rPr>
          <w:rFonts w:asciiTheme="minorHAnsi" w:hAnsiTheme="minorHAnsi"/>
          <w:b/>
          <w:noProof/>
          <w:szCs w:val="22"/>
        </w:rPr>
        <w:drawing>
          <wp:inline distT="0" distB="0" distL="0" distR="0" wp14:anchorId="53A36E57" wp14:editId="3FCCF073">
            <wp:extent cx="5943600" cy="2641600"/>
            <wp:effectExtent l="0" t="0" r="0" b="635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6D30EEE-668D-4E71-8917-7333A8386F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E3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50" w:rsidRDefault="004B7650" w:rsidP="004B7650">
      <w:r>
        <w:separator/>
      </w:r>
    </w:p>
  </w:endnote>
  <w:endnote w:type="continuationSeparator" w:id="0">
    <w:p w:rsidR="004B7650" w:rsidRDefault="004B7650" w:rsidP="004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50" w:rsidRDefault="004B7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50" w:rsidRDefault="004B76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ae24fba96a9d4155a86b2e1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7650" w:rsidRPr="004B7650" w:rsidRDefault="004B7650" w:rsidP="004B7650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B765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ae24fba96a9d4155a86b2e1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b9ZQAGgMAADc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4B7650" w:rsidRPr="004B7650" w:rsidRDefault="004B7650" w:rsidP="004B7650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B765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50" w:rsidRDefault="004B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50" w:rsidRDefault="004B7650" w:rsidP="004B7650">
      <w:r>
        <w:separator/>
      </w:r>
    </w:p>
  </w:footnote>
  <w:footnote w:type="continuationSeparator" w:id="0">
    <w:p w:rsidR="004B7650" w:rsidRDefault="004B7650" w:rsidP="004B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50" w:rsidRDefault="004B7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50" w:rsidRDefault="004B7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50" w:rsidRDefault="004B7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50"/>
    <w:rsid w:val="0043503B"/>
    <w:rsid w:val="004B7650"/>
    <w:rsid w:val="004C4C14"/>
    <w:rsid w:val="00D8545A"/>
    <w:rsid w:val="00DE3148"/>
    <w:rsid w:val="00F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6FA41B-AC83-4C11-86EA-62BD21BE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7650"/>
    <w:pPr>
      <w:spacing w:after="0" w:line="240" w:lineRule="auto"/>
    </w:pPr>
    <w:rPr>
      <w:rFonts w:ascii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B7650"/>
    <w:rPr>
      <w:sz w:val="15"/>
      <w:szCs w:val="15"/>
    </w:rPr>
  </w:style>
  <w:style w:type="table" w:styleId="TableGrid">
    <w:name w:val="Table Grid"/>
    <w:basedOn w:val="TableNormal"/>
    <w:uiPriority w:val="39"/>
    <w:rsid w:val="004B7650"/>
    <w:pPr>
      <w:spacing w:after="0" w:line="240" w:lineRule="auto"/>
    </w:pPr>
    <w:rPr>
      <w:rFonts w:ascii="Helvetica" w:hAnsi="Helvetica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50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B7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50"/>
    <w:rPr>
      <w:rFonts w:ascii="Helvetica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Sheet2!$K$2</c:f>
              <c:strCache>
                <c:ptCount val="1"/>
                <c:pt idx="0">
                  <c:v>respiratory hospitalization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Sheet2!$L$1:$O$1</c:f>
              <c:strCache>
                <c:ptCount val="4"/>
                <c:pt idx="0">
                  <c:v>Overall (N=510)</c:v>
                </c:pt>
                <c:pt idx="1">
                  <c:v>Untreated (N=228)</c:v>
                </c:pt>
                <c:pt idx="2">
                  <c:v>Non-GBT (N=160)</c:v>
                </c:pt>
                <c:pt idx="3">
                  <c:v>GBT (N=122)</c:v>
                </c:pt>
              </c:strCache>
            </c:strRef>
          </c:cat>
          <c:val>
            <c:numRef>
              <c:f>Sheet2!$L$2:$O$2</c:f>
              <c:numCache>
                <c:formatCode>General</c:formatCode>
                <c:ptCount val="4"/>
                <c:pt idx="0">
                  <c:v>31.959999999999987</c:v>
                </c:pt>
                <c:pt idx="1">
                  <c:v>30.7</c:v>
                </c:pt>
                <c:pt idx="2">
                  <c:v>28.130000000000013</c:v>
                </c:pt>
                <c:pt idx="3" formatCode="0.00">
                  <c:v>39.340000000000003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1-41C5-B0FC-4314A301A4C3}"/>
            </c:ext>
          </c:extLst>
        </c:ser>
        <c:ser>
          <c:idx val="1"/>
          <c:order val="1"/>
          <c:tx>
            <c:strRef>
              <c:f>Sheet2!$K$3</c:f>
              <c:strCache>
                <c:ptCount val="1"/>
                <c:pt idx="0">
                  <c:v>non-respiratory hospitalization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Sheet2!$L$1:$O$1</c:f>
              <c:strCache>
                <c:ptCount val="4"/>
                <c:pt idx="0">
                  <c:v>Overall (N=510)</c:v>
                </c:pt>
                <c:pt idx="1">
                  <c:v>Untreated (N=228)</c:v>
                </c:pt>
                <c:pt idx="2">
                  <c:v>Non-GBT (N=160)</c:v>
                </c:pt>
                <c:pt idx="3">
                  <c:v>GBT (N=122)</c:v>
                </c:pt>
              </c:strCache>
            </c:strRef>
          </c:cat>
          <c:val>
            <c:numRef>
              <c:f>Sheet2!$L$3:$O$3</c:f>
              <c:numCache>
                <c:formatCode>General</c:formatCode>
                <c:ptCount val="4"/>
                <c:pt idx="0">
                  <c:v>15.49</c:v>
                </c:pt>
                <c:pt idx="1">
                  <c:v>18.420000000000002</c:v>
                </c:pt>
                <c:pt idx="2">
                  <c:v>16.88</c:v>
                </c:pt>
                <c:pt idx="3">
                  <c:v>8.2000000000000011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1-41C5-B0FC-4314A301A4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6793344"/>
        <c:axId val="76795904"/>
      </c:barChart>
      <c:catAx>
        <c:axId val="7679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95904"/>
        <c:crosses val="autoZero"/>
        <c:auto val="1"/>
        <c:lblAlgn val="ctr"/>
        <c:lblOffset val="100"/>
        <c:noMultiLvlLbl val="0"/>
      </c:catAx>
      <c:valAx>
        <c:axId val="76795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All-Cause Hospitalization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9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Stephen</dc:creator>
  <cp:keywords/>
  <dc:description/>
  <cp:lastModifiedBy>Young, Stephen</cp:lastModifiedBy>
  <cp:revision>1</cp:revision>
  <dcterms:created xsi:type="dcterms:W3CDTF">2019-05-09T10:36:00Z</dcterms:created>
  <dcterms:modified xsi:type="dcterms:W3CDTF">2019-05-09T10:37:00Z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Stephen.Young@informa.com</vt:lpwstr>
  </property>
  <property fmtid="{D5CDD505-2E9C-101B-9397-08002B2CF9AE}" pid="5" name="MSIP_Label_181c070e-054b-4d1c-ba4c-fc70b099192e_SetDate">
    <vt:lpwstr>2019-05-09T10:37:17.6857259Z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Stephen.Young@informa.com</vt:lpwstr>
  </property>
  <property fmtid="{D5CDD505-2E9C-101B-9397-08002B2CF9AE}" pid="12" name="MSIP_Label_2bbab825-a111-45e4-86a1-18cee0005896_SetDate">
    <vt:lpwstr>2019-05-09T10:37:17.6857259Z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