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7" w:rsidRPr="00781F89" w:rsidRDefault="001A55C7" w:rsidP="00781F89">
      <w:pPr>
        <w:pStyle w:val="Titre1"/>
        <w:numPr>
          <w:ilvl w:val="0"/>
          <w:numId w:val="0"/>
        </w:numPr>
        <w:spacing w:line="360" w:lineRule="auto"/>
        <w:jc w:val="center"/>
        <w:rPr>
          <w:rFonts w:ascii="Segoe UI Symbol" w:eastAsiaTheme="minorHAnsi" w:hAnsi="Segoe UI Symbol" w:cs="Times New Roman"/>
          <w:bCs w:val="0"/>
          <w:kern w:val="0"/>
          <w:sz w:val="24"/>
          <w:szCs w:val="24"/>
          <w:lang w:val="en-US" w:eastAsia="en-US"/>
        </w:rPr>
      </w:pPr>
      <w:r w:rsidRPr="00F06B83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>Initial risk assessment matrix related to the im</w:t>
      </w:r>
      <w:bookmarkStart w:id="0" w:name="_GoBack"/>
      <w:bookmarkEnd w:id="0"/>
      <w:r w:rsidRPr="00F06B83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 xml:space="preserve">pact of </w:t>
      </w:r>
      <w:r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>raw material attributes</w:t>
      </w:r>
      <w:r w:rsidR="0071719A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 xml:space="preserve"> </w:t>
      </w:r>
      <w:r w:rsidR="00B6226F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>on product quality attributes</w:t>
      </w:r>
      <w:r w:rsidR="0071719A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 xml:space="preserve"> </w:t>
      </w:r>
    </w:p>
    <w:p w:rsidR="001A55C7" w:rsidRPr="008C3C66" w:rsidRDefault="001A55C7" w:rsidP="001A55C7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701"/>
        <w:gridCol w:w="1560"/>
        <w:gridCol w:w="1701"/>
        <w:gridCol w:w="2976"/>
      </w:tblGrid>
      <w:tr w:rsidR="00781F89" w:rsidRPr="00C73B8B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m</w:t>
            </w:r>
            <w:r w:rsidRPr="00C73B8B">
              <w:rPr>
                <w:sz w:val="24"/>
                <w:szCs w:val="24"/>
              </w:rPr>
              <w:t xml:space="preserve">aterial attributes 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Product data Or </w:t>
            </w:r>
            <w:r w:rsidR="00B6226F" w:rsidRPr="00781F89">
              <w:rPr>
                <w:rFonts w:eastAsia="Times New Roman"/>
                <w:kern w:val="24"/>
                <w:sz w:val="24"/>
                <w:szCs w:val="24"/>
                <w:lang w:eastAsia="fr-FR"/>
              </w:rPr>
              <w:t>data on similar products</w:t>
            </w:r>
            <w:r w:rsidR="00B6226F" w:rsidRPr="00C73B8B" w:rsidDel="00B6226F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 </w:t>
            </w: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or Literature data </w:t>
            </w:r>
          </w:p>
        </w:tc>
        <w:tc>
          <w:tcPr>
            <w:tcW w:w="1559" w:type="dxa"/>
          </w:tcPr>
          <w:p w:rsidR="001A55C7" w:rsidRPr="00C73B8B" w:rsidRDefault="001A55C7" w:rsidP="0071719A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Particle size distribution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Crystal structure</w:t>
            </w:r>
          </w:p>
        </w:tc>
        <w:tc>
          <w:tcPr>
            <w:tcW w:w="1560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Jet milling yield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EHS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Comment</w:t>
            </w:r>
            <w:r w:rsidR="0071719A">
              <w:rPr>
                <w:sz w:val="24"/>
                <w:szCs w:val="24"/>
              </w:rPr>
              <w:t>s</w:t>
            </w:r>
            <w:r w:rsidRPr="00C73B8B">
              <w:rPr>
                <w:sz w:val="24"/>
                <w:szCs w:val="24"/>
              </w:rPr>
              <w:t xml:space="preserve"> and mitigation plan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Particle size of </w:t>
            </w:r>
            <w:proofErr w:type="spellStart"/>
            <w:r>
              <w:rPr>
                <w:sz w:val="24"/>
                <w:szCs w:val="24"/>
              </w:rPr>
              <w:t>un</w:t>
            </w:r>
            <w:r w:rsidRPr="00C73B8B">
              <w:rPr>
                <w:sz w:val="24"/>
                <w:szCs w:val="24"/>
              </w:rPr>
              <w:t>milled</w:t>
            </w:r>
            <w:proofErr w:type="spellEnd"/>
            <w:r w:rsidRPr="00C73B8B">
              <w:rPr>
                <w:sz w:val="24"/>
                <w:szCs w:val="24"/>
              </w:rPr>
              <w:t xml:space="preserve">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Large particle size could induce blow back of jet mill.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</w:t>
            </w:r>
            <w:proofErr w:type="spellStart"/>
            <w:r w:rsidRPr="00C73B8B">
              <w:rPr>
                <w:sz w:val="24"/>
                <w:szCs w:val="24"/>
              </w:rPr>
              <w:t>unmilled</w:t>
            </w:r>
            <w:proofErr w:type="spellEnd"/>
            <w:r w:rsidRPr="00C73B8B">
              <w:rPr>
                <w:sz w:val="24"/>
                <w:szCs w:val="24"/>
              </w:rPr>
              <w:t xml:space="preserve"> material contains very large lumps. 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90.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90.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De</w:t>
            </w:r>
            <w:r w:rsidR="0071719A">
              <w:rPr>
                <w:sz w:val="24"/>
                <w:szCs w:val="24"/>
              </w:rPr>
              <w:t>-</w:t>
            </w:r>
            <w:r w:rsidRPr="00C73B8B">
              <w:rPr>
                <w:sz w:val="24"/>
                <w:szCs w:val="24"/>
              </w:rPr>
              <w:t xml:space="preserve">lumping </w:t>
            </w:r>
            <w:r w:rsidR="00781F89">
              <w:rPr>
                <w:sz w:val="24"/>
                <w:szCs w:val="24"/>
              </w:rPr>
              <w:t>w</w:t>
            </w:r>
            <w:r w:rsidR="00EB31D5">
              <w:rPr>
                <w:sz w:val="24"/>
                <w:szCs w:val="24"/>
              </w:rPr>
              <w:t>ould be required</w:t>
            </w:r>
          </w:p>
          <w:p w:rsidR="00EB31D5" w:rsidRPr="00781F89" w:rsidRDefault="00EB31D5" w:rsidP="00781F89">
            <w:pPr>
              <w:rPr>
                <w:sz w:val="24"/>
                <w:szCs w:val="24"/>
              </w:rPr>
            </w:pPr>
            <w:r w:rsidRPr="00781F89">
              <w:rPr>
                <w:sz w:val="24"/>
                <w:szCs w:val="24"/>
              </w:rPr>
              <w:t xml:space="preserve">It necessitates to evaluate </w:t>
            </w:r>
            <w:r w:rsidR="002F0E17">
              <w:rPr>
                <w:sz w:val="24"/>
                <w:szCs w:val="24"/>
              </w:rPr>
              <w:t>o</w:t>
            </w:r>
            <w:r w:rsidRPr="00781F89">
              <w:rPr>
                <w:sz w:val="24"/>
                <w:szCs w:val="24"/>
              </w:rPr>
              <w:t>scillating sieving mill versus conical-Sieve-mill</w:t>
            </w:r>
          </w:p>
          <w:p w:rsidR="001A55C7" w:rsidRPr="00C73B8B" w:rsidRDefault="001A55C7" w:rsidP="0071719A">
            <w:pPr>
              <w:rPr>
                <w:sz w:val="24"/>
                <w:szCs w:val="24"/>
              </w:rPr>
            </w:pP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71719A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Hardness of </w:t>
            </w:r>
            <w:r w:rsidR="0071719A">
              <w:rPr>
                <w:sz w:val="24"/>
                <w:szCs w:val="24"/>
              </w:rPr>
              <w:t xml:space="preserve">not </w:t>
            </w:r>
            <w:proofErr w:type="spellStart"/>
            <w:r w:rsidRPr="00C73B8B">
              <w:rPr>
                <w:sz w:val="24"/>
                <w:szCs w:val="24"/>
              </w:rPr>
              <w:t>jetmilled</w:t>
            </w:r>
            <w:proofErr w:type="spellEnd"/>
            <w:r w:rsidRPr="00C73B8B">
              <w:rPr>
                <w:sz w:val="24"/>
                <w:szCs w:val="24"/>
              </w:rPr>
              <w:t xml:space="preserve">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Hard </w:t>
            </w:r>
            <w:proofErr w:type="gramStart"/>
            <w:r w:rsidRPr="00C73B8B">
              <w:rPr>
                <w:sz w:val="24"/>
                <w:szCs w:val="24"/>
              </w:rPr>
              <w:t>material  require</w:t>
            </w:r>
            <w:r w:rsidR="0071719A">
              <w:rPr>
                <w:sz w:val="24"/>
                <w:szCs w:val="24"/>
              </w:rPr>
              <w:t>s</w:t>
            </w:r>
            <w:proofErr w:type="gramEnd"/>
            <w:r w:rsidRPr="00C73B8B">
              <w:rPr>
                <w:sz w:val="24"/>
                <w:szCs w:val="24"/>
              </w:rPr>
              <w:t xml:space="preserve"> high energy</w:t>
            </w:r>
            <w:r w:rsidR="0071719A">
              <w:rPr>
                <w:sz w:val="24"/>
                <w:szCs w:val="24"/>
              </w:rPr>
              <w:t xml:space="preserve"> to break</w:t>
            </w:r>
            <w:r w:rsidRPr="00C73B8B">
              <w:rPr>
                <w:sz w:val="24"/>
                <w:szCs w:val="24"/>
              </w:rPr>
              <w:t>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API is an organic material exhibiting hardness that could be managed by jet mill performances. No issue was observed during early stage development</w:t>
            </w:r>
          </w:p>
        </w:tc>
        <w:tc>
          <w:tcPr>
            <w:tcW w:w="1559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2.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2.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Conduct parametric study to define the relationship between </w:t>
            </w:r>
            <w:r w:rsidR="0071719A">
              <w:rPr>
                <w:sz w:val="24"/>
                <w:szCs w:val="24"/>
              </w:rPr>
              <w:t xml:space="preserve">the </w:t>
            </w:r>
            <w:r w:rsidRPr="00C73B8B">
              <w:rPr>
                <w:sz w:val="24"/>
                <w:szCs w:val="24"/>
              </w:rPr>
              <w:t xml:space="preserve">particle size or </w:t>
            </w:r>
            <w:r w:rsidR="0071719A">
              <w:rPr>
                <w:sz w:val="24"/>
                <w:szCs w:val="24"/>
              </w:rPr>
              <w:t xml:space="preserve">the </w:t>
            </w:r>
            <w:r w:rsidRPr="00C73B8B">
              <w:rPr>
                <w:sz w:val="24"/>
                <w:szCs w:val="24"/>
              </w:rPr>
              <w:t xml:space="preserve">surface specific area and </w:t>
            </w:r>
            <w:r w:rsidR="0071719A">
              <w:rPr>
                <w:sz w:val="24"/>
                <w:szCs w:val="24"/>
              </w:rPr>
              <w:t xml:space="preserve">the </w:t>
            </w:r>
            <w:r w:rsidRPr="00C73B8B">
              <w:rPr>
                <w:sz w:val="24"/>
                <w:szCs w:val="24"/>
              </w:rPr>
              <w:t>specific energy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Bulk density and Flow</w:t>
            </w:r>
            <w:r w:rsidR="009146EF">
              <w:rPr>
                <w:sz w:val="24"/>
                <w:szCs w:val="24"/>
              </w:rPr>
              <w:t xml:space="preserve"> propert</w:t>
            </w:r>
            <w:r w:rsidR="00EB31D5">
              <w:rPr>
                <w:sz w:val="24"/>
                <w:szCs w:val="24"/>
              </w:rPr>
              <w:t>ies</w:t>
            </w:r>
            <w:r w:rsidRPr="00C73B8B">
              <w:rPr>
                <w:sz w:val="24"/>
                <w:szCs w:val="24"/>
              </w:rPr>
              <w:t xml:space="preserve"> of </w:t>
            </w:r>
            <w:r w:rsidRPr="00C73B8B">
              <w:rPr>
                <w:sz w:val="24"/>
                <w:szCs w:val="24"/>
              </w:rPr>
              <w:lastRenderedPageBreak/>
              <w:t>un-jet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Impact on feeding of jet mill.</w:t>
            </w:r>
          </w:p>
          <w:p w:rsidR="001A55C7" w:rsidRPr="00C73B8B" w:rsidRDefault="001A55C7" w:rsidP="009146EF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exhibits </w:t>
            </w:r>
            <w:r w:rsidRPr="00C73B8B">
              <w:rPr>
                <w:sz w:val="24"/>
                <w:szCs w:val="24"/>
              </w:rPr>
              <w:lastRenderedPageBreak/>
              <w:t xml:space="preserve">a very low bulk density and </w:t>
            </w:r>
            <w:r w:rsidR="009146EF">
              <w:rPr>
                <w:sz w:val="24"/>
                <w:szCs w:val="24"/>
              </w:rPr>
              <w:t>poor</w:t>
            </w:r>
            <w:r w:rsidR="009146EF" w:rsidRPr="00C73B8B">
              <w:rPr>
                <w:sz w:val="24"/>
                <w:szCs w:val="24"/>
              </w:rPr>
              <w:t xml:space="preserve"> </w:t>
            </w:r>
            <w:r w:rsidRPr="00C73B8B">
              <w:rPr>
                <w:sz w:val="24"/>
                <w:szCs w:val="24"/>
              </w:rPr>
              <w:t>flow</w:t>
            </w:r>
            <w:r w:rsidR="009146EF">
              <w:rPr>
                <w:sz w:val="24"/>
                <w:szCs w:val="24"/>
              </w:rPr>
              <w:t xml:space="preserve"> property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high probability of </w:t>
            </w:r>
            <w:r w:rsidRPr="00C73B8B">
              <w:rPr>
                <w:sz w:val="24"/>
                <w:szCs w:val="24"/>
              </w:rPr>
              <w:lastRenderedPageBreak/>
              <w:t xml:space="preserve">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medium probability of </w:t>
            </w:r>
            <w:r w:rsidRPr="00C73B8B">
              <w:rPr>
                <w:sz w:val="24"/>
                <w:szCs w:val="24"/>
              </w:rPr>
              <w:lastRenderedPageBreak/>
              <w:t xml:space="preserve">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</w:t>
            </w:r>
            <w:r w:rsidRPr="00C73B8B">
              <w:rPr>
                <w:sz w:val="24"/>
                <w:szCs w:val="24"/>
              </w:rPr>
              <w:lastRenderedPageBreak/>
              <w:t xml:space="preserve">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</w:t>
            </w:r>
            <w:r w:rsidRPr="00C73B8B">
              <w:rPr>
                <w:sz w:val="24"/>
                <w:szCs w:val="24"/>
              </w:rPr>
              <w:lastRenderedPageBreak/>
              <w:t xml:space="preserve">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Evaluation of gravimetric feeder versus volumetric one. </w:t>
            </w:r>
          </w:p>
          <w:p w:rsidR="001A55C7" w:rsidRPr="00C73B8B" w:rsidRDefault="001A55C7" w:rsidP="009146EF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Design of </w:t>
            </w:r>
            <w:r w:rsidR="00EB31D5">
              <w:rPr>
                <w:sz w:val="24"/>
                <w:szCs w:val="24"/>
              </w:rPr>
              <w:t>sealed</w:t>
            </w:r>
            <w:r w:rsidRPr="00C73B8B">
              <w:rPr>
                <w:sz w:val="24"/>
                <w:szCs w:val="24"/>
              </w:rPr>
              <w:t xml:space="preserve"> process allowing efficient recovery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Crystal </w:t>
            </w:r>
            <w:r>
              <w:rPr>
                <w:sz w:val="24"/>
                <w:szCs w:val="24"/>
              </w:rPr>
              <w:t xml:space="preserve">structure </w:t>
            </w:r>
            <w:r w:rsidRPr="00C73B8B">
              <w:rPr>
                <w:sz w:val="24"/>
                <w:szCs w:val="24"/>
              </w:rPr>
              <w:t xml:space="preserve">of un-jet milled material 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Crystal structure of jet milled material </w:t>
            </w:r>
            <w:r w:rsidR="009146EF">
              <w:rPr>
                <w:sz w:val="24"/>
                <w:szCs w:val="24"/>
              </w:rPr>
              <w:t>may</w:t>
            </w:r>
            <w:r w:rsidRPr="00C73B8B">
              <w:rPr>
                <w:sz w:val="24"/>
                <w:szCs w:val="24"/>
              </w:rPr>
              <w:t xml:space="preserve"> be impacted either by jet milling specific energy or by grinding gas humidity.</w:t>
            </w:r>
          </w:p>
          <w:p w:rsidR="001A55C7" w:rsidRPr="00C73B8B" w:rsidRDefault="001A55C7" w:rsidP="009146EF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presents 2 crystalline forms. </w:t>
            </w:r>
            <w:r w:rsidR="009146EF">
              <w:rPr>
                <w:sz w:val="24"/>
                <w:szCs w:val="24"/>
              </w:rPr>
              <w:t>P</w:t>
            </w:r>
            <w:r w:rsidRPr="00C73B8B">
              <w:rPr>
                <w:sz w:val="24"/>
                <w:szCs w:val="24"/>
              </w:rPr>
              <w:t xml:space="preserve">olymorphic transition could occur during milling. Stability of particle size during storage </w:t>
            </w:r>
            <w:r w:rsidR="009146EF">
              <w:rPr>
                <w:sz w:val="24"/>
                <w:szCs w:val="24"/>
              </w:rPr>
              <w:t xml:space="preserve">may </w:t>
            </w:r>
            <w:r w:rsidRPr="00C73B8B">
              <w:rPr>
                <w:sz w:val="24"/>
                <w:szCs w:val="24"/>
              </w:rPr>
              <w:t xml:space="preserve"> be impacted 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Monitoring of crystal structure as</w:t>
            </w:r>
            <w:r w:rsidR="009146EF">
              <w:rPr>
                <w:sz w:val="24"/>
                <w:szCs w:val="24"/>
              </w:rPr>
              <w:t xml:space="preserve"> a</w:t>
            </w:r>
            <w:r w:rsidRPr="00C73B8B">
              <w:rPr>
                <w:sz w:val="24"/>
                <w:szCs w:val="24"/>
              </w:rPr>
              <w:t xml:space="preserve"> function of the applied specific energy.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Surface charge of un-jet 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Impacts solid flow rate and build-up inside the mill.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Resistivit</w:t>
            </w:r>
            <w:r>
              <w:rPr>
                <w:sz w:val="24"/>
                <w:szCs w:val="24"/>
              </w:rPr>
              <w:t xml:space="preserve">y of API powder is about 3.105 </w:t>
            </w:r>
            <w:r>
              <w:rPr>
                <w:sz w:val="24"/>
                <w:szCs w:val="24"/>
              </w:rPr>
              <w:sym w:font="Symbol" w:char="F057"/>
            </w:r>
            <w:r w:rsidRPr="00C73B8B">
              <w:rPr>
                <w:sz w:val="24"/>
                <w:szCs w:val="24"/>
              </w:rPr>
              <w:t>.m indicating</w:t>
            </w:r>
            <w:r w:rsidR="009146EF">
              <w:rPr>
                <w:sz w:val="24"/>
                <w:szCs w:val="24"/>
              </w:rPr>
              <w:t xml:space="preserve"> that the API is </w:t>
            </w:r>
            <w:proofErr w:type="gramStart"/>
            <w:r w:rsidR="009146EF">
              <w:rPr>
                <w:sz w:val="24"/>
                <w:szCs w:val="24"/>
              </w:rPr>
              <w:t xml:space="preserve">prone </w:t>
            </w:r>
            <w:r w:rsidRPr="00C73B8B">
              <w:rPr>
                <w:sz w:val="24"/>
                <w:szCs w:val="24"/>
              </w:rPr>
              <w:t xml:space="preserve"> to</w:t>
            </w:r>
            <w:proofErr w:type="gramEnd"/>
            <w:r w:rsidRPr="00C73B8B">
              <w:rPr>
                <w:sz w:val="24"/>
                <w:szCs w:val="24"/>
              </w:rPr>
              <w:t xml:space="preserve"> electrostatic </w:t>
            </w:r>
            <w:r w:rsidRPr="00C73B8B">
              <w:rPr>
                <w:sz w:val="24"/>
                <w:szCs w:val="24"/>
              </w:rPr>
              <w:lastRenderedPageBreak/>
              <w:t>charge accumulation.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Evaluation of gravimetric feeder versus volumetric one. </w:t>
            </w:r>
          </w:p>
          <w:p w:rsidR="001A55C7" w:rsidRPr="00C73B8B" w:rsidRDefault="001A55C7" w:rsidP="00EB31D5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Design of </w:t>
            </w:r>
            <w:proofErr w:type="spellStart"/>
            <w:r w:rsidR="00EB31D5">
              <w:rPr>
                <w:sz w:val="24"/>
                <w:szCs w:val="24"/>
              </w:rPr>
              <w:t>sealedsealed</w:t>
            </w:r>
            <w:proofErr w:type="spellEnd"/>
            <w:r w:rsidR="00EB31D5" w:rsidRPr="00C73B8B">
              <w:rPr>
                <w:sz w:val="24"/>
                <w:szCs w:val="24"/>
              </w:rPr>
              <w:t xml:space="preserve"> </w:t>
            </w:r>
            <w:r w:rsidRPr="00C73B8B">
              <w:rPr>
                <w:sz w:val="24"/>
                <w:szCs w:val="24"/>
              </w:rPr>
              <w:t>process allowing containment and  efficient recovery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Morphology of un-jet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Impacts solid flow rate and build-up inside the mill.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is a needle shaped material that could increase the inter-particle friction and therefore the </w:t>
            </w:r>
            <w:proofErr w:type="spellStart"/>
            <w:r w:rsidRPr="00C73B8B">
              <w:rPr>
                <w:sz w:val="24"/>
                <w:szCs w:val="24"/>
              </w:rPr>
              <w:t>flowability</w:t>
            </w:r>
            <w:proofErr w:type="spellEnd"/>
            <w:r w:rsidRPr="00C73B8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Evaluation of gravimetric feeder versus volumetric one. </w:t>
            </w:r>
          </w:p>
          <w:p w:rsidR="001A55C7" w:rsidRPr="00C73B8B" w:rsidRDefault="001A55C7" w:rsidP="00D313B4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Design of </w:t>
            </w:r>
            <w:r w:rsidR="00EB31D5">
              <w:rPr>
                <w:sz w:val="24"/>
                <w:szCs w:val="24"/>
              </w:rPr>
              <w:t>sealed</w:t>
            </w:r>
            <w:r w:rsidRPr="00C73B8B">
              <w:rPr>
                <w:sz w:val="24"/>
                <w:szCs w:val="24"/>
              </w:rPr>
              <w:t xml:space="preserve"> process containment and  efficient recovery</w:t>
            </w:r>
          </w:p>
        </w:tc>
      </w:tr>
      <w:tr w:rsidR="00781F89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Stickiness of un-jet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Impacts solid flow rate and therefore the applied specific energy.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API exhibits high tendency to adhesiveness to stainless steel and some polymers.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Likely build-up inside the mill.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Selection of adequate jet mill having material that can lower adhesiveness of API.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Evaluation of gravimetric feeder versus volumetric one. </w:t>
            </w:r>
          </w:p>
        </w:tc>
      </w:tr>
      <w:tr w:rsidR="00781F89" w:rsidRPr="00C73B8B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Abrasiveness of un-jet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Impacts particle size distribution and wearing of jet mill</w:t>
            </w:r>
            <w:r w:rsidR="00D313B4">
              <w:rPr>
                <w:sz w:val="24"/>
                <w:szCs w:val="24"/>
              </w:rPr>
              <w:t>ed</w:t>
            </w:r>
            <w:r w:rsidRPr="00C73B8B">
              <w:rPr>
                <w:sz w:val="24"/>
                <w:szCs w:val="24"/>
              </w:rPr>
              <w:t xml:space="preserve"> material.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is an </w:t>
            </w:r>
            <w:r w:rsidRPr="00C73B8B">
              <w:rPr>
                <w:sz w:val="24"/>
                <w:szCs w:val="24"/>
              </w:rPr>
              <w:lastRenderedPageBreak/>
              <w:t>organic material exhibiting hardness that could be managed by jet mill performances. No issue was observed during early stage development.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occurrence. High risk </w:t>
            </w:r>
            <w:r w:rsidRPr="00C73B8B">
              <w:rPr>
                <w:sz w:val="24"/>
                <w:szCs w:val="24"/>
              </w:rPr>
              <w:lastRenderedPageBreak/>
              <w:t xml:space="preserve">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occurrence. High risk </w:t>
            </w:r>
            <w:r w:rsidRPr="00C73B8B">
              <w:rPr>
                <w:sz w:val="24"/>
                <w:szCs w:val="24"/>
              </w:rPr>
              <w:lastRenderedPageBreak/>
              <w:t xml:space="preserve">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occurrence. High risk </w:t>
            </w:r>
            <w:r w:rsidRPr="00C73B8B">
              <w:rPr>
                <w:sz w:val="24"/>
                <w:szCs w:val="24"/>
              </w:rPr>
              <w:lastRenderedPageBreak/>
              <w:t xml:space="preserve">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Low impact and low probability of occurrence. High risk </w:t>
            </w:r>
            <w:r w:rsidRPr="00C73B8B">
              <w:rPr>
                <w:sz w:val="24"/>
                <w:szCs w:val="24"/>
              </w:rPr>
              <w:lastRenderedPageBreak/>
              <w:t xml:space="preserve">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No action plan</w:t>
            </w:r>
          </w:p>
        </w:tc>
      </w:tr>
      <w:tr w:rsidR="00781F89" w:rsidRPr="00C73B8B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Residual solvent of un-jet milled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Can induce build-up inside the mill.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contains organic solvent which is compliant </w:t>
            </w:r>
            <w:r w:rsidR="00D313B4">
              <w:rPr>
                <w:sz w:val="24"/>
                <w:szCs w:val="24"/>
              </w:rPr>
              <w:t>with the</w:t>
            </w:r>
            <w:r w:rsidRPr="00C73B8B">
              <w:rPr>
                <w:sz w:val="24"/>
                <w:szCs w:val="24"/>
              </w:rPr>
              <w:t xml:space="preserve"> official limits according to ICH residual solvents requirements by USP and Ph</w:t>
            </w:r>
            <w:r w:rsidR="00D313B4">
              <w:rPr>
                <w:sz w:val="24"/>
                <w:szCs w:val="24"/>
              </w:rPr>
              <w:t xml:space="preserve">. </w:t>
            </w:r>
            <w:r w:rsidRPr="00C73B8B">
              <w:rPr>
                <w:sz w:val="24"/>
                <w:szCs w:val="24"/>
              </w:rPr>
              <w:t>Eur</w:t>
            </w:r>
            <w:r w:rsidR="00D313B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No action plan</w:t>
            </w:r>
          </w:p>
        </w:tc>
      </w:tr>
    </w:tbl>
    <w:p w:rsidR="00781F89" w:rsidRDefault="00781F89" w:rsidP="001A55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F89" w:rsidRDefault="00781F89" w:rsidP="00781F89">
      <w:pPr>
        <w:rPr>
          <w:lang w:val="en-US"/>
        </w:rPr>
      </w:pPr>
      <w:r>
        <w:rPr>
          <w:lang w:val="en-US"/>
        </w:rPr>
        <w:br w:type="page"/>
      </w:r>
    </w:p>
    <w:p w:rsidR="001A55C7" w:rsidRDefault="001A55C7" w:rsidP="001A55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5C7" w:rsidRPr="00F06B83" w:rsidRDefault="001A55C7" w:rsidP="00781F89">
      <w:pPr>
        <w:pStyle w:val="Titre1"/>
        <w:numPr>
          <w:ilvl w:val="0"/>
          <w:numId w:val="0"/>
        </w:numPr>
        <w:spacing w:line="360" w:lineRule="auto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</w:pPr>
      <w:r w:rsidRPr="00F06B83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>Initial risk assessment matrix related to the impact of operating parameters</w:t>
      </w:r>
      <w:r w:rsidR="00EB31D5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 xml:space="preserve"> on product quality attributes</w:t>
      </w:r>
    </w:p>
    <w:p w:rsidR="001A55C7" w:rsidRDefault="001A55C7" w:rsidP="001A55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701"/>
        <w:gridCol w:w="1560"/>
        <w:gridCol w:w="1701"/>
        <w:gridCol w:w="2976"/>
      </w:tblGrid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</w:t>
            </w:r>
            <w:r w:rsidRPr="00C73B8B">
              <w:rPr>
                <w:sz w:val="24"/>
                <w:szCs w:val="24"/>
              </w:rPr>
              <w:t xml:space="preserve"> parameters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Product data </w:t>
            </w:r>
            <w:r w:rsidR="00EB31D5">
              <w:rPr>
                <w:rFonts w:eastAsia="Times New Roman"/>
                <w:kern w:val="24"/>
                <w:sz w:val="24"/>
                <w:szCs w:val="24"/>
                <w:lang w:eastAsia="fr-FR"/>
              </w:rPr>
              <w:t>or data on similar products</w:t>
            </w: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 or Literature data </w:t>
            </w:r>
          </w:p>
        </w:tc>
        <w:tc>
          <w:tcPr>
            <w:tcW w:w="1559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Particle sized distribution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Crystal structure</w:t>
            </w:r>
          </w:p>
        </w:tc>
        <w:tc>
          <w:tcPr>
            <w:tcW w:w="1560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Jet milling yield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EHS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Comment and</w:t>
            </w:r>
            <w:r w:rsidR="00EB31D5">
              <w:rPr>
                <w:sz w:val="24"/>
                <w:szCs w:val="24"/>
              </w:rPr>
              <w:t xml:space="preserve"> / or </w:t>
            </w:r>
            <w:r w:rsidRPr="00C73B8B">
              <w:rPr>
                <w:sz w:val="24"/>
                <w:szCs w:val="24"/>
              </w:rPr>
              <w:t xml:space="preserve"> mitigation plan</w:t>
            </w:r>
          </w:p>
        </w:tc>
      </w:tr>
      <w:tr w:rsidR="001A55C7" w:rsidRPr="00C73B8B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Grinding gas humidity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Impacts crystal structure if hydrate or anhydrous API is processed.</w:t>
            </w:r>
          </w:p>
          <w:p w:rsidR="001A1F51" w:rsidRPr="00781F89" w:rsidRDefault="001A1F51" w:rsidP="001A1F51">
            <w:pPr>
              <w:pStyle w:val="Commentai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81F89">
              <w:rPr>
                <w:sz w:val="24"/>
                <w:szCs w:val="24"/>
              </w:rPr>
              <w:t xml:space="preserve">he API in our case </w:t>
            </w:r>
            <w:r w:rsidRPr="005D3A9D">
              <w:rPr>
                <w:sz w:val="24"/>
                <w:szCs w:val="24"/>
              </w:rPr>
              <w:t>is not in the form of hydrate or anhydrous</w:t>
            </w:r>
          </w:p>
          <w:p w:rsidR="001A55C7" w:rsidRPr="001A1F51" w:rsidRDefault="001A55C7" w:rsidP="00D364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No action plan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b/>
                <w:bCs/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Grinding gas type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Gas with low molecular mass will induce high specific energy of jet milling.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rFonts w:eastAsia="Calibri"/>
                <w:sz w:val="24"/>
                <w:szCs w:val="24"/>
              </w:rPr>
              <w:t xml:space="preserve">The API is classified as class 2 </w:t>
            </w:r>
            <w:r w:rsidR="005D3A9D">
              <w:rPr>
                <w:rFonts w:eastAsia="Calibri"/>
                <w:sz w:val="24"/>
                <w:szCs w:val="24"/>
              </w:rPr>
              <w:t xml:space="preserve">as per </w:t>
            </w:r>
            <w:r w:rsidRPr="00C73B8B">
              <w:rPr>
                <w:rFonts w:eastAsia="Calibri"/>
                <w:sz w:val="24"/>
                <w:szCs w:val="24"/>
              </w:rPr>
              <w:t>dust explosion classification.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High oxygen rate can induce explosion.</w:t>
            </w:r>
          </w:p>
          <w:p w:rsidR="001A1F51" w:rsidRPr="00781F89" w:rsidRDefault="001A1F51" w:rsidP="00781F89">
            <w:pPr>
              <w:rPr>
                <w:rFonts w:eastAsia="Calibri"/>
                <w:sz w:val="24"/>
                <w:szCs w:val="24"/>
              </w:rPr>
            </w:pPr>
            <w:r w:rsidRPr="00781F89">
              <w:rPr>
                <w:rFonts w:eastAsia="Calibri"/>
                <w:sz w:val="24"/>
                <w:szCs w:val="24"/>
              </w:rPr>
              <w:lastRenderedPageBreak/>
              <w:t>To avoid any incident operators (anoxia) must protected with clothing a hood and having breathable air mask</w:t>
            </w:r>
          </w:p>
          <w:p w:rsidR="001A55C7" w:rsidRPr="00C73B8B" w:rsidRDefault="001A55C7" w:rsidP="005D3A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medium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2.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Conduct Safety, Ha</w:t>
            </w:r>
            <w:r w:rsidR="005D3A9D">
              <w:rPr>
                <w:sz w:val="24"/>
                <w:szCs w:val="24"/>
              </w:rPr>
              <w:t>z</w:t>
            </w:r>
            <w:r w:rsidRPr="00C73B8B">
              <w:rPr>
                <w:sz w:val="24"/>
                <w:szCs w:val="24"/>
              </w:rPr>
              <w:t>ards and Risk Evaluation.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Design </w:t>
            </w:r>
            <w:r w:rsidR="005D3A9D">
              <w:rPr>
                <w:sz w:val="24"/>
                <w:szCs w:val="24"/>
              </w:rPr>
              <w:t xml:space="preserve">a </w:t>
            </w:r>
            <w:r w:rsidRPr="00C73B8B">
              <w:rPr>
                <w:sz w:val="24"/>
                <w:szCs w:val="24"/>
              </w:rPr>
              <w:t xml:space="preserve">process with explosion barrier or </w:t>
            </w:r>
            <w:r w:rsidR="005D3A9D">
              <w:rPr>
                <w:sz w:val="24"/>
                <w:szCs w:val="24"/>
              </w:rPr>
              <w:t xml:space="preserve">use </w:t>
            </w:r>
            <w:r w:rsidRPr="00C73B8B">
              <w:rPr>
                <w:sz w:val="24"/>
                <w:szCs w:val="24"/>
              </w:rPr>
              <w:t>cloth</w:t>
            </w:r>
            <w:r w:rsidR="005D3A9D">
              <w:rPr>
                <w:sz w:val="24"/>
                <w:szCs w:val="24"/>
              </w:rPr>
              <w:t>ing</w:t>
            </w:r>
            <w:r w:rsidRPr="00C73B8B">
              <w:rPr>
                <w:sz w:val="24"/>
                <w:szCs w:val="24"/>
              </w:rPr>
              <w:t xml:space="preserve"> with hood having breathable air </w:t>
            </w:r>
            <w:r w:rsidR="00E80159">
              <w:rPr>
                <w:sz w:val="24"/>
                <w:szCs w:val="24"/>
              </w:rPr>
              <w:t xml:space="preserve">for operators </w:t>
            </w:r>
            <w:r w:rsidRPr="00C73B8B">
              <w:rPr>
                <w:sz w:val="24"/>
                <w:szCs w:val="24"/>
              </w:rPr>
              <w:t>if Nitrogen blanketing is used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Grinding gas pressure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Higher is the pressure, higher is the jet milling specific energy.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behavior of the API to the applied specific energy is not known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Conduct parametric study to design the space where the API </w:t>
            </w:r>
            <w:r w:rsidR="00E80159">
              <w:rPr>
                <w:sz w:val="24"/>
                <w:szCs w:val="24"/>
              </w:rPr>
              <w:t xml:space="preserve">could </w:t>
            </w:r>
            <w:r w:rsidRPr="00C73B8B">
              <w:rPr>
                <w:sz w:val="24"/>
                <w:szCs w:val="24"/>
              </w:rPr>
              <w:t xml:space="preserve"> be obtained with targeted particle size </w:t>
            </w:r>
            <w:r w:rsidR="00E80159">
              <w:rPr>
                <w:sz w:val="24"/>
                <w:szCs w:val="24"/>
              </w:rPr>
              <w:t xml:space="preserve">but </w:t>
            </w:r>
            <w:r w:rsidRPr="00C73B8B">
              <w:rPr>
                <w:sz w:val="24"/>
                <w:szCs w:val="24"/>
              </w:rPr>
              <w:t>without polymorphic change</w:t>
            </w:r>
          </w:p>
        </w:tc>
      </w:tr>
      <w:tr w:rsidR="001A55C7" w:rsidRPr="00E80159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Injection gas pressure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Need to be slightly higher than grinding pressure to avoid blow back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Fix the injection pressure</w:t>
            </w:r>
            <w:r w:rsidR="00E80159">
              <w:rPr>
                <w:sz w:val="24"/>
                <w:szCs w:val="24"/>
              </w:rPr>
              <w:t xml:space="preserve"> at</w:t>
            </w:r>
            <w:r w:rsidRPr="00C73B8B">
              <w:rPr>
                <w:sz w:val="24"/>
                <w:szCs w:val="24"/>
              </w:rPr>
              <w:t xml:space="preserve"> 1 bar higher than the grinding pressure. Design </w:t>
            </w:r>
            <w:r w:rsidR="00EB31D5">
              <w:rPr>
                <w:sz w:val="24"/>
                <w:szCs w:val="24"/>
              </w:rPr>
              <w:t>sealed</w:t>
            </w:r>
            <w:r w:rsidRPr="00C73B8B">
              <w:rPr>
                <w:sz w:val="24"/>
                <w:szCs w:val="24"/>
              </w:rPr>
              <w:t xml:space="preserve">  jet milling system with pressure balancing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Solid feeding rate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Higher is the feeding rate, lower is the jet milling specific energy.</w:t>
            </w:r>
          </w:p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API exhibit </w:t>
            </w:r>
            <w:r w:rsidR="00E80159">
              <w:rPr>
                <w:sz w:val="24"/>
                <w:szCs w:val="24"/>
              </w:rPr>
              <w:t>poor</w:t>
            </w:r>
            <w:r w:rsidRPr="00C73B8B">
              <w:rPr>
                <w:sz w:val="24"/>
                <w:szCs w:val="24"/>
              </w:rPr>
              <w:t xml:space="preserve"> flow</w:t>
            </w:r>
            <w:r w:rsidR="00E80159">
              <w:rPr>
                <w:sz w:val="24"/>
                <w:szCs w:val="24"/>
              </w:rPr>
              <w:t xml:space="preserve"> </w:t>
            </w:r>
            <w:r w:rsidR="00E80159">
              <w:rPr>
                <w:sz w:val="24"/>
                <w:szCs w:val="24"/>
              </w:rPr>
              <w:lastRenderedPageBreak/>
              <w:t>property</w:t>
            </w:r>
            <w:r w:rsidRPr="00C73B8B">
              <w:rPr>
                <w:sz w:val="24"/>
                <w:szCs w:val="24"/>
              </w:rPr>
              <w:t xml:space="preserve"> and tendency to sti</w:t>
            </w:r>
            <w:r w:rsidR="00E80159">
              <w:rPr>
                <w:sz w:val="24"/>
                <w:szCs w:val="24"/>
              </w:rPr>
              <w:t>c</w:t>
            </w:r>
            <w:r w:rsidRPr="00C73B8B">
              <w:rPr>
                <w:sz w:val="24"/>
                <w:szCs w:val="24"/>
              </w:rPr>
              <w:t>k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medium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54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Evaluation of gravimetric feeder versus volumetric one. 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Grinding gas temperature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Higher is the temperature, higher is the jet milling specific energy. The sound velocity is proportional to square of temperature.</w:t>
            </w:r>
          </w:p>
          <w:p w:rsidR="001A55C7" w:rsidRPr="00C73B8B" w:rsidRDefault="001A55C7" w:rsidP="001A1F51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Jet milling will </w:t>
            </w:r>
            <w:r w:rsidR="001A1F51">
              <w:rPr>
                <w:sz w:val="24"/>
                <w:szCs w:val="24"/>
              </w:rPr>
              <w:t>be used</w:t>
            </w:r>
            <w:r w:rsidRPr="00C73B8B">
              <w:rPr>
                <w:sz w:val="24"/>
                <w:szCs w:val="24"/>
              </w:rPr>
              <w:t xml:space="preserve"> at ambient temperature 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Operate jet milling at ambient temperat</w:t>
            </w:r>
            <w:r w:rsidR="00E80159">
              <w:rPr>
                <w:sz w:val="24"/>
                <w:szCs w:val="24"/>
              </w:rPr>
              <w:t>ure</w:t>
            </w:r>
            <w:r w:rsidRPr="00C73B8B">
              <w:rPr>
                <w:sz w:val="24"/>
                <w:szCs w:val="24"/>
              </w:rPr>
              <w:t xml:space="preserve"> if </w:t>
            </w:r>
            <w:proofErr w:type="spellStart"/>
            <w:r w:rsidRPr="00C73B8B">
              <w:rPr>
                <w:sz w:val="24"/>
                <w:szCs w:val="24"/>
              </w:rPr>
              <w:t>amorphization</w:t>
            </w:r>
            <w:proofErr w:type="spellEnd"/>
            <w:r w:rsidRPr="00C73B8B">
              <w:rPr>
                <w:sz w:val="24"/>
                <w:szCs w:val="24"/>
              </w:rPr>
              <w:t xml:space="preserve"> is not observed</w:t>
            </w:r>
          </w:p>
        </w:tc>
      </w:tr>
    </w:tbl>
    <w:p w:rsidR="00781F89" w:rsidRDefault="00781F89" w:rsidP="001A55C7">
      <w:pPr>
        <w:rPr>
          <w:lang w:val="en-US"/>
        </w:rPr>
      </w:pPr>
    </w:p>
    <w:p w:rsidR="00781F89" w:rsidRDefault="00781F89" w:rsidP="00781F89">
      <w:pPr>
        <w:rPr>
          <w:lang w:val="en-US"/>
        </w:rPr>
      </w:pPr>
      <w:r>
        <w:rPr>
          <w:lang w:val="en-US"/>
        </w:rPr>
        <w:br w:type="page"/>
      </w:r>
    </w:p>
    <w:p w:rsidR="001A55C7" w:rsidRDefault="001A55C7" w:rsidP="001A55C7">
      <w:pPr>
        <w:rPr>
          <w:lang w:val="en-US"/>
        </w:rPr>
      </w:pPr>
    </w:p>
    <w:p w:rsidR="001A55C7" w:rsidRPr="00F06B83" w:rsidRDefault="001A55C7" w:rsidP="00781F89">
      <w:pPr>
        <w:pStyle w:val="Titre1"/>
        <w:numPr>
          <w:ilvl w:val="0"/>
          <w:numId w:val="0"/>
        </w:numPr>
        <w:spacing w:line="360" w:lineRule="auto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</w:pPr>
      <w:r w:rsidRPr="00F06B83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>Initial risk assessment matrix related to the impact of geometrical parameters of equipment</w:t>
      </w:r>
      <w:r w:rsidR="001A1F51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val="en-US" w:eastAsia="en-US"/>
        </w:rPr>
        <w:t xml:space="preserve"> on product quality attributes</w:t>
      </w:r>
    </w:p>
    <w:p w:rsidR="00781F89" w:rsidRDefault="00781F89" w:rsidP="001A55C7">
      <w:pPr>
        <w:rPr>
          <w:lang w:val="en-US"/>
        </w:rPr>
      </w:pPr>
    </w:p>
    <w:tbl>
      <w:tblPr>
        <w:tblStyle w:val="Grilledutableau"/>
        <w:tblW w:w="13149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701"/>
        <w:gridCol w:w="1560"/>
        <w:gridCol w:w="1701"/>
        <w:gridCol w:w="2976"/>
      </w:tblGrid>
      <w:tr w:rsidR="001A55C7" w:rsidRPr="002F0E17" w:rsidTr="00781F89">
        <w:tc>
          <w:tcPr>
            <w:tcW w:w="1668" w:type="dxa"/>
          </w:tcPr>
          <w:p w:rsidR="001A55C7" w:rsidRPr="00C73B8B" w:rsidRDefault="00E80159" w:rsidP="00D36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A55C7">
              <w:rPr>
                <w:sz w:val="24"/>
                <w:szCs w:val="24"/>
              </w:rPr>
              <w:t>eometrical</w:t>
            </w:r>
            <w:r w:rsidR="001A55C7" w:rsidRPr="00C73B8B">
              <w:rPr>
                <w:sz w:val="24"/>
                <w:szCs w:val="24"/>
              </w:rPr>
              <w:t xml:space="preserve"> parameters</w:t>
            </w:r>
            <w:r w:rsidR="001A55C7">
              <w:rPr>
                <w:sz w:val="24"/>
                <w:szCs w:val="24"/>
              </w:rPr>
              <w:t xml:space="preserve"> of equipment</w:t>
            </w:r>
          </w:p>
        </w:tc>
        <w:tc>
          <w:tcPr>
            <w:tcW w:w="1984" w:type="dxa"/>
          </w:tcPr>
          <w:p w:rsidR="001A55C7" w:rsidRPr="00C73B8B" w:rsidRDefault="001A55C7" w:rsidP="001A1F51">
            <w:pPr>
              <w:rPr>
                <w:sz w:val="24"/>
                <w:szCs w:val="24"/>
              </w:rPr>
            </w:pP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Product data Or </w:t>
            </w:r>
            <w:r w:rsidR="001A1F51">
              <w:rPr>
                <w:rFonts w:eastAsia="Times New Roman"/>
                <w:kern w:val="24"/>
                <w:sz w:val="24"/>
                <w:szCs w:val="24"/>
                <w:lang w:eastAsia="fr-FR"/>
              </w:rPr>
              <w:t>data on similar products</w:t>
            </w:r>
            <w:r w:rsidRPr="00C73B8B">
              <w:rPr>
                <w:rFonts w:eastAsia="Times New Roman"/>
                <w:kern w:val="24"/>
                <w:sz w:val="24"/>
                <w:szCs w:val="24"/>
                <w:lang w:eastAsia="fr-FR"/>
              </w:rPr>
              <w:t xml:space="preserve"> or Literature data </w:t>
            </w:r>
          </w:p>
        </w:tc>
        <w:tc>
          <w:tcPr>
            <w:tcW w:w="1559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Particle sized distribution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Crystal structure</w:t>
            </w:r>
          </w:p>
        </w:tc>
        <w:tc>
          <w:tcPr>
            <w:tcW w:w="1560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Jet milling yield</w:t>
            </w:r>
          </w:p>
        </w:tc>
        <w:tc>
          <w:tcPr>
            <w:tcW w:w="1701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EHS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Comment and </w:t>
            </w:r>
            <w:r w:rsidR="00781F89">
              <w:rPr>
                <w:sz w:val="24"/>
                <w:szCs w:val="24"/>
              </w:rPr>
              <w:t xml:space="preserve"> / or </w:t>
            </w:r>
            <w:r w:rsidRPr="00C73B8B">
              <w:rPr>
                <w:sz w:val="24"/>
                <w:szCs w:val="24"/>
              </w:rPr>
              <w:t>mitigation plan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Jet mill type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Define the jet milling specific energy level.</w:t>
            </w:r>
          </w:p>
          <w:p w:rsidR="001A55C7" w:rsidRPr="00C73B8B" w:rsidRDefault="001A55C7" w:rsidP="001A1F51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In general, the loop jet mill and the opposite jet mill are softer than the spiral jet mill and can </w:t>
            </w:r>
            <w:r w:rsidR="00E80159">
              <w:rPr>
                <w:sz w:val="24"/>
                <w:szCs w:val="24"/>
              </w:rPr>
              <w:t>result in</w:t>
            </w:r>
            <w:r w:rsidRPr="00C73B8B">
              <w:rPr>
                <w:sz w:val="24"/>
                <w:szCs w:val="24"/>
              </w:rPr>
              <w:t xml:space="preserve"> slightly higher intermediate particle size distributions than those obtained with </w:t>
            </w:r>
            <w:proofErr w:type="gramStart"/>
            <w:r w:rsidR="001A1F51">
              <w:rPr>
                <w:sz w:val="24"/>
                <w:szCs w:val="24"/>
              </w:rPr>
              <w:t xml:space="preserve">spiral </w:t>
            </w:r>
            <w:r w:rsidRPr="00C73B8B">
              <w:rPr>
                <w:sz w:val="24"/>
                <w:szCs w:val="24"/>
              </w:rPr>
              <w:t>.</w:t>
            </w:r>
            <w:proofErr w:type="gramEnd"/>
            <w:r w:rsidRPr="00C73B8B">
              <w:rPr>
                <w:sz w:val="24"/>
                <w:szCs w:val="24"/>
              </w:rPr>
              <w:t xml:space="preserve"> </w:t>
            </w:r>
            <w:r w:rsidR="001A1F51">
              <w:rPr>
                <w:sz w:val="24"/>
                <w:szCs w:val="24"/>
              </w:rPr>
              <w:t>In our case, t</w:t>
            </w:r>
            <w:r w:rsidRPr="00C73B8B">
              <w:rPr>
                <w:sz w:val="24"/>
                <w:szCs w:val="24"/>
              </w:rPr>
              <w:t>he target particle size is 2.6-4.4 µm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Conduct parametric study to design the space where the API </w:t>
            </w:r>
            <w:proofErr w:type="gramStart"/>
            <w:r w:rsidR="00E80159">
              <w:rPr>
                <w:sz w:val="24"/>
                <w:szCs w:val="24"/>
              </w:rPr>
              <w:t xml:space="preserve">could </w:t>
            </w:r>
            <w:r w:rsidRPr="00C73B8B">
              <w:rPr>
                <w:sz w:val="24"/>
                <w:szCs w:val="24"/>
              </w:rPr>
              <w:t xml:space="preserve"> be</w:t>
            </w:r>
            <w:proofErr w:type="gramEnd"/>
            <w:r w:rsidRPr="00C73B8B">
              <w:rPr>
                <w:sz w:val="24"/>
                <w:szCs w:val="24"/>
              </w:rPr>
              <w:t xml:space="preserve"> obtained with target particle size </w:t>
            </w:r>
            <w:r w:rsidR="00E80159">
              <w:rPr>
                <w:sz w:val="24"/>
                <w:szCs w:val="24"/>
              </w:rPr>
              <w:t xml:space="preserve">but </w:t>
            </w:r>
            <w:r w:rsidRPr="00C73B8B">
              <w:rPr>
                <w:sz w:val="24"/>
                <w:szCs w:val="24"/>
              </w:rPr>
              <w:t>without polymorphi</w:t>
            </w:r>
            <w:r w:rsidR="00E80159">
              <w:rPr>
                <w:sz w:val="24"/>
                <w:szCs w:val="24"/>
              </w:rPr>
              <w:t>sm</w:t>
            </w:r>
            <w:r w:rsidRPr="00C73B8B">
              <w:rPr>
                <w:sz w:val="24"/>
                <w:szCs w:val="24"/>
              </w:rPr>
              <w:t>. The jet mill will be defined accordingly</w:t>
            </w:r>
            <w:r w:rsidR="00E80159">
              <w:rPr>
                <w:sz w:val="24"/>
                <w:szCs w:val="24"/>
              </w:rPr>
              <w:t>.</w:t>
            </w:r>
          </w:p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Based on target particle size use a spiral jet mill as first intention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Size of jet mill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</w:t>
            </w:r>
            <w:r w:rsidR="00E80159">
              <w:rPr>
                <w:sz w:val="24"/>
                <w:szCs w:val="24"/>
              </w:rPr>
              <w:t>s</w:t>
            </w:r>
            <w:r w:rsidRPr="00C73B8B">
              <w:rPr>
                <w:sz w:val="24"/>
                <w:szCs w:val="24"/>
              </w:rPr>
              <w:t xml:space="preserve"> only </w:t>
            </w:r>
            <w:r w:rsidR="00E80159">
              <w:rPr>
                <w:sz w:val="24"/>
                <w:szCs w:val="24"/>
              </w:rPr>
              <w:t xml:space="preserve">the </w:t>
            </w:r>
            <w:r w:rsidRPr="00C73B8B">
              <w:rPr>
                <w:sz w:val="24"/>
                <w:szCs w:val="24"/>
              </w:rPr>
              <w:t xml:space="preserve">capacity of jet milling if the scale-up rules </w:t>
            </w:r>
            <w:r w:rsidR="00E80159">
              <w:rPr>
                <w:sz w:val="24"/>
                <w:szCs w:val="24"/>
              </w:rPr>
              <w:t>are</w:t>
            </w:r>
            <w:r w:rsidRPr="00C73B8B">
              <w:rPr>
                <w:sz w:val="24"/>
                <w:szCs w:val="24"/>
              </w:rPr>
              <w:t xml:space="preserve"> </w:t>
            </w:r>
            <w:r w:rsidRPr="00C73B8B">
              <w:rPr>
                <w:sz w:val="24"/>
                <w:szCs w:val="24"/>
              </w:rPr>
              <w:lastRenderedPageBreak/>
              <w:t>applied.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Small batch size if processed using large mill, </w:t>
            </w:r>
            <w:r w:rsidR="00E80159">
              <w:rPr>
                <w:sz w:val="24"/>
                <w:szCs w:val="24"/>
              </w:rPr>
              <w:t xml:space="preserve">so </w:t>
            </w:r>
            <w:r w:rsidRPr="00C73B8B">
              <w:rPr>
                <w:sz w:val="24"/>
                <w:szCs w:val="24"/>
              </w:rPr>
              <w:t xml:space="preserve">yield could be impacted 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high probability of occurrence. </w:t>
            </w:r>
            <w:r w:rsidRPr="00C73B8B">
              <w:rPr>
                <w:sz w:val="24"/>
                <w:szCs w:val="24"/>
              </w:rPr>
              <w:lastRenderedPageBreak/>
              <w:t xml:space="preserve">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low probability of occurrence. </w:t>
            </w:r>
            <w:r w:rsidRPr="00C73B8B">
              <w:rPr>
                <w:sz w:val="24"/>
                <w:szCs w:val="24"/>
              </w:rPr>
              <w:lastRenderedPageBreak/>
              <w:t xml:space="preserve">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560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low probability of occurrence. </w:t>
            </w:r>
            <w:r w:rsidRPr="00C73B8B">
              <w:rPr>
                <w:sz w:val="24"/>
                <w:szCs w:val="24"/>
              </w:rPr>
              <w:lastRenderedPageBreak/>
              <w:t xml:space="preserve">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low probability of occurrence. </w:t>
            </w:r>
            <w:r w:rsidRPr="00C73B8B">
              <w:rPr>
                <w:sz w:val="24"/>
                <w:szCs w:val="24"/>
              </w:rPr>
              <w:lastRenderedPageBreak/>
              <w:t xml:space="preserve">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Define scale-up rule, and select the mill size according the batch size to be processed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Grinding nozzles type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Define the jet milling specific energy level as it impact </w:t>
            </w:r>
            <w:r w:rsidR="00E80159">
              <w:rPr>
                <w:sz w:val="24"/>
                <w:szCs w:val="24"/>
              </w:rPr>
              <w:t>th</w:t>
            </w:r>
            <w:r w:rsidRPr="00C73B8B">
              <w:rPr>
                <w:sz w:val="24"/>
                <w:szCs w:val="24"/>
              </w:rPr>
              <w:t>e gas velocity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Convergent-</w:t>
            </w:r>
            <w:proofErr w:type="gramStart"/>
            <w:r w:rsidRPr="00C73B8B">
              <w:rPr>
                <w:sz w:val="24"/>
                <w:szCs w:val="24"/>
              </w:rPr>
              <w:t>divergent  nozzles</w:t>
            </w:r>
            <w:proofErr w:type="gramEnd"/>
            <w:r w:rsidRPr="00C73B8B">
              <w:rPr>
                <w:sz w:val="24"/>
                <w:szCs w:val="24"/>
              </w:rPr>
              <w:t xml:space="preserve">  will induce higher velocity than convergent and straight nozzles.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</w:t>
            </w:r>
            <w:proofErr w:type="spellStart"/>
            <w:r w:rsidRPr="00C73B8B">
              <w:rPr>
                <w:sz w:val="24"/>
                <w:szCs w:val="24"/>
              </w:rPr>
              <w:t>behaviour</w:t>
            </w:r>
            <w:proofErr w:type="spellEnd"/>
            <w:r w:rsidRPr="00C73B8B">
              <w:rPr>
                <w:sz w:val="24"/>
                <w:szCs w:val="24"/>
              </w:rPr>
              <w:t xml:space="preserve"> of the API </w:t>
            </w:r>
            <w:r w:rsidR="00E80159">
              <w:rPr>
                <w:sz w:val="24"/>
                <w:szCs w:val="24"/>
              </w:rPr>
              <w:t>at</w:t>
            </w:r>
            <w:r w:rsidRPr="00C73B8B">
              <w:rPr>
                <w:sz w:val="24"/>
                <w:szCs w:val="24"/>
              </w:rPr>
              <w:t xml:space="preserve"> </w:t>
            </w:r>
            <w:r w:rsidR="00E80159">
              <w:rPr>
                <w:sz w:val="24"/>
                <w:szCs w:val="24"/>
              </w:rPr>
              <w:t xml:space="preserve">the </w:t>
            </w:r>
            <w:r w:rsidRPr="00C73B8B">
              <w:rPr>
                <w:sz w:val="24"/>
                <w:szCs w:val="24"/>
              </w:rPr>
              <w:t>applied specific energy is not known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781F89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Characterizations</w:t>
            </w:r>
            <w:r w:rsidR="001A55C7" w:rsidRPr="00C73B8B">
              <w:rPr>
                <w:sz w:val="24"/>
                <w:szCs w:val="24"/>
              </w:rPr>
              <w:t xml:space="preserve"> of aerodynamic </w:t>
            </w:r>
            <w:r w:rsidRPr="00C73B8B">
              <w:rPr>
                <w:sz w:val="24"/>
                <w:szCs w:val="24"/>
              </w:rPr>
              <w:t>behavior</w:t>
            </w:r>
            <w:r w:rsidR="001A55C7" w:rsidRPr="00C73B8B">
              <w:rPr>
                <w:sz w:val="24"/>
                <w:szCs w:val="24"/>
              </w:rPr>
              <w:t xml:space="preserve"> of nozzles to be used</w:t>
            </w:r>
            <w:r w:rsidR="00E80159">
              <w:rPr>
                <w:sz w:val="24"/>
                <w:szCs w:val="24"/>
              </w:rPr>
              <w:t>. S</w:t>
            </w:r>
            <w:r w:rsidR="001A55C7" w:rsidRPr="00C73B8B">
              <w:rPr>
                <w:sz w:val="24"/>
                <w:szCs w:val="24"/>
              </w:rPr>
              <w:t>elect the grinding nozzles to be used according</w:t>
            </w:r>
            <w:r w:rsidR="00E80159">
              <w:rPr>
                <w:sz w:val="24"/>
                <w:szCs w:val="24"/>
              </w:rPr>
              <w:t xml:space="preserve"> to</w:t>
            </w:r>
            <w:r w:rsidR="001A55C7" w:rsidRPr="00C73B8B">
              <w:rPr>
                <w:sz w:val="24"/>
                <w:szCs w:val="24"/>
              </w:rPr>
              <w:t xml:space="preserve"> the specific energy level to be applied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Grinding nozzles number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jet milling specific energy level is proportional to grinding nozzles number.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</w:t>
            </w:r>
            <w:proofErr w:type="spellStart"/>
            <w:r w:rsidRPr="00C73B8B">
              <w:rPr>
                <w:sz w:val="24"/>
                <w:szCs w:val="24"/>
              </w:rPr>
              <w:t>behaviour</w:t>
            </w:r>
            <w:proofErr w:type="spellEnd"/>
            <w:r w:rsidRPr="00C73B8B">
              <w:rPr>
                <w:sz w:val="24"/>
                <w:szCs w:val="24"/>
              </w:rPr>
              <w:t xml:space="preserve"> of the API </w:t>
            </w:r>
            <w:r w:rsidR="00E80159">
              <w:rPr>
                <w:sz w:val="24"/>
                <w:szCs w:val="24"/>
              </w:rPr>
              <w:t>at the</w:t>
            </w:r>
            <w:r w:rsidRPr="00C73B8B">
              <w:rPr>
                <w:sz w:val="24"/>
                <w:szCs w:val="24"/>
              </w:rPr>
              <w:t xml:space="preserve"> applied specific energy is not </w:t>
            </w:r>
            <w:r w:rsidRPr="00C73B8B">
              <w:rPr>
                <w:sz w:val="24"/>
                <w:szCs w:val="24"/>
              </w:rPr>
              <w:lastRenderedPageBreak/>
              <w:t>known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Define number of nozzles according </w:t>
            </w:r>
            <w:r w:rsidR="00E80159">
              <w:rPr>
                <w:sz w:val="24"/>
                <w:szCs w:val="24"/>
              </w:rPr>
              <w:t xml:space="preserve">to </w:t>
            </w:r>
            <w:r w:rsidRPr="00C73B8B">
              <w:rPr>
                <w:sz w:val="24"/>
                <w:szCs w:val="24"/>
              </w:rPr>
              <w:t>the required specific energy of milling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Grinding nozzles diameter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jet milling specific energy level is proportional to grinding nozzles number.</w:t>
            </w:r>
          </w:p>
          <w:p w:rsidR="001A55C7" w:rsidRPr="00C73B8B" w:rsidRDefault="001A55C7" w:rsidP="00E80159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behavior of the API </w:t>
            </w:r>
            <w:r w:rsidR="00E80159">
              <w:rPr>
                <w:sz w:val="24"/>
                <w:szCs w:val="24"/>
              </w:rPr>
              <w:t xml:space="preserve">at the </w:t>
            </w:r>
            <w:r w:rsidRPr="00C73B8B">
              <w:rPr>
                <w:sz w:val="24"/>
                <w:szCs w:val="24"/>
              </w:rPr>
              <w:t>applied specific energy is not known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Medium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18.</w:t>
            </w:r>
          </w:p>
        </w:tc>
        <w:tc>
          <w:tcPr>
            <w:tcW w:w="1560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Define number of nozzles according the required specific energy of milling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Characterization of aerodynamic behavior of nozzles to be used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Grinding nozzles angle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Impact  </w:t>
            </w:r>
            <w:r w:rsidR="00BE1AA2">
              <w:rPr>
                <w:sz w:val="24"/>
                <w:szCs w:val="24"/>
              </w:rPr>
              <w:t xml:space="preserve">on </w:t>
            </w:r>
            <w:r w:rsidRPr="00C73B8B">
              <w:rPr>
                <w:sz w:val="24"/>
                <w:szCs w:val="24"/>
              </w:rPr>
              <w:t>the notional circle diameter and therefore the build-up inside the mill if the spiral jet mill is used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Optimal grinding nozzle angle can ensure proper functioning of the jet mill</w:t>
            </w:r>
          </w:p>
        </w:tc>
        <w:tc>
          <w:tcPr>
            <w:tcW w:w="1559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If spiral jet mill is used, use an optimal grinding nozzle angle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Classifier gap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The spiral jet mill is used, impact on particle size distribution and the nominal solid flow rate and therefore the </w:t>
            </w:r>
            <w:r w:rsidRPr="00C73B8B">
              <w:rPr>
                <w:sz w:val="24"/>
                <w:szCs w:val="24"/>
              </w:rPr>
              <w:lastRenderedPageBreak/>
              <w:t>blowback.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Optimal classifier gap can ensure proper functioning of jet mill</w:t>
            </w:r>
          </w:p>
        </w:tc>
        <w:tc>
          <w:tcPr>
            <w:tcW w:w="1559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1560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1701" w:type="dxa"/>
            <w:shd w:val="clear" w:color="auto" w:fill="FFC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If spiral jet mill is used, use an optimal classifier gap that can ensure proper feeding 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lastRenderedPageBreak/>
              <w:t>Jet mill material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Impact </w:t>
            </w:r>
            <w:r w:rsidR="00BE1AA2">
              <w:rPr>
                <w:sz w:val="24"/>
                <w:szCs w:val="24"/>
              </w:rPr>
              <w:t>th</w:t>
            </w:r>
            <w:r w:rsidRPr="00C73B8B">
              <w:rPr>
                <w:sz w:val="24"/>
                <w:szCs w:val="24"/>
              </w:rPr>
              <w:t xml:space="preserve">e build-up inside jet mill and in </w:t>
            </w:r>
            <w:r w:rsidR="00781F89">
              <w:rPr>
                <w:sz w:val="24"/>
                <w:szCs w:val="24"/>
              </w:rPr>
              <w:t>API transport pipe</w:t>
            </w:r>
            <w:r w:rsidRPr="00C73B8B">
              <w:rPr>
                <w:sz w:val="24"/>
                <w:szCs w:val="24"/>
              </w:rPr>
              <w:t>.</w:t>
            </w:r>
          </w:p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API exhibits high tendency to adhe</w:t>
            </w:r>
            <w:r w:rsidR="00BE1AA2">
              <w:rPr>
                <w:sz w:val="24"/>
                <w:szCs w:val="24"/>
              </w:rPr>
              <w:t>re</w:t>
            </w:r>
            <w:r w:rsidRPr="00C73B8B">
              <w:rPr>
                <w:sz w:val="24"/>
                <w:szCs w:val="24"/>
              </w:rPr>
              <w:t xml:space="preserve"> to stainless steel and </w:t>
            </w:r>
            <w:r w:rsidR="00BE1AA2">
              <w:rPr>
                <w:sz w:val="24"/>
                <w:szCs w:val="24"/>
              </w:rPr>
              <w:t xml:space="preserve">to </w:t>
            </w:r>
            <w:r w:rsidRPr="00C73B8B">
              <w:rPr>
                <w:sz w:val="24"/>
                <w:szCs w:val="24"/>
              </w:rPr>
              <w:t>some polymers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High impact and lo</w:t>
            </w:r>
            <w:r>
              <w:rPr>
                <w:sz w:val="24"/>
                <w:szCs w:val="24"/>
              </w:rPr>
              <w:t>w probability of occurrence. Medium</w:t>
            </w:r>
            <w:r w:rsidRPr="00C73B8B">
              <w:rPr>
                <w:sz w:val="24"/>
                <w:szCs w:val="24"/>
              </w:rPr>
              <w:t xml:space="preserve">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18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2976" w:type="dxa"/>
          </w:tcPr>
          <w:p w:rsidR="001A55C7" w:rsidRPr="00C73B8B" w:rsidRDefault="001A55C7" w:rsidP="00BE1AA2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Characterization of API adhesiveness </w:t>
            </w:r>
            <w:r w:rsidR="00BE1AA2">
              <w:rPr>
                <w:sz w:val="24"/>
                <w:szCs w:val="24"/>
              </w:rPr>
              <w:t xml:space="preserve">depending </w:t>
            </w:r>
            <w:r w:rsidRPr="00C73B8B">
              <w:rPr>
                <w:sz w:val="24"/>
                <w:szCs w:val="24"/>
              </w:rPr>
              <w:t xml:space="preserve"> </w:t>
            </w:r>
            <w:r w:rsidR="00BE1AA2">
              <w:rPr>
                <w:sz w:val="24"/>
                <w:szCs w:val="24"/>
              </w:rPr>
              <w:t xml:space="preserve">to </w:t>
            </w:r>
            <w:r w:rsidRPr="00C73B8B">
              <w:rPr>
                <w:sz w:val="24"/>
                <w:szCs w:val="24"/>
              </w:rPr>
              <w:t>the jet mill material to be used</w:t>
            </w:r>
          </w:p>
        </w:tc>
      </w:tr>
      <w:tr w:rsidR="001A55C7" w:rsidRPr="002F0E17" w:rsidTr="00781F89">
        <w:tc>
          <w:tcPr>
            <w:tcW w:w="1668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Micronized product recovery</w:t>
            </w:r>
          </w:p>
        </w:tc>
        <w:tc>
          <w:tcPr>
            <w:tcW w:w="1984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Impact</w:t>
            </w:r>
            <w:r w:rsidR="00BE1AA2">
              <w:rPr>
                <w:sz w:val="24"/>
                <w:szCs w:val="24"/>
              </w:rPr>
              <w:t>s</w:t>
            </w:r>
            <w:r w:rsidRPr="00C73B8B">
              <w:rPr>
                <w:sz w:val="24"/>
                <w:szCs w:val="24"/>
              </w:rPr>
              <w:t xml:space="preserve"> particle size and yield</w:t>
            </w:r>
            <w:r w:rsidR="00BE1AA2">
              <w:rPr>
                <w:sz w:val="24"/>
                <w:szCs w:val="24"/>
              </w:rPr>
              <w:t>.</w:t>
            </w:r>
          </w:p>
          <w:p w:rsidR="001A55C7" w:rsidRPr="00C73B8B" w:rsidRDefault="001A55C7" w:rsidP="00BE1AA2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The recovery efficiency is much higher when filter sleeve is used in comparison</w:t>
            </w:r>
            <w:r w:rsidR="00BE1AA2">
              <w:rPr>
                <w:sz w:val="24"/>
                <w:szCs w:val="24"/>
              </w:rPr>
              <w:t xml:space="preserve"> to the</w:t>
            </w:r>
            <w:r w:rsidRPr="00C73B8B">
              <w:rPr>
                <w:sz w:val="24"/>
                <w:szCs w:val="24"/>
              </w:rPr>
              <w:t xml:space="preserve"> cartridge filters and cyclone</w:t>
            </w:r>
          </w:p>
        </w:tc>
        <w:tc>
          <w:tcPr>
            <w:tcW w:w="1559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92D05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Low impact and low probability of occurrence. Low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2</w:t>
            </w:r>
          </w:p>
        </w:tc>
        <w:tc>
          <w:tcPr>
            <w:tcW w:w="1560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1701" w:type="dxa"/>
            <w:shd w:val="clear" w:color="auto" w:fill="FF0000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 xml:space="preserve">High impact and high probability of occurrence. High risk having </w:t>
            </w:r>
            <w:r w:rsidR="00EB31D5">
              <w:rPr>
                <w:sz w:val="24"/>
                <w:szCs w:val="24"/>
              </w:rPr>
              <w:t>score</w:t>
            </w:r>
            <w:r w:rsidRPr="00C73B8B">
              <w:rPr>
                <w:sz w:val="24"/>
                <w:szCs w:val="24"/>
              </w:rPr>
              <w:t xml:space="preserve"> of 90</w:t>
            </w:r>
          </w:p>
        </w:tc>
        <w:tc>
          <w:tcPr>
            <w:tcW w:w="2976" w:type="dxa"/>
          </w:tcPr>
          <w:p w:rsidR="001A55C7" w:rsidRPr="00C73B8B" w:rsidRDefault="001A55C7" w:rsidP="00D364D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Evaluation of filter sleeve versus cartridge filters. Cyclone will not be considered as it leads to two fraction</w:t>
            </w:r>
            <w:r w:rsidR="00BE1AA2">
              <w:rPr>
                <w:sz w:val="24"/>
                <w:szCs w:val="24"/>
              </w:rPr>
              <w:t>s</w:t>
            </w:r>
            <w:r w:rsidRPr="00C73B8B">
              <w:rPr>
                <w:sz w:val="24"/>
                <w:szCs w:val="24"/>
              </w:rPr>
              <w:t xml:space="preserve"> of milled API</w:t>
            </w:r>
            <w:r w:rsidR="00BE1AA2">
              <w:rPr>
                <w:sz w:val="24"/>
                <w:szCs w:val="24"/>
              </w:rPr>
              <w:t xml:space="preserve"> which are</w:t>
            </w:r>
            <w:r w:rsidRPr="00C73B8B">
              <w:rPr>
                <w:sz w:val="24"/>
                <w:szCs w:val="24"/>
              </w:rPr>
              <w:t xml:space="preserve"> to be then blended </w:t>
            </w:r>
          </w:p>
        </w:tc>
      </w:tr>
    </w:tbl>
    <w:p w:rsidR="001A55C7" w:rsidRDefault="001A55C7" w:rsidP="001A55C7">
      <w:pPr>
        <w:rPr>
          <w:lang w:val="en-US"/>
        </w:rPr>
      </w:pPr>
    </w:p>
    <w:p w:rsidR="00B93DB7" w:rsidRPr="001A55C7" w:rsidRDefault="002F0E17">
      <w:pPr>
        <w:rPr>
          <w:lang w:val="en-US"/>
        </w:rPr>
      </w:pPr>
    </w:p>
    <w:sectPr w:rsidR="00B93DB7" w:rsidRPr="001A55C7" w:rsidSect="00781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5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2708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7"/>
    <w:rsid w:val="001A1F51"/>
    <w:rsid w:val="001A55C7"/>
    <w:rsid w:val="002F0E17"/>
    <w:rsid w:val="005D3A9D"/>
    <w:rsid w:val="0071719A"/>
    <w:rsid w:val="00781F89"/>
    <w:rsid w:val="00854095"/>
    <w:rsid w:val="00904502"/>
    <w:rsid w:val="009146EF"/>
    <w:rsid w:val="00B55E0C"/>
    <w:rsid w:val="00B6226F"/>
    <w:rsid w:val="00BE1AA2"/>
    <w:rsid w:val="00D313B4"/>
    <w:rsid w:val="00E80159"/>
    <w:rsid w:val="00E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C7"/>
  </w:style>
  <w:style w:type="paragraph" w:styleId="Titre1">
    <w:name w:val="heading 1"/>
    <w:basedOn w:val="Normal"/>
    <w:next w:val="Normal"/>
    <w:link w:val="Titre1Car"/>
    <w:qFormat/>
    <w:rsid w:val="001A5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basedOn w:val="Normal"/>
    <w:link w:val="Titre2Car"/>
    <w:qFormat/>
    <w:rsid w:val="001A55C7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rebuchet MS" w:eastAsia="SimSun" w:hAnsi="Trebuchet MS" w:cs="Times New Roman"/>
      <w:b/>
      <w:bCs/>
      <w:color w:val="000000"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1A55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unhideWhenUsed/>
    <w:qFormat/>
    <w:rsid w:val="001A55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unhideWhenUsed/>
    <w:qFormat/>
    <w:rsid w:val="001A55C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unhideWhenUsed/>
    <w:qFormat/>
    <w:rsid w:val="001A55C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unhideWhenUsed/>
    <w:qFormat/>
    <w:rsid w:val="001A55C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nhideWhenUsed/>
    <w:qFormat/>
    <w:rsid w:val="001A55C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Titre9">
    <w:name w:val="heading 9"/>
    <w:basedOn w:val="Normal"/>
    <w:next w:val="Normal"/>
    <w:link w:val="Titre9Car"/>
    <w:unhideWhenUsed/>
    <w:qFormat/>
    <w:rsid w:val="001A55C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55C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1A55C7"/>
    <w:rPr>
      <w:rFonts w:ascii="Trebuchet MS" w:eastAsia="SimSun" w:hAnsi="Trebuchet MS" w:cs="Times New Roman"/>
      <w:b/>
      <w:bCs/>
      <w:color w:val="000000"/>
      <w:sz w:val="36"/>
      <w:szCs w:val="36"/>
      <w:lang w:eastAsia="zh-CN"/>
    </w:rPr>
  </w:style>
  <w:style w:type="character" w:customStyle="1" w:styleId="Titre3Car">
    <w:name w:val="Titre 3 Car"/>
    <w:basedOn w:val="Policepardfaut"/>
    <w:link w:val="Titre3"/>
    <w:rsid w:val="001A55C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1A55C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A55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A55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1A55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1A55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Titre9Car">
    <w:name w:val="Titre 9 Car"/>
    <w:basedOn w:val="Policepardfaut"/>
    <w:link w:val="Titre9"/>
    <w:rsid w:val="001A55C7"/>
    <w:rPr>
      <w:rFonts w:ascii="Cambria" w:eastAsia="Times New Roman" w:hAnsi="Cambria" w:cs="Times New Roman"/>
      <w:lang w:eastAsia="zh-CN"/>
    </w:rPr>
  </w:style>
  <w:style w:type="table" w:styleId="Grilledutableau">
    <w:name w:val="Table Grid"/>
    <w:basedOn w:val="TableauNormal"/>
    <w:uiPriority w:val="59"/>
    <w:rsid w:val="001A55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5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9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17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1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1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7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1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C7"/>
  </w:style>
  <w:style w:type="paragraph" w:styleId="Titre1">
    <w:name w:val="heading 1"/>
    <w:basedOn w:val="Normal"/>
    <w:next w:val="Normal"/>
    <w:link w:val="Titre1Car"/>
    <w:qFormat/>
    <w:rsid w:val="001A5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itre2">
    <w:name w:val="heading 2"/>
    <w:basedOn w:val="Normal"/>
    <w:link w:val="Titre2Car"/>
    <w:qFormat/>
    <w:rsid w:val="001A55C7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rebuchet MS" w:eastAsia="SimSun" w:hAnsi="Trebuchet MS" w:cs="Times New Roman"/>
      <w:b/>
      <w:bCs/>
      <w:color w:val="000000"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1A55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unhideWhenUsed/>
    <w:qFormat/>
    <w:rsid w:val="001A55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unhideWhenUsed/>
    <w:qFormat/>
    <w:rsid w:val="001A55C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unhideWhenUsed/>
    <w:qFormat/>
    <w:rsid w:val="001A55C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unhideWhenUsed/>
    <w:qFormat/>
    <w:rsid w:val="001A55C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nhideWhenUsed/>
    <w:qFormat/>
    <w:rsid w:val="001A55C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Titre9">
    <w:name w:val="heading 9"/>
    <w:basedOn w:val="Normal"/>
    <w:next w:val="Normal"/>
    <w:link w:val="Titre9Car"/>
    <w:unhideWhenUsed/>
    <w:qFormat/>
    <w:rsid w:val="001A55C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55C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1A55C7"/>
    <w:rPr>
      <w:rFonts w:ascii="Trebuchet MS" w:eastAsia="SimSun" w:hAnsi="Trebuchet MS" w:cs="Times New Roman"/>
      <w:b/>
      <w:bCs/>
      <w:color w:val="000000"/>
      <w:sz w:val="36"/>
      <w:szCs w:val="36"/>
      <w:lang w:eastAsia="zh-CN"/>
    </w:rPr>
  </w:style>
  <w:style w:type="character" w:customStyle="1" w:styleId="Titre3Car">
    <w:name w:val="Titre 3 Car"/>
    <w:basedOn w:val="Policepardfaut"/>
    <w:link w:val="Titre3"/>
    <w:rsid w:val="001A55C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1A55C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A55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A55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1A55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1A55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Titre9Car">
    <w:name w:val="Titre 9 Car"/>
    <w:basedOn w:val="Policepardfaut"/>
    <w:link w:val="Titre9"/>
    <w:rsid w:val="001A55C7"/>
    <w:rPr>
      <w:rFonts w:ascii="Cambria" w:eastAsia="Times New Roman" w:hAnsi="Cambria" w:cs="Times New Roman"/>
      <w:lang w:eastAsia="zh-CN"/>
    </w:rPr>
  </w:style>
  <w:style w:type="table" w:styleId="Grilledutableau">
    <w:name w:val="Table Grid"/>
    <w:basedOn w:val="TableauNormal"/>
    <w:uiPriority w:val="59"/>
    <w:rsid w:val="001A55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5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9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17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1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1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7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AF11-1444-49A9-9F02-783079F4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2407</Words>
  <Characters>13239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Nakach, Mostafa /FR</dc:creator>
  <cp:lastModifiedBy>Nakach, Mostafa /FR</cp:lastModifiedBy>
  <cp:revision>3</cp:revision>
  <cp:lastPrinted>2018-11-18T15:38:00Z</cp:lastPrinted>
  <dcterms:created xsi:type="dcterms:W3CDTF">2018-11-16T21:46:00Z</dcterms:created>
  <dcterms:modified xsi:type="dcterms:W3CDTF">2018-11-18T15:39:00Z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-1966023236</vt:i4>
  </property>
  <property fmtid="{D5CDD505-2E9C-101B-9397-08002B2CF9AE}" pid="3" name="_NewReviewCycle">
    <vt:lpwstr/>
  </property>
  <property fmtid="{D5CDD505-2E9C-101B-9397-08002B2CF9AE}" pid="4" name="_EmailSubject">
    <vt:lpwstr>Document2</vt:lpwstr>
  </property>
  <property fmtid="{D5CDD505-2E9C-101B-9397-08002B2CF9AE}" pid="5" name="_AuthorEmail">
    <vt:lpwstr>Harivardhan-Reddy.Lakkireddy@sanofi.com</vt:lpwstr>
  </property>
  <property fmtid="{D5CDD505-2E9C-101B-9397-08002B2CF9AE}" pid="6" name="_AuthorEmailDisplayName">
    <vt:lpwstr>Lakkireddy, Harivardhan-Reddy /FR</vt:lpwstr>
  </property>
  <property fmtid="{D5CDD505-2E9C-101B-9397-08002B2CF9AE}" pid="7" name="_ReviewingToolsShownOnce">
    <vt:lpwstr/>
  </property>
</Properties>
</file>