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A969" w14:textId="77777777" w:rsidR="00F810A9" w:rsidRPr="00A56638" w:rsidRDefault="00344511">
      <w:pPr>
        <w:rPr>
          <w:rFonts w:ascii="Times New Roman" w:hAnsi="Times New Roman" w:cs="Times New Roman"/>
        </w:rPr>
      </w:pPr>
      <w:r w:rsidRPr="00A56638">
        <w:rPr>
          <w:rFonts w:ascii="Times New Roman" w:hAnsi="Times New Roman" w:cs="Times New Roman"/>
        </w:rPr>
        <w:t>Figure Captions</w:t>
      </w:r>
    </w:p>
    <w:p w14:paraId="4933E58E" w14:textId="77777777" w:rsidR="00344511" w:rsidRPr="00A56638" w:rsidRDefault="00344511">
      <w:pPr>
        <w:rPr>
          <w:rFonts w:ascii="Times New Roman" w:hAnsi="Times New Roman" w:cs="Times New Roman"/>
        </w:rPr>
      </w:pPr>
    </w:p>
    <w:p w14:paraId="66FA4C34" w14:textId="77777777" w:rsidR="00344511" w:rsidRPr="007352B9" w:rsidRDefault="00344511">
      <w:pPr>
        <w:rPr>
          <w:rFonts w:ascii="Times New Roman" w:hAnsi="Times New Roman" w:cs="Times New Roman"/>
          <w:iCs/>
          <w:lang w:val="en-CA"/>
        </w:rPr>
      </w:pPr>
      <w:r w:rsidRPr="007352B9">
        <w:rPr>
          <w:rFonts w:ascii="Times New Roman" w:hAnsi="Times New Roman" w:cs="Times New Roman"/>
          <w:iCs/>
          <w:lang w:val="en-CA"/>
        </w:rPr>
        <w:t>Figure 1. Illustration of experimental set-up and equipment connections.</w:t>
      </w:r>
    </w:p>
    <w:p w14:paraId="2B4A5C01" w14:textId="77777777" w:rsidR="00344511" w:rsidRPr="007352B9" w:rsidRDefault="00344511">
      <w:pPr>
        <w:rPr>
          <w:rFonts w:ascii="Times New Roman" w:hAnsi="Times New Roman" w:cs="Times New Roman"/>
          <w:iCs/>
          <w:lang w:val="en-CA"/>
        </w:rPr>
      </w:pPr>
    </w:p>
    <w:p w14:paraId="5EB86887" w14:textId="594260C3" w:rsidR="00344511" w:rsidRPr="007352B9" w:rsidRDefault="00344511" w:rsidP="00344511">
      <w:pPr>
        <w:pStyle w:val="Newparagraph"/>
        <w:spacing w:line="240" w:lineRule="auto"/>
        <w:ind w:firstLine="0"/>
        <w:rPr>
          <w:iCs/>
          <w:lang w:val="en-CA"/>
        </w:rPr>
      </w:pPr>
      <w:r w:rsidRPr="007352B9">
        <w:rPr>
          <w:iCs/>
          <w:lang w:val="en-CA"/>
        </w:rPr>
        <w:t>Figure 2. Reflective marker set-up (a) anterior view,</w:t>
      </w:r>
      <w:r w:rsidR="000C2918">
        <w:rPr>
          <w:iCs/>
          <w:lang w:val="en-CA"/>
        </w:rPr>
        <w:t xml:space="preserve"> (b) posterior view, (c) top view of</w:t>
      </w:r>
      <w:r w:rsidRPr="007352B9">
        <w:rPr>
          <w:iCs/>
          <w:lang w:val="en-CA"/>
        </w:rPr>
        <w:t xml:space="preserve"> anatomic representation.</w:t>
      </w:r>
    </w:p>
    <w:p w14:paraId="638EFEE6" w14:textId="77777777" w:rsidR="00344511" w:rsidRPr="007352B9" w:rsidRDefault="00344511">
      <w:pPr>
        <w:rPr>
          <w:rFonts w:ascii="Times New Roman" w:hAnsi="Times New Roman" w:cs="Times New Roman"/>
        </w:rPr>
      </w:pPr>
    </w:p>
    <w:p w14:paraId="1D8FB73E" w14:textId="2C21C390" w:rsidR="007352B9" w:rsidRPr="007352B9" w:rsidRDefault="007352B9" w:rsidP="007352B9">
      <w:pPr>
        <w:pStyle w:val="Newparagraph"/>
        <w:spacing w:line="240" w:lineRule="auto"/>
        <w:ind w:firstLine="0"/>
        <w:rPr>
          <w:lang w:val="en-CA"/>
        </w:rPr>
      </w:pPr>
      <w:r w:rsidRPr="007352B9">
        <w:rPr>
          <w:lang w:val="en-CA"/>
        </w:rPr>
        <w:t xml:space="preserve">Figure 3. </w:t>
      </w:r>
      <w:r w:rsidR="0049299D" w:rsidRPr="00C133C8">
        <w:rPr>
          <w:color w:val="000000"/>
        </w:rPr>
        <w:t xml:space="preserve">Top view of the four permanently marked laser point locations on the vibration platform, used for the laser Doppler vibrometer </w:t>
      </w:r>
      <w:r w:rsidR="0049299D">
        <w:rPr>
          <w:color w:val="000000"/>
        </w:rPr>
        <w:t xml:space="preserve">(LDV) </w:t>
      </w:r>
      <w:r w:rsidR="0049299D" w:rsidRPr="00C133C8">
        <w:rPr>
          <w:color w:val="000000"/>
        </w:rPr>
        <w:t>measurements. The foot was repositioned for ea</w:t>
      </w:r>
      <w:r w:rsidR="0049299D" w:rsidRPr="00775074">
        <w:rPr>
          <w:color w:val="000000"/>
        </w:rPr>
        <w:t>ch test to ensure the anatomic location being measured was situated over one of these four points. Laser points (LP) from 1 to 4, LP1-LP4, correspond to the four positions on the platform where the LDV beam was directed at the platform. Numbers between the brackets indicate the x, y, and z coordinates (assuming the origin of the axes is the lower-left corner of the platform marked 0,0,0 on the image).</w:t>
      </w:r>
    </w:p>
    <w:p w14:paraId="39BCDDA4" w14:textId="77777777" w:rsidR="007352B9" w:rsidRPr="007352B9" w:rsidRDefault="007352B9" w:rsidP="00344511">
      <w:pPr>
        <w:pStyle w:val="Newparagraph"/>
        <w:spacing w:line="240" w:lineRule="auto"/>
        <w:ind w:firstLine="0"/>
        <w:rPr>
          <w:lang w:val="en-CA"/>
        </w:rPr>
      </w:pPr>
    </w:p>
    <w:p w14:paraId="7FD5A10E" w14:textId="68D68A1C" w:rsidR="00344511" w:rsidRPr="007352B9" w:rsidRDefault="007352B9" w:rsidP="00344511">
      <w:pPr>
        <w:pStyle w:val="Newparagraph"/>
        <w:spacing w:line="240" w:lineRule="auto"/>
        <w:ind w:firstLine="0"/>
        <w:rPr>
          <w:lang w:val="en-CA"/>
        </w:rPr>
      </w:pPr>
      <w:r w:rsidRPr="007352B9">
        <w:rPr>
          <w:lang w:val="en-CA"/>
        </w:rPr>
        <w:t>Figure 4.</w:t>
      </w:r>
      <w:r w:rsidR="00344511" w:rsidRPr="007352B9">
        <w:rPr>
          <w:lang w:val="en-CA"/>
        </w:rPr>
        <w:t xml:space="preserve"> Average (</w:t>
      </w:r>
      <w:r w:rsidR="00344511" w:rsidRPr="007352B9">
        <w:rPr>
          <w:lang w:val="en-CA"/>
        </w:rPr>
        <w:sym w:font="Symbol" w:char="F0B1"/>
      </w:r>
      <w:r w:rsidR="00344511" w:rsidRPr="007352B9">
        <w:rPr>
          <w:lang w:val="en-CA"/>
        </w:rPr>
        <w:t xml:space="preserve"> standard deviation) of the entire FTV transmissibility response of 21 participants plotted for measures taken at 24 anatomical locations across a frequency range of 10-200Hz. Excluded measurements include: one participant at T2P1, T3P1, and H1 and two participants at M4.</w:t>
      </w:r>
    </w:p>
    <w:p w14:paraId="41909EAE" w14:textId="77777777" w:rsidR="00344511" w:rsidRPr="007352B9" w:rsidRDefault="00344511">
      <w:pPr>
        <w:rPr>
          <w:rFonts w:ascii="Times New Roman" w:hAnsi="Times New Roman" w:cs="Times New Roman"/>
        </w:rPr>
      </w:pPr>
    </w:p>
    <w:p w14:paraId="64245825" w14:textId="268E0A65" w:rsidR="00344511" w:rsidRPr="007352B9" w:rsidRDefault="007352B9" w:rsidP="00344511">
      <w:pPr>
        <w:pStyle w:val="Newparagraph"/>
        <w:spacing w:line="240" w:lineRule="auto"/>
        <w:ind w:firstLine="0"/>
        <w:rPr>
          <w:lang w:val="en-CA"/>
        </w:rPr>
      </w:pPr>
      <w:r w:rsidRPr="007352B9">
        <w:rPr>
          <w:lang w:val="en-CA"/>
        </w:rPr>
        <w:t>Figure 5</w:t>
      </w:r>
      <w:r w:rsidR="00344511" w:rsidRPr="007352B9">
        <w:rPr>
          <w:lang w:val="en-CA"/>
        </w:rPr>
        <w:t xml:space="preserve">. (a) Average peak frequency, </w:t>
      </w:r>
      <w:r w:rsidR="00344511" w:rsidRPr="007352B9">
        <w:rPr>
          <w:position w:val="-10"/>
          <w:lang w:val="en-CA"/>
        </w:rPr>
        <w:object w:dxaOrig="360" w:dyaOrig="380" w14:anchorId="7D9E5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pt;height:19.35pt" o:ole="">
            <v:imagedata r:id="rId5" o:title=""/>
          </v:shape>
          <o:OLEObject Type="Embed" ProgID="Equation.DSMT4" ShapeID="_x0000_i1025" DrawAspect="Content" ObjectID="_1605984976" r:id="rId6"/>
        </w:object>
      </w:r>
      <w:r w:rsidR="00344511" w:rsidRPr="007352B9">
        <w:rPr>
          <w:lang w:val="en-CA"/>
        </w:rPr>
        <w:t xml:space="preserve">, and peak frequency of the average, </w:t>
      </w:r>
      <w:r w:rsidR="00344511" w:rsidRPr="007352B9">
        <w:rPr>
          <w:position w:val="-14"/>
          <w:lang w:val="en-CA"/>
        </w:rPr>
        <w:object w:dxaOrig="660" w:dyaOrig="380" w14:anchorId="3E212803">
          <v:shape id="_x0000_i1026" type="#_x0000_t75" style="width:32.65pt;height:19.35pt" o:ole="">
            <v:imagedata r:id="rId7" o:title=""/>
          </v:shape>
          <o:OLEObject Type="Embed" ProgID="Equation.DSMT4" ShapeID="_x0000_i1026" DrawAspect="Content" ObjectID="_1605984977" r:id="rId8"/>
        </w:object>
      </w:r>
      <w:r w:rsidR="00344511" w:rsidRPr="007352B9">
        <w:rPr>
          <w:lang w:val="en-CA"/>
        </w:rPr>
        <w:t xml:space="preserve">, and, (b) average peak amplitude, </w:t>
      </w:r>
      <w:r w:rsidR="00344511" w:rsidRPr="007352B9">
        <w:rPr>
          <w:position w:val="-4"/>
          <w:lang w:val="en-CA"/>
        </w:rPr>
        <w:object w:dxaOrig="380" w:dyaOrig="320" w14:anchorId="1908C340">
          <v:shape id="_x0000_i1027" type="#_x0000_t75" style="width:19.35pt;height:16.65pt" o:ole="">
            <v:imagedata r:id="rId9" o:title=""/>
          </v:shape>
          <o:OLEObject Type="Embed" ProgID="Equation.DSMT4" ShapeID="_x0000_i1027" DrawAspect="Content" ObjectID="_1605984978" r:id="rId10"/>
        </w:object>
      </w:r>
      <w:r w:rsidR="00344511" w:rsidRPr="007352B9">
        <w:rPr>
          <w:lang w:val="en-CA"/>
        </w:rPr>
        <w:t xml:space="preserve">, and peak amplitude of the average, </w:t>
      </w:r>
      <w:r w:rsidR="00344511" w:rsidRPr="007352B9">
        <w:rPr>
          <w:position w:val="-14"/>
          <w:lang w:val="en-CA"/>
        </w:rPr>
        <w:object w:dxaOrig="720" w:dyaOrig="380" w14:anchorId="00371EA8">
          <v:shape id="_x0000_i1028" type="#_x0000_t75" style="width:36pt;height:19.35pt" o:ole="">
            <v:imagedata r:id="rId11" o:title=""/>
          </v:shape>
          <o:OLEObject Type="Embed" ProgID="Equation.DSMT4" ShapeID="_x0000_i1028" DrawAspect="Content" ObjectID="_1605984979" r:id="rId12"/>
        </w:object>
      </w:r>
      <w:r w:rsidR="00344511" w:rsidRPr="007352B9">
        <w:rPr>
          <w:lang w:val="en-CA"/>
        </w:rPr>
        <w:t>, measured at 24 locations on the foot.</w:t>
      </w:r>
    </w:p>
    <w:p w14:paraId="61566299" w14:textId="77777777" w:rsidR="00344511" w:rsidRPr="007352B9" w:rsidRDefault="00344511">
      <w:pPr>
        <w:rPr>
          <w:rFonts w:ascii="Times New Roman" w:hAnsi="Times New Roman" w:cs="Times New Roman"/>
        </w:rPr>
      </w:pPr>
    </w:p>
    <w:p w14:paraId="4A117BA5" w14:textId="3387A57F" w:rsidR="00344511" w:rsidRPr="007352B9" w:rsidRDefault="007352B9" w:rsidP="00344511">
      <w:pPr>
        <w:pStyle w:val="Newparagraph"/>
        <w:spacing w:line="240" w:lineRule="auto"/>
        <w:ind w:firstLine="0"/>
      </w:pPr>
      <w:r w:rsidRPr="007352B9">
        <w:t>Figure 6</w:t>
      </w:r>
      <w:r w:rsidR="00344511" w:rsidRPr="007352B9">
        <w:t xml:space="preserve">: Comparison of transmissibility results at the first metatarsal head (a), medial malleolus (b), and lateral malleolus (c) from three previously completed studies </w:t>
      </w:r>
      <w:r w:rsidR="00344511" w:rsidRPr="007352B9">
        <w:fldChar w:fldCharType="begin">
          <w:fldData xml:space="preserve">PEVuZE5vdGU+PENpdGU+PEF1dGhvcj5Hb2dnaW5zPC9BdXRob3I+PFllYXI+MjAxNjwvWWVhcj48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</w:fldData>
        </w:fldChar>
      </w:r>
      <w:r w:rsidR="00344511" w:rsidRPr="007352B9">
        <w:instrText xml:space="preserve"> ADDIN EN.CITE </w:instrText>
      </w:r>
      <w:r w:rsidR="00344511" w:rsidRPr="007352B9">
        <w:fldChar w:fldCharType="begin">
          <w:fldData xml:space="preserve">PEVuZE5vdGU+PENpdGU+PEF1dGhvcj5Hb2dnaW5zPC9BdXRob3I+PFllYXI+MjAxNjwvWWVhcj48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</w:fldData>
        </w:fldChar>
      </w:r>
      <w:r w:rsidR="00344511" w:rsidRPr="007352B9">
        <w:instrText xml:space="preserve"> ADDIN EN.CITE.DATA </w:instrText>
      </w:r>
      <w:r w:rsidR="00344511" w:rsidRPr="007352B9">
        <w:fldChar w:fldCharType="end"/>
      </w:r>
      <w:r w:rsidR="00344511" w:rsidRPr="007352B9">
        <w:fldChar w:fldCharType="separate"/>
      </w:r>
      <w:r w:rsidR="00344511" w:rsidRPr="007352B9">
        <w:rPr>
          <w:noProof/>
        </w:rPr>
        <w:t>(Goggins et al., 2016; Harazin &amp; Grzesik, 1998; Wee &amp; Voloshin, 2013)</w:t>
      </w:r>
      <w:r w:rsidR="00344511" w:rsidRPr="007352B9">
        <w:fldChar w:fldCharType="end"/>
      </w:r>
      <w:r w:rsidR="00344511" w:rsidRPr="007352B9">
        <w:t xml:space="preserve">. </w:t>
      </w:r>
    </w:p>
    <w:p w14:paraId="1BC150A5" w14:textId="77777777" w:rsidR="00344511" w:rsidRPr="007352B9" w:rsidRDefault="00344511">
      <w:pPr>
        <w:rPr>
          <w:rFonts w:ascii="Times New Roman" w:hAnsi="Times New Roman" w:cs="Times New Roman"/>
        </w:rPr>
      </w:pPr>
    </w:p>
    <w:p w14:paraId="623F8C67" w14:textId="627980CA" w:rsidR="00344511" w:rsidRPr="007352B9" w:rsidRDefault="007352B9" w:rsidP="00344511">
      <w:pPr>
        <w:pStyle w:val="Newparagraph"/>
        <w:spacing w:line="240" w:lineRule="auto"/>
        <w:ind w:firstLine="0"/>
      </w:pPr>
      <w:r w:rsidRPr="007352B9">
        <w:t>Figure 7</w:t>
      </w:r>
      <w:r w:rsidR="00344511" w:rsidRPr="007352B9">
        <w:t>: Average phase angle plots for 21 participants at T1P3 (a) and L3 (b).</w:t>
      </w:r>
    </w:p>
    <w:p w14:paraId="3AFA29AE" w14:textId="77777777" w:rsidR="00344511" w:rsidRDefault="00344511">
      <w:pPr>
        <w:rPr>
          <w:rFonts w:ascii="Times New Roman" w:hAnsi="Times New Roman" w:cs="Times New Roman"/>
        </w:rPr>
      </w:pPr>
    </w:p>
    <w:p w14:paraId="44B8C188" w14:textId="414EA559" w:rsidR="002663D5" w:rsidRPr="00775074" w:rsidRDefault="002663D5" w:rsidP="002663D5">
      <w:pPr>
        <w:pStyle w:val="Figurecaption"/>
        <w:spacing w:line="240" w:lineRule="auto"/>
        <w:rPr>
          <w:lang w:val="en-CA"/>
        </w:rPr>
      </w:pPr>
      <w:r w:rsidRPr="00775074">
        <w:rPr>
          <w:lang w:val="en-CA"/>
        </w:rPr>
        <w:t>Appendix A: Laser point (LP) locations (1-4) for 21 participants at 24 anatomical locations.</w:t>
      </w:r>
    </w:p>
    <w:p w14:paraId="5235EF3E" w14:textId="012A2F90" w:rsidR="00344511" w:rsidRPr="002663D5" w:rsidRDefault="002663D5" w:rsidP="002663D5">
      <w:pPr>
        <w:pStyle w:val="Figurecaption"/>
        <w:spacing w:line="240" w:lineRule="auto"/>
        <w:rPr>
          <w:lang w:val="en-CA"/>
        </w:rPr>
      </w:pPr>
      <w:r>
        <w:rPr>
          <w:lang w:val="en-CA"/>
        </w:rPr>
        <w:t>Appendix B</w:t>
      </w:r>
      <w:r w:rsidR="00344511" w:rsidRPr="007352B9">
        <w:rPr>
          <w:lang w:val="en-CA"/>
        </w:rPr>
        <w:t>: The individual transmissibility responses of 21 participants at 24 anatomical locations. Excluded measurements include: one participant at T2P1, T3P1, and H1 and two participants at M4.</w:t>
      </w:r>
    </w:p>
    <w:p w14:paraId="7A2801D9" w14:textId="091FAEE4" w:rsidR="00344511" w:rsidRPr="00A56638" w:rsidRDefault="002663D5" w:rsidP="00344511">
      <w:pPr>
        <w:pStyle w:val="Figurecaption"/>
        <w:spacing w:line="240" w:lineRule="auto"/>
        <w:rPr>
          <w:lang w:val="en-CA"/>
        </w:rPr>
      </w:pPr>
      <w:r>
        <w:rPr>
          <w:lang w:val="en-CA"/>
        </w:rPr>
        <w:t>Appendix C</w:t>
      </w:r>
      <w:r w:rsidR="00344511" w:rsidRPr="007352B9">
        <w:rPr>
          <w:lang w:val="en-CA"/>
        </w:rPr>
        <w:t xml:space="preserve">: The average (black line) </w:t>
      </w:r>
      <w:r w:rsidR="00344511" w:rsidRPr="007352B9">
        <w:rPr>
          <w:lang w:val="en-CA"/>
        </w:rPr>
        <w:sym w:font="Symbol" w:char="F0B1"/>
      </w:r>
      <w:r w:rsidR="00344511" w:rsidRPr="007352B9">
        <w:rPr>
          <w:lang w:val="en-CA"/>
        </w:rPr>
        <w:t xml:space="preserve"> standard deviation (grey dotted line) of the entire transmissibility, phase and coherence responses of 21 participants for 24 anatomical locations. Coherence plot only shows negative standard deviation, as measure above unity are not possible. Excluded measurements include: one participant at T2P1, T3P1, and H1 and two participants at M4.</w:t>
      </w:r>
    </w:p>
    <w:p w14:paraId="6BDBEA59" w14:textId="77777777" w:rsidR="00344511" w:rsidRPr="00A56638" w:rsidRDefault="00344511">
      <w:pPr>
        <w:rPr>
          <w:rFonts w:ascii="Times New Roman" w:hAnsi="Times New Roman" w:cs="Times New Roman"/>
        </w:rPr>
      </w:pPr>
    </w:p>
    <w:p w14:paraId="6EBA56BC" w14:textId="77777777" w:rsidR="00344511" w:rsidRDefault="00344511">
      <w:pPr>
        <w:rPr>
          <w:rFonts w:ascii="Times New Roman" w:hAnsi="Times New Roman" w:cs="Times New Roman"/>
        </w:rPr>
      </w:pPr>
    </w:p>
    <w:p w14:paraId="5FDA5330" w14:textId="77777777" w:rsidR="00196127" w:rsidRDefault="00196127" w:rsidP="006A0AE1">
      <w:pPr>
        <w:rPr>
          <w:rFonts w:ascii="Times New Roman" w:hAnsi="Times New Roman" w:cs="Times New Roman"/>
        </w:rPr>
      </w:pPr>
      <w:bookmarkStart w:id="0" w:name="_GoBack"/>
      <w:bookmarkEnd w:id="0"/>
    </w:p>
    <w:sectPr w:rsidR="00196127" w:rsidSect="00F57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B3432"/>
    <w:multiLevelType w:val="multilevel"/>
    <w:tmpl w:val="382EAF8C"/>
    <w:lvl w:ilvl="0">
      <w:start w:val="1"/>
      <w:numFmt w:val="none"/>
      <w:pStyle w:val="Heading1"/>
      <w:lvlText w:val=""/>
      <w:lvlJc w:val="left"/>
      <w:pPr>
        <w:tabs>
          <w:tab w:val="num" w:pos="720"/>
        </w:tabs>
        <w:ind w:left="720" w:hanging="720"/>
      </w:pPr>
      <w:rPr>
        <w:rFonts w:ascii="Times New Roman" w:hAnsi="Times New Roman" w:cs="Times New Roman" w:hint="default"/>
        <w:b/>
        <w:bCs w:val="0"/>
        <w:i w:val="0"/>
        <w:iCs w:val="0"/>
        <w:caps/>
        <w:smallCaps w:val="0"/>
        <w:strike w:val="0"/>
        <w:dstrike w:val="0"/>
        <w:outline w:val="0"/>
        <w:shadow w:val="0"/>
        <w:emboss w:val="0"/>
        <w:imprint w:val="0"/>
        <w:vanish w:val="0"/>
        <w:spacing w:val="0"/>
        <w:kern w:val="0"/>
        <w:position w:val="0"/>
        <w:sz w:val="28"/>
        <w:szCs w:val="36"/>
        <w:u w:val="none"/>
        <w:vertAlign w:val="baseline"/>
      </w:rPr>
    </w:lvl>
    <w:lvl w:ilvl="1">
      <w:start w:val="1"/>
      <w:numFmt w:val="decimal"/>
      <w:pStyle w:val="Heading2"/>
      <w:lvlText w:val="%2"/>
      <w:lvlJc w:val="left"/>
      <w:pPr>
        <w:tabs>
          <w:tab w:val="num" w:pos="720"/>
        </w:tabs>
        <w:ind w:left="720" w:hanging="720"/>
      </w:pPr>
      <w:rPr>
        <w:rFonts w:ascii="Times New Roman" w:hAnsi="Times New Roman" w:cs="Times New Roman" w:hint="default"/>
        <w:b/>
        <w:i w:val="0"/>
        <w:sz w:val="28"/>
        <w:szCs w:val="32"/>
      </w:rPr>
    </w:lvl>
    <w:lvl w:ilvl="2">
      <w:start w:val="1"/>
      <w:numFmt w:val="decimal"/>
      <w:lvlText w:val="%1%2.%3"/>
      <w:lvlJc w:val="left"/>
      <w:pPr>
        <w:tabs>
          <w:tab w:val="num" w:pos="720"/>
        </w:tabs>
        <w:ind w:left="720" w:hanging="720"/>
      </w:pPr>
      <w:rPr>
        <w:rFonts w:ascii="Times New Roman" w:hAnsi="Times New Roman" w:cs="Times New Roman" w:hint="default"/>
        <w:b/>
        <w:i w:val="0"/>
        <w:sz w:val="28"/>
        <w:szCs w:val="28"/>
      </w:rPr>
    </w:lvl>
    <w:lvl w:ilvl="3">
      <w:start w:val="1"/>
      <w:numFmt w:val="decimal"/>
      <w:lvlText w:val="%2.%3.%4"/>
      <w:lvlJc w:val="left"/>
      <w:pPr>
        <w:tabs>
          <w:tab w:val="num" w:pos="1440"/>
        </w:tabs>
        <w:ind w:left="1440" w:hanging="1080"/>
      </w:pPr>
      <w:rPr>
        <w:rFonts w:ascii="Times New Roman" w:hAnsi="Times New Roman" w:cs="Times New Roman" w:hint="default"/>
        <w:b w:val="0"/>
        <w:i w:val="0"/>
        <w:sz w:val="24"/>
        <w:szCs w:val="28"/>
      </w:rPr>
    </w:lvl>
    <w:lvl w:ilvl="4">
      <w:start w:val="1"/>
      <w:numFmt w:val="decimal"/>
      <w:lvlText w:val="%1%2.%3.%4.%5"/>
      <w:lvlJc w:val="left"/>
      <w:pPr>
        <w:tabs>
          <w:tab w:val="num" w:pos="3600"/>
        </w:tabs>
        <w:ind w:left="3600" w:hanging="1080"/>
      </w:pPr>
      <w:rPr>
        <w:rFonts w:ascii="Times New Roman" w:hAnsi="Times New Roman" w:cs="Times New Roman" w:hint="default"/>
        <w:b w:val="0"/>
        <w:i w:val="0"/>
        <w:sz w:val="24"/>
      </w:rPr>
    </w:lvl>
    <w:lvl w:ilvl="5">
      <w:start w:val="1"/>
      <w:numFmt w:val="decimal"/>
      <w:lvlText w:val="%1%2.%3.%4.%5.%6"/>
      <w:lvlJc w:val="left"/>
      <w:pPr>
        <w:tabs>
          <w:tab w:val="num" w:pos="3960"/>
        </w:tabs>
        <w:ind w:left="3816" w:hanging="93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8"/>
        <w:u w:val="none"/>
        <w:vertAlign w:val="baseline"/>
      </w:rPr>
    </w:lvl>
    <w:lvl w:ilvl="6">
      <w:start w:val="1"/>
      <w:numFmt w:val="decimal"/>
      <w:lvlText w:val="%1%2.%3.%4.%5.%6.%7"/>
      <w:lvlJc w:val="left"/>
      <w:pPr>
        <w:tabs>
          <w:tab w:val="num" w:pos="4680"/>
        </w:tabs>
        <w:ind w:left="4320" w:hanging="1080"/>
      </w:pPr>
      <w:rPr>
        <w:rFonts w:ascii="Times New Roman" w:hAnsi="Times New Roman" w:cs="Times New Roman" w:hint="default"/>
        <w:b w:val="0"/>
        <w:i w:val="0"/>
        <w:sz w:val="24"/>
      </w:rPr>
    </w:lvl>
    <w:lvl w:ilvl="7">
      <w:start w:val="1"/>
      <w:numFmt w:val="decimal"/>
      <w:lvlText w:val="%2.%3.%4.%5.%6.%7.%8"/>
      <w:lvlJc w:val="left"/>
      <w:pPr>
        <w:tabs>
          <w:tab w:val="num" w:pos="5040"/>
        </w:tabs>
        <w:ind w:left="4824" w:hanging="122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8">
      <w:start w:val="1"/>
      <w:numFmt w:val="decimal"/>
      <w:lvlText w:val="%2.%3.%4.%5.%6.%7.%8.%9"/>
      <w:lvlJc w:val="left"/>
      <w:pPr>
        <w:tabs>
          <w:tab w:val="num" w:pos="5760"/>
        </w:tabs>
        <w:ind w:left="5400" w:hanging="144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8"/>
        <w:u w:val="none"/>
        <w:vertAlign w:val="baseline"/>
      </w:rPr>
    </w:lvl>
  </w:abstractNum>
  <w:abstractNum w:abstractNumId="1">
    <w:nsid w:val="58730468"/>
    <w:multiLevelType w:val="hybridMultilevel"/>
    <w:tmpl w:val="714254C0"/>
    <w:lvl w:ilvl="0" w:tplc="DF6A6E66">
      <w:start w:val="1"/>
      <w:numFmt w:val="upperLetter"/>
      <w:pStyle w:val="AppendixName"/>
      <w:lvlText w:val="Appendix %1."/>
      <w:lvlJc w:val="left"/>
      <w:pPr>
        <w:ind w:left="36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11"/>
    <w:rsid w:val="00003AA3"/>
    <w:rsid w:val="00004647"/>
    <w:rsid w:val="0001354D"/>
    <w:rsid w:val="00061B26"/>
    <w:rsid w:val="00064372"/>
    <w:rsid w:val="00070096"/>
    <w:rsid w:val="00095071"/>
    <w:rsid w:val="000A675D"/>
    <w:rsid w:val="000C2918"/>
    <w:rsid w:val="000D06CF"/>
    <w:rsid w:val="000E583F"/>
    <w:rsid w:val="000F4B39"/>
    <w:rsid w:val="00155F16"/>
    <w:rsid w:val="00163AF9"/>
    <w:rsid w:val="00165EF2"/>
    <w:rsid w:val="00183519"/>
    <w:rsid w:val="00185718"/>
    <w:rsid w:val="00196127"/>
    <w:rsid w:val="001E0B52"/>
    <w:rsid w:val="001F1A93"/>
    <w:rsid w:val="001F1ABE"/>
    <w:rsid w:val="00200B4E"/>
    <w:rsid w:val="00206125"/>
    <w:rsid w:val="00211A45"/>
    <w:rsid w:val="00220E6C"/>
    <w:rsid w:val="00232F4D"/>
    <w:rsid w:val="00236338"/>
    <w:rsid w:val="002403F0"/>
    <w:rsid w:val="00255D8C"/>
    <w:rsid w:val="00257162"/>
    <w:rsid w:val="002636CA"/>
    <w:rsid w:val="002663D5"/>
    <w:rsid w:val="0028017F"/>
    <w:rsid w:val="00297830"/>
    <w:rsid w:val="002C40F5"/>
    <w:rsid w:val="002D0032"/>
    <w:rsid w:val="002D127E"/>
    <w:rsid w:val="002D68F4"/>
    <w:rsid w:val="00301D8C"/>
    <w:rsid w:val="00303485"/>
    <w:rsid w:val="00303A38"/>
    <w:rsid w:val="00315C5F"/>
    <w:rsid w:val="00333F44"/>
    <w:rsid w:val="00336B61"/>
    <w:rsid w:val="00344511"/>
    <w:rsid w:val="0036250D"/>
    <w:rsid w:val="00363466"/>
    <w:rsid w:val="0036510E"/>
    <w:rsid w:val="00370A6B"/>
    <w:rsid w:val="00370CFC"/>
    <w:rsid w:val="003744EB"/>
    <w:rsid w:val="00383C2B"/>
    <w:rsid w:val="0039017B"/>
    <w:rsid w:val="003B1B29"/>
    <w:rsid w:val="003B1C27"/>
    <w:rsid w:val="003B2FB8"/>
    <w:rsid w:val="003B6A39"/>
    <w:rsid w:val="003C22D8"/>
    <w:rsid w:val="003D42C0"/>
    <w:rsid w:val="003D7E3E"/>
    <w:rsid w:val="003E4BB1"/>
    <w:rsid w:val="003F2647"/>
    <w:rsid w:val="00401C11"/>
    <w:rsid w:val="00413E93"/>
    <w:rsid w:val="0043197A"/>
    <w:rsid w:val="00431D59"/>
    <w:rsid w:val="00434F6C"/>
    <w:rsid w:val="00492856"/>
    <w:rsid w:val="0049299D"/>
    <w:rsid w:val="004A309C"/>
    <w:rsid w:val="004B3AE5"/>
    <w:rsid w:val="004C2FF1"/>
    <w:rsid w:val="004C64A8"/>
    <w:rsid w:val="004D1C40"/>
    <w:rsid w:val="004D327C"/>
    <w:rsid w:val="004F01C8"/>
    <w:rsid w:val="004F1236"/>
    <w:rsid w:val="00504852"/>
    <w:rsid w:val="00506B23"/>
    <w:rsid w:val="00513CD8"/>
    <w:rsid w:val="00526017"/>
    <w:rsid w:val="00527929"/>
    <w:rsid w:val="005368F5"/>
    <w:rsid w:val="005506A9"/>
    <w:rsid w:val="00551BAD"/>
    <w:rsid w:val="005560E5"/>
    <w:rsid w:val="005563A9"/>
    <w:rsid w:val="00566E70"/>
    <w:rsid w:val="005873F4"/>
    <w:rsid w:val="005A2891"/>
    <w:rsid w:val="005C1730"/>
    <w:rsid w:val="005D1F1F"/>
    <w:rsid w:val="005E6596"/>
    <w:rsid w:val="005E7423"/>
    <w:rsid w:val="005F0907"/>
    <w:rsid w:val="00612A15"/>
    <w:rsid w:val="00613242"/>
    <w:rsid w:val="006258A9"/>
    <w:rsid w:val="00641DA9"/>
    <w:rsid w:val="006427F9"/>
    <w:rsid w:val="006723D1"/>
    <w:rsid w:val="00687E2B"/>
    <w:rsid w:val="00693661"/>
    <w:rsid w:val="0069526F"/>
    <w:rsid w:val="006A0AE1"/>
    <w:rsid w:val="006B130B"/>
    <w:rsid w:val="006B6FF6"/>
    <w:rsid w:val="006C3F59"/>
    <w:rsid w:val="006C4CD3"/>
    <w:rsid w:val="006F41CB"/>
    <w:rsid w:val="0070555D"/>
    <w:rsid w:val="00717006"/>
    <w:rsid w:val="007352B9"/>
    <w:rsid w:val="00747A90"/>
    <w:rsid w:val="007502EA"/>
    <w:rsid w:val="0075134B"/>
    <w:rsid w:val="00757218"/>
    <w:rsid w:val="00775074"/>
    <w:rsid w:val="007B01D8"/>
    <w:rsid w:val="007C2AAF"/>
    <w:rsid w:val="007C3779"/>
    <w:rsid w:val="007D1E7A"/>
    <w:rsid w:val="007D4550"/>
    <w:rsid w:val="007E0845"/>
    <w:rsid w:val="007E11F0"/>
    <w:rsid w:val="007E3219"/>
    <w:rsid w:val="007E4152"/>
    <w:rsid w:val="007F0E8A"/>
    <w:rsid w:val="00802CC1"/>
    <w:rsid w:val="00805ECA"/>
    <w:rsid w:val="00860757"/>
    <w:rsid w:val="0086154F"/>
    <w:rsid w:val="008871EC"/>
    <w:rsid w:val="008A4F63"/>
    <w:rsid w:val="008C2374"/>
    <w:rsid w:val="008C4C77"/>
    <w:rsid w:val="008D3542"/>
    <w:rsid w:val="008E7B7A"/>
    <w:rsid w:val="00912D96"/>
    <w:rsid w:val="00926192"/>
    <w:rsid w:val="00932CD1"/>
    <w:rsid w:val="00951AA0"/>
    <w:rsid w:val="009550A9"/>
    <w:rsid w:val="00960887"/>
    <w:rsid w:val="0097429D"/>
    <w:rsid w:val="00982D3A"/>
    <w:rsid w:val="009A0421"/>
    <w:rsid w:val="009B2FC2"/>
    <w:rsid w:val="009B3224"/>
    <w:rsid w:val="009E0366"/>
    <w:rsid w:val="009E0BDB"/>
    <w:rsid w:val="009E2335"/>
    <w:rsid w:val="009F7130"/>
    <w:rsid w:val="00A04716"/>
    <w:rsid w:val="00A107EA"/>
    <w:rsid w:val="00A16A3E"/>
    <w:rsid w:val="00A206BA"/>
    <w:rsid w:val="00A2790D"/>
    <w:rsid w:val="00A3005D"/>
    <w:rsid w:val="00A3457C"/>
    <w:rsid w:val="00A56638"/>
    <w:rsid w:val="00A62472"/>
    <w:rsid w:val="00A72F79"/>
    <w:rsid w:val="00A81037"/>
    <w:rsid w:val="00A8513F"/>
    <w:rsid w:val="00A90FF1"/>
    <w:rsid w:val="00AA2A7F"/>
    <w:rsid w:val="00AA54C0"/>
    <w:rsid w:val="00AA7EC9"/>
    <w:rsid w:val="00AC79E9"/>
    <w:rsid w:val="00AD4366"/>
    <w:rsid w:val="00AE2627"/>
    <w:rsid w:val="00B0166A"/>
    <w:rsid w:val="00B23BF7"/>
    <w:rsid w:val="00B41D35"/>
    <w:rsid w:val="00B53115"/>
    <w:rsid w:val="00B54DB7"/>
    <w:rsid w:val="00B90C9D"/>
    <w:rsid w:val="00B95649"/>
    <w:rsid w:val="00B95819"/>
    <w:rsid w:val="00BA1BB6"/>
    <w:rsid w:val="00BE7453"/>
    <w:rsid w:val="00BF2E57"/>
    <w:rsid w:val="00BF325A"/>
    <w:rsid w:val="00BF54FC"/>
    <w:rsid w:val="00C007FB"/>
    <w:rsid w:val="00C0633A"/>
    <w:rsid w:val="00C07F8E"/>
    <w:rsid w:val="00C11482"/>
    <w:rsid w:val="00C12737"/>
    <w:rsid w:val="00C302AE"/>
    <w:rsid w:val="00C32C13"/>
    <w:rsid w:val="00C36528"/>
    <w:rsid w:val="00C567DE"/>
    <w:rsid w:val="00C606AF"/>
    <w:rsid w:val="00C60B8D"/>
    <w:rsid w:val="00C613D8"/>
    <w:rsid w:val="00C632DD"/>
    <w:rsid w:val="00C650B6"/>
    <w:rsid w:val="00C66685"/>
    <w:rsid w:val="00C72AE1"/>
    <w:rsid w:val="00C73DEE"/>
    <w:rsid w:val="00C86D26"/>
    <w:rsid w:val="00CA2198"/>
    <w:rsid w:val="00CB75B0"/>
    <w:rsid w:val="00CC4005"/>
    <w:rsid w:val="00CC49E1"/>
    <w:rsid w:val="00CC7920"/>
    <w:rsid w:val="00CD0950"/>
    <w:rsid w:val="00CF5105"/>
    <w:rsid w:val="00CF5A27"/>
    <w:rsid w:val="00D202B2"/>
    <w:rsid w:val="00D20ACA"/>
    <w:rsid w:val="00D34482"/>
    <w:rsid w:val="00D51585"/>
    <w:rsid w:val="00D75C72"/>
    <w:rsid w:val="00D75CA7"/>
    <w:rsid w:val="00D87417"/>
    <w:rsid w:val="00DA6F79"/>
    <w:rsid w:val="00DE0D33"/>
    <w:rsid w:val="00DE6F73"/>
    <w:rsid w:val="00DE6FBB"/>
    <w:rsid w:val="00DF0A3B"/>
    <w:rsid w:val="00E030E6"/>
    <w:rsid w:val="00E0577C"/>
    <w:rsid w:val="00E14BB0"/>
    <w:rsid w:val="00E2121F"/>
    <w:rsid w:val="00E37862"/>
    <w:rsid w:val="00E56B84"/>
    <w:rsid w:val="00E64F29"/>
    <w:rsid w:val="00E6581D"/>
    <w:rsid w:val="00E71898"/>
    <w:rsid w:val="00E76449"/>
    <w:rsid w:val="00E818DB"/>
    <w:rsid w:val="00E86D75"/>
    <w:rsid w:val="00E93004"/>
    <w:rsid w:val="00EA55F4"/>
    <w:rsid w:val="00EA76CD"/>
    <w:rsid w:val="00EC7E33"/>
    <w:rsid w:val="00ED349D"/>
    <w:rsid w:val="00EF38E8"/>
    <w:rsid w:val="00EF4718"/>
    <w:rsid w:val="00EF6217"/>
    <w:rsid w:val="00F11422"/>
    <w:rsid w:val="00F20E63"/>
    <w:rsid w:val="00F226B6"/>
    <w:rsid w:val="00F40BBB"/>
    <w:rsid w:val="00F50570"/>
    <w:rsid w:val="00F57BCC"/>
    <w:rsid w:val="00F61D6B"/>
    <w:rsid w:val="00F706E6"/>
    <w:rsid w:val="00FA43C3"/>
    <w:rsid w:val="00FA6A05"/>
    <w:rsid w:val="00FB4A66"/>
    <w:rsid w:val="00FB7D52"/>
    <w:rsid w:val="00FD108B"/>
    <w:rsid w:val="00FE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58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autoRedefine/>
    <w:uiPriority w:val="9"/>
    <w:qFormat/>
    <w:rsid w:val="00064372"/>
    <w:pPr>
      <w:keepNext/>
      <w:numPr>
        <w:numId w:val="1"/>
      </w:numPr>
      <w:tabs>
        <w:tab w:val="clear" w:pos="720"/>
      </w:tabs>
      <w:spacing w:before="240" w:after="120"/>
      <w:ind w:left="0" w:firstLine="0"/>
      <w:outlineLvl w:val="0"/>
    </w:pPr>
    <w:rPr>
      <w:rFonts w:ascii="Times New Roman" w:eastAsia="Times New Roman" w:hAnsi="Times New Roman" w:cs="Times New Roman"/>
      <w:bCs/>
      <w:kern w:val="32"/>
      <w:sz w:val="32"/>
      <w:szCs w:val="36"/>
      <w:lang w:val="x-none" w:eastAsia="en-CA"/>
    </w:rPr>
  </w:style>
  <w:style w:type="paragraph" w:styleId="Heading2">
    <w:name w:val="heading 2"/>
    <w:aliases w:val="1.0 HEADING 2"/>
    <w:basedOn w:val="Heading1"/>
    <w:next w:val="BodyText"/>
    <w:link w:val="Heading2Char"/>
    <w:autoRedefine/>
    <w:uiPriority w:val="9"/>
    <w:qFormat/>
    <w:rsid w:val="00064372"/>
    <w:pPr>
      <w:numPr>
        <w:ilvl w:val="1"/>
        <w:numId w:val="5"/>
      </w:numPr>
      <w:outlineLvl w:val="1"/>
    </w:pPr>
    <w:rPr>
      <w:rFonts w:ascii="Arial" w:hAnsi="Arial"/>
      <w:bCs w:val="0"/>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72"/>
    <w:rPr>
      <w:rFonts w:ascii="Times New Roman" w:eastAsia="Times New Roman" w:hAnsi="Times New Roman" w:cs="Times New Roman"/>
      <w:bCs/>
      <w:kern w:val="32"/>
      <w:sz w:val="32"/>
      <w:szCs w:val="36"/>
      <w:lang w:val="x-none" w:eastAsia="en-CA"/>
    </w:rPr>
  </w:style>
  <w:style w:type="paragraph" w:styleId="BodyText">
    <w:name w:val="Body Text"/>
    <w:basedOn w:val="Normal"/>
    <w:link w:val="BodyTextChar"/>
    <w:uiPriority w:val="99"/>
    <w:semiHidden/>
    <w:unhideWhenUsed/>
    <w:rsid w:val="00401C11"/>
    <w:pPr>
      <w:spacing w:after="120"/>
    </w:pPr>
  </w:style>
  <w:style w:type="character" w:customStyle="1" w:styleId="BodyTextChar">
    <w:name w:val="Body Text Char"/>
    <w:basedOn w:val="DefaultParagraphFont"/>
    <w:link w:val="BodyText"/>
    <w:uiPriority w:val="99"/>
    <w:semiHidden/>
    <w:rsid w:val="00401C11"/>
  </w:style>
  <w:style w:type="character" w:customStyle="1" w:styleId="Heading2Char">
    <w:name w:val="Heading 2 Char"/>
    <w:aliases w:val="1.0 HEADING 2 Char"/>
    <w:basedOn w:val="DefaultParagraphFont"/>
    <w:link w:val="Heading2"/>
    <w:uiPriority w:val="9"/>
    <w:rsid w:val="00401C11"/>
    <w:rPr>
      <w:rFonts w:ascii="Arial" w:eastAsia="Times New Roman" w:hAnsi="Arial" w:cs="Times New Roman"/>
      <w:iCs/>
      <w:kern w:val="32"/>
      <w:sz w:val="32"/>
      <w:szCs w:val="28"/>
      <w:lang w:val="x-none" w:eastAsia="en-CA"/>
    </w:rPr>
  </w:style>
  <w:style w:type="paragraph" w:styleId="Caption">
    <w:name w:val="caption"/>
    <w:aliases w:val="Figures"/>
    <w:basedOn w:val="Normal"/>
    <w:next w:val="Normal"/>
    <w:autoRedefine/>
    <w:uiPriority w:val="35"/>
    <w:unhideWhenUsed/>
    <w:qFormat/>
    <w:rsid w:val="00064372"/>
    <w:pPr>
      <w:spacing w:after="200"/>
    </w:pPr>
    <w:rPr>
      <w:rFonts w:ascii="Times New Roman" w:hAnsi="Times New Roman"/>
      <w:iCs/>
      <w:color w:val="000000" w:themeColor="text1"/>
      <w:szCs w:val="18"/>
    </w:rPr>
  </w:style>
  <w:style w:type="paragraph" w:customStyle="1" w:styleId="AppendixName">
    <w:name w:val="Appendix Name"/>
    <w:basedOn w:val="Heading2"/>
    <w:autoRedefine/>
    <w:qFormat/>
    <w:rsid w:val="00F11422"/>
    <w:pPr>
      <w:numPr>
        <w:ilvl w:val="0"/>
        <w:numId w:val="6"/>
      </w:numPr>
    </w:pPr>
    <w:rPr>
      <w:rFonts w:ascii="Times New Roman" w:hAnsi="Times New Roman"/>
      <w:sz w:val="28"/>
    </w:rPr>
  </w:style>
  <w:style w:type="paragraph" w:customStyle="1" w:styleId="Newparagraph">
    <w:name w:val="New paragraph"/>
    <w:basedOn w:val="Normal"/>
    <w:qFormat/>
    <w:rsid w:val="00344511"/>
    <w:pPr>
      <w:spacing w:line="480" w:lineRule="auto"/>
      <w:ind w:firstLine="720"/>
    </w:pPr>
    <w:rPr>
      <w:rFonts w:ascii="Times New Roman" w:eastAsia="Times New Roman" w:hAnsi="Times New Roman" w:cs="Times New Roman"/>
      <w:lang w:val="en-GB" w:eastAsia="en-GB"/>
    </w:rPr>
  </w:style>
  <w:style w:type="paragraph" w:customStyle="1" w:styleId="Figurecaption">
    <w:name w:val="Figure caption"/>
    <w:basedOn w:val="Normal"/>
    <w:next w:val="Normal"/>
    <w:qFormat/>
    <w:rsid w:val="00344511"/>
    <w:pPr>
      <w:spacing w:before="240" w:line="360" w:lineRule="auto"/>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4.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image" Target="media/image3.wmf"/><Relationship Id="rId1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Goggins</dc:creator>
  <cp:keywords/>
  <dc:description/>
  <cp:lastModifiedBy>Katie Goggins</cp:lastModifiedBy>
  <cp:revision>12</cp:revision>
  <dcterms:created xsi:type="dcterms:W3CDTF">2018-07-03T15:13:00Z</dcterms:created>
  <dcterms:modified xsi:type="dcterms:W3CDTF">2018-12-11T03:09:00Z</dcterms:modified>
</cp:coreProperties>
</file>