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1F" w:rsidRDefault="00EF20BD">
      <w:pPr>
        <w:rPr>
          <w:rFonts w:ascii="Times New Roman" w:hAnsi="Times New Roman" w:cs="Times New Roman"/>
          <w:b/>
          <w:sz w:val="24"/>
        </w:rPr>
      </w:pPr>
      <w:bookmarkStart w:id="0" w:name="_GoBack"/>
      <w:bookmarkEnd w:id="0"/>
      <w:r w:rsidRPr="00EF20BD">
        <w:rPr>
          <w:rFonts w:ascii="Times New Roman" w:hAnsi="Times New Roman" w:cs="Times New Roman"/>
          <w:b/>
          <w:sz w:val="24"/>
        </w:rPr>
        <w:t>Online Appendix</w:t>
      </w:r>
    </w:p>
    <w:p w:rsidR="00EF20BD" w:rsidRDefault="00EF20BD">
      <w:pPr>
        <w:rPr>
          <w:rFonts w:ascii="Times New Roman" w:hAnsi="Times New Roman" w:cs="Times New Roman"/>
          <w:b/>
          <w:sz w:val="24"/>
        </w:rPr>
      </w:pPr>
    </w:p>
    <w:p w:rsidR="00EF20BD" w:rsidRDefault="00EF20BD">
      <w:pPr>
        <w:rPr>
          <w:rFonts w:ascii="Times New Roman" w:hAnsi="Times New Roman" w:cs="Times New Roman"/>
          <w:sz w:val="24"/>
          <w:lang w:val="en-US"/>
        </w:rPr>
      </w:pPr>
      <w:r>
        <w:rPr>
          <w:rFonts w:ascii="Times New Roman" w:hAnsi="Times New Roman" w:cs="Times New Roman"/>
          <w:b/>
          <w:i/>
          <w:sz w:val="24"/>
          <w:lang w:val="en-US"/>
        </w:rPr>
        <w:t>Procedural c</w:t>
      </w:r>
      <w:r w:rsidRPr="00EF20BD">
        <w:rPr>
          <w:rFonts w:ascii="Times New Roman" w:hAnsi="Times New Roman" w:cs="Times New Roman"/>
          <w:b/>
          <w:i/>
          <w:sz w:val="24"/>
          <w:lang w:val="en-US"/>
        </w:rPr>
        <w:t>haracteristics</w:t>
      </w:r>
    </w:p>
    <w:p w:rsidR="00EF20BD" w:rsidRDefault="00EF20BD">
      <w:pPr>
        <w:rPr>
          <w:rFonts w:ascii="Times New Roman" w:hAnsi="Times New Roman" w:cs="Times New Roman"/>
          <w:i/>
          <w:sz w:val="24"/>
          <w:lang w:val="en-US"/>
        </w:rPr>
      </w:pPr>
      <w:r>
        <w:rPr>
          <w:rFonts w:ascii="Times New Roman" w:hAnsi="Times New Roman" w:cs="Times New Roman"/>
          <w:i/>
          <w:sz w:val="24"/>
          <w:lang w:val="en-US"/>
        </w:rPr>
        <w:t xml:space="preserve">Table A1 </w:t>
      </w:r>
      <w:r>
        <w:rPr>
          <w:rFonts w:ascii="Times New Roman" w:hAnsi="Times New Roman" w:cs="Times New Roman"/>
          <w:i/>
          <w:sz w:val="24"/>
          <w:lang w:val="en-US"/>
        </w:rPr>
        <w:tab/>
        <w:t>Procedural characteristics and governmental responses</w:t>
      </w:r>
    </w:p>
    <w:tbl>
      <w:tblPr>
        <w:tblStyle w:val="PlainTable3"/>
        <w:tblW w:w="0" w:type="auto"/>
        <w:tblLook w:val="04A0"/>
      </w:tblPr>
      <w:tblGrid>
        <w:gridCol w:w="2172"/>
        <w:gridCol w:w="1228"/>
        <w:gridCol w:w="1616"/>
        <w:gridCol w:w="1616"/>
      </w:tblGrid>
      <w:tr w:rsidR="00D30985" w:rsidTr="00B4284F">
        <w:trPr>
          <w:cnfStyle w:val="100000000000"/>
        </w:trPr>
        <w:tc>
          <w:tcPr>
            <w:cnfStyle w:val="001000000100"/>
            <w:tcW w:w="2172" w:type="dxa"/>
          </w:tcPr>
          <w:p w:rsidR="00D30985" w:rsidRPr="00EF20BD" w:rsidRDefault="00D30985">
            <w:pPr>
              <w:rPr>
                <w:rFonts w:ascii="Times New Roman" w:hAnsi="Times New Roman" w:cs="Times New Roman"/>
                <w:b w:val="0"/>
                <w:sz w:val="20"/>
                <w:szCs w:val="20"/>
                <w:lang w:val="en-US"/>
              </w:rPr>
            </w:pPr>
          </w:p>
        </w:tc>
        <w:tc>
          <w:tcPr>
            <w:tcW w:w="1228" w:type="dxa"/>
          </w:tcPr>
          <w:p w:rsidR="00D30985" w:rsidRPr="00EF20BD" w:rsidRDefault="00D30985">
            <w:pPr>
              <w:cnfStyle w:val="100000000000"/>
              <w:rPr>
                <w:rFonts w:ascii="Times New Roman" w:hAnsi="Times New Roman" w:cs="Times New Roman"/>
                <w:b w:val="0"/>
                <w:sz w:val="20"/>
                <w:szCs w:val="20"/>
                <w:lang w:val="en-US"/>
              </w:rPr>
            </w:pPr>
            <w:r>
              <w:rPr>
                <w:rFonts w:ascii="Times New Roman" w:hAnsi="Times New Roman" w:cs="Times New Roman"/>
                <w:b w:val="0"/>
                <w:sz w:val="20"/>
                <w:szCs w:val="20"/>
                <w:lang w:val="en-US"/>
              </w:rPr>
              <w:t>required</w:t>
            </w:r>
          </w:p>
        </w:tc>
        <w:tc>
          <w:tcPr>
            <w:tcW w:w="1616" w:type="dxa"/>
          </w:tcPr>
          <w:p w:rsidR="00D30985" w:rsidRPr="00EF20BD" w:rsidRDefault="00D30985">
            <w:pPr>
              <w:cnfStyle w:val="100000000000"/>
              <w:rPr>
                <w:rFonts w:ascii="Times New Roman" w:hAnsi="Times New Roman" w:cs="Times New Roman"/>
                <w:b w:val="0"/>
                <w:sz w:val="20"/>
                <w:szCs w:val="20"/>
                <w:lang w:val="en-US"/>
              </w:rPr>
            </w:pPr>
            <w:r>
              <w:rPr>
                <w:rFonts w:ascii="Times New Roman" w:hAnsi="Times New Roman" w:cs="Times New Roman"/>
                <w:b w:val="0"/>
                <w:sz w:val="20"/>
                <w:szCs w:val="20"/>
                <w:lang w:val="en-US"/>
              </w:rPr>
              <w:t>government initiative</w:t>
            </w:r>
          </w:p>
        </w:tc>
        <w:tc>
          <w:tcPr>
            <w:tcW w:w="1616" w:type="dxa"/>
          </w:tcPr>
          <w:p w:rsidR="00D30985" w:rsidRPr="00EF20BD" w:rsidRDefault="00D30985" w:rsidP="00D30985">
            <w:pPr>
              <w:cnfStyle w:val="100000000000"/>
              <w:rPr>
                <w:rFonts w:ascii="Times New Roman" w:hAnsi="Times New Roman" w:cs="Times New Roman"/>
                <w:b w:val="0"/>
                <w:sz w:val="20"/>
                <w:szCs w:val="20"/>
                <w:lang w:val="en-US"/>
              </w:rPr>
            </w:pPr>
            <w:r>
              <w:rPr>
                <w:rFonts w:ascii="Times New Roman" w:hAnsi="Times New Roman" w:cs="Times New Roman"/>
                <w:b w:val="0"/>
                <w:sz w:val="20"/>
                <w:szCs w:val="20"/>
                <w:lang w:val="en-US"/>
              </w:rPr>
              <w:t xml:space="preserve">non-government initiative </w:t>
            </w:r>
          </w:p>
        </w:tc>
      </w:tr>
      <w:tr w:rsidR="00D30985" w:rsidTr="00B4284F">
        <w:trPr>
          <w:cnfStyle w:val="000000100000"/>
        </w:trPr>
        <w:tc>
          <w:tcPr>
            <w:cnfStyle w:val="001000000000"/>
            <w:tcW w:w="2172" w:type="dxa"/>
          </w:tcPr>
          <w:p w:rsidR="00D30985" w:rsidRPr="00EF20BD" w:rsidRDefault="00D30985">
            <w:pPr>
              <w:rPr>
                <w:rFonts w:ascii="Times New Roman" w:hAnsi="Times New Roman" w:cs="Times New Roman"/>
                <w:b w:val="0"/>
                <w:sz w:val="20"/>
                <w:szCs w:val="20"/>
                <w:lang w:val="en-US"/>
              </w:rPr>
            </w:pPr>
            <w:r>
              <w:rPr>
                <w:rFonts w:ascii="Times New Roman" w:hAnsi="Times New Roman" w:cs="Times New Roman"/>
                <w:b w:val="0"/>
                <w:sz w:val="20"/>
                <w:szCs w:val="20"/>
                <w:lang w:val="en-US"/>
              </w:rPr>
              <w:t>Acquiescence</w:t>
            </w:r>
          </w:p>
        </w:tc>
        <w:tc>
          <w:tcPr>
            <w:tcW w:w="1228" w:type="dxa"/>
          </w:tcPr>
          <w:p w:rsidR="00D30985" w:rsidRPr="00EF20BD" w:rsidRDefault="00D30985"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6" w:type="dxa"/>
          </w:tcPr>
          <w:p w:rsidR="00D30985" w:rsidRPr="00EF20BD" w:rsidRDefault="00D30985"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6" w:type="dxa"/>
          </w:tcPr>
          <w:p w:rsidR="00D30985" w:rsidRPr="00EF20BD" w:rsidRDefault="00510280"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D30985" w:rsidTr="00B4284F">
        <w:tc>
          <w:tcPr>
            <w:cnfStyle w:val="001000000000"/>
            <w:tcW w:w="2172" w:type="dxa"/>
          </w:tcPr>
          <w:p w:rsidR="00D30985" w:rsidRPr="00EF20BD" w:rsidRDefault="00D30985" w:rsidP="00D30985">
            <w:pPr>
              <w:rPr>
                <w:rFonts w:ascii="Times New Roman" w:hAnsi="Times New Roman" w:cs="Times New Roman"/>
                <w:b w:val="0"/>
                <w:sz w:val="20"/>
                <w:szCs w:val="20"/>
                <w:lang w:val="en-US"/>
              </w:rPr>
            </w:pPr>
            <w:r>
              <w:rPr>
                <w:rFonts w:ascii="Times New Roman" w:hAnsi="Times New Roman" w:cs="Times New Roman"/>
                <w:b w:val="0"/>
                <w:sz w:val="20"/>
                <w:szCs w:val="20"/>
                <w:lang w:val="en-US"/>
              </w:rPr>
              <w:t xml:space="preserve">Substitution </w:t>
            </w:r>
          </w:p>
        </w:tc>
        <w:tc>
          <w:tcPr>
            <w:tcW w:w="1228" w:type="dxa"/>
          </w:tcPr>
          <w:p w:rsidR="00D30985" w:rsidRPr="00EF20BD" w:rsidRDefault="00D30985" w:rsidP="00EF20BD">
            <w:pPr>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6" w:type="dxa"/>
          </w:tcPr>
          <w:p w:rsidR="00D30985" w:rsidRPr="00EF20BD" w:rsidRDefault="00D30985" w:rsidP="00EF20BD">
            <w:pPr>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6" w:type="dxa"/>
          </w:tcPr>
          <w:p w:rsidR="00D30985" w:rsidRPr="00EF20BD" w:rsidRDefault="00D30985" w:rsidP="00EF20BD">
            <w:pPr>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D30985" w:rsidTr="00B4284F">
        <w:trPr>
          <w:cnfStyle w:val="000000100000"/>
        </w:trPr>
        <w:tc>
          <w:tcPr>
            <w:cnfStyle w:val="001000000000"/>
            <w:tcW w:w="2172" w:type="dxa"/>
          </w:tcPr>
          <w:p w:rsidR="00D30985" w:rsidRPr="00EF20BD" w:rsidRDefault="00D30985">
            <w:pPr>
              <w:rPr>
                <w:rFonts w:ascii="Times New Roman" w:hAnsi="Times New Roman" w:cs="Times New Roman"/>
                <w:b w:val="0"/>
                <w:sz w:val="20"/>
                <w:szCs w:val="20"/>
                <w:lang w:val="en-US"/>
              </w:rPr>
            </w:pPr>
            <w:r>
              <w:rPr>
                <w:rFonts w:ascii="Times New Roman" w:hAnsi="Times New Roman" w:cs="Times New Roman"/>
                <w:b w:val="0"/>
                <w:sz w:val="20"/>
                <w:szCs w:val="20"/>
                <w:lang w:val="en-US"/>
              </w:rPr>
              <w:t>revision</w:t>
            </w:r>
          </w:p>
        </w:tc>
        <w:tc>
          <w:tcPr>
            <w:tcW w:w="1228" w:type="dxa"/>
          </w:tcPr>
          <w:p w:rsidR="00D30985" w:rsidRPr="00EF20BD" w:rsidRDefault="00D30985"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6" w:type="dxa"/>
          </w:tcPr>
          <w:p w:rsidR="00D30985" w:rsidRPr="00EF20BD" w:rsidRDefault="00D30985"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616" w:type="dxa"/>
          </w:tcPr>
          <w:p w:rsidR="00D30985" w:rsidRPr="00EF20BD" w:rsidRDefault="00D30985"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D30985" w:rsidTr="00B4284F">
        <w:tc>
          <w:tcPr>
            <w:cnfStyle w:val="001000000000"/>
            <w:tcW w:w="2172" w:type="dxa"/>
          </w:tcPr>
          <w:p w:rsidR="00D30985" w:rsidRDefault="00D30985">
            <w:pPr>
              <w:rPr>
                <w:rFonts w:ascii="Times New Roman" w:hAnsi="Times New Roman" w:cs="Times New Roman"/>
                <w:b w:val="0"/>
                <w:sz w:val="20"/>
                <w:szCs w:val="20"/>
                <w:lang w:val="en-US"/>
              </w:rPr>
            </w:pPr>
            <w:r>
              <w:rPr>
                <w:rFonts w:ascii="Times New Roman" w:hAnsi="Times New Roman" w:cs="Times New Roman"/>
                <w:b w:val="0"/>
                <w:sz w:val="20"/>
                <w:szCs w:val="20"/>
                <w:lang w:val="en-US"/>
              </w:rPr>
              <w:t>differentiation</w:t>
            </w:r>
          </w:p>
        </w:tc>
        <w:tc>
          <w:tcPr>
            <w:tcW w:w="1228" w:type="dxa"/>
          </w:tcPr>
          <w:p w:rsidR="00D30985" w:rsidRDefault="00D30985" w:rsidP="00EF20BD">
            <w:pPr>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6" w:type="dxa"/>
          </w:tcPr>
          <w:p w:rsidR="00D30985" w:rsidRDefault="00D30985" w:rsidP="00EF20BD">
            <w:pPr>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616" w:type="dxa"/>
          </w:tcPr>
          <w:p w:rsidR="00D30985" w:rsidRDefault="00D30985" w:rsidP="00EF20BD">
            <w:pPr>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D30985" w:rsidTr="00B4284F">
        <w:trPr>
          <w:cnfStyle w:val="000000100000"/>
        </w:trPr>
        <w:tc>
          <w:tcPr>
            <w:cnfStyle w:val="001000000000"/>
            <w:tcW w:w="2172" w:type="dxa"/>
          </w:tcPr>
          <w:p w:rsidR="00D30985" w:rsidRDefault="00D30985">
            <w:pPr>
              <w:rPr>
                <w:rFonts w:ascii="Times New Roman" w:hAnsi="Times New Roman" w:cs="Times New Roman"/>
                <w:b w:val="0"/>
                <w:sz w:val="20"/>
                <w:szCs w:val="20"/>
                <w:lang w:val="en-US"/>
              </w:rPr>
            </w:pPr>
            <w:r>
              <w:rPr>
                <w:rFonts w:ascii="Times New Roman" w:hAnsi="Times New Roman" w:cs="Times New Roman"/>
                <w:b w:val="0"/>
                <w:sz w:val="20"/>
                <w:szCs w:val="20"/>
                <w:lang w:val="en-US"/>
              </w:rPr>
              <w:t>reinterpretation</w:t>
            </w:r>
          </w:p>
        </w:tc>
        <w:tc>
          <w:tcPr>
            <w:tcW w:w="1228" w:type="dxa"/>
          </w:tcPr>
          <w:p w:rsidR="00D30985" w:rsidRDefault="00D30985"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6" w:type="dxa"/>
          </w:tcPr>
          <w:p w:rsidR="00D30985" w:rsidRDefault="00D30985"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616" w:type="dxa"/>
          </w:tcPr>
          <w:p w:rsidR="00D30985" w:rsidRDefault="00D30985"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D30985" w:rsidTr="00B4284F">
        <w:tc>
          <w:tcPr>
            <w:cnfStyle w:val="001000000000"/>
            <w:tcW w:w="2172" w:type="dxa"/>
          </w:tcPr>
          <w:p w:rsidR="00D30985" w:rsidRDefault="00D30985">
            <w:pPr>
              <w:rPr>
                <w:rFonts w:ascii="Times New Roman" w:hAnsi="Times New Roman" w:cs="Times New Roman"/>
                <w:b w:val="0"/>
                <w:sz w:val="20"/>
                <w:szCs w:val="20"/>
                <w:lang w:val="en-US"/>
              </w:rPr>
            </w:pPr>
            <w:r>
              <w:rPr>
                <w:rFonts w:ascii="Times New Roman" w:hAnsi="Times New Roman" w:cs="Times New Roman"/>
                <w:b w:val="0"/>
                <w:sz w:val="20"/>
                <w:szCs w:val="20"/>
                <w:lang w:val="en-US"/>
              </w:rPr>
              <w:t>dilution</w:t>
            </w:r>
          </w:p>
        </w:tc>
        <w:tc>
          <w:tcPr>
            <w:tcW w:w="1228" w:type="dxa"/>
          </w:tcPr>
          <w:p w:rsidR="00D30985" w:rsidRDefault="00D30985" w:rsidP="00EF20BD">
            <w:pPr>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616" w:type="dxa"/>
          </w:tcPr>
          <w:p w:rsidR="00D30985" w:rsidRDefault="00510280" w:rsidP="00EF20BD">
            <w:pPr>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6" w:type="dxa"/>
          </w:tcPr>
          <w:p w:rsidR="00D30985" w:rsidRDefault="00D30985" w:rsidP="00EF20BD">
            <w:pPr>
              <w:jc w:val="center"/>
              <w:cnfStyle w:val="000000000000"/>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10280" w:rsidTr="00B4284F">
        <w:trPr>
          <w:cnfStyle w:val="000000100000"/>
        </w:trPr>
        <w:tc>
          <w:tcPr>
            <w:cnfStyle w:val="001000000000"/>
            <w:tcW w:w="2172" w:type="dxa"/>
          </w:tcPr>
          <w:p w:rsidR="00510280" w:rsidRPr="00510280" w:rsidRDefault="00510280">
            <w:pPr>
              <w:rPr>
                <w:rFonts w:ascii="Times New Roman" w:hAnsi="Times New Roman" w:cs="Times New Roman"/>
                <w:b w:val="0"/>
                <w:sz w:val="20"/>
                <w:szCs w:val="20"/>
                <w:lang w:val="en-US"/>
              </w:rPr>
            </w:pPr>
            <w:r>
              <w:rPr>
                <w:rFonts w:ascii="Times New Roman" w:hAnsi="Times New Roman" w:cs="Times New Roman"/>
                <w:b w:val="0"/>
                <w:sz w:val="20"/>
                <w:szCs w:val="20"/>
                <w:lang w:val="en-US"/>
              </w:rPr>
              <w:t>DISREGARD</w:t>
            </w:r>
          </w:p>
        </w:tc>
        <w:tc>
          <w:tcPr>
            <w:tcW w:w="1228" w:type="dxa"/>
          </w:tcPr>
          <w:p w:rsidR="00510280" w:rsidRDefault="00510280"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616" w:type="dxa"/>
          </w:tcPr>
          <w:p w:rsidR="00510280" w:rsidRDefault="00510280"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6" w:type="dxa"/>
          </w:tcPr>
          <w:p w:rsidR="00510280" w:rsidRDefault="00510280" w:rsidP="00EF20BD">
            <w:pPr>
              <w:jc w:val="center"/>
              <w:cnfStyle w:val="000000100000"/>
              <w:rPr>
                <w:rFonts w:ascii="Times New Roman" w:hAnsi="Times New Roman" w:cs="Times New Roman"/>
                <w:sz w:val="20"/>
                <w:szCs w:val="20"/>
                <w:lang w:val="en-US"/>
              </w:rPr>
            </w:pPr>
            <w:r>
              <w:rPr>
                <w:rFonts w:ascii="Times New Roman" w:hAnsi="Times New Roman" w:cs="Times New Roman"/>
                <w:sz w:val="20"/>
                <w:szCs w:val="20"/>
                <w:lang w:val="en-US"/>
              </w:rPr>
              <w:t>0</w:t>
            </w:r>
          </w:p>
        </w:tc>
      </w:tr>
    </w:tbl>
    <w:p w:rsidR="00EF20BD" w:rsidRDefault="00EF20BD">
      <w:pPr>
        <w:rPr>
          <w:rFonts w:ascii="Times New Roman" w:hAnsi="Times New Roman" w:cs="Times New Roman"/>
          <w:sz w:val="24"/>
          <w:lang w:val="en-US"/>
        </w:rPr>
      </w:pPr>
    </w:p>
    <w:p w:rsidR="00EF20BD" w:rsidRDefault="00EF20BD">
      <w:pPr>
        <w:rPr>
          <w:rFonts w:ascii="Times New Roman" w:hAnsi="Times New Roman" w:cs="Times New Roman"/>
          <w:i/>
          <w:sz w:val="24"/>
          <w:lang w:val="en-US"/>
        </w:rPr>
      </w:pPr>
    </w:p>
    <w:p w:rsidR="00EF20BD" w:rsidRDefault="006D78A8">
      <w:pPr>
        <w:rPr>
          <w:rFonts w:ascii="Times New Roman" w:hAnsi="Times New Roman" w:cs="Times New Roman"/>
          <w:b/>
          <w:i/>
          <w:sz w:val="24"/>
          <w:lang w:val="en-US"/>
        </w:rPr>
      </w:pPr>
      <w:r>
        <w:rPr>
          <w:rFonts w:ascii="Times New Roman" w:hAnsi="Times New Roman" w:cs="Times New Roman"/>
          <w:b/>
          <w:i/>
          <w:sz w:val="24"/>
          <w:lang w:val="en-US"/>
        </w:rPr>
        <w:t>Referendum votes</w:t>
      </w:r>
    </w:p>
    <w:p w:rsidR="006D78A8" w:rsidRDefault="00C17E73">
      <w:pPr>
        <w:rPr>
          <w:rFonts w:ascii="Times New Roman" w:hAnsi="Times New Roman" w:cs="Times New Roman"/>
          <w:i/>
          <w:sz w:val="24"/>
          <w:lang w:val="en-US"/>
        </w:rPr>
      </w:pPr>
      <w:r>
        <w:rPr>
          <w:rFonts w:ascii="Times New Roman" w:hAnsi="Times New Roman" w:cs="Times New Roman"/>
          <w:i/>
          <w:sz w:val="24"/>
          <w:lang w:val="en-US"/>
        </w:rPr>
        <w:t>Figure A1</w:t>
      </w:r>
      <w:r>
        <w:rPr>
          <w:rFonts w:ascii="Times New Roman" w:hAnsi="Times New Roman" w:cs="Times New Roman"/>
          <w:i/>
          <w:sz w:val="24"/>
          <w:lang w:val="en-US"/>
        </w:rPr>
        <w:tab/>
        <w:t xml:space="preserve">Pro EU-votes and </w:t>
      </w:r>
      <w:r w:rsidR="006D78A8">
        <w:rPr>
          <w:rFonts w:ascii="Times New Roman" w:hAnsi="Times New Roman" w:cs="Times New Roman"/>
          <w:i/>
          <w:sz w:val="24"/>
          <w:lang w:val="en-US"/>
        </w:rPr>
        <w:t>governmental responses</w:t>
      </w:r>
    </w:p>
    <w:p w:rsidR="006D78A8" w:rsidRDefault="00E744A5">
      <w:pPr>
        <w:rPr>
          <w:rFonts w:ascii="Times New Roman" w:hAnsi="Times New Roman" w:cs="Times New Roman"/>
          <w:i/>
          <w:sz w:val="24"/>
          <w:lang w:val="en-US"/>
        </w:rPr>
      </w:pPr>
      <w:r w:rsidRPr="00E744A5">
        <w:rPr>
          <w:rFonts w:ascii="Times New Roman" w:hAnsi="Times New Roman" w:cs="Times New Roman"/>
          <w:i/>
          <w:noProof/>
          <w:sz w:val="24"/>
          <w:lang w:val="en-NZ" w:eastAsia="en-NZ"/>
        </w:rPr>
        <w:drawing>
          <wp:inline distT="0" distB="0" distL="0" distR="0">
            <wp:extent cx="3975440" cy="238526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995656" cy="2397393"/>
                    </a:xfrm>
                    <a:prstGeom prst="rect">
                      <a:avLst/>
                    </a:prstGeom>
                    <a:noFill/>
                    <a:ln>
                      <a:noFill/>
                    </a:ln>
                  </pic:spPr>
                </pic:pic>
              </a:graphicData>
            </a:graphic>
          </wp:inline>
        </w:drawing>
      </w:r>
    </w:p>
    <w:p w:rsidR="006D78A8" w:rsidRDefault="00510280">
      <w:pPr>
        <w:rPr>
          <w:rFonts w:ascii="Times New Roman" w:hAnsi="Times New Roman" w:cs="Times New Roman"/>
          <w:sz w:val="24"/>
          <w:lang w:val="en-US"/>
        </w:rPr>
      </w:pPr>
      <w:r>
        <w:rPr>
          <w:rFonts w:ascii="Times New Roman" w:hAnsi="Times New Roman" w:cs="Times New Roman"/>
          <w:sz w:val="24"/>
          <w:lang w:val="en-US"/>
        </w:rPr>
        <w:t xml:space="preserve">Note: </w:t>
      </w:r>
      <w:r w:rsidR="00B4284F">
        <w:rPr>
          <w:rFonts w:ascii="Times New Roman" w:hAnsi="Times New Roman" w:cs="Times New Roman"/>
          <w:sz w:val="24"/>
          <w:lang w:val="en-US"/>
        </w:rPr>
        <w:t>Average percentage of pro-EU</w:t>
      </w:r>
      <w:r w:rsidR="00E43679">
        <w:rPr>
          <w:rFonts w:ascii="Times New Roman" w:hAnsi="Times New Roman" w:cs="Times New Roman"/>
          <w:sz w:val="24"/>
          <w:lang w:val="en-US"/>
        </w:rPr>
        <w:t xml:space="preserve"> vo</w:t>
      </w:r>
      <w:r w:rsidR="00B4284F">
        <w:rPr>
          <w:rFonts w:ascii="Times New Roman" w:hAnsi="Times New Roman" w:cs="Times New Roman"/>
          <w:sz w:val="24"/>
          <w:lang w:val="en-US"/>
        </w:rPr>
        <w:t xml:space="preserve">tes across response </w:t>
      </w:r>
      <w:r w:rsidR="00E43679">
        <w:rPr>
          <w:rFonts w:ascii="Times New Roman" w:hAnsi="Times New Roman" w:cs="Times New Roman"/>
          <w:sz w:val="24"/>
          <w:lang w:val="en-US"/>
        </w:rPr>
        <w:t>types.</w:t>
      </w:r>
    </w:p>
    <w:p w:rsidR="00E43679" w:rsidRPr="00E43679" w:rsidRDefault="00E43679">
      <w:pPr>
        <w:rPr>
          <w:rFonts w:ascii="Times New Roman" w:hAnsi="Times New Roman" w:cs="Times New Roman"/>
          <w:sz w:val="24"/>
          <w:lang w:val="en-US"/>
        </w:rPr>
      </w:pPr>
    </w:p>
    <w:p w:rsidR="00E43679" w:rsidRDefault="00E43679">
      <w:pPr>
        <w:rPr>
          <w:rFonts w:ascii="Times New Roman" w:hAnsi="Times New Roman" w:cs="Times New Roman"/>
          <w:b/>
          <w:i/>
          <w:sz w:val="24"/>
          <w:lang w:val="en-US"/>
        </w:rPr>
      </w:pPr>
      <w:r>
        <w:rPr>
          <w:rFonts w:ascii="Times New Roman" w:hAnsi="Times New Roman" w:cs="Times New Roman"/>
          <w:b/>
          <w:i/>
          <w:sz w:val="24"/>
          <w:lang w:val="en-US"/>
        </w:rPr>
        <w:br w:type="page"/>
      </w:r>
    </w:p>
    <w:p w:rsidR="006D78A8" w:rsidRDefault="006D78A8">
      <w:pPr>
        <w:rPr>
          <w:rFonts w:ascii="Times New Roman" w:hAnsi="Times New Roman" w:cs="Times New Roman"/>
          <w:b/>
          <w:i/>
          <w:sz w:val="24"/>
          <w:lang w:val="en-US"/>
        </w:rPr>
      </w:pPr>
      <w:r>
        <w:rPr>
          <w:rFonts w:ascii="Times New Roman" w:hAnsi="Times New Roman" w:cs="Times New Roman"/>
          <w:b/>
          <w:i/>
          <w:sz w:val="24"/>
          <w:lang w:val="en-US"/>
        </w:rPr>
        <w:lastRenderedPageBreak/>
        <w:t>Government-level Euroscepticism</w:t>
      </w:r>
    </w:p>
    <w:p w:rsidR="00E43679" w:rsidRDefault="00C17E73">
      <w:pPr>
        <w:rPr>
          <w:rFonts w:ascii="Times New Roman" w:hAnsi="Times New Roman" w:cs="Times New Roman"/>
          <w:i/>
          <w:sz w:val="24"/>
          <w:lang w:val="en-US"/>
        </w:rPr>
      </w:pPr>
      <w:r>
        <w:rPr>
          <w:rFonts w:ascii="Times New Roman" w:hAnsi="Times New Roman" w:cs="Times New Roman"/>
          <w:i/>
          <w:sz w:val="24"/>
          <w:lang w:val="en-US"/>
        </w:rPr>
        <w:t>Figure 2</w:t>
      </w:r>
      <w:r>
        <w:rPr>
          <w:rFonts w:ascii="Times New Roman" w:hAnsi="Times New Roman" w:cs="Times New Roman"/>
          <w:i/>
          <w:sz w:val="24"/>
          <w:lang w:val="en-US"/>
        </w:rPr>
        <w:tab/>
      </w:r>
      <w:r w:rsidR="00E43679">
        <w:rPr>
          <w:rFonts w:ascii="Times New Roman" w:hAnsi="Times New Roman" w:cs="Times New Roman"/>
          <w:i/>
          <w:sz w:val="24"/>
          <w:lang w:val="en-US"/>
        </w:rPr>
        <w:t>P</w:t>
      </w:r>
      <w:r>
        <w:rPr>
          <w:rFonts w:ascii="Times New Roman" w:hAnsi="Times New Roman" w:cs="Times New Roman"/>
          <w:i/>
          <w:sz w:val="24"/>
          <w:lang w:val="en-US"/>
        </w:rPr>
        <w:t xml:space="preserve">ositions of government parties and </w:t>
      </w:r>
      <w:r w:rsidR="00E43679">
        <w:rPr>
          <w:rFonts w:ascii="Times New Roman" w:hAnsi="Times New Roman" w:cs="Times New Roman"/>
          <w:i/>
          <w:sz w:val="24"/>
          <w:lang w:val="en-US"/>
        </w:rPr>
        <w:t>governmental responses</w:t>
      </w:r>
    </w:p>
    <w:p w:rsidR="006D78A8" w:rsidRDefault="00E744A5">
      <w:pPr>
        <w:rPr>
          <w:rFonts w:ascii="Times New Roman" w:hAnsi="Times New Roman" w:cs="Times New Roman"/>
          <w:i/>
          <w:sz w:val="24"/>
          <w:lang w:val="en-US"/>
        </w:rPr>
      </w:pPr>
      <w:r w:rsidRPr="00E744A5">
        <w:rPr>
          <w:rFonts w:ascii="Times New Roman" w:hAnsi="Times New Roman" w:cs="Times New Roman"/>
          <w:i/>
          <w:noProof/>
          <w:sz w:val="24"/>
          <w:lang w:val="en-NZ" w:eastAsia="en-NZ"/>
        </w:rPr>
        <w:drawing>
          <wp:inline distT="0" distB="0" distL="0" distR="0">
            <wp:extent cx="4073237" cy="244394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088983" cy="2453390"/>
                    </a:xfrm>
                    <a:prstGeom prst="rect">
                      <a:avLst/>
                    </a:prstGeom>
                    <a:noFill/>
                    <a:ln>
                      <a:noFill/>
                    </a:ln>
                  </pic:spPr>
                </pic:pic>
              </a:graphicData>
            </a:graphic>
          </wp:inline>
        </w:drawing>
      </w:r>
    </w:p>
    <w:p w:rsidR="00E43679" w:rsidRDefault="00E12CC7">
      <w:pPr>
        <w:rPr>
          <w:rFonts w:ascii="Times New Roman" w:hAnsi="Times New Roman" w:cs="Times New Roman"/>
          <w:sz w:val="24"/>
          <w:lang w:val="en-US"/>
        </w:rPr>
      </w:pPr>
      <w:r>
        <w:rPr>
          <w:rFonts w:ascii="Times New Roman" w:hAnsi="Times New Roman" w:cs="Times New Roman"/>
          <w:sz w:val="24"/>
          <w:lang w:val="en-US"/>
        </w:rPr>
        <w:t>Note: Based on 12</w:t>
      </w:r>
      <w:r w:rsidR="00E43679">
        <w:rPr>
          <w:rFonts w:ascii="Times New Roman" w:hAnsi="Times New Roman" w:cs="Times New Roman"/>
          <w:sz w:val="24"/>
          <w:lang w:val="en-US"/>
        </w:rPr>
        <w:t xml:space="preserve"> negative EU refere</w:t>
      </w:r>
      <w:r>
        <w:rPr>
          <w:rFonts w:ascii="Times New Roman" w:hAnsi="Times New Roman" w:cs="Times New Roman"/>
          <w:sz w:val="24"/>
          <w:lang w:val="en-US"/>
        </w:rPr>
        <w:t xml:space="preserve">ndums (without Norway and Switzerland before 2014 </w:t>
      </w:r>
      <w:r w:rsidR="00E43679">
        <w:rPr>
          <w:rFonts w:ascii="Times New Roman" w:hAnsi="Times New Roman" w:cs="Times New Roman"/>
          <w:sz w:val="24"/>
          <w:lang w:val="en-US"/>
        </w:rPr>
        <w:t>for lack of data). Average EU positions of parties in government, weighted by their share of seats in the parliament. Lower values indicate higher Euroscepticism. Scores from Chapel Hill expert survey from the survey year closest to the referendum re</w:t>
      </w:r>
      <w:r w:rsidR="00FE7C13">
        <w:rPr>
          <w:rFonts w:ascii="Times New Roman" w:hAnsi="Times New Roman" w:cs="Times New Roman"/>
          <w:sz w:val="24"/>
          <w:lang w:val="en-US"/>
        </w:rPr>
        <w:t>s</w:t>
      </w:r>
      <w:r w:rsidR="00E43679">
        <w:rPr>
          <w:rFonts w:ascii="Times New Roman" w:hAnsi="Times New Roman" w:cs="Times New Roman"/>
          <w:sz w:val="24"/>
          <w:lang w:val="en-US"/>
        </w:rPr>
        <w:t>ponse</w:t>
      </w:r>
      <w:r w:rsidR="002B607C">
        <w:rPr>
          <w:rFonts w:ascii="Times New Roman" w:hAnsi="Times New Roman" w:cs="Times New Roman"/>
          <w:sz w:val="24"/>
          <w:lang w:val="en-US"/>
        </w:rPr>
        <w:t xml:space="preserve"> (Bakker et al. 2015; Ray 1999)</w:t>
      </w:r>
      <w:r w:rsidR="00E43679">
        <w:rPr>
          <w:rFonts w:ascii="Times New Roman" w:hAnsi="Times New Roman" w:cs="Times New Roman"/>
          <w:sz w:val="24"/>
          <w:lang w:val="en-US"/>
        </w:rPr>
        <w:t>.</w:t>
      </w:r>
    </w:p>
    <w:p w:rsidR="002B607C" w:rsidRDefault="002B607C">
      <w:pPr>
        <w:rPr>
          <w:rFonts w:ascii="Times New Roman" w:hAnsi="Times New Roman" w:cs="Times New Roman"/>
          <w:sz w:val="24"/>
          <w:lang w:val="en-US"/>
        </w:rPr>
      </w:pPr>
    </w:p>
    <w:p w:rsidR="002B607C" w:rsidRPr="002B607C" w:rsidRDefault="002B607C" w:rsidP="002B607C">
      <w:pPr>
        <w:rPr>
          <w:rFonts w:ascii="Times New Roman" w:hAnsi="Times New Roman" w:cs="Times New Roman"/>
          <w:b/>
          <w:sz w:val="24"/>
          <w:lang w:val="en-US"/>
        </w:rPr>
      </w:pPr>
      <w:r w:rsidRPr="002B607C">
        <w:rPr>
          <w:rFonts w:ascii="Times New Roman" w:hAnsi="Times New Roman" w:cs="Times New Roman"/>
          <w:b/>
          <w:sz w:val="24"/>
          <w:lang w:val="en-US"/>
        </w:rPr>
        <w:t>References</w:t>
      </w:r>
    </w:p>
    <w:p w:rsidR="002B607C" w:rsidRDefault="002B607C" w:rsidP="002B607C">
      <w:pPr>
        <w:rPr>
          <w:rFonts w:ascii="Times New Roman" w:hAnsi="Times New Roman" w:cs="Times New Roman"/>
          <w:sz w:val="24"/>
          <w:szCs w:val="24"/>
          <w:lang w:val="en-GB"/>
        </w:rPr>
      </w:pPr>
      <w:r w:rsidRPr="00DC10E8">
        <w:rPr>
          <w:rFonts w:ascii="Times New Roman" w:hAnsi="Times New Roman" w:cs="Times New Roman"/>
          <w:sz w:val="24"/>
          <w:szCs w:val="24"/>
          <w:lang w:val="fr-CH"/>
        </w:rPr>
        <w:t xml:space="preserve">Bakker, R. et al. </w:t>
      </w:r>
      <w:r>
        <w:rPr>
          <w:rFonts w:ascii="Times New Roman" w:hAnsi="Times New Roman" w:cs="Times New Roman"/>
          <w:sz w:val="24"/>
          <w:szCs w:val="24"/>
          <w:lang w:val="en-GB"/>
        </w:rPr>
        <w:t xml:space="preserve">(2015) ‘Measuring party positions in Europe: The Chapel Hill expert survey trend file, 1999-2010’, </w:t>
      </w:r>
      <w:r>
        <w:rPr>
          <w:rFonts w:ascii="Times New Roman" w:hAnsi="Times New Roman" w:cs="Times New Roman"/>
          <w:i/>
          <w:sz w:val="24"/>
          <w:szCs w:val="24"/>
          <w:lang w:val="en-GB"/>
        </w:rPr>
        <w:t>Party Politics</w:t>
      </w:r>
      <w:r>
        <w:rPr>
          <w:rFonts w:ascii="Times New Roman" w:hAnsi="Times New Roman" w:cs="Times New Roman"/>
          <w:sz w:val="24"/>
          <w:szCs w:val="24"/>
          <w:lang w:val="en-GB"/>
        </w:rPr>
        <w:t xml:space="preserve"> 21(1): 143-152.</w:t>
      </w:r>
    </w:p>
    <w:p w:rsidR="002B607C" w:rsidRPr="002035D9" w:rsidRDefault="002B607C" w:rsidP="002B607C">
      <w:pPr>
        <w:rPr>
          <w:rFonts w:ascii="Times New Roman" w:hAnsi="Times New Roman" w:cs="Times New Roman"/>
          <w:sz w:val="24"/>
          <w:szCs w:val="24"/>
          <w:lang w:val="en-GB"/>
        </w:rPr>
      </w:pPr>
      <w:r>
        <w:rPr>
          <w:rFonts w:ascii="Times New Roman" w:hAnsi="Times New Roman" w:cs="Times New Roman"/>
          <w:sz w:val="24"/>
          <w:szCs w:val="24"/>
          <w:lang w:val="en-GB"/>
        </w:rPr>
        <w:t xml:space="preserve">Ray, L. (1999) ‘Measuring party orientations toward European integration: Results from an expert survey’, </w:t>
      </w:r>
      <w:r>
        <w:rPr>
          <w:rFonts w:ascii="Times New Roman" w:hAnsi="Times New Roman" w:cs="Times New Roman"/>
          <w:i/>
          <w:sz w:val="24"/>
          <w:szCs w:val="24"/>
          <w:lang w:val="en-GB"/>
        </w:rPr>
        <w:t>European Journal of Political Research</w:t>
      </w:r>
      <w:r>
        <w:rPr>
          <w:rFonts w:ascii="Times New Roman" w:hAnsi="Times New Roman" w:cs="Times New Roman"/>
          <w:sz w:val="24"/>
          <w:szCs w:val="24"/>
          <w:lang w:val="en-GB"/>
        </w:rPr>
        <w:t xml:space="preserve"> 36(2): 283-306.</w:t>
      </w:r>
    </w:p>
    <w:p w:rsidR="002B607C" w:rsidRPr="002B607C" w:rsidRDefault="002B607C" w:rsidP="002B607C">
      <w:pPr>
        <w:rPr>
          <w:rFonts w:ascii="Times New Roman" w:hAnsi="Times New Roman" w:cs="Times New Roman"/>
          <w:sz w:val="24"/>
          <w:lang w:val="en-US"/>
        </w:rPr>
      </w:pPr>
    </w:p>
    <w:p w:rsidR="002B607C" w:rsidRPr="00E43679" w:rsidRDefault="002B607C">
      <w:pPr>
        <w:rPr>
          <w:rFonts w:ascii="Times New Roman" w:hAnsi="Times New Roman" w:cs="Times New Roman"/>
          <w:sz w:val="24"/>
          <w:lang w:val="en-US"/>
        </w:rPr>
      </w:pPr>
    </w:p>
    <w:sectPr w:rsidR="002B607C" w:rsidRPr="00E43679" w:rsidSect="0023090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compat/>
  <w:rsids>
    <w:rsidRoot w:val="00EF20BD"/>
    <w:rsid w:val="00230900"/>
    <w:rsid w:val="002B607C"/>
    <w:rsid w:val="00346943"/>
    <w:rsid w:val="003A1116"/>
    <w:rsid w:val="0042377B"/>
    <w:rsid w:val="00510280"/>
    <w:rsid w:val="006D78A8"/>
    <w:rsid w:val="007D0197"/>
    <w:rsid w:val="00A75415"/>
    <w:rsid w:val="00B4284F"/>
    <w:rsid w:val="00C14845"/>
    <w:rsid w:val="00C17E73"/>
    <w:rsid w:val="00D30985"/>
    <w:rsid w:val="00D332B7"/>
    <w:rsid w:val="00E12CC7"/>
    <w:rsid w:val="00E43679"/>
    <w:rsid w:val="00E744A5"/>
    <w:rsid w:val="00E762DC"/>
    <w:rsid w:val="00EF20BD"/>
    <w:rsid w:val="00FE7C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20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EF20B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C14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8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637EE-F5DE-4F78-BF5E-0EB73FD8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ETH Zuerich</Company>
  <LinksUpToDate>false</LinksUpToDate>
  <CharactersWithSpaces>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Schimmelfennig  Frank</dc:creator>
  <cp:lastModifiedBy>Jeremy Richardson</cp:lastModifiedBy>
  <cp:revision>2</cp:revision>
  <dcterms:created xsi:type="dcterms:W3CDTF">2019-05-12T06:01:00Z</dcterms:created>
  <dcterms:modified xsi:type="dcterms:W3CDTF">2019-05-12T06:01:00Z</dcterms:modified>
</cp:coreProperties>
</file>