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3D39" w14:textId="68A07E19" w:rsidR="00FA1481" w:rsidRPr="0059516D" w:rsidRDefault="00FA1481" w:rsidP="00E40896">
      <w:pPr>
        <w:jc w:val="center"/>
        <w:rPr>
          <w:rFonts w:cs="Arial"/>
          <w:sz w:val="36"/>
          <w:szCs w:val="36"/>
        </w:rPr>
      </w:pPr>
    </w:p>
    <w:p w14:paraId="2CB29489" w14:textId="6FEA3F72" w:rsidR="00FF3503" w:rsidRPr="006272BD" w:rsidRDefault="00CB7D86" w:rsidP="00FF3503">
      <w:pPr>
        <w:spacing w:before="100" w:beforeAutospacing="1" w:after="100" w:afterAutospacing="1"/>
        <w:jc w:val="center"/>
        <w:rPr>
          <w:rFonts w:ascii="Times New Roman" w:hAnsi="Times New Roman"/>
          <w:sz w:val="24"/>
          <w:szCs w:val="24"/>
        </w:rPr>
      </w:pPr>
      <w:r>
        <w:rPr>
          <w:rFonts w:ascii="Times New Roman" w:hAnsi="Times New Roman"/>
          <w:sz w:val="24"/>
          <w:szCs w:val="24"/>
        </w:rPr>
        <w:t>Supplemental Information</w:t>
      </w:r>
    </w:p>
    <w:p w14:paraId="606619C8" w14:textId="358C667D" w:rsidR="0059516D" w:rsidRPr="006272BD" w:rsidRDefault="00904B5C" w:rsidP="0059516D">
      <w:pPr>
        <w:spacing w:before="100" w:beforeAutospacing="1" w:after="100" w:afterAutospacing="1"/>
        <w:jc w:val="center"/>
        <w:rPr>
          <w:rFonts w:ascii="Times New Roman" w:hAnsi="Times New Roman"/>
          <w:b/>
          <w:sz w:val="24"/>
          <w:szCs w:val="24"/>
        </w:rPr>
      </w:pPr>
      <w:r w:rsidRPr="006272BD">
        <w:rPr>
          <w:rFonts w:ascii="Times New Roman" w:hAnsi="Times New Roman"/>
          <w:b/>
          <w:sz w:val="24"/>
          <w:szCs w:val="24"/>
        </w:rPr>
        <w:t xml:space="preserve">Field evaluation of a </w:t>
      </w:r>
      <w:r w:rsidR="00C6593D">
        <w:rPr>
          <w:rFonts w:ascii="Times New Roman" w:hAnsi="Times New Roman"/>
          <w:b/>
          <w:sz w:val="24"/>
          <w:szCs w:val="24"/>
        </w:rPr>
        <w:t>P</w:t>
      </w:r>
      <w:r w:rsidRPr="006272BD">
        <w:rPr>
          <w:rFonts w:ascii="Times New Roman" w:hAnsi="Times New Roman"/>
          <w:b/>
          <w:sz w:val="24"/>
          <w:szCs w:val="24"/>
        </w:rPr>
        <w:t xml:space="preserve">ortable </w:t>
      </w:r>
      <w:r w:rsidR="00C6593D">
        <w:rPr>
          <w:rFonts w:ascii="Times New Roman" w:hAnsi="Times New Roman"/>
          <w:b/>
          <w:sz w:val="24"/>
          <w:szCs w:val="24"/>
        </w:rPr>
        <w:t>Fine</w:t>
      </w:r>
      <w:r w:rsidRPr="006272BD">
        <w:rPr>
          <w:rFonts w:ascii="Times New Roman" w:hAnsi="Times New Roman"/>
          <w:b/>
          <w:sz w:val="24"/>
          <w:szCs w:val="24"/>
        </w:rPr>
        <w:t xml:space="preserve"> </w:t>
      </w:r>
      <w:r w:rsidR="00C6593D">
        <w:rPr>
          <w:rFonts w:ascii="Times New Roman" w:hAnsi="Times New Roman"/>
          <w:b/>
          <w:sz w:val="24"/>
          <w:szCs w:val="24"/>
        </w:rPr>
        <w:t>P</w:t>
      </w:r>
      <w:r w:rsidRPr="006272BD">
        <w:rPr>
          <w:rFonts w:ascii="Times New Roman" w:hAnsi="Times New Roman"/>
          <w:b/>
          <w:sz w:val="24"/>
          <w:szCs w:val="24"/>
        </w:rPr>
        <w:t xml:space="preserve">article </w:t>
      </w:r>
      <w:r w:rsidR="00C6593D">
        <w:rPr>
          <w:rFonts w:ascii="Times New Roman" w:hAnsi="Times New Roman"/>
          <w:b/>
          <w:sz w:val="24"/>
          <w:szCs w:val="24"/>
        </w:rPr>
        <w:t>C</w:t>
      </w:r>
      <w:r w:rsidRPr="006272BD">
        <w:rPr>
          <w:rFonts w:ascii="Times New Roman" w:hAnsi="Times New Roman"/>
          <w:b/>
          <w:sz w:val="24"/>
          <w:szCs w:val="24"/>
        </w:rPr>
        <w:t>oncentrator (P</w:t>
      </w:r>
      <w:r w:rsidR="00C6593D">
        <w:rPr>
          <w:rFonts w:ascii="Times New Roman" w:hAnsi="Times New Roman"/>
          <w:b/>
          <w:sz w:val="24"/>
          <w:szCs w:val="24"/>
        </w:rPr>
        <w:t>F</w:t>
      </w:r>
      <w:r w:rsidRPr="006272BD">
        <w:rPr>
          <w:rFonts w:ascii="Times New Roman" w:hAnsi="Times New Roman"/>
          <w:b/>
          <w:sz w:val="24"/>
          <w:szCs w:val="24"/>
        </w:rPr>
        <w:t>PC) for ice nucleating particle measurements</w:t>
      </w:r>
    </w:p>
    <w:p w14:paraId="118D823A" w14:textId="16623B27" w:rsidR="0059516D" w:rsidRPr="006272BD" w:rsidRDefault="0059516D" w:rsidP="0059516D">
      <w:pPr>
        <w:pStyle w:val="Authornames"/>
        <w:rPr>
          <w:rFonts w:ascii="Times New Roman" w:hAnsi="Times New Roman"/>
          <w:sz w:val="24"/>
        </w:rPr>
      </w:pPr>
      <w:r w:rsidRPr="006272BD">
        <w:rPr>
          <w:rFonts w:ascii="Times New Roman" w:hAnsi="Times New Roman"/>
          <w:sz w:val="24"/>
        </w:rPr>
        <w:t xml:space="preserve">Ellen </w:t>
      </w:r>
      <w:proofErr w:type="spellStart"/>
      <w:r w:rsidRPr="006272BD">
        <w:rPr>
          <w:rFonts w:ascii="Times New Roman" w:hAnsi="Times New Roman"/>
          <w:sz w:val="24"/>
        </w:rPr>
        <w:t>Gute</w:t>
      </w:r>
      <w:r w:rsidRPr="006272BD">
        <w:rPr>
          <w:rFonts w:ascii="Times New Roman" w:hAnsi="Times New Roman"/>
          <w:sz w:val="24"/>
          <w:vertAlign w:val="superscript"/>
        </w:rPr>
        <w:t>a</w:t>
      </w:r>
      <w:proofErr w:type="spellEnd"/>
      <w:r w:rsidRPr="006272BD">
        <w:rPr>
          <w:rFonts w:ascii="Times New Roman" w:hAnsi="Times New Roman"/>
          <w:sz w:val="24"/>
        </w:rPr>
        <w:t xml:space="preserve">*, Larissa </w:t>
      </w:r>
      <w:proofErr w:type="spellStart"/>
      <w:proofErr w:type="gramStart"/>
      <w:r w:rsidRPr="006272BD">
        <w:rPr>
          <w:rFonts w:ascii="Times New Roman" w:hAnsi="Times New Roman"/>
          <w:sz w:val="24"/>
        </w:rPr>
        <w:t>Lacher</w:t>
      </w:r>
      <w:r w:rsidRPr="006272BD">
        <w:rPr>
          <w:rFonts w:ascii="Times New Roman" w:hAnsi="Times New Roman"/>
          <w:sz w:val="24"/>
          <w:vertAlign w:val="superscript"/>
        </w:rPr>
        <w:t>b</w:t>
      </w:r>
      <w:proofErr w:type="spellEnd"/>
      <w:r w:rsidR="00D6688A" w:rsidRPr="006272BD">
        <w:rPr>
          <w:rFonts w:ascii="Times New Roman" w:hAnsi="Times New Roman"/>
          <w:sz w:val="24"/>
          <w:vertAlign w:val="superscript"/>
        </w:rPr>
        <w:t>,</w:t>
      </w:r>
      <w:r w:rsidR="00233159" w:rsidRPr="006272BD">
        <w:rPr>
          <w:rFonts w:ascii="Times New Roman" w:hAnsi="Times New Roman"/>
          <w:sz w:val="24"/>
          <w:vertAlign w:val="superscript"/>
        </w:rPr>
        <w:t>+</w:t>
      </w:r>
      <w:proofErr w:type="gramEnd"/>
      <w:r w:rsidRPr="006272BD">
        <w:rPr>
          <w:rFonts w:ascii="Times New Roman" w:hAnsi="Times New Roman"/>
          <w:sz w:val="24"/>
        </w:rPr>
        <w:t xml:space="preserve">, Zamin A. </w:t>
      </w:r>
      <w:proofErr w:type="spellStart"/>
      <w:r w:rsidRPr="006272BD">
        <w:rPr>
          <w:rFonts w:ascii="Times New Roman" w:hAnsi="Times New Roman"/>
          <w:sz w:val="24"/>
        </w:rPr>
        <w:t>Kanji</w:t>
      </w:r>
      <w:r w:rsidRPr="006272BD">
        <w:rPr>
          <w:rFonts w:ascii="Times New Roman" w:hAnsi="Times New Roman"/>
          <w:sz w:val="24"/>
          <w:vertAlign w:val="superscript"/>
        </w:rPr>
        <w:t>b</w:t>
      </w:r>
      <w:proofErr w:type="spellEnd"/>
      <w:r w:rsidRPr="006272BD">
        <w:rPr>
          <w:rFonts w:ascii="Times New Roman" w:hAnsi="Times New Roman"/>
          <w:sz w:val="24"/>
        </w:rPr>
        <w:t xml:space="preserve">, Rebecca </w:t>
      </w:r>
      <w:proofErr w:type="spellStart"/>
      <w:r w:rsidRPr="006272BD">
        <w:rPr>
          <w:rFonts w:ascii="Times New Roman" w:hAnsi="Times New Roman"/>
          <w:sz w:val="24"/>
        </w:rPr>
        <w:t>Kohl</w:t>
      </w:r>
      <w:r w:rsidRPr="006272BD">
        <w:rPr>
          <w:rFonts w:ascii="Times New Roman" w:hAnsi="Times New Roman"/>
          <w:sz w:val="24"/>
          <w:vertAlign w:val="superscript"/>
        </w:rPr>
        <w:t>c</w:t>
      </w:r>
      <w:proofErr w:type="spellEnd"/>
      <w:r w:rsidRPr="006272BD">
        <w:rPr>
          <w:rFonts w:ascii="Times New Roman" w:hAnsi="Times New Roman"/>
          <w:sz w:val="24"/>
        </w:rPr>
        <w:t xml:space="preserve">, Joachim </w:t>
      </w:r>
      <w:proofErr w:type="spellStart"/>
      <w:r w:rsidRPr="006272BD">
        <w:rPr>
          <w:rFonts w:ascii="Times New Roman" w:hAnsi="Times New Roman"/>
          <w:sz w:val="24"/>
        </w:rPr>
        <w:t>Curtius</w:t>
      </w:r>
      <w:r w:rsidRPr="006272BD">
        <w:rPr>
          <w:rFonts w:ascii="Times New Roman" w:hAnsi="Times New Roman"/>
          <w:sz w:val="24"/>
          <w:vertAlign w:val="superscript"/>
        </w:rPr>
        <w:t>c</w:t>
      </w:r>
      <w:proofErr w:type="spellEnd"/>
      <w:r w:rsidRPr="006272BD">
        <w:rPr>
          <w:rFonts w:ascii="Times New Roman" w:hAnsi="Times New Roman"/>
          <w:sz w:val="24"/>
        </w:rPr>
        <w:t xml:space="preserve">, Daniel </w:t>
      </w:r>
      <w:proofErr w:type="spellStart"/>
      <w:r w:rsidRPr="006272BD">
        <w:rPr>
          <w:rFonts w:ascii="Times New Roman" w:hAnsi="Times New Roman"/>
          <w:sz w:val="24"/>
        </w:rPr>
        <w:t>Weber</w:t>
      </w:r>
      <w:r w:rsidRPr="006272BD">
        <w:rPr>
          <w:rFonts w:ascii="Times New Roman" w:hAnsi="Times New Roman"/>
          <w:sz w:val="24"/>
          <w:vertAlign w:val="superscript"/>
        </w:rPr>
        <w:t>c</w:t>
      </w:r>
      <w:proofErr w:type="spellEnd"/>
      <w:r w:rsidRPr="006272BD">
        <w:rPr>
          <w:rFonts w:ascii="Times New Roman" w:hAnsi="Times New Roman"/>
          <w:sz w:val="24"/>
        </w:rPr>
        <w:t xml:space="preserve">, Heinz </w:t>
      </w:r>
      <w:proofErr w:type="spellStart"/>
      <w:r w:rsidRPr="006272BD">
        <w:rPr>
          <w:rFonts w:ascii="Times New Roman" w:hAnsi="Times New Roman"/>
          <w:sz w:val="24"/>
        </w:rPr>
        <w:t>Bingemer</w:t>
      </w:r>
      <w:r w:rsidRPr="006272BD">
        <w:rPr>
          <w:rFonts w:ascii="Times New Roman" w:hAnsi="Times New Roman"/>
          <w:sz w:val="24"/>
          <w:vertAlign w:val="superscript"/>
        </w:rPr>
        <w:t>c</w:t>
      </w:r>
      <w:proofErr w:type="spellEnd"/>
      <w:r w:rsidRPr="006272BD">
        <w:rPr>
          <w:rFonts w:ascii="Times New Roman" w:hAnsi="Times New Roman"/>
          <w:sz w:val="24"/>
        </w:rPr>
        <w:t xml:space="preserve">, Hans-Christian </w:t>
      </w:r>
      <w:proofErr w:type="spellStart"/>
      <w:r w:rsidRPr="006272BD">
        <w:rPr>
          <w:rFonts w:ascii="Times New Roman" w:hAnsi="Times New Roman"/>
          <w:sz w:val="24"/>
        </w:rPr>
        <w:t>Clemen</w:t>
      </w:r>
      <w:r w:rsidRPr="006272BD">
        <w:rPr>
          <w:rFonts w:ascii="Times New Roman" w:hAnsi="Times New Roman"/>
          <w:sz w:val="24"/>
          <w:vertAlign w:val="superscript"/>
        </w:rPr>
        <w:t>d</w:t>
      </w:r>
      <w:proofErr w:type="spellEnd"/>
      <w:r w:rsidRPr="006272BD">
        <w:rPr>
          <w:rFonts w:ascii="Times New Roman" w:hAnsi="Times New Roman"/>
          <w:sz w:val="24"/>
        </w:rPr>
        <w:t xml:space="preserve">, Johannes </w:t>
      </w:r>
      <w:proofErr w:type="spellStart"/>
      <w:r w:rsidRPr="006272BD">
        <w:rPr>
          <w:rFonts w:ascii="Times New Roman" w:hAnsi="Times New Roman"/>
          <w:sz w:val="24"/>
        </w:rPr>
        <w:t>Schneider</w:t>
      </w:r>
      <w:r w:rsidRPr="006272BD">
        <w:rPr>
          <w:rFonts w:ascii="Times New Roman" w:hAnsi="Times New Roman"/>
          <w:sz w:val="24"/>
          <w:vertAlign w:val="superscript"/>
        </w:rPr>
        <w:t>d</w:t>
      </w:r>
      <w:proofErr w:type="spellEnd"/>
      <w:r w:rsidRPr="006272BD">
        <w:rPr>
          <w:rFonts w:ascii="Times New Roman" w:hAnsi="Times New Roman"/>
          <w:sz w:val="24"/>
        </w:rPr>
        <w:t xml:space="preserve">, Martin </w:t>
      </w:r>
      <w:proofErr w:type="spellStart"/>
      <w:r w:rsidRPr="006272BD">
        <w:rPr>
          <w:rFonts w:ascii="Times New Roman" w:hAnsi="Times New Roman"/>
          <w:sz w:val="24"/>
        </w:rPr>
        <w:t>Gysel</w:t>
      </w:r>
      <w:proofErr w:type="spellEnd"/>
      <w:r w:rsidR="00B04613">
        <w:rPr>
          <w:rFonts w:ascii="Times New Roman" w:hAnsi="Times New Roman"/>
          <w:sz w:val="24"/>
        </w:rPr>
        <w:t>-Beer</w:t>
      </w:r>
      <w:r w:rsidRPr="006272BD">
        <w:rPr>
          <w:rFonts w:ascii="Times New Roman" w:hAnsi="Times New Roman"/>
          <w:sz w:val="24"/>
          <w:vertAlign w:val="superscript"/>
        </w:rPr>
        <w:t xml:space="preserve"> e</w:t>
      </w:r>
      <w:r w:rsidRPr="006272BD">
        <w:rPr>
          <w:rFonts w:ascii="Times New Roman" w:hAnsi="Times New Roman"/>
          <w:sz w:val="24"/>
        </w:rPr>
        <w:t xml:space="preserve">, Stephen T. </w:t>
      </w:r>
      <w:proofErr w:type="spellStart"/>
      <w:r w:rsidRPr="006272BD">
        <w:rPr>
          <w:rFonts w:ascii="Times New Roman" w:hAnsi="Times New Roman"/>
          <w:sz w:val="24"/>
        </w:rPr>
        <w:t>Ferguson</w:t>
      </w:r>
      <w:r w:rsidR="00067FFB">
        <w:rPr>
          <w:rFonts w:ascii="Times New Roman" w:hAnsi="Times New Roman"/>
          <w:sz w:val="24"/>
          <w:vertAlign w:val="superscript"/>
        </w:rPr>
        <w:t>f</w:t>
      </w:r>
      <w:proofErr w:type="spellEnd"/>
      <w:r w:rsidRPr="006272BD">
        <w:rPr>
          <w:rFonts w:ascii="Times New Roman" w:hAnsi="Times New Roman"/>
          <w:sz w:val="24"/>
        </w:rPr>
        <w:t xml:space="preserve"> and Jonathan P.D. </w:t>
      </w:r>
      <w:proofErr w:type="spellStart"/>
      <w:r w:rsidRPr="006272BD">
        <w:rPr>
          <w:rFonts w:ascii="Times New Roman" w:hAnsi="Times New Roman"/>
          <w:sz w:val="24"/>
        </w:rPr>
        <w:t>Abbatt</w:t>
      </w:r>
      <w:r w:rsidRPr="006272BD">
        <w:rPr>
          <w:rFonts w:ascii="Times New Roman" w:hAnsi="Times New Roman"/>
          <w:sz w:val="24"/>
          <w:vertAlign w:val="superscript"/>
        </w:rPr>
        <w:t>a</w:t>
      </w:r>
      <w:proofErr w:type="spellEnd"/>
    </w:p>
    <w:p w14:paraId="7CC9B519" w14:textId="5214AC71" w:rsidR="0059516D" w:rsidRPr="006272BD" w:rsidRDefault="0059516D" w:rsidP="0059516D">
      <w:pPr>
        <w:pStyle w:val="Affiliation"/>
        <w:rPr>
          <w:rFonts w:ascii="Times New Roman" w:hAnsi="Times New Roman"/>
          <w:sz w:val="24"/>
        </w:rPr>
      </w:pPr>
      <w:proofErr w:type="spellStart"/>
      <w:r w:rsidRPr="006272BD">
        <w:rPr>
          <w:rFonts w:ascii="Times New Roman" w:hAnsi="Times New Roman"/>
          <w:sz w:val="24"/>
          <w:vertAlign w:val="superscript"/>
        </w:rPr>
        <w:t>a</w:t>
      </w:r>
      <w:r w:rsidRPr="006272BD">
        <w:rPr>
          <w:rFonts w:ascii="Times New Roman" w:hAnsi="Times New Roman"/>
          <w:sz w:val="24"/>
        </w:rPr>
        <w:t>Department</w:t>
      </w:r>
      <w:proofErr w:type="spellEnd"/>
      <w:r w:rsidRPr="006272BD">
        <w:rPr>
          <w:rFonts w:ascii="Times New Roman" w:hAnsi="Times New Roman"/>
          <w:sz w:val="24"/>
        </w:rPr>
        <w:t xml:space="preserve"> of Chemistry, University of Toronto, Toronto, Canada; </w:t>
      </w:r>
      <w:proofErr w:type="spellStart"/>
      <w:r w:rsidRPr="006272BD">
        <w:rPr>
          <w:rFonts w:ascii="Times New Roman" w:hAnsi="Times New Roman"/>
          <w:sz w:val="24"/>
          <w:vertAlign w:val="superscript"/>
        </w:rPr>
        <w:t>b</w:t>
      </w:r>
      <w:r w:rsidRPr="006272BD">
        <w:rPr>
          <w:rFonts w:ascii="Times New Roman" w:hAnsi="Times New Roman"/>
          <w:sz w:val="24"/>
        </w:rPr>
        <w:t>Institute</w:t>
      </w:r>
      <w:proofErr w:type="spellEnd"/>
      <w:r w:rsidRPr="006272BD">
        <w:rPr>
          <w:rFonts w:ascii="Times New Roman" w:hAnsi="Times New Roman"/>
          <w:sz w:val="24"/>
        </w:rPr>
        <w:t xml:space="preserve"> for Atmospheric and Climate Science, ETH Zurich, Zurich; Switzerland; </w:t>
      </w:r>
      <w:proofErr w:type="spellStart"/>
      <w:r w:rsidRPr="006272BD">
        <w:rPr>
          <w:rFonts w:ascii="Times New Roman" w:hAnsi="Times New Roman"/>
          <w:sz w:val="24"/>
          <w:vertAlign w:val="superscript"/>
        </w:rPr>
        <w:t>c</w:t>
      </w:r>
      <w:r w:rsidRPr="006272BD">
        <w:rPr>
          <w:rFonts w:ascii="Times New Roman" w:hAnsi="Times New Roman"/>
          <w:sz w:val="24"/>
        </w:rPr>
        <w:t>Institute</w:t>
      </w:r>
      <w:proofErr w:type="spellEnd"/>
      <w:r w:rsidRPr="006272BD">
        <w:rPr>
          <w:rFonts w:ascii="Times New Roman" w:hAnsi="Times New Roman"/>
          <w:sz w:val="24"/>
        </w:rPr>
        <w:t xml:space="preserve"> for Atmospheric and Environmental Sciences, Goethe-Universität Frankfurt am Main, Frankfurt am Main, Germany; </w:t>
      </w:r>
      <w:proofErr w:type="spellStart"/>
      <w:r w:rsidRPr="006272BD">
        <w:rPr>
          <w:rFonts w:ascii="Times New Roman" w:hAnsi="Times New Roman"/>
          <w:sz w:val="24"/>
          <w:vertAlign w:val="superscript"/>
        </w:rPr>
        <w:t>d</w:t>
      </w:r>
      <w:r w:rsidRPr="006272BD">
        <w:rPr>
          <w:rFonts w:ascii="Times New Roman" w:hAnsi="Times New Roman"/>
          <w:sz w:val="24"/>
        </w:rPr>
        <w:t>Particle</w:t>
      </w:r>
      <w:proofErr w:type="spellEnd"/>
      <w:r w:rsidRPr="006272BD">
        <w:rPr>
          <w:rFonts w:ascii="Times New Roman" w:hAnsi="Times New Roman"/>
          <w:sz w:val="24"/>
        </w:rPr>
        <w:t xml:space="preserve"> Chemistry Department, Max Planck Institute for Chemistry, Mainz, Germany; </w:t>
      </w:r>
      <w:proofErr w:type="spellStart"/>
      <w:r w:rsidRPr="006272BD">
        <w:rPr>
          <w:rFonts w:ascii="Times New Roman" w:hAnsi="Times New Roman"/>
          <w:sz w:val="24"/>
          <w:vertAlign w:val="superscript"/>
        </w:rPr>
        <w:t>e</w:t>
      </w:r>
      <w:r w:rsidRPr="006272BD">
        <w:rPr>
          <w:rFonts w:ascii="Times New Roman" w:hAnsi="Times New Roman"/>
          <w:sz w:val="24"/>
        </w:rPr>
        <w:t>Laboratory</w:t>
      </w:r>
      <w:proofErr w:type="spellEnd"/>
      <w:r w:rsidRPr="006272BD">
        <w:rPr>
          <w:rFonts w:ascii="Times New Roman" w:hAnsi="Times New Roman"/>
          <w:sz w:val="24"/>
        </w:rPr>
        <w:t xml:space="preserve"> of Atmospheric Chemistry, Paul</w:t>
      </w:r>
      <w:r w:rsidR="00B04613">
        <w:rPr>
          <w:rFonts w:ascii="Times New Roman" w:hAnsi="Times New Roman"/>
          <w:sz w:val="24"/>
        </w:rPr>
        <w:t xml:space="preserve"> </w:t>
      </w:r>
      <w:r w:rsidRPr="006272BD">
        <w:rPr>
          <w:rFonts w:ascii="Times New Roman" w:hAnsi="Times New Roman"/>
          <w:sz w:val="24"/>
        </w:rPr>
        <w:t xml:space="preserve">Scherrer Institute, Villigen, Switzerland; </w:t>
      </w:r>
      <w:r w:rsidR="00FE6705">
        <w:rPr>
          <w:rFonts w:ascii="Times New Roman" w:hAnsi="Times New Roman"/>
          <w:sz w:val="24"/>
          <w:vertAlign w:val="superscript"/>
        </w:rPr>
        <w:t xml:space="preserve"> </w:t>
      </w:r>
      <w:r w:rsidR="00FE6705">
        <w:rPr>
          <w:rFonts w:ascii="Times New Roman" w:hAnsi="Times New Roman"/>
          <w:sz w:val="24"/>
        </w:rPr>
        <w:t xml:space="preserve">Department of Environmental Health, Harvard T.H. Chan </w:t>
      </w:r>
      <w:r w:rsidRPr="006272BD">
        <w:rPr>
          <w:rFonts w:ascii="Times New Roman" w:hAnsi="Times New Roman"/>
          <w:sz w:val="24"/>
        </w:rPr>
        <w:t>School of Public Health, Boston, M</w:t>
      </w:r>
      <w:r w:rsidR="00FE6705">
        <w:rPr>
          <w:rFonts w:ascii="Times New Roman" w:hAnsi="Times New Roman"/>
          <w:sz w:val="24"/>
        </w:rPr>
        <w:t>A</w:t>
      </w:r>
      <w:r w:rsidRPr="006272BD">
        <w:rPr>
          <w:rFonts w:ascii="Times New Roman" w:hAnsi="Times New Roman"/>
          <w:sz w:val="24"/>
        </w:rPr>
        <w:t>, USA</w:t>
      </w:r>
      <w:r w:rsidR="00233159" w:rsidRPr="006272BD">
        <w:rPr>
          <w:rFonts w:ascii="Times New Roman" w:hAnsi="Times New Roman"/>
          <w:sz w:val="24"/>
        </w:rPr>
        <w:t xml:space="preserve">; </w:t>
      </w:r>
      <w:r w:rsidRPr="006272BD">
        <w:rPr>
          <w:rFonts w:ascii="Times New Roman" w:hAnsi="Times New Roman"/>
          <w:sz w:val="24"/>
        </w:rPr>
        <w:t xml:space="preserve"> </w:t>
      </w:r>
      <w:r w:rsidR="00233159" w:rsidRPr="006272BD">
        <w:rPr>
          <w:rFonts w:ascii="Times New Roman" w:hAnsi="Times New Roman"/>
          <w:sz w:val="24"/>
        </w:rPr>
        <w:t>+now at Institute for Meteorology and Climate Research – Atmospheric Aerosol Research, KIT, Karlsruhe, Germany</w:t>
      </w:r>
    </w:p>
    <w:p w14:paraId="347237BD" w14:textId="681BE13C" w:rsidR="00094365" w:rsidRPr="006272BD" w:rsidRDefault="00094365" w:rsidP="0059516D">
      <w:pPr>
        <w:spacing w:before="100" w:beforeAutospacing="1" w:after="100" w:afterAutospacing="1"/>
        <w:rPr>
          <w:rFonts w:ascii="Times New Roman" w:hAnsi="Times New Roman"/>
          <w:sz w:val="24"/>
          <w:szCs w:val="24"/>
        </w:rPr>
      </w:pPr>
    </w:p>
    <w:p w14:paraId="1CD128B3" w14:textId="77777777" w:rsidR="00111843" w:rsidRPr="006272BD" w:rsidRDefault="00111843" w:rsidP="00111843">
      <w:pPr>
        <w:rPr>
          <w:rFonts w:ascii="Times New Roman" w:hAnsi="Times New Roman"/>
          <w:b/>
          <w:sz w:val="24"/>
          <w:szCs w:val="24"/>
        </w:rPr>
      </w:pPr>
      <w:r w:rsidRPr="006272BD">
        <w:rPr>
          <w:rFonts w:ascii="Times New Roman" w:hAnsi="Times New Roman"/>
          <w:b/>
          <w:sz w:val="24"/>
          <w:szCs w:val="24"/>
        </w:rPr>
        <w:t>Contents of this file</w:t>
      </w:r>
      <w:r w:rsidR="00E43D2D" w:rsidRPr="006272BD">
        <w:rPr>
          <w:rFonts w:ascii="Times New Roman" w:hAnsi="Times New Roman"/>
          <w:b/>
          <w:sz w:val="24"/>
          <w:szCs w:val="24"/>
        </w:rPr>
        <w:t xml:space="preserve"> </w:t>
      </w:r>
    </w:p>
    <w:p w14:paraId="1F13291B" w14:textId="77777777" w:rsidR="00E43D2D" w:rsidRPr="006272BD" w:rsidRDefault="00E43D2D" w:rsidP="00111843">
      <w:pPr>
        <w:rPr>
          <w:rFonts w:ascii="Times New Roman" w:hAnsi="Times New Roman"/>
          <w:sz w:val="24"/>
          <w:szCs w:val="24"/>
        </w:rPr>
      </w:pPr>
    </w:p>
    <w:p w14:paraId="5D9E6DFD" w14:textId="3921A412" w:rsidR="00734886" w:rsidRPr="006272BD" w:rsidRDefault="00783FDB" w:rsidP="00A4031E">
      <w:pPr>
        <w:ind w:left="720"/>
        <w:jc w:val="both"/>
        <w:rPr>
          <w:rFonts w:ascii="Times New Roman" w:hAnsi="Times New Roman"/>
          <w:sz w:val="24"/>
          <w:szCs w:val="24"/>
        </w:rPr>
      </w:pPr>
      <w:r>
        <w:rPr>
          <w:rFonts w:ascii="Times New Roman" w:hAnsi="Times New Roman"/>
          <w:sz w:val="24"/>
          <w:szCs w:val="24"/>
        </w:rPr>
        <w:t xml:space="preserve">A </w:t>
      </w:r>
      <w:r w:rsidRPr="00EC0884">
        <w:rPr>
          <w:rFonts w:ascii="Times New Roman" w:hAnsi="Times New Roman"/>
          <w:sz w:val="24"/>
          <w:szCs w:val="24"/>
        </w:rPr>
        <w:t xml:space="preserve">schematic and dimensions of the concentrator stages are provided in </w:t>
      </w:r>
      <w:r w:rsidR="00A4031E" w:rsidRPr="00EC0884">
        <w:rPr>
          <w:rFonts w:ascii="Times New Roman" w:hAnsi="Times New Roman"/>
          <w:b/>
          <w:sz w:val="24"/>
          <w:szCs w:val="24"/>
        </w:rPr>
        <w:t>Figure S1</w:t>
      </w:r>
      <w:r w:rsidRPr="00EC0884">
        <w:rPr>
          <w:rFonts w:ascii="Times New Roman" w:hAnsi="Times New Roman"/>
          <w:sz w:val="24"/>
          <w:szCs w:val="24"/>
        </w:rPr>
        <w:t>.</w:t>
      </w:r>
      <w:r w:rsidR="00A4031E" w:rsidRPr="00EC0884">
        <w:rPr>
          <w:rFonts w:ascii="Times New Roman" w:hAnsi="Times New Roman"/>
          <w:sz w:val="24"/>
          <w:szCs w:val="24"/>
        </w:rPr>
        <w:t xml:space="preserve"> </w:t>
      </w:r>
      <w:r w:rsidR="00A4031E" w:rsidRPr="00EC0884">
        <w:rPr>
          <w:rFonts w:ascii="Times New Roman" w:hAnsi="Times New Roman"/>
          <w:b/>
          <w:sz w:val="24"/>
          <w:szCs w:val="24"/>
        </w:rPr>
        <w:t>Figure S2</w:t>
      </w:r>
      <w:r w:rsidR="00A4031E" w:rsidRPr="00EC0884">
        <w:rPr>
          <w:rFonts w:ascii="Times New Roman" w:hAnsi="Times New Roman"/>
          <w:sz w:val="24"/>
          <w:szCs w:val="24"/>
        </w:rPr>
        <w:t xml:space="preserve"> </w:t>
      </w:r>
      <w:r w:rsidR="00D27FED" w:rsidRPr="00EC0884">
        <w:rPr>
          <w:rFonts w:ascii="Times New Roman" w:hAnsi="Times New Roman"/>
          <w:sz w:val="24"/>
          <w:szCs w:val="24"/>
        </w:rPr>
        <w:t>shows results of the OPC side-by-side measurements to ensure agreement between the two instruments used to determine enrichment factors</w:t>
      </w:r>
      <w:r w:rsidR="00DA44A2" w:rsidRPr="00EC0884">
        <w:rPr>
          <w:rFonts w:ascii="Times New Roman" w:hAnsi="Times New Roman"/>
          <w:sz w:val="24"/>
          <w:szCs w:val="24"/>
        </w:rPr>
        <w:t xml:space="preserve"> (EFs)</w:t>
      </w:r>
      <w:r w:rsidR="00D27FED" w:rsidRPr="00EC0884">
        <w:rPr>
          <w:rFonts w:ascii="Times New Roman" w:hAnsi="Times New Roman"/>
          <w:sz w:val="24"/>
          <w:szCs w:val="24"/>
        </w:rPr>
        <w:t xml:space="preserve">. </w:t>
      </w:r>
      <w:r w:rsidR="00620867" w:rsidRPr="00EC0884">
        <w:rPr>
          <w:rFonts w:ascii="Times New Roman" w:hAnsi="Times New Roman"/>
          <w:sz w:val="24"/>
          <w:szCs w:val="24"/>
        </w:rPr>
        <w:t xml:space="preserve">INP enrichment factors depending on the calculated cumulative fraction </w:t>
      </w:r>
      <w:r w:rsidR="008C1A7C" w:rsidRPr="00EC0884">
        <w:rPr>
          <w:rFonts w:ascii="Times New Roman" w:hAnsi="Times New Roman"/>
          <w:sz w:val="24"/>
          <w:szCs w:val="24"/>
        </w:rPr>
        <w:t xml:space="preserve">(CF) </w:t>
      </w:r>
      <w:r w:rsidR="00620867" w:rsidRPr="00EC0884">
        <w:rPr>
          <w:rFonts w:ascii="Times New Roman" w:hAnsi="Times New Roman"/>
          <w:sz w:val="24"/>
          <w:szCs w:val="24"/>
        </w:rPr>
        <w:t xml:space="preserve">of the </w:t>
      </w:r>
      <w:r w:rsidR="006272BD" w:rsidRPr="00EC0884">
        <w:rPr>
          <w:rFonts w:ascii="Times New Roman" w:hAnsi="Times New Roman"/>
          <w:sz w:val="24"/>
          <w:szCs w:val="24"/>
        </w:rPr>
        <w:t>aerosol at</w:t>
      </w:r>
      <w:r w:rsidR="00620867" w:rsidRPr="00EC0884">
        <w:rPr>
          <w:rFonts w:ascii="Times New Roman" w:hAnsi="Times New Roman"/>
          <w:sz w:val="24"/>
          <w:szCs w:val="24"/>
        </w:rPr>
        <w:t xml:space="preserve"> the Jungfraujoch</w:t>
      </w:r>
      <w:r w:rsidR="00620867" w:rsidRPr="006272BD">
        <w:rPr>
          <w:rFonts w:ascii="Times New Roman" w:hAnsi="Times New Roman"/>
          <w:sz w:val="24"/>
          <w:szCs w:val="24"/>
        </w:rPr>
        <w:t xml:space="preserve"> research station </w:t>
      </w:r>
      <w:r w:rsidR="00D61C6D" w:rsidRPr="006272BD">
        <w:rPr>
          <w:rFonts w:ascii="Times New Roman" w:hAnsi="Times New Roman"/>
          <w:sz w:val="24"/>
          <w:szCs w:val="24"/>
        </w:rPr>
        <w:t>are show</w:t>
      </w:r>
      <w:r w:rsidR="001108B2">
        <w:rPr>
          <w:rFonts w:ascii="Times New Roman" w:hAnsi="Times New Roman"/>
          <w:sz w:val="24"/>
          <w:szCs w:val="24"/>
        </w:rPr>
        <w:t>n</w:t>
      </w:r>
      <w:r w:rsidR="00D61C6D" w:rsidRPr="006272BD">
        <w:rPr>
          <w:rFonts w:ascii="Times New Roman" w:hAnsi="Times New Roman"/>
          <w:sz w:val="24"/>
          <w:szCs w:val="24"/>
        </w:rPr>
        <w:t xml:space="preserve"> for particle size</w:t>
      </w:r>
      <w:r w:rsidR="006272BD">
        <w:rPr>
          <w:rFonts w:ascii="Times New Roman" w:hAnsi="Times New Roman"/>
          <w:sz w:val="24"/>
          <w:szCs w:val="24"/>
        </w:rPr>
        <w:t>s</w:t>
      </w:r>
      <w:r w:rsidR="00D61C6D" w:rsidRPr="006272BD">
        <w:rPr>
          <w:rFonts w:ascii="Times New Roman" w:hAnsi="Times New Roman"/>
          <w:sz w:val="24"/>
          <w:szCs w:val="24"/>
        </w:rPr>
        <w:t xml:space="preserve"> </w:t>
      </w:r>
      <w:r w:rsidR="006272BD">
        <w:rPr>
          <w:rFonts w:ascii="Times New Roman" w:hAnsi="Times New Roman"/>
          <w:sz w:val="24"/>
          <w:szCs w:val="24"/>
        </w:rPr>
        <w:t xml:space="preserve">of </w:t>
      </w:r>
      <w:r w:rsidR="00D61C6D" w:rsidRPr="006272BD">
        <w:rPr>
          <w:rFonts w:ascii="Times New Roman" w:hAnsi="Times New Roman"/>
          <w:sz w:val="24"/>
          <w:szCs w:val="24"/>
        </w:rPr>
        <w:t>465 nm (</w:t>
      </w:r>
      <w:r w:rsidR="00A4031E" w:rsidRPr="007D06B3">
        <w:rPr>
          <w:rFonts w:ascii="Times New Roman" w:hAnsi="Times New Roman"/>
          <w:b/>
          <w:sz w:val="24"/>
          <w:szCs w:val="24"/>
        </w:rPr>
        <w:t>Figure S</w:t>
      </w:r>
      <w:r w:rsidR="008518E0">
        <w:rPr>
          <w:rFonts w:ascii="Times New Roman" w:hAnsi="Times New Roman"/>
          <w:b/>
          <w:sz w:val="24"/>
          <w:szCs w:val="24"/>
        </w:rPr>
        <w:t>3</w:t>
      </w:r>
      <w:r w:rsidR="00D61C6D" w:rsidRPr="006272BD">
        <w:rPr>
          <w:rFonts w:ascii="Times New Roman" w:hAnsi="Times New Roman"/>
          <w:sz w:val="24"/>
          <w:szCs w:val="24"/>
        </w:rPr>
        <w:t xml:space="preserve">) and </w:t>
      </w:r>
      <w:r w:rsidR="008C1A7C" w:rsidRPr="006272BD">
        <w:rPr>
          <w:rFonts w:ascii="Times New Roman" w:hAnsi="Times New Roman"/>
          <w:sz w:val="24"/>
          <w:szCs w:val="24"/>
        </w:rPr>
        <w:t xml:space="preserve">721 nm </w:t>
      </w:r>
      <w:r w:rsidR="00A4031E">
        <w:rPr>
          <w:rFonts w:ascii="Times New Roman" w:hAnsi="Times New Roman"/>
          <w:sz w:val="24"/>
          <w:szCs w:val="24"/>
        </w:rPr>
        <w:t>(</w:t>
      </w:r>
      <w:r w:rsidR="00A4031E" w:rsidRPr="007D06B3">
        <w:rPr>
          <w:rFonts w:ascii="Times New Roman" w:hAnsi="Times New Roman"/>
          <w:b/>
          <w:sz w:val="24"/>
          <w:szCs w:val="24"/>
        </w:rPr>
        <w:t>Figure S</w:t>
      </w:r>
      <w:r w:rsidR="008518E0">
        <w:rPr>
          <w:rFonts w:ascii="Times New Roman" w:hAnsi="Times New Roman"/>
          <w:b/>
          <w:sz w:val="24"/>
          <w:szCs w:val="24"/>
        </w:rPr>
        <w:t>4</w:t>
      </w:r>
      <w:r w:rsidR="008C1A7C" w:rsidRPr="006272BD">
        <w:rPr>
          <w:rFonts w:ascii="Times New Roman" w:hAnsi="Times New Roman"/>
          <w:sz w:val="24"/>
          <w:szCs w:val="24"/>
        </w:rPr>
        <w:t xml:space="preserve">). </w:t>
      </w:r>
      <w:r w:rsidR="004F5FA2">
        <w:rPr>
          <w:rFonts w:ascii="Times New Roman" w:hAnsi="Times New Roman"/>
          <w:sz w:val="24"/>
          <w:szCs w:val="24"/>
        </w:rPr>
        <w:t>Number s</w:t>
      </w:r>
      <w:r w:rsidR="008C1A7C" w:rsidRPr="006272BD">
        <w:rPr>
          <w:rFonts w:ascii="Times New Roman" w:hAnsi="Times New Roman"/>
          <w:sz w:val="24"/>
          <w:szCs w:val="24"/>
        </w:rPr>
        <w:t xml:space="preserve">ize distributions for cases with CF above </w:t>
      </w:r>
      <w:r w:rsidR="00734886" w:rsidRPr="006272BD">
        <w:rPr>
          <w:rFonts w:ascii="Times New Roman" w:hAnsi="Times New Roman"/>
          <w:sz w:val="24"/>
          <w:szCs w:val="24"/>
        </w:rPr>
        <w:t xml:space="preserve">and below 0.95 are shown in </w:t>
      </w:r>
      <w:r w:rsidR="00A4031E" w:rsidRPr="007D06B3">
        <w:rPr>
          <w:rFonts w:ascii="Times New Roman" w:hAnsi="Times New Roman"/>
          <w:b/>
          <w:sz w:val="24"/>
          <w:szCs w:val="24"/>
        </w:rPr>
        <w:t>Figure S</w:t>
      </w:r>
      <w:r w:rsidR="008518E0">
        <w:rPr>
          <w:rFonts w:ascii="Times New Roman" w:hAnsi="Times New Roman"/>
          <w:b/>
          <w:sz w:val="24"/>
          <w:szCs w:val="24"/>
        </w:rPr>
        <w:t>5</w:t>
      </w:r>
      <w:r w:rsidR="00A4031E">
        <w:rPr>
          <w:rFonts w:ascii="Times New Roman" w:hAnsi="Times New Roman"/>
          <w:sz w:val="24"/>
          <w:szCs w:val="24"/>
        </w:rPr>
        <w:t xml:space="preserve"> </w:t>
      </w:r>
      <w:r w:rsidR="008C1A7C" w:rsidRPr="007D06B3">
        <w:rPr>
          <w:rFonts w:ascii="Times New Roman" w:hAnsi="Times New Roman"/>
          <w:b/>
          <w:sz w:val="24"/>
          <w:szCs w:val="24"/>
        </w:rPr>
        <w:t>a</w:t>
      </w:r>
      <w:r w:rsidR="00734886" w:rsidRPr="006272BD">
        <w:rPr>
          <w:rFonts w:ascii="Times New Roman" w:hAnsi="Times New Roman"/>
          <w:sz w:val="24"/>
          <w:szCs w:val="24"/>
        </w:rPr>
        <w:t xml:space="preserve"> and </w:t>
      </w:r>
      <w:r w:rsidR="008D2F38" w:rsidRPr="007D06B3">
        <w:rPr>
          <w:rFonts w:ascii="Times New Roman" w:hAnsi="Times New Roman"/>
          <w:b/>
          <w:sz w:val="24"/>
          <w:szCs w:val="24"/>
        </w:rPr>
        <w:t>b</w:t>
      </w:r>
      <w:r w:rsidR="00734886" w:rsidRPr="006272BD">
        <w:rPr>
          <w:rFonts w:ascii="Times New Roman" w:hAnsi="Times New Roman"/>
          <w:sz w:val="24"/>
          <w:szCs w:val="24"/>
        </w:rPr>
        <w:t xml:space="preserve">. </w:t>
      </w:r>
    </w:p>
    <w:p w14:paraId="53825FBA" w14:textId="77777777" w:rsidR="00734886" w:rsidRPr="006272BD" w:rsidRDefault="00734886" w:rsidP="00734886">
      <w:pPr>
        <w:ind w:left="720"/>
        <w:jc w:val="both"/>
        <w:rPr>
          <w:rFonts w:ascii="Times New Roman" w:hAnsi="Times New Roman"/>
          <w:sz w:val="24"/>
          <w:szCs w:val="24"/>
        </w:rPr>
      </w:pPr>
    </w:p>
    <w:p w14:paraId="7513F1E9" w14:textId="3A5BF9C6" w:rsidR="0059516D" w:rsidRPr="006272BD" w:rsidRDefault="00957195" w:rsidP="000711F7">
      <w:pPr>
        <w:ind w:left="720"/>
        <w:jc w:val="both"/>
        <w:rPr>
          <w:rFonts w:ascii="Times New Roman" w:hAnsi="Times New Roman"/>
          <w:sz w:val="24"/>
          <w:szCs w:val="24"/>
        </w:rPr>
      </w:pPr>
      <w:r w:rsidRPr="006272BD">
        <w:rPr>
          <w:rFonts w:ascii="Times New Roman" w:hAnsi="Times New Roman"/>
          <w:sz w:val="24"/>
          <w:szCs w:val="24"/>
        </w:rPr>
        <w:t xml:space="preserve">A </w:t>
      </w:r>
      <w:r w:rsidRPr="0006680D">
        <w:rPr>
          <w:rFonts w:ascii="Times New Roman" w:hAnsi="Times New Roman"/>
          <w:sz w:val="24"/>
          <w:szCs w:val="24"/>
        </w:rPr>
        <w:t xml:space="preserve">time series of AMS measurements is presented in </w:t>
      </w:r>
      <w:r w:rsidR="00A4031E" w:rsidRPr="0006680D">
        <w:rPr>
          <w:rFonts w:ascii="Times New Roman" w:hAnsi="Times New Roman"/>
          <w:b/>
          <w:sz w:val="24"/>
          <w:szCs w:val="24"/>
        </w:rPr>
        <w:t>Figure S</w:t>
      </w:r>
      <w:r w:rsidR="008518E0">
        <w:rPr>
          <w:rFonts w:ascii="Times New Roman" w:hAnsi="Times New Roman"/>
          <w:b/>
          <w:sz w:val="24"/>
          <w:szCs w:val="24"/>
        </w:rPr>
        <w:t>6</w:t>
      </w:r>
      <w:r w:rsidR="00A4031E" w:rsidRPr="0006680D">
        <w:rPr>
          <w:rFonts w:ascii="Times New Roman" w:hAnsi="Times New Roman"/>
          <w:sz w:val="24"/>
          <w:szCs w:val="24"/>
        </w:rPr>
        <w:t xml:space="preserve"> </w:t>
      </w:r>
      <w:r w:rsidRPr="0006680D">
        <w:rPr>
          <w:rFonts w:ascii="Times New Roman" w:hAnsi="Times New Roman"/>
          <w:sz w:val="24"/>
          <w:szCs w:val="24"/>
        </w:rPr>
        <w:t xml:space="preserve">and the time periods used to determine </w:t>
      </w:r>
      <w:r w:rsidR="006272BD" w:rsidRPr="0006680D">
        <w:rPr>
          <w:rFonts w:ascii="Times New Roman" w:hAnsi="Times New Roman"/>
          <w:sz w:val="24"/>
          <w:szCs w:val="24"/>
        </w:rPr>
        <w:t xml:space="preserve">such </w:t>
      </w:r>
      <w:r w:rsidR="00B740B7" w:rsidRPr="0006680D">
        <w:rPr>
          <w:rFonts w:ascii="Times New Roman" w:hAnsi="Times New Roman"/>
          <w:sz w:val="24"/>
          <w:szCs w:val="24"/>
        </w:rPr>
        <w:t xml:space="preserve">AMS </w:t>
      </w:r>
      <w:r w:rsidRPr="0006680D">
        <w:rPr>
          <w:rFonts w:ascii="Times New Roman" w:hAnsi="Times New Roman"/>
          <w:sz w:val="24"/>
          <w:szCs w:val="24"/>
        </w:rPr>
        <w:t>EFs are given in</w:t>
      </w:r>
      <w:r w:rsidR="00A4031E" w:rsidRPr="0006680D">
        <w:rPr>
          <w:rFonts w:ascii="Times New Roman" w:hAnsi="Times New Roman"/>
          <w:sz w:val="24"/>
          <w:szCs w:val="24"/>
        </w:rPr>
        <w:t xml:space="preserve"> </w:t>
      </w:r>
      <w:r w:rsidR="00A4031E" w:rsidRPr="0006680D">
        <w:rPr>
          <w:rFonts w:ascii="Times New Roman" w:hAnsi="Times New Roman"/>
          <w:b/>
          <w:sz w:val="24"/>
          <w:szCs w:val="24"/>
        </w:rPr>
        <w:t>Table S1</w:t>
      </w:r>
      <w:r w:rsidR="00A4031E" w:rsidRPr="0006680D">
        <w:rPr>
          <w:rFonts w:ascii="Times New Roman" w:hAnsi="Times New Roman"/>
          <w:sz w:val="24"/>
          <w:szCs w:val="24"/>
        </w:rPr>
        <w:t xml:space="preserve">. </w:t>
      </w:r>
      <w:r w:rsidR="00DA44A2" w:rsidRPr="0006680D">
        <w:rPr>
          <w:rFonts w:ascii="Times New Roman" w:hAnsi="Times New Roman"/>
          <w:sz w:val="24"/>
          <w:szCs w:val="24"/>
        </w:rPr>
        <w:t>AMS</w:t>
      </w:r>
      <w:r w:rsidR="00B740B7" w:rsidRPr="0006680D">
        <w:rPr>
          <w:rFonts w:ascii="Times New Roman" w:hAnsi="Times New Roman"/>
          <w:sz w:val="24"/>
          <w:szCs w:val="24"/>
        </w:rPr>
        <w:t xml:space="preserve"> particle mass</w:t>
      </w:r>
      <w:r w:rsidR="00DA44A2" w:rsidRPr="0006680D">
        <w:rPr>
          <w:rFonts w:ascii="Times New Roman" w:hAnsi="Times New Roman"/>
          <w:sz w:val="24"/>
          <w:szCs w:val="24"/>
        </w:rPr>
        <w:t xml:space="preserve"> size distributions for two cases are shown in </w:t>
      </w:r>
      <w:r w:rsidR="00A4031E" w:rsidRPr="0006680D">
        <w:rPr>
          <w:rFonts w:ascii="Times New Roman" w:hAnsi="Times New Roman"/>
          <w:b/>
          <w:sz w:val="24"/>
          <w:szCs w:val="24"/>
        </w:rPr>
        <w:t>Figure S</w:t>
      </w:r>
      <w:r w:rsidR="008518E0">
        <w:rPr>
          <w:rFonts w:ascii="Times New Roman" w:hAnsi="Times New Roman"/>
          <w:b/>
          <w:sz w:val="24"/>
          <w:szCs w:val="24"/>
        </w:rPr>
        <w:t>7</w:t>
      </w:r>
      <w:r w:rsidR="00A4031E" w:rsidRPr="0006680D">
        <w:rPr>
          <w:rFonts w:ascii="Times New Roman" w:hAnsi="Times New Roman"/>
          <w:sz w:val="24"/>
          <w:szCs w:val="24"/>
        </w:rPr>
        <w:t xml:space="preserve"> </w:t>
      </w:r>
      <w:r w:rsidR="00262EE4" w:rsidRPr="0006680D">
        <w:rPr>
          <w:rFonts w:ascii="Times New Roman" w:hAnsi="Times New Roman"/>
          <w:sz w:val="24"/>
          <w:szCs w:val="24"/>
        </w:rPr>
        <w:t>and</w:t>
      </w:r>
      <w:r w:rsidR="00A4031E" w:rsidRPr="0006680D">
        <w:rPr>
          <w:rFonts w:ascii="Times New Roman" w:hAnsi="Times New Roman"/>
          <w:sz w:val="24"/>
          <w:szCs w:val="24"/>
        </w:rPr>
        <w:t xml:space="preserve"> </w:t>
      </w:r>
      <w:r w:rsidR="00A4031E" w:rsidRPr="0006680D">
        <w:rPr>
          <w:rFonts w:ascii="Times New Roman" w:hAnsi="Times New Roman"/>
          <w:b/>
          <w:sz w:val="24"/>
          <w:szCs w:val="24"/>
        </w:rPr>
        <w:t>Figure S</w:t>
      </w:r>
      <w:r w:rsidR="008518E0">
        <w:rPr>
          <w:rFonts w:ascii="Times New Roman" w:hAnsi="Times New Roman"/>
          <w:b/>
          <w:sz w:val="24"/>
          <w:szCs w:val="24"/>
        </w:rPr>
        <w:t>8</w:t>
      </w:r>
      <w:r w:rsidR="00262EE4" w:rsidRPr="0006680D">
        <w:rPr>
          <w:rFonts w:ascii="Times New Roman" w:hAnsi="Times New Roman"/>
          <w:sz w:val="24"/>
          <w:szCs w:val="24"/>
        </w:rPr>
        <w:t xml:space="preserve">. ALABAMA measurement periods are listed in </w:t>
      </w:r>
      <w:r w:rsidR="00A4031E" w:rsidRPr="0006680D">
        <w:rPr>
          <w:rFonts w:ascii="Times New Roman" w:hAnsi="Times New Roman"/>
          <w:b/>
          <w:sz w:val="24"/>
          <w:szCs w:val="24"/>
        </w:rPr>
        <w:t>Table S2</w:t>
      </w:r>
      <w:r w:rsidR="00A4031E" w:rsidRPr="0006680D">
        <w:rPr>
          <w:rFonts w:ascii="Times New Roman" w:hAnsi="Times New Roman"/>
          <w:sz w:val="24"/>
          <w:szCs w:val="24"/>
        </w:rPr>
        <w:t xml:space="preserve"> </w:t>
      </w:r>
      <w:r w:rsidR="00262EE4" w:rsidRPr="0006680D">
        <w:rPr>
          <w:rFonts w:ascii="Times New Roman" w:hAnsi="Times New Roman"/>
          <w:sz w:val="24"/>
          <w:szCs w:val="24"/>
        </w:rPr>
        <w:t xml:space="preserve">and a cluster analysis is </w:t>
      </w:r>
      <w:r w:rsidR="009F76FB" w:rsidRPr="0006680D">
        <w:rPr>
          <w:rFonts w:ascii="Times New Roman" w:hAnsi="Times New Roman"/>
          <w:sz w:val="24"/>
          <w:szCs w:val="24"/>
        </w:rPr>
        <w:t xml:space="preserve">presented in </w:t>
      </w:r>
      <w:r w:rsidR="00A4031E" w:rsidRPr="0006680D">
        <w:rPr>
          <w:rFonts w:ascii="Times New Roman" w:hAnsi="Times New Roman"/>
          <w:b/>
          <w:sz w:val="24"/>
          <w:szCs w:val="24"/>
        </w:rPr>
        <w:t>Figure S</w:t>
      </w:r>
      <w:r w:rsidR="008518E0">
        <w:rPr>
          <w:rFonts w:ascii="Times New Roman" w:hAnsi="Times New Roman"/>
          <w:b/>
          <w:sz w:val="24"/>
          <w:szCs w:val="24"/>
        </w:rPr>
        <w:t>9</w:t>
      </w:r>
      <w:r w:rsidR="00A4031E" w:rsidRPr="0006680D">
        <w:rPr>
          <w:rFonts w:ascii="Times New Roman" w:hAnsi="Times New Roman"/>
          <w:sz w:val="24"/>
          <w:szCs w:val="24"/>
        </w:rPr>
        <w:t xml:space="preserve"> </w:t>
      </w:r>
      <w:r w:rsidR="009F76FB" w:rsidRPr="0006680D">
        <w:rPr>
          <w:rFonts w:ascii="Times New Roman" w:hAnsi="Times New Roman"/>
          <w:sz w:val="24"/>
          <w:szCs w:val="24"/>
        </w:rPr>
        <w:t>and discussed in</w:t>
      </w:r>
      <w:r w:rsidR="00A4031E" w:rsidRPr="0006680D">
        <w:rPr>
          <w:rFonts w:ascii="Times New Roman" w:hAnsi="Times New Roman"/>
          <w:sz w:val="24"/>
          <w:szCs w:val="24"/>
        </w:rPr>
        <w:t xml:space="preserve"> </w:t>
      </w:r>
      <w:r w:rsidR="00A4031E" w:rsidRPr="0006680D">
        <w:rPr>
          <w:rFonts w:ascii="Times New Roman" w:hAnsi="Times New Roman"/>
          <w:b/>
          <w:sz w:val="24"/>
          <w:szCs w:val="24"/>
        </w:rPr>
        <w:t>Text S1</w:t>
      </w:r>
      <w:r w:rsidR="009F76FB" w:rsidRPr="0006680D">
        <w:rPr>
          <w:rFonts w:ascii="Times New Roman" w:hAnsi="Times New Roman"/>
          <w:sz w:val="24"/>
          <w:szCs w:val="24"/>
        </w:rPr>
        <w:t>.</w:t>
      </w:r>
      <w:r w:rsidR="0059516D" w:rsidRPr="006272BD">
        <w:rPr>
          <w:rFonts w:ascii="Times New Roman" w:hAnsi="Times New Roman"/>
          <w:sz w:val="24"/>
          <w:szCs w:val="24"/>
        </w:rPr>
        <w:br w:type="page"/>
      </w:r>
    </w:p>
    <w:p w14:paraId="70378B22" w14:textId="12BB037F" w:rsidR="0049040C" w:rsidRDefault="0049040C">
      <w:pPr>
        <w:rPr>
          <w:rFonts w:ascii="Times New Roman" w:hAnsi="Times New Roman"/>
          <w:sz w:val="24"/>
          <w:szCs w:val="24"/>
        </w:rPr>
      </w:pPr>
    </w:p>
    <w:p w14:paraId="2B81DD8E" w14:textId="023CAFE3" w:rsidR="00B40BF7" w:rsidRDefault="00E51EE5">
      <w:pPr>
        <w:rPr>
          <w:rFonts w:ascii="Times New Roman" w:hAnsi="Times New Roman"/>
          <w:sz w:val="24"/>
          <w:szCs w:val="24"/>
        </w:rPr>
      </w:pPr>
      <w:r>
        <w:rPr>
          <w:rFonts w:ascii="Times New Roman" w:hAnsi="Times New Roman"/>
          <w:noProof/>
          <w:sz w:val="24"/>
          <w:szCs w:val="24"/>
          <w:lang w:val="en-CA" w:eastAsia="en-CA"/>
        </w:rPr>
        <w:drawing>
          <wp:inline distT="0" distB="0" distL="0" distR="0" wp14:anchorId="6D3451F2" wp14:editId="3CA88018">
            <wp:extent cx="5676900" cy="378985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C_SI_1a.png"/>
                    <pic:cNvPicPr/>
                  </pic:nvPicPr>
                  <pic:blipFill>
                    <a:blip r:embed="rId8">
                      <a:extLst>
                        <a:ext uri="{28A0092B-C50C-407E-A947-70E740481C1C}">
                          <a14:useLocalDpi xmlns:a14="http://schemas.microsoft.com/office/drawing/2010/main" val="0"/>
                        </a:ext>
                      </a:extLst>
                    </a:blip>
                    <a:stretch>
                      <a:fillRect/>
                    </a:stretch>
                  </pic:blipFill>
                  <pic:spPr>
                    <a:xfrm>
                      <a:off x="0" y="0"/>
                      <a:ext cx="5677349" cy="3790156"/>
                    </a:xfrm>
                    <a:prstGeom prst="rect">
                      <a:avLst/>
                    </a:prstGeom>
                  </pic:spPr>
                </pic:pic>
              </a:graphicData>
            </a:graphic>
          </wp:inline>
        </w:drawing>
      </w:r>
      <w:r w:rsidR="003C504E">
        <w:rPr>
          <w:rFonts w:ascii="Times New Roman" w:hAnsi="Times New Roman"/>
          <w:noProof/>
          <w:sz w:val="24"/>
          <w:szCs w:val="24"/>
          <w:lang w:val="en-CA" w:eastAsia="en-CA"/>
        </w:rPr>
        <w:drawing>
          <wp:inline distT="0" distB="0" distL="0" distR="0" wp14:anchorId="50416993" wp14:editId="06553539">
            <wp:extent cx="5486400" cy="35401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PC_SI_1b.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540125"/>
                    </a:xfrm>
                    <a:prstGeom prst="rect">
                      <a:avLst/>
                    </a:prstGeom>
                  </pic:spPr>
                </pic:pic>
              </a:graphicData>
            </a:graphic>
          </wp:inline>
        </w:drawing>
      </w:r>
    </w:p>
    <w:p w14:paraId="2CDB7794" w14:textId="0970FDAC" w:rsidR="00783FDB" w:rsidRPr="006272BD" w:rsidRDefault="007D06B3" w:rsidP="007D06B3">
      <w:pPr>
        <w:pStyle w:val="Figurecaption"/>
      </w:pPr>
      <w:r>
        <w:rPr>
          <w:b/>
        </w:rPr>
        <w:t>Figure S1</w:t>
      </w:r>
      <w:r w:rsidR="00783FDB" w:rsidRPr="007D06B3">
        <w:rPr>
          <w:b/>
        </w:rPr>
        <w:t>.</w:t>
      </w:r>
      <w:r w:rsidR="00783FDB" w:rsidRPr="006272BD">
        <w:t xml:space="preserve"> </w:t>
      </w:r>
      <w:r w:rsidR="00783FDB">
        <w:t xml:space="preserve">PFPC stages side, top and bottom view with dimensions. Schematic is not to scale. </w:t>
      </w:r>
    </w:p>
    <w:p w14:paraId="56448A5E" w14:textId="7689FFD7" w:rsidR="008003FB" w:rsidRPr="006272BD" w:rsidRDefault="00286179" w:rsidP="009A5287">
      <w:pPr>
        <w:pStyle w:val="SMcaption"/>
        <w:rPr>
          <w:rFonts w:ascii="Times New Roman" w:hAnsi="Times New Roman"/>
          <w:b/>
          <w:sz w:val="24"/>
          <w:szCs w:val="24"/>
        </w:rPr>
      </w:pPr>
      <w:r>
        <w:rPr>
          <w:noProof/>
          <w:lang w:val="en-CA" w:eastAsia="en-CA"/>
        </w:rPr>
        <w:lastRenderedPageBreak/>
        <w:drawing>
          <wp:inline distT="0" distB="0" distL="0" distR="0" wp14:anchorId="5A47ECEC" wp14:editId="291D8349">
            <wp:extent cx="5486400" cy="2218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218765"/>
                    </a:xfrm>
                    <a:prstGeom prst="rect">
                      <a:avLst/>
                    </a:prstGeom>
                    <a:noFill/>
                    <a:ln>
                      <a:noFill/>
                    </a:ln>
                  </pic:spPr>
                </pic:pic>
              </a:graphicData>
            </a:graphic>
          </wp:inline>
        </w:drawing>
      </w:r>
    </w:p>
    <w:p w14:paraId="00CA625D" w14:textId="62D0ED2B" w:rsidR="00401AAF" w:rsidRPr="006272BD" w:rsidRDefault="004A6212" w:rsidP="00265CC8">
      <w:pPr>
        <w:pStyle w:val="Figurecaption"/>
      </w:pPr>
      <w:bookmarkStart w:id="0" w:name="_Ref526340454"/>
      <w:r w:rsidRPr="006272BD">
        <w:rPr>
          <w:b/>
        </w:rPr>
        <w:t>Figure S</w:t>
      </w:r>
      <w:bookmarkEnd w:id="0"/>
      <w:r w:rsidR="0034655D">
        <w:rPr>
          <w:b/>
        </w:rPr>
        <w:t>2</w:t>
      </w:r>
      <w:r w:rsidR="00401AAF" w:rsidRPr="006272BD">
        <w:rPr>
          <w:b/>
        </w:rPr>
        <w:t>.</w:t>
      </w:r>
      <w:r w:rsidR="00401AAF" w:rsidRPr="006272BD">
        <w:t xml:space="preserve"> OPC side-by-side measurements</w:t>
      </w:r>
      <w:r w:rsidR="00741EC1" w:rsidRPr="006272BD">
        <w:t xml:space="preserve"> of ambient </w:t>
      </w:r>
      <w:r w:rsidR="00741EC1" w:rsidRPr="00B740B7">
        <w:t xml:space="preserve">particles over </w:t>
      </w:r>
      <w:r w:rsidR="00FB09C0" w:rsidRPr="00B740B7">
        <w:t>11</w:t>
      </w:r>
      <w:r w:rsidR="006272BD" w:rsidRPr="00B740B7">
        <w:t>.2</w:t>
      </w:r>
      <w:r w:rsidR="00FB09C0" w:rsidRPr="00B740B7">
        <w:t xml:space="preserve"> hours</w:t>
      </w:r>
      <w:r w:rsidR="001D325C">
        <w:t xml:space="preserve"> (left)</w:t>
      </w:r>
      <w:r w:rsidR="00FB09C0" w:rsidRPr="00B740B7">
        <w:t xml:space="preserve"> and</w:t>
      </w:r>
      <w:r w:rsidR="00FB09C0" w:rsidRPr="006272BD">
        <w:t xml:space="preserve"> 10 minutes</w:t>
      </w:r>
      <w:r w:rsidR="001D325C">
        <w:t xml:space="preserve"> (right)</w:t>
      </w:r>
      <w:r w:rsidR="00FB09C0" w:rsidRPr="006272BD">
        <w:t xml:space="preserve">. Shown are the scatter plots for the size channels 0.3 to 0.5 µm and </w:t>
      </w:r>
      <w:r w:rsidR="006272BD">
        <w:t>0.5 to 1.0 µm, indicating that the counters agree to within at least 10</w:t>
      </w:r>
      <w:r w:rsidR="006272BD" w:rsidRPr="00B740B7">
        <w:t xml:space="preserve">%. </w:t>
      </w:r>
      <w:r w:rsidR="003D7D93" w:rsidRPr="00B740B7">
        <w:t xml:space="preserve"> For </w:t>
      </w:r>
      <w:r w:rsidR="006272BD" w:rsidRPr="00B740B7">
        <w:t xml:space="preserve">particles between 1 and 5 </w:t>
      </w:r>
      <w:r w:rsidR="006272BD" w:rsidRPr="006272BD">
        <w:t>µm</w:t>
      </w:r>
      <w:r w:rsidR="006272BD">
        <w:t xml:space="preserve">, the ratio of the means of the particle concentrations measured during this </w:t>
      </w:r>
      <w:proofErr w:type="gramStart"/>
      <w:r w:rsidR="006272BD">
        <w:t>time period</w:t>
      </w:r>
      <w:proofErr w:type="gramEnd"/>
      <w:r w:rsidR="006272BD">
        <w:t xml:space="preserve"> </w:t>
      </w:r>
      <w:r w:rsidR="00214596">
        <w:t>was</w:t>
      </w:r>
      <w:r w:rsidR="006272BD">
        <w:t xml:space="preserve"> 1.04, but the temporal correlation between the measurements is poor given the small number of particles counted. Overall, these measurements indicate that t</w:t>
      </w:r>
      <w:r w:rsidR="00112E4C" w:rsidRPr="006272BD">
        <w:t xml:space="preserve">he </w:t>
      </w:r>
      <w:r w:rsidR="005A41BC" w:rsidRPr="006272BD">
        <w:t xml:space="preserve">accuracy of the two OPCs is </w:t>
      </w:r>
      <w:r w:rsidR="006272BD">
        <w:t xml:space="preserve">at least at the </w:t>
      </w:r>
      <w:r w:rsidR="005A41BC" w:rsidRPr="006272BD">
        <w:t>1</w:t>
      </w:r>
      <w:r w:rsidR="006272BD">
        <w:t>0% level</w:t>
      </w:r>
      <w:r w:rsidR="001D325C">
        <w:t>, which is within the counting uncertainty</w:t>
      </w:r>
      <w:r w:rsidR="006272BD">
        <w:t>.</w:t>
      </w:r>
    </w:p>
    <w:p w14:paraId="11508CD5" w14:textId="77777777" w:rsidR="00401AAF" w:rsidRPr="006272BD" w:rsidRDefault="00401AAF" w:rsidP="009A5287">
      <w:pPr>
        <w:pStyle w:val="SMcaption"/>
        <w:rPr>
          <w:rFonts w:ascii="Times New Roman" w:hAnsi="Times New Roman"/>
          <w:sz w:val="24"/>
          <w:szCs w:val="24"/>
        </w:rPr>
      </w:pPr>
    </w:p>
    <w:p w14:paraId="1E9BE7C8" w14:textId="77777777" w:rsidR="00401AAF" w:rsidRPr="006272BD" w:rsidRDefault="00401AAF" w:rsidP="009A5287">
      <w:pPr>
        <w:pStyle w:val="SMcaption"/>
        <w:rPr>
          <w:rFonts w:ascii="Times New Roman" w:hAnsi="Times New Roman"/>
          <w:sz w:val="24"/>
          <w:szCs w:val="24"/>
        </w:rPr>
      </w:pPr>
    </w:p>
    <w:p w14:paraId="3B96FC8A" w14:textId="7589E5C9" w:rsidR="003E1980" w:rsidRPr="006272BD" w:rsidRDefault="003E1980" w:rsidP="009A5287">
      <w:pPr>
        <w:pStyle w:val="SMcaption"/>
        <w:rPr>
          <w:rFonts w:ascii="Times New Roman" w:hAnsi="Times New Roman"/>
          <w:sz w:val="24"/>
          <w:szCs w:val="24"/>
        </w:rPr>
      </w:pPr>
    </w:p>
    <w:p w14:paraId="2E86C09C" w14:textId="46414D73" w:rsidR="00C34F25" w:rsidRPr="006272BD" w:rsidRDefault="00747A92" w:rsidP="003A0E5B">
      <w:pPr>
        <w:pStyle w:val="Figurecaption"/>
        <w:rPr>
          <w:b/>
        </w:rPr>
      </w:pPr>
      <w:r>
        <w:rPr>
          <w:b/>
          <w:noProof/>
        </w:rPr>
        <w:drawing>
          <wp:inline distT="0" distB="0" distL="0" distR="0" wp14:anchorId="31CE77D0" wp14:editId="6077C014">
            <wp:extent cx="54864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C_SI_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14:paraId="5A9C4B79" w14:textId="52451150" w:rsidR="00717E6C" w:rsidRDefault="009F76FB" w:rsidP="003A0E5B">
      <w:pPr>
        <w:pStyle w:val="Figurecaption"/>
        <w:rPr>
          <w:lang w:val="en-US"/>
        </w:rPr>
      </w:pPr>
      <w:bookmarkStart w:id="1" w:name="_Ref526341128"/>
      <w:r w:rsidRPr="006272BD">
        <w:rPr>
          <w:b/>
        </w:rPr>
        <w:t>Figure S</w:t>
      </w:r>
      <w:bookmarkEnd w:id="1"/>
      <w:r w:rsidR="008518E0">
        <w:rPr>
          <w:b/>
        </w:rPr>
        <w:t>3</w:t>
      </w:r>
      <w:r w:rsidRPr="006272BD">
        <w:rPr>
          <w:b/>
        </w:rPr>
        <w:t>.</w:t>
      </w:r>
      <w:r w:rsidR="00920C01" w:rsidRPr="006272BD">
        <w:t xml:space="preserve"> </w:t>
      </w:r>
      <w:r w:rsidR="00C34F25" w:rsidRPr="006272BD">
        <w:t>INP Enrichment factors determined from measurements with the HINC</w:t>
      </w:r>
      <w:r w:rsidR="003E2B2C">
        <w:t xml:space="preserve">, FINCH and FRIDGE chambers </w:t>
      </w:r>
      <w:r w:rsidR="00C34F25" w:rsidRPr="006272BD">
        <w:t>plotted against the calculated cumulative fraction obtained for particles of 465 nm from OPS data.</w:t>
      </w:r>
      <w:r w:rsidR="00D666B6">
        <w:t xml:space="preserve"> </w:t>
      </w:r>
      <w:r w:rsidR="00D666B6">
        <w:rPr>
          <w:lang w:val="en-US"/>
        </w:rPr>
        <w:t>The uncertainties in the plot are one standard deviation values calculated for the vertical axis from the individual uncertainties of the INP</w:t>
      </w:r>
      <w:r w:rsidR="00717E6C">
        <w:rPr>
          <w:lang w:val="en-US"/>
        </w:rPr>
        <w:t xml:space="preserve"> </w:t>
      </w:r>
      <w:r w:rsidR="00D666B6">
        <w:rPr>
          <w:lang w:val="en-US"/>
        </w:rPr>
        <w:t xml:space="preserve"> </w:t>
      </w:r>
      <w:r w:rsidR="00717E6C">
        <w:rPr>
          <w:lang w:val="en-US"/>
        </w:rPr>
        <w:t xml:space="preserve"> </w:t>
      </w:r>
      <w:r w:rsidR="00717E6C" w:rsidRPr="00717E6C">
        <w:rPr>
          <w:lang w:val="en-US"/>
        </w:rPr>
        <w:t>m</w:t>
      </w:r>
      <w:r w:rsidR="00D666B6" w:rsidRPr="00717E6C">
        <w:rPr>
          <w:lang w:val="en-US"/>
        </w:rPr>
        <w:t>easurements and for the horizontal axis from</w:t>
      </w:r>
      <w:r w:rsidR="00B74DAD" w:rsidRPr="00717E6C">
        <w:rPr>
          <w:lang w:val="en-US"/>
        </w:rPr>
        <w:t xml:space="preserve"> the individual OPS measurements.</w:t>
      </w:r>
    </w:p>
    <w:p w14:paraId="0C6E0E28" w14:textId="66460617" w:rsidR="00717E6C" w:rsidRDefault="00717E6C">
      <w:pPr>
        <w:rPr>
          <w:rFonts w:ascii="Times New Roman" w:hAnsi="Times New Roman"/>
          <w:b/>
          <w:sz w:val="24"/>
          <w:szCs w:val="24"/>
          <w:lang w:val="en-GB" w:eastAsia="en-GB"/>
        </w:rPr>
      </w:pPr>
    </w:p>
    <w:p w14:paraId="16E75944" w14:textId="3EB6106A" w:rsidR="00C34F25" w:rsidRPr="006272BD" w:rsidRDefault="006530AA" w:rsidP="003A0E5B">
      <w:pPr>
        <w:pStyle w:val="Figurecaption"/>
        <w:rPr>
          <w:b/>
        </w:rPr>
      </w:pPr>
      <w:r>
        <w:rPr>
          <w:b/>
          <w:noProof/>
        </w:rPr>
        <w:lastRenderedPageBreak/>
        <w:drawing>
          <wp:inline distT="0" distB="0" distL="0" distR="0" wp14:anchorId="0F96E70B" wp14:editId="2AA5E161">
            <wp:extent cx="54864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C_SI_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14:paraId="2A13F00E" w14:textId="69A090FD" w:rsidR="00C34F25" w:rsidRPr="006272BD" w:rsidRDefault="00946724" w:rsidP="00946724">
      <w:pPr>
        <w:pStyle w:val="Figurecaption"/>
      </w:pPr>
      <w:bookmarkStart w:id="2" w:name="_Ref526341135"/>
      <w:r w:rsidRPr="006272BD">
        <w:rPr>
          <w:b/>
        </w:rPr>
        <w:t>Figure S</w:t>
      </w:r>
      <w:bookmarkEnd w:id="2"/>
      <w:r w:rsidR="008518E0">
        <w:rPr>
          <w:b/>
        </w:rPr>
        <w:t>4</w:t>
      </w:r>
      <w:r w:rsidRPr="006272BD">
        <w:rPr>
          <w:b/>
        </w:rPr>
        <w:t>.</w:t>
      </w:r>
      <w:r w:rsidRPr="006272BD">
        <w:t xml:space="preserve"> </w:t>
      </w:r>
      <w:r w:rsidR="00C34F25" w:rsidRPr="006272BD">
        <w:t>INP Enrichment factors determined from measurements with the HINC</w:t>
      </w:r>
      <w:r w:rsidR="003E2B2C">
        <w:t>, FINCH and FRIDGE</w:t>
      </w:r>
      <w:r w:rsidR="00C34F25" w:rsidRPr="006272BD">
        <w:t xml:space="preserve"> chamber</w:t>
      </w:r>
      <w:r w:rsidR="003E2B2C">
        <w:t>s</w:t>
      </w:r>
      <w:r w:rsidR="00C34F25" w:rsidRPr="006272BD">
        <w:t xml:space="preserve"> plotted against the calculated cumulative fraction obtained </w:t>
      </w:r>
      <w:r w:rsidR="00E3655B" w:rsidRPr="006272BD">
        <w:t>for particles of 721</w:t>
      </w:r>
      <w:r w:rsidR="00C34F25" w:rsidRPr="006272BD">
        <w:t xml:space="preserve"> nm from OPS data.</w:t>
      </w:r>
      <w:r w:rsidR="00B74DAD">
        <w:t xml:space="preserve"> Uncertainties as in Figure S4. </w:t>
      </w:r>
    </w:p>
    <w:p w14:paraId="0C828765" w14:textId="718E18FC" w:rsidR="00893CCA" w:rsidRPr="006272BD" w:rsidRDefault="00F94F7E" w:rsidP="00F94F7E">
      <w:pPr>
        <w:pStyle w:val="Figurecaption"/>
        <w:rPr>
          <w:b/>
        </w:rPr>
      </w:pPr>
      <w:r>
        <w:rPr>
          <w:noProof/>
          <w:lang w:val="en-CA" w:eastAsia="en-CA"/>
        </w:rPr>
        <w:drawing>
          <wp:inline distT="0" distB="0" distL="0" distR="0" wp14:anchorId="1179F5E0" wp14:editId="00711753">
            <wp:extent cx="2657373" cy="20685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352" cy="2078670"/>
                    </a:xfrm>
                    <a:prstGeom prst="rect">
                      <a:avLst/>
                    </a:prstGeom>
                    <a:noFill/>
                    <a:ln>
                      <a:noFill/>
                    </a:ln>
                  </pic:spPr>
                </pic:pic>
              </a:graphicData>
            </a:graphic>
          </wp:inline>
        </w:drawing>
      </w:r>
      <w:r w:rsidR="006E379D" w:rsidRPr="006272BD">
        <w:rPr>
          <w:noProof/>
          <w:lang w:val="en-CA" w:eastAsia="en-CA"/>
        </w:rPr>
        <w:drawing>
          <wp:inline distT="0" distB="0" distL="0" distR="0" wp14:anchorId="239630CC" wp14:editId="50B6075C">
            <wp:extent cx="2732797" cy="212651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6233" cy="2129186"/>
                    </a:xfrm>
                    <a:prstGeom prst="rect">
                      <a:avLst/>
                    </a:prstGeom>
                    <a:noFill/>
                    <a:ln>
                      <a:noFill/>
                    </a:ln>
                  </pic:spPr>
                </pic:pic>
              </a:graphicData>
            </a:graphic>
          </wp:inline>
        </w:drawing>
      </w:r>
    </w:p>
    <w:p w14:paraId="2DCD3A9D" w14:textId="4FE73BFC" w:rsidR="002157F6" w:rsidRPr="006272BD" w:rsidRDefault="00946724" w:rsidP="00946724">
      <w:pPr>
        <w:pStyle w:val="Figurecaption"/>
        <w:rPr>
          <w:b/>
        </w:rPr>
      </w:pPr>
      <w:bookmarkStart w:id="3" w:name="_Ref526341159"/>
      <w:r w:rsidRPr="006272BD">
        <w:rPr>
          <w:b/>
        </w:rPr>
        <w:t>Figure S</w:t>
      </w:r>
      <w:bookmarkEnd w:id="3"/>
      <w:r w:rsidR="008518E0">
        <w:rPr>
          <w:b/>
        </w:rPr>
        <w:t>5</w:t>
      </w:r>
      <w:r w:rsidR="0034655D" w:rsidRPr="006272BD">
        <w:t xml:space="preserve"> </w:t>
      </w:r>
      <w:r w:rsidR="00F429BA" w:rsidRPr="006272BD">
        <w:t xml:space="preserve">(a) Ambient particle </w:t>
      </w:r>
      <w:r w:rsidR="004F5FA2">
        <w:t xml:space="preserve">number </w:t>
      </w:r>
      <w:r w:rsidR="00F429BA" w:rsidRPr="006272BD">
        <w:t>size distribution</w:t>
      </w:r>
      <w:r w:rsidR="00C115E1" w:rsidRPr="006272BD">
        <w:t>s</w:t>
      </w:r>
      <w:r w:rsidR="00F429BA" w:rsidRPr="006272BD">
        <w:t xml:space="preserve"> at the </w:t>
      </w:r>
      <w:proofErr w:type="gramStart"/>
      <w:r w:rsidR="00233159" w:rsidRPr="006272BD">
        <w:t>high altitude</w:t>
      </w:r>
      <w:proofErr w:type="gramEnd"/>
      <w:r w:rsidR="00233159" w:rsidRPr="006272BD">
        <w:t xml:space="preserve"> station </w:t>
      </w:r>
      <w:r w:rsidR="00F429BA" w:rsidRPr="006272BD">
        <w:t>for a time</w:t>
      </w:r>
      <w:r w:rsidR="00264D40">
        <w:t xml:space="preserve"> (Case 1)</w:t>
      </w:r>
      <w:r w:rsidR="00F429BA" w:rsidRPr="006272BD">
        <w:t xml:space="preserve"> when the calculated cumulative fraction (CF) </w:t>
      </w:r>
      <w:r w:rsidR="00214596">
        <w:t>fo</w:t>
      </w:r>
      <w:r w:rsidR="00214596" w:rsidRPr="0096351B">
        <w:t xml:space="preserve">r </w:t>
      </w:r>
      <w:r w:rsidR="0096351B" w:rsidRPr="0096351B">
        <w:t>579</w:t>
      </w:r>
      <w:r w:rsidR="00214596">
        <w:t xml:space="preserve"> nm particles </w:t>
      </w:r>
      <w:r w:rsidR="00F429BA" w:rsidRPr="006272BD">
        <w:t xml:space="preserve">is above 0.95 </w:t>
      </w:r>
      <w:r w:rsidR="007344A9" w:rsidRPr="006272BD">
        <w:t xml:space="preserve">(10.02.2017 13:21 to 14:15) </w:t>
      </w:r>
      <w:r w:rsidR="00F429BA" w:rsidRPr="006272BD">
        <w:t>and for a</w:t>
      </w:r>
      <w:r w:rsidR="00264D40">
        <w:t>nother</w:t>
      </w:r>
      <w:r w:rsidR="00F429BA" w:rsidRPr="006272BD">
        <w:t xml:space="preserve"> time </w:t>
      </w:r>
      <w:r w:rsidR="00264D40">
        <w:t xml:space="preserve">(Case 2) </w:t>
      </w:r>
      <w:r w:rsidR="00F429BA" w:rsidRPr="006272BD">
        <w:t xml:space="preserve">with CF </w:t>
      </w:r>
      <w:r w:rsidR="00214596">
        <w:t xml:space="preserve">for this particle size </w:t>
      </w:r>
      <w:r w:rsidR="00F429BA" w:rsidRPr="006272BD">
        <w:t>below 0.95</w:t>
      </w:r>
      <w:r w:rsidR="007344A9" w:rsidRPr="006272BD">
        <w:t xml:space="preserve"> (16.02.2017 17:16 to 18:09)</w:t>
      </w:r>
      <w:r w:rsidR="00F429BA" w:rsidRPr="006272BD">
        <w:t>.</w:t>
      </w:r>
      <w:r w:rsidR="00EE4FB1" w:rsidRPr="006272BD">
        <w:t xml:space="preserve">  The INP HINC enrichment factor for </w:t>
      </w:r>
      <w:r w:rsidR="00264D40">
        <w:t xml:space="preserve">Case 1 </w:t>
      </w:r>
      <w:r w:rsidR="00EE4FB1" w:rsidRPr="006272BD">
        <w:t xml:space="preserve">with CF &gt; 0.95 was </w:t>
      </w:r>
      <w:r w:rsidR="009D5246" w:rsidRPr="006272BD">
        <w:t>1</w:t>
      </w:r>
      <w:r w:rsidR="00EE4FB1" w:rsidRPr="006272BD">
        <w:t xml:space="preserve"> and for</w:t>
      </w:r>
      <w:r w:rsidR="00264D40">
        <w:t xml:space="preserve"> Case 2 with</w:t>
      </w:r>
      <w:r w:rsidR="00EE4FB1" w:rsidRPr="006272BD">
        <w:t xml:space="preserve"> CF &lt; 0.95</w:t>
      </w:r>
      <w:r w:rsidR="001D325C">
        <w:t xml:space="preserve"> was 20</w:t>
      </w:r>
      <w:r w:rsidR="00EE4FB1" w:rsidRPr="006272BD">
        <w:t>.</w:t>
      </w:r>
      <w:r w:rsidR="00D708E8" w:rsidRPr="006272BD">
        <w:t xml:space="preserve"> </w:t>
      </w:r>
      <w:r w:rsidR="00F429BA" w:rsidRPr="006272BD">
        <w:t>(b) Cumulative fractions</w:t>
      </w:r>
      <w:r w:rsidR="00D708E8" w:rsidRPr="006272BD">
        <w:t xml:space="preserve"> as a function of particle diameter</w:t>
      </w:r>
      <w:r w:rsidR="00F429BA" w:rsidRPr="006272BD">
        <w:t xml:space="preserve"> for both cases calculated from OPS measurements. </w:t>
      </w:r>
    </w:p>
    <w:p w14:paraId="25356696" w14:textId="2A2E77BA" w:rsidR="00C75DE7" w:rsidRPr="006272BD" w:rsidRDefault="00917F12" w:rsidP="003E1980">
      <w:pPr>
        <w:pStyle w:val="SMHeading"/>
        <w:rPr>
          <w:rFonts w:ascii="Times New Roman" w:hAnsi="Times New Roman"/>
          <w:b w:val="0"/>
          <w:sz w:val="24"/>
        </w:rPr>
      </w:pPr>
      <w:r>
        <w:rPr>
          <w:rFonts w:ascii="Times New Roman" w:hAnsi="Times New Roman"/>
          <w:b w:val="0"/>
          <w:noProof/>
          <w:sz w:val="24"/>
          <w:lang w:val="en-CA" w:eastAsia="en-CA"/>
        </w:rPr>
        <w:lastRenderedPageBreak/>
        <w:drawing>
          <wp:inline distT="0" distB="0" distL="0" distR="0" wp14:anchorId="2CCFEAF4" wp14:editId="4E725CC7">
            <wp:extent cx="5486400" cy="2611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PC_SI_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2611755"/>
                    </a:xfrm>
                    <a:prstGeom prst="rect">
                      <a:avLst/>
                    </a:prstGeom>
                  </pic:spPr>
                </pic:pic>
              </a:graphicData>
            </a:graphic>
          </wp:inline>
        </w:drawing>
      </w:r>
    </w:p>
    <w:p w14:paraId="355D3E84" w14:textId="74F518F9" w:rsidR="0013236F" w:rsidRPr="006272BD" w:rsidRDefault="009B1D3F" w:rsidP="00717E6C">
      <w:pPr>
        <w:pStyle w:val="Figurecaption"/>
      </w:pPr>
      <w:bookmarkStart w:id="4" w:name="_Ref526341172"/>
      <w:r w:rsidRPr="006272BD">
        <w:rPr>
          <w:b/>
        </w:rPr>
        <w:t>Figure S</w:t>
      </w:r>
      <w:bookmarkEnd w:id="4"/>
      <w:r w:rsidR="008518E0">
        <w:rPr>
          <w:b/>
        </w:rPr>
        <w:t>6</w:t>
      </w:r>
      <w:r w:rsidR="00870182" w:rsidRPr="006272BD">
        <w:rPr>
          <w:b/>
        </w:rPr>
        <w:t>.</w:t>
      </w:r>
      <w:r w:rsidR="00870182" w:rsidRPr="006272BD">
        <w:t xml:space="preserve"> </w:t>
      </w:r>
      <w:r w:rsidR="00276EB2" w:rsidRPr="006272BD">
        <w:t>Timeseries of AMS measurements.</w:t>
      </w:r>
      <w:r w:rsidR="002157F6" w:rsidRPr="006272BD">
        <w:t xml:space="preserve"> </w:t>
      </w:r>
      <w:r w:rsidR="009675D8" w:rsidRPr="006272BD">
        <w:t xml:space="preserve">The times selected and the </w:t>
      </w:r>
      <w:r w:rsidR="008D2FF0" w:rsidRPr="006272BD">
        <w:t xml:space="preserve">corresponding </w:t>
      </w:r>
      <w:r w:rsidR="00214596">
        <w:t xml:space="preserve">AMS </w:t>
      </w:r>
      <w:r w:rsidR="008D2FF0" w:rsidRPr="006272BD">
        <w:t xml:space="preserve">EFs are presented in the table below. </w:t>
      </w:r>
      <w:r w:rsidR="00E0748B">
        <w:t xml:space="preserve">Sum AMS refers to the summed mass concentrations. </w:t>
      </w:r>
    </w:p>
    <w:p w14:paraId="76B497B0" w14:textId="7E2E69E3" w:rsidR="0055375F" w:rsidRPr="006272BD" w:rsidRDefault="0082607F" w:rsidP="0082607F">
      <w:pPr>
        <w:pStyle w:val="Figurecaption"/>
      </w:pPr>
      <w:bookmarkStart w:id="5" w:name="_Ref526341181"/>
      <w:r w:rsidRPr="006272BD">
        <w:rPr>
          <w:b/>
        </w:rPr>
        <w:t>Table S</w:t>
      </w:r>
      <w:r w:rsidRPr="006272BD">
        <w:rPr>
          <w:b/>
        </w:rPr>
        <w:fldChar w:fldCharType="begin"/>
      </w:r>
      <w:r w:rsidRPr="006272BD">
        <w:rPr>
          <w:b/>
        </w:rPr>
        <w:instrText xml:space="preserve"> SEQ Table_S \* ARABIC </w:instrText>
      </w:r>
      <w:r w:rsidRPr="006272BD">
        <w:rPr>
          <w:b/>
        </w:rPr>
        <w:fldChar w:fldCharType="separate"/>
      </w:r>
      <w:r w:rsidR="0042314B">
        <w:rPr>
          <w:b/>
          <w:noProof/>
        </w:rPr>
        <w:t>1</w:t>
      </w:r>
      <w:r w:rsidRPr="006272BD">
        <w:rPr>
          <w:b/>
        </w:rPr>
        <w:fldChar w:fldCharType="end"/>
      </w:r>
      <w:r w:rsidR="009B1D3F" w:rsidRPr="006272BD">
        <w:rPr>
          <w:b/>
        </w:rPr>
        <w:t>.</w:t>
      </w:r>
      <w:r w:rsidR="009B1D3F" w:rsidRPr="006272BD">
        <w:t xml:space="preserve"> </w:t>
      </w:r>
      <w:r w:rsidR="0055375F" w:rsidRPr="006272BD">
        <w:t>Time periods of AMS measurements on February 18</w:t>
      </w:r>
      <w:r w:rsidR="0055375F" w:rsidRPr="006272BD">
        <w:rPr>
          <w:vertAlign w:val="superscript"/>
        </w:rPr>
        <w:t>th</w:t>
      </w:r>
      <w:r w:rsidR="001C48C7" w:rsidRPr="006272BD">
        <w:t>, 201</w:t>
      </w:r>
      <w:r w:rsidR="00067FFB">
        <w:t>7</w:t>
      </w:r>
      <w:r w:rsidR="0055375F" w:rsidRPr="006272BD">
        <w:t xml:space="preserve"> and corresponding calculated EFs.</w:t>
      </w:r>
      <w:bookmarkEnd w:id="5"/>
    </w:p>
    <w:tbl>
      <w:tblPr>
        <w:tblStyle w:val="PlainTable3"/>
        <w:tblW w:w="8222" w:type="dxa"/>
        <w:tblLook w:val="0420" w:firstRow="1" w:lastRow="0" w:firstColumn="0" w:lastColumn="0" w:noHBand="0" w:noVBand="1"/>
      </w:tblPr>
      <w:tblGrid>
        <w:gridCol w:w="1165"/>
        <w:gridCol w:w="2521"/>
        <w:gridCol w:w="1984"/>
        <w:gridCol w:w="2552"/>
      </w:tblGrid>
      <w:tr w:rsidR="009E71A6" w:rsidRPr="006272BD" w14:paraId="75DB1BD7" w14:textId="77777777" w:rsidTr="0013236F">
        <w:trPr>
          <w:cnfStyle w:val="100000000000" w:firstRow="1" w:lastRow="0" w:firstColumn="0" w:lastColumn="0" w:oddVBand="0" w:evenVBand="0" w:oddHBand="0" w:evenHBand="0" w:firstRowFirstColumn="0" w:firstRowLastColumn="0" w:lastRowFirstColumn="0" w:lastRowLastColumn="0"/>
          <w:trHeight w:val="260"/>
        </w:trPr>
        <w:tc>
          <w:tcPr>
            <w:tcW w:w="1165" w:type="dxa"/>
            <w:tcBorders>
              <w:bottom w:val="single" w:sz="4" w:space="0" w:color="auto"/>
            </w:tcBorders>
          </w:tcPr>
          <w:p w14:paraId="5884C835" w14:textId="77777777" w:rsidR="009E71A6" w:rsidRPr="006272BD" w:rsidRDefault="009E71A6" w:rsidP="0017150B">
            <w:pPr>
              <w:rPr>
                <w:rFonts w:ascii="Times New Roman" w:hAnsi="Times New Roman" w:cs="Times New Roman"/>
                <w:sz w:val="24"/>
                <w:szCs w:val="24"/>
              </w:rPr>
            </w:pPr>
          </w:p>
        </w:tc>
        <w:tc>
          <w:tcPr>
            <w:tcW w:w="2521" w:type="dxa"/>
            <w:tcBorders>
              <w:bottom w:val="single" w:sz="4" w:space="0" w:color="auto"/>
            </w:tcBorders>
          </w:tcPr>
          <w:p w14:paraId="790190FC" w14:textId="77777777" w:rsidR="009E71A6" w:rsidRPr="006272BD" w:rsidRDefault="009E71A6" w:rsidP="0017150B">
            <w:pPr>
              <w:rPr>
                <w:rFonts w:ascii="Times New Roman" w:hAnsi="Times New Roman" w:cs="Times New Roman"/>
                <w:sz w:val="24"/>
                <w:szCs w:val="24"/>
              </w:rPr>
            </w:pPr>
          </w:p>
        </w:tc>
        <w:tc>
          <w:tcPr>
            <w:tcW w:w="1984" w:type="dxa"/>
            <w:tcBorders>
              <w:bottom w:val="single" w:sz="4" w:space="0" w:color="auto"/>
            </w:tcBorders>
          </w:tcPr>
          <w:p w14:paraId="4C241DCA"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EF #2</w:t>
            </w:r>
          </w:p>
        </w:tc>
        <w:tc>
          <w:tcPr>
            <w:tcW w:w="2552" w:type="dxa"/>
            <w:tcBorders>
              <w:bottom w:val="single" w:sz="4" w:space="0" w:color="auto"/>
            </w:tcBorders>
          </w:tcPr>
          <w:p w14:paraId="2097AD2B" w14:textId="77777777" w:rsidR="009E71A6" w:rsidRPr="006272BD" w:rsidRDefault="009E71A6" w:rsidP="0017150B">
            <w:pPr>
              <w:rPr>
                <w:rFonts w:ascii="Times New Roman" w:hAnsi="Times New Roman" w:cs="Times New Roman"/>
                <w:b w:val="0"/>
                <w:bCs w:val="0"/>
                <w:caps w:val="0"/>
                <w:sz w:val="24"/>
                <w:szCs w:val="24"/>
              </w:rPr>
            </w:pPr>
            <w:r w:rsidRPr="006272BD">
              <w:rPr>
                <w:rFonts w:ascii="Times New Roman" w:hAnsi="Times New Roman" w:cs="Times New Roman"/>
                <w:sz w:val="24"/>
                <w:szCs w:val="24"/>
              </w:rPr>
              <w:t>EF #3</w:t>
            </w:r>
          </w:p>
        </w:tc>
      </w:tr>
      <w:tr w:rsidR="009E71A6" w:rsidRPr="006272BD" w14:paraId="11DA0A41" w14:textId="77777777" w:rsidTr="0013236F">
        <w:trPr>
          <w:cnfStyle w:val="000000100000" w:firstRow="0" w:lastRow="0" w:firstColumn="0" w:lastColumn="0" w:oddVBand="0" w:evenVBand="0" w:oddHBand="1" w:evenHBand="0" w:firstRowFirstColumn="0" w:firstRowLastColumn="0" w:lastRowFirstColumn="0" w:lastRowLastColumn="0"/>
          <w:trHeight w:val="260"/>
        </w:trPr>
        <w:tc>
          <w:tcPr>
            <w:tcW w:w="1165" w:type="dxa"/>
            <w:tcBorders>
              <w:top w:val="single" w:sz="4" w:space="0" w:color="auto"/>
            </w:tcBorders>
          </w:tcPr>
          <w:p w14:paraId="71C80369" w14:textId="77777777" w:rsidR="009E71A6" w:rsidRPr="006272BD" w:rsidRDefault="009E71A6" w:rsidP="0017150B">
            <w:pPr>
              <w:rPr>
                <w:rFonts w:ascii="Times New Roman" w:hAnsi="Times New Roman" w:cs="Times New Roman"/>
                <w:sz w:val="24"/>
                <w:szCs w:val="24"/>
              </w:rPr>
            </w:pPr>
          </w:p>
        </w:tc>
        <w:tc>
          <w:tcPr>
            <w:tcW w:w="2521" w:type="dxa"/>
            <w:tcBorders>
              <w:top w:val="single" w:sz="4" w:space="0" w:color="auto"/>
            </w:tcBorders>
          </w:tcPr>
          <w:p w14:paraId="2137BA2C" w14:textId="77777777" w:rsidR="009E71A6" w:rsidRPr="006272BD" w:rsidRDefault="009E71A6" w:rsidP="0017150B">
            <w:pPr>
              <w:rPr>
                <w:rFonts w:ascii="Times New Roman" w:hAnsi="Times New Roman" w:cs="Times New Roman"/>
                <w:sz w:val="24"/>
                <w:szCs w:val="24"/>
              </w:rPr>
            </w:pPr>
            <w:proofErr w:type="gramStart"/>
            <w:r w:rsidRPr="006272BD">
              <w:rPr>
                <w:rFonts w:ascii="Times New Roman" w:hAnsi="Times New Roman" w:cs="Times New Roman"/>
                <w:sz w:val="24"/>
                <w:szCs w:val="24"/>
              </w:rPr>
              <w:t>Time period</w:t>
            </w:r>
            <w:proofErr w:type="gramEnd"/>
            <w:r w:rsidRPr="006272BD">
              <w:rPr>
                <w:rFonts w:ascii="Times New Roman" w:hAnsi="Times New Roman" w:cs="Times New Roman"/>
                <w:sz w:val="24"/>
                <w:szCs w:val="24"/>
              </w:rPr>
              <w:t xml:space="preserve"> total inlet</w:t>
            </w:r>
          </w:p>
        </w:tc>
        <w:tc>
          <w:tcPr>
            <w:tcW w:w="1984" w:type="dxa"/>
            <w:tcBorders>
              <w:top w:val="single" w:sz="4" w:space="0" w:color="auto"/>
            </w:tcBorders>
          </w:tcPr>
          <w:p w14:paraId="71EDFA88"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13:02 – 13:12</w:t>
            </w:r>
          </w:p>
        </w:tc>
        <w:tc>
          <w:tcPr>
            <w:tcW w:w="2552" w:type="dxa"/>
            <w:tcBorders>
              <w:top w:val="single" w:sz="4" w:space="0" w:color="auto"/>
            </w:tcBorders>
          </w:tcPr>
          <w:p w14:paraId="51B1175C"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14:14 – 14:24</w:t>
            </w:r>
          </w:p>
        </w:tc>
      </w:tr>
      <w:tr w:rsidR="009E71A6" w:rsidRPr="006272BD" w14:paraId="7D9FC7F3" w14:textId="77777777" w:rsidTr="0013236F">
        <w:trPr>
          <w:trHeight w:val="251"/>
        </w:trPr>
        <w:tc>
          <w:tcPr>
            <w:tcW w:w="1165" w:type="dxa"/>
            <w:tcBorders>
              <w:bottom w:val="single" w:sz="4" w:space="0" w:color="auto"/>
            </w:tcBorders>
          </w:tcPr>
          <w:p w14:paraId="74C80D51" w14:textId="77777777" w:rsidR="009E71A6" w:rsidRPr="006272BD" w:rsidRDefault="009E71A6" w:rsidP="0017150B">
            <w:pPr>
              <w:rPr>
                <w:rFonts w:ascii="Times New Roman" w:hAnsi="Times New Roman" w:cs="Times New Roman"/>
                <w:sz w:val="24"/>
                <w:szCs w:val="24"/>
              </w:rPr>
            </w:pPr>
          </w:p>
        </w:tc>
        <w:tc>
          <w:tcPr>
            <w:tcW w:w="2521" w:type="dxa"/>
            <w:tcBorders>
              <w:bottom w:val="single" w:sz="4" w:space="0" w:color="auto"/>
            </w:tcBorders>
          </w:tcPr>
          <w:p w14:paraId="39B3D4FC" w14:textId="7BB2F056" w:rsidR="009E71A6" w:rsidRPr="006272BD" w:rsidRDefault="009E71A6" w:rsidP="0017150B">
            <w:pPr>
              <w:rPr>
                <w:rFonts w:ascii="Times New Roman" w:hAnsi="Times New Roman" w:cs="Times New Roman"/>
                <w:sz w:val="24"/>
                <w:szCs w:val="24"/>
              </w:rPr>
            </w:pPr>
            <w:proofErr w:type="gramStart"/>
            <w:r w:rsidRPr="006272BD">
              <w:rPr>
                <w:rFonts w:ascii="Times New Roman" w:hAnsi="Times New Roman" w:cs="Times New Roman"/>
                <w:sz w:val="24"/>
                <w:szCs w:val="24"/>
              </w:rPr>
              <w:t>Time period</w:t>
            </w:r>
            <w:proofErr w:type="gramEnd"/>
            <w:r w:rsidRPr="006272BD">
              <w:rPr>
                <w:rFonts w:ascii="Times New Roman" w:hAnsi="Times New Roman" w:cs="Times New Roman"/>
                <w:sz w:val="24"/>
                <w:szCs w:val="24"/>
              </w:rPr>
              <w:t xml:space="preserve"> P</w:t>
            </w:r>
            <w:r w:rsidR="00C6593D">
              <w:rPr>
                <w:rFonts w:ascii="Times New Roman" w:hAnsi="Times New Roman" w:cs="Times New Roman"/>
                <w:sz w:val="24"/>
                <w:szCs w:val="24"/>
              </w:rPr>
              <w:t>F</w:t>
            </w:r>
            <w:r w:rsidRPr="006272BD">
              <w:rPr>
                <w:rFonts w:ascii="Times New Roman" w:hAnsi="Times New Roman" w:cs="Times New Roman"/>
                <w:sz w:val="24"/>
                <w:szCs w:val="24"/>
              </w:rPr>
              <w:t>PC</w:t>
            </w:r>
          </w:p>
        </w:tc>
        <w:tc>
          <w:tcPr>
            <w:tcW w:w="1984" w:type="dxa"/>
            <w:tcBorders>
              <w:bottom w:val="single" w:sz="4" w:space="0" w:color="auto"/>
            </w:tcBorders>
          </w:tcPr>
          <w:p w14:paraId="42FEAB6D"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12:52 – 13:02</w:t>
            </w:r>
          </w:p>
        </w:tc>
        <w:tc>
          <w:tcPr>
            <w:tcW w:w="2552" w:type="dxa"/>
            <w:tcBorders>
              <w:bottom w:val="single" w:sz="4" w:space="0" w:color="auto"/>
            </w:tcBorders>
          </w:tcPr>
          <w:p w14:paraId="3F03534F"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14:24 – 14:34</w:t>
            </w:r>
          </w:p>
        </w:tc>
      </w:tr>
      <w:tr w:rsidR="009E71A6" w:rsidRPr="006272BD" w14:paraId="38348585" w14:textId="77777777" w:rsidTr="0013236F">
        <w:trPr>
          <w:cnfStyle w:val="000000100000" w:firstRow="0" w:lastRow="0" w:firstColumn="0" w:lastColumn="0" w:oddVBand="0" w:evenVBand="0" w:oddHBand="1" w:evenHBand="0" w:firstRowFirstColumn="0" w:firstRowLastColumn="0" w:lastRowFirstColumn="0" w:lastRowLastColumn="0"/>
          <w:trHeight w:val="260"/>
        </w:trPr>
        <w:tc>
          <w:tcPr>
            <w:tcW w:w="1165" w:type="dxa"/>
            <w:tcBorders>
              <w:top w:val="single" w:sz="4" w:space="0" w:color="auto"/>
            </w:tcBorders>
          </w:tcPr>
          <w:p w14:paraId="75C6B5B4"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Organics</w:t>
            </w:r>
          </w:p>
        </w:tc>
        <w:tc>
          <w:tcPr>
            <w:tcW w:w="2521" w:type="dxa"/>
            <w:tcBorders>
              <w:top w:val="single" w:sz="4" w:space="0" w:color="auto"/>
            </w:tcBorders>
          </w:tcPr>
          <w:p w14:paraId="6335A11E" w14:textId="77777777" w:rsidR="009E71A6" w:rsidRPr="006272BD" w:rsidRDefault="009E71A6" w:rsidP="0017150B">
            <w:pPr>
              <w:rPr>
                <w:rFonts w:ascii="Times New Roman" w:hAnsi="Times New Roman" w:cs="Times New Roman"/>
                <w:sz w:val="24"/>
                <w:szCs w:val="24"/>
              </w:rPr>
            </w:pPr>
          </w:p>
        </w:tc>
        <w:tc>
          <w:tcPr>
            <w:tcW w:w="1984" w:type="dxa"/>
            <w:tcBorders>
              <w:top w:val="single" w:sz="4" w:space="0" w:color="auto"/>
            </w:tcBorders>
          </w:tcPr>
          <w:p w14:paraId="1B72D6F0"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3.7</w:t>
            </w:r>
          </w:p>
        </w:tc>
        <w:tc>
          <w:tcPr>
            <w:tcW w:w="2552" w:type="dxa"/>
            <w:tcBorders>
              <w:top w:val="single" w:sz="4" w:space="0" w:color="auto"/>
            </w:tcBorders>
          </w:tcPr>
          <w:p w14:paraId="1FAC8344"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7.0</w:t>
            </w:r>
          </w:p>
        </w:tc>
      </w:tr>
      <w:tr w:rsidR="009E71A6" w:rsidRPr="006272BD" w14:paraId="5ED1976B" w14:textId="77777777" w:rsidTr="0013236F">
        <w:trPr>
          <w:trHeight w:val="260"/>
        </w:trPr>
        <w:tc>
          <w:tcPr>
            <w:tcW w:w="1165" w:type="dxa"/>
          </w:tcPr>
          <w:p w14:paraId="51F31389" w14:textId="60FF68CC" w:rsidR="009E71A6" w:rsidRPr="006272BD" w:rsidRDefault="00264D40" w:rsidP="0017150B">
            <w:pPr>
              <w:rPr>
                <w:rFonts w:ascii="Times New Roman" w:hAnsi="Times New Roman" w:cs="Times New Roman"/>
                <w:sz w:val="24"/>
                <w:szCs w:val="24"/>
              </w:rPr>
            </w:pPr>
            <w:r>
              <w:rPr>
                <w:rFonts w:ascii="Times New Roman" w:hAnsi="Times New Roman" w:cs="Times New Roman"/>
                <w:sz w:val="24"/>
                <w:szCs w:val="24"/>
              </w:rPr>
              <w:t>Sulfate</w:t>
            </w:r>
          </w:p>
        </w:tc>
        <w:tc>
          <w:tcPr>
            <w:tcW w:w="2521" w:type="dxa"/>
          </w:tcPr>
          <w:p w14:paraId="75414EE6" w14:textId="77777777" w:rsidR="009E71A6" w:rsidRPr="006272BD" w:rsidRDefault="009E71A6" w:rsidP="0017150B">
            <w:pPr>
              <w:rPr>
                <w:rFonts w:ascii="Times New Roman" w:hAnsi="Times New Roman" w:cs="Times New Roman"/>
                <w:sz w:val="24"/>
                <w:szCs w:val="24"/>
              </w:rPr>
            </w:pPr>
          </w:p>
        </w:tc>
        <w:tc>
          <w:tcPr>
            <w:tcW w:w="1984" w:type="dxa"/>
          </w:tcPr>
          <w:p w14:paraId="657CCF7A"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9.1</w:t>
            </w:r>
          </w:p>
        </w:tc>
        <w:tc>
          <w:tcPr>
            <w:tcW w:w="2552" w:type="dxa"/>
          </w:tcPr>
          <w:p w14:paraId="00307A54" w14:textId="77777777" w:rsidR="009E71A6" w:rsidRPr="006272BD" w:rsidRDefault="009E71A6" w:rsidP="0017150B">
            <w:pPr>
              <w:rPr>
                <w:rFonts w:ascii="Times New Roman" w:hAnsi="Times New Roman" w:cs="Times New Roman"/>
                <w:sz w:val="24"/>
                <w:szCs w:val="24"/>
              </w:rPr>
            </w:pPr>
            <w:r w:rsidRPr="006272BD">
              <w:rPr>
                <w:rFonts w:ascii="Times New Roman" w:hAnsi="Times New Roman" w:cs="Times New Roman"/>
                <w:sz w:val="24"/>
                <w:szCs w:val="24"/>
              </w:rPr>
              <w:t>7.2</w:t>
            </w:r>
          </w:p>
        </w:tc>
      </w:tr>
    </w:tbl>
    <w:p w14:paraId="03081384" w14:textId="77777777" w:rsidR="00CF007B" w:rsidRDefault="00CF007B" w:rsidP="00120BB5">
      <w:pPr>
        <w:pStyle w:val="SMHeading"/>
        <w:spacing w:before="0"/>
        <w:rPr>
          <w:rFonts w:ascii="Times New Roman" w:hAnsi="Times New Roman"/>
          <w:b w:val="0"/>
          <w:sz w:val="24"/>
        </w:rPr>
      </w:pPr>
    </w:p>
    <w:p w14:paraId="458C76CB" w14:textId="7A12F87F" w:rsidR="003B604B" w:rsidRPr="006272BD" w:rsidRDefault="00686DAF" w:rsidP="00CF007B">
      <w:pPr>
        <w:pStyle w:val="SMHeading"/>
        <w:spacing w:before="0"/>
        <w:jc w:val="center"/>
        <w:rPr>
          <w:rFonts w:ascii="Times New Roman" w:hAnsi="Times New Roman"/>
          <w:b w:val="0"/>
          <w:sz w:val="24"/>
        </w:rPr>
      </w:pPr>
      <w:r>
        <w:rPr>
          <w:rFonts w:ascii="Times New Roman" w:hAnsi="Times New Roman"/>
          <w:b w:val="0"/>
          <w:noProof/>
          <w:sz w:val="24"/>
        </w:rPr>
        <w:drawing>
          <wp:inline distT="0" distB="0" distL="0" distR="0" wp14:anchorId="586A2488" wp14:editId="69AF8CA0">
            <wp:extent cx="4761185" cy="2380593"/>
            <wp:effectExtent l="0" t="0" r="190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PC_SI_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75259" cy="2387630"/>
                    </a:xfrm>
                    <a:prstGeom prst="rect">
                      <a:avLst/>
                    </a:prstGeom>
                  </pic:spPr>
                </pic:pic>
              </a:graphicData>
            </a:graphic>
          </wp:inline>
        </w:drawing>
      </w:r>
    </w:p>
    <w:p w14:paraId="719AE3C8" w14:textId="79CBEDE8" w:rsidR="009F257C" w:rsidRPr="006272BD" w:rsidRDefault="00870182" w:rsidP="00287E41">
      <w:pPr>
        <w:pStyle w:val="Figurecaption"/>
        <w:rPr>
          <w:b/>
        </w:rPr>
      </w:pPr>
      <w:bookmarkStart w:id="6" w:name="_Ref526341320"/>
      <w:bookmarkStart w:id="7" w:name="_Ref526341196"/>
      <w:r w:rsidRPr="006272BD">
        <w:rPr>
          <w:b/>
        </w:rPr>
        <w:t>Figure S</w:t>
      </w:r>
      <w:bookmarkEnd w:id="6"/>
      <w:r w:rsidR="008518E0">
        <w:rPr>
          <w:b/>
        </w:rPr>
        <w:t>7</w:t>
      </w:r>
      <w:r w:rsidR="00894138">
        <w:rPr>
          <w:b/>
        </w:rPr>
        <w:t>.</w:t>
      </w:r>
      <w:r w:rsidR="0034655D" w:rsidRPr="006272BD">
        <w:t xml:space="preserve"> </w:t>
      </w:r>
      <w:r w:rsidR="009F257C" w:rsidRPr="006272BD">
        <w:t>AMS mass distribution</w:t>
      </w:r>
      <w:r w:rsidR="009642D7" w:rsidRPr="006272BD">
        <w:t xml:space="preserve"> </w:t>
      </w:r>
      <w:r w:rsidR="006D6E06">
        <w:t xml:space="preserve">as a function of size </w:t>
      </w:r>
      <w:r w:rsidR="009642D7" w:rsidRPr="006272BD">
        <w:t>d</w:t>
      </w:r>
      <w:r w:rsidR="00F429BA" w:rsidRPr="006272BD">
        <w:t>uring measurement downstream of</w:t>
      </w:r>
      <w:r w:rsidR="009642D7" w:rsidRPr="006272BD">
        <w:t xml:space="preserve"> the P</w:t>
      </w:r>
      <w:r w:rsidR="00C6593D">
        <w:t>F</w:t>
      </w:r>
      <w:r w:rsidR="009642D7" w:rsidRPr="006272BD">
        <w:t>PC from 11:22 to 13:02</w:t>
      </w:r>
      <w:r w:rsidR="009F257C" w:rsidRPr="006272BD">
        <w:t>.</w:t>
      </w:r>
      <w:bookmarkEnd w:id="7"/>
      <w:r w:rsidR="009642D7" w:rsidRPr="006272BD">
        <w:t xml:space="preserve"> </w:t>
      </w:r>
      <w:r w:rsidR="00287E41">
        <w:t xml:space="preserve">In general, given the short period of analysis, the uncertainties in the mass measurements at large sizes (greater than roughly 500 nm) are particularly large. </w:t>
      </w:r>
    </w:p>
    <w:p w14:paraId="423AAEC6" w14:textId="3CFD3119" w:rsidR="009F257C" w:rsidRPr="006272BD" w:rsidRDefault="00686DAF" w:rsidP="00CF007B">
      <w:pPr>
        <w:pStyle w:val="Figurecaption"/>
        <w:jc w:val="center"/>
      </w:pPr>
      <w:r>
        <w:rPr>
          <w:noProof/>
        </w:rPr>
        <w:lastRenderedPageBreak/>
        <w:drawing>
          <wp:inline distT="0" distB="0" distL="0" distR="0" wp14:anchorId="51D2DAC4" wp14:editId="6893683E">
            <wp:extent cx="5202620" cy="26013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C_SI_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12033" cy="2606017"/>
                    </a:xfrm>
                    <a:prstGeom prst="rect">
                      <a:avLst/>
                    </a:prstGeom>
                  </pic:spPr>
                </pic:pic>
              </a:graphicData>
            </a:graphic>
          </wp:inline>
        </w:drawing>
      </w:r>
    </w:p>
    <w:p w14:paraId="166344A1" w14:textId="1F72DB63" w:rsidR="00287E41" w:rsidRDefault="00870182" w:rsidP="00287E41">
      <w:pPr>
        <w:pStyle w:val="Figurecaption"/>
      </w:pPr>
      <w:bookmarkStart w:id="8" w:name="_Ref526341211"/>
      <w:r w:rsidRPr="00FA24EE">
        <w:rPr>
          <w:b/>
        </w:rPr>
        <w:t>Figure S</w:t>
      </w:r>
      <w:bookmarkEnd w:id="8"/>
      <w:r w:rsidR="008518E0">
        <w:rPr>
          <w:b/>
        </w:rPr>
        <w:t>8</w:t>
      </w:r>
      <w:r w:rsidRPr="00FA24EE">
        <w:rPr>
          <w:b/>
        </w:rPr>
        <w:t>.</w:t>
      </w:r>
      <w:r w:rsidRPr="00FA24EE">
        <w:t xml:space="preserve"> </w:t>
      </w:r>
      <w:r w:rsidR="009F257C" w:rsidRPr="00FA24EE">
        <w:t xml:space="preserve">AMS mass distribution </w:t>
      </w:r>
      <w:r w:rsidR="009025E0" w:rsidRPr="00FA24EE">
        <w:t xml:space="preserve">as a function of size </w:t>
      </w:r>
      <w:r w:rsidR="009642D7" w:rsidRPr="00FA24EE">
        <w:t>during measurement downstream of the P</w:t>
      </w:r>
      <w:r w:rsidR="00C6593D" w:rsidRPr="00FA24EE">
        <w:t>F</w:t>
      </w:r>
      <w:r w:rsidR="009642D7" w:rsidRPr="00FA24EE">
        <w:t>PC from 14:24 to 14:34.</w:t>
      </w:r>
      <w:r w:rsidR="00287E41" w:rsidRPr="00FA24EE">
        <w:t xml:space="preserve"> In general, given the short period of analysis, the uncertainties in the mass measurements at large sizes (greater than roughly 500 nm) are particularly large.</w:t>
      </w:r>
      <w:r w:rsidR="00287E41">
        <w:t xml:space="preserve"> </w:t>
      </w:r>
    </w:p>
    <w:p w14:paraId="622B789C" w14:textId="77777777" w:rsidR="00C5069C" w:rsidRPr="00C5069C" w:rsidRDefault="00C5069C" w:rsidP="00C5069C">
      <w:pPr>
        <w:rPr>
          <w:lang w:val="en-GB" w:eastAsia="en-GB"/>
        </w:rPr>
      </w:pPr>
    </w:p>
    <w:p w14:paraId="1A27496A" w14:textId="1EB2E147" w:rsidR="00011C87" w:rsidRPr="006272BD" w:rsidRDefault="00870182" w:rsidP="00870182">
      <w:pPr>
        <w:pStyle w:val="Figurecaption"/>
      </w:pPr>
      <w:bookmarkStart w:id="9" w:name="_Ref526341266"/>
      <w:bookmarkStart w:id="10" w:name="_Ref526341256"/>
      <w:r w:rsidRPr="006272BD">
        <w:rPr>
          <w:b/>
        </w:rPr>
        <w:t>Table S</w:t>
      </w:r>
      <w:r w:rsidRPr="006272BD">
        <w:rPr>
          <w:b/>
        </w:rPr>
        <w:fldChar w:fldCharType="begin"/>
      </w:r>
      <w:r w:rsidRPr="006272BD">
        <w:rPr>
          <w:b/>
        </w:rPr>
        <w:instrText xml:space="preserve"> SEQ Table_S \* ARABIC </w:instrText>
      </w:r>
      <w:r w:rsidRPr="006272BD">
        <w:rPr>
          <w:b/>
        </w:rPr>
        <w:fldChar w:fldCharType="separate"/>
      </w:r>
      <w:r w:rsidR="0042314B">
        <w:rPr>
          <w:b/>
          <w:noProof/>
        </w:rPr>
        <w:t>2</w:t>
      </w:r>
      <w:r w:rsidRPr="006272BD">
        <w:rPr>
          <w:b/>
        </w:rPr>
        <w:fldChar w:fldCharType="end"/>
      </w:r>
      <w:bookmarkEnd w:id="9"/>
      <w:r w:rsidRPr="006272BD">
        <w:rPr>
          <w:b/>
        </w:rPr>
        <w:t>.</w:t>
      </w:r>
      <w:r w:rsidRPr="006272BD">
        <w:t xml:space="preserve"> </w:t>
      </w:r>
      <w:r w:rsidR="00011C87" w:rsidRPr="006272BD">
        <w:t>Time periods of ALABAMA measurements on February 18</w:t>
      </w:r>
      <w:r w:rsidR="00011C87" w:rsidRPr="006272BD">
        <w:rPr>
          <w:vertAlign w:val="superscript"/>
        </w:rPr>
        <w:t>th</w:t>
      </w:r>
      <w:r w:rsidR="00D46B36" w:rsidRPr="006272BD">
        <w:t>, 201</w:t>
      </w:r>
      <w:r w:rsidR="00067FFB">
        <w:t>7</w:t>
      </w:r>
      <w:r w:rsidR="00011C87" w:rsidRPr="006272BD">
        <w:t xml:space="preserve"> used for the calculation of the particle-type dependent EFs. Periods without strong local particle emissions were selected.</w:t>
      </w:r>
      <w:bookmarkEnd w:id="10"/>
      <w:r w:rsidR="00011C87" w:rsidRPr="006272BD">
        <w:t xml:space="preserve"> </w:t>
      </w:r>
      <w:r w:rsidR="00067FFB">
        <w:t>Additionally, the numbers of applied mass spectra are listed next to each measurement period.</w:t>
      </w:r>
    </w:p>
    <w:p w14:paraId="2589AAC8" w14:textId="53CACB08" w:rsidR="00F31F9C" w:rsidRDefault="00F31F9C" w:rsidP="00F31F9C">
      <w:pPr>
        <w:rPr>
          <w:rFonts w:ascii="Times New Roman" w:hAnsi="Times New Roman"/>
          <w:sz w:val="24"/>
          <w:szCs w:val="24"/>
          <w:lang w:val="en-GB" w:eastAsia="en-GB"/>
        </w:rPr>
      </w:pPr>
    </w:p>
    <w:tbl>
      <w:tblPr>
        <w:tblStyle w:val="PlainTable31"/>
        <w:tblW w:w="8505" w:type="dxa"/>
        <w:tblLook w:val="0420" w:firstRow="1" w:lastRow="0" w:firstColumn="0" w:lastColumn="0" w:noHBand="0" w:noVBand="1"/>
      </w:tblPr>
      <w:tblGrid>
        <w:gridCol w:w="2346"/>
        <w:gridCol w:w="1896"/>
        <w:gridCol w:w="1195"/>
        <w:gridCol w:w="1896"/>
        <w:gridCol w:w="1172"/>
      </w:tblGrid>
      <w:tr w:rsidR="00067FFB" w:rsidRPr="006272BD" w14:paraId="6DF6FF05" w14:textId="77777777" w:rsidTr="00A027C7">
        <w:trPr>
          <w:cnfStyle w:val="100000000000" w:firstRow="1" w:lastRow="0" w:firstColumn="0" w:lastColumn="0" w:oddVBand="0" w:evenVBand="0" w:oddHBand="0" w:evenHBand="0" w:firstRowFirstColumn="0" w:firstRowLastColumn="0" w:lastRowFirstColumn="0" w:lastRowLastColumn="0"/>
          <w:trHeight w:val="260"/>
        </w:trPr>
        <w:tc>
          <w:tcPr>
            <w:tcW w:w="5437" w:type="dxa"/>
            <w:gridSpan w:val="3"/>
            <w:tcBorders>
              <w:bottom w:val="single" w:sz="4" w:space="0" w:color="auto"/>
            </w:tcBorders>
          </w:tcPr>
          <w:p w14:paraId="7A8EE24A" w14:textId="77777777" w:rsidR="00067FFB" w:rsidRPr="006272BD" w:rsidRDefault="00067FFB" w:rsidP="003263CA">
            <w:pPr>
              <w:rPr>
                <w:rFonts w:ascii="Times New Roman" w:hAnsi="Times New Roman" w:cs="Times New Roman"/>
                <w:b w:val="0"/>
                <w:bCs w:val="0"/>
                <w:caps w:val="0"/>
                <w:sz w:val="24"/>
                <w:szCs w:val="24"/>
              </w:rPr>
            </w:pPr>
          </w:p>
          <w:p w14:paraId="568C3641" w14:textId="77777777" w:rsidR="00067FFB" w:rsidRPr="006272BD" w:rsidRDefault="00067FFB" w:rsidP="003263CA">
            <w:pPr>
              <w:rPr>
                <w:rFonts w:ascii="Times New Roman" w:hAnsi="Times New Roman" w:cs="Times New Roman"/>
                <w:sz w:val="24"/>
                <w:szCs w:val="24"/>
              </w:rPr>
            </w:pPr>
            <w:r w:rsidRPr="006272BD">
              <w:rPr>
                <w:rFonts w:ascii="Times New Roman" w:hAnsi="Times New Roman" w:cs="Times New Roman"/>
                <w:sz w:val="24"/>
                <w:szCs w:val="24"/>
              </w:rPr>
              <w:t>EF calculations</w:t>
            </w:r>
          </w:p>
        </w:tc>
        <w:tc>
          <w:tcPr>
            <w:tcW w:w="1896" w:type="dxa"/>
            <w:tcBorders>
              <w:bottom w:val="single" w:sz="4" w:space="0" w:color="auto"/>
            </w:tcBorders>
          </w:tcPr>
          <w:p w14:paraId="5C0A41BD" w14:textId="77777777" w:rsidR="00067FFB" w:rsidRPr="006272BD" w:rsidRDefault="00067FFB" w:rsidP="003263CA">
            <w:pPr>
              <w:rPr>
                <w:rFonts w:ascii="Times New Roman" w:hAnsi="Times New Roman"/>
                <w:b w:val="0"/>
                <w:bCs w:val="0"/>
                <w:caps w:val="0"/>
                <w:sz w:val="24"/>
                <w:szCs w:val="24"/>
              </w:rPr>
            </w:pPr>
          </w:p>
        </w:tc>
        <w:tc>
          <w:tcPr>
            <w:tcW w:w="1172" w:type="dxa"/>
            <w:tcBorders>
              <w:bottom w:val="single" w:sz="4" w:space="0" w:color="auto"/>
            </w:tcBorders>
          </w:tcPr>
          <w:p w14:paraId="1088DF9B" w14:textId="77777777" w:rsidR="00067FFB" w:rsidRPr="006272BD" w:rsidRDefault="00067FFB" w:rsidP="003263CA">
            <w:pPr>
              <w:rPr>
                <w:rFonts w:ascii="Times New Roman" w:hAnsi="Times New Roman"/>
                <w:b w:val="0"/>
                <w:bCs w:val="0"/>
                <w:caps w:val="0"/>
                <w:sz w:val="24"/>
                <w:szCs w:val="24"/>
              </w:rPr>
            </w:pPr>
          </w:p>
        </w:tc>
      </w:tr>
      <w:tr w:rsidR="00067FFB" w:rsidRPr="006272BD" w14:paraId="2A67793A" w14:textId="77777777" w:rsidTr="00A027C7">
        <w:trPr>
          <w:cnfStyle w:val="000000100000" w:firstRow="0" w:lastRow="0" w:firstColumn="0" w:lastColumn="0" w:oddVBand="0" w:evenVBand="0" w:oddHBand="1" w:evenHBand="0" w:firstRowFirstColumn="0" w:firstRowLastColumn="0" w:lastRowFirstColumn="0" w:lastRowLastColumn="0"/>
          <w:trHeight w:val="260"/>
        </w:trPr>
        <w:tc>
          <w:tcPr>
            <w:tcW w:w="2346" w:type="dxa"/>
            <w:tcBorders>
              <w:bottom w:val="single" w:sz="4" w:space="0" w:color="auto"/>
            </w:tcBorders>
          </w:tcPr>
          <w:p w14:paraId="37A2481F" w14:textId="77777777" w:rsidR="00067FFB" w:rsidRPr="006272BD" w:rsidRDefault="00067FFB" w:rsidP="003263CA">
            <w:pPr>
              <w:rPr>
                <w:rFonts w:ascii="Times New Roman" w:hAnsi="Times New Roman" w:cs="Times New Roman"/>
                <w:sz w:val="24"/>
                <w:szCs w:val="24"/>
              </w:rPr>
            </w:pPr>
          </w:p>
        </w:tc>
        <w:tc>
          <w:tcPr>
            <w:tcW w:w="1896" w:type="dxa"/>
            <w:tcBorders>
              <w:bottom w:val="single" w:sz="4" w:space="0" w:color="auto"/>
            </w:tcBorders>
          </w:tcPr>
          <w:p w14:paraId="67B596EA" w14:textId="77777777" w:rsidR="00067FFB" w:rsidRPr="006272BD" w:rsidRDefault="00067FFB" w:rsidP="003263CA">
            <w:pPr>
              <w:jc w:val="center"/>
              <w:rPr>
                <w:rFonts w:ascii="Times New Roman" w:hAnsi="Times New Roman" w:cs="Times New Roman"/>
                <w:sz w:val="24"/>
                <w:szCs w:val="24"/>
              </w:rPr>
            </w:pPr>
            <w:r w:rsidRPr="006272BD">
              <w:rPr>
                <w:rFonts w:ascii="Times New Roman" w:hAnsi="Times New Roman" w:cs="Times New Roman"/>
                <w:sz w:val="24"/>
                <w:szCs w:val="24"/>
              </w:rPr>
              <w:t>EF #1</w:t>
            </w:r>
          </w:p>
        </w:tc>
        <w:tc>
          <w:tcPr>
            <w:tcW w:w="1195" w:type="dxa"/>
            <w:tcBorders>
              <w:bottom w:val="single" w:sz="4" w:space="0" w:color="auto"/>
            </w:tcBorders>
          </w:tcPr>
          <w:p w14:paraId="3C6B7E0D" w14:textId="77777777" w:rsidR="00067FFB" w:rsidRPr="006272BD" w:rsidRDefault="00067FFB" w:rsidP="003263CA">
            <w:pPr>
              <w:jc w:val="center"/>
              <w:rPr>
                <w:rFonts w:ascii="Times New Roman" w:hAnsi="Times New Roman" w:cs="Times New Roman"/>
                <w:b/>
                <w:bCs/>
                <w:caps/>
                <w:sz w:val="24"/>
                <w:szCs w:val="24"/>
              </w:rPr>
            </w:pPr>
            <w:r>
              <w:rPr>
                <w:rFonts w:ascii="Times New Roman" w:hAnsi="Times New Roman" w:cs="Times New Roman"/>
                <w:sz w:val="24"/>
                <w:szCs w:val="24"/>
              </w:rPr>
              <w:t xml:space="preserve">No. spectra </w:t>
            </w:r>
          </w:p>
        </w:tc>
        <w:tc>
          <w:tcPr>
            <w:tcW w:w="1896" w:type="dxa"/>
            <w:tcBorders>
              <w:bottom w:val="single" w:sz="4" w:space="0" w:color="auto"/>
            </w:tcBorders>
          </w:tcPr>
          <w:p w14:paraId="02CF99E9" w14:textId="77777777" w:rsidR="00067FFB" w:rsidRPr="006272BD" w:rsidRDefault="00067FFB" w:rsidP="003263CA">
            <w:pPr>
              <w:jc w:val="center"/>
              <w:rPr>
                <w:rFonts w:ascii="Times New Roman" w:hAnsi="Times New Roman"/>
                <w:sz w:val="24"/>
                <w:szCs w:val="24"/>
              </w:rPr>
            </w:pPr>
            <w:r w:rsidRPr="006272BD">
              <w:rPr>
                <w:rFonts w:ascii="Times New Roman" w:hAnsi="Times New Roman" w:cs="Times New Roman"/>
                <w:sz w:val="24"/>
                <w:szCs w:val="24"/>
              </w:rPr>
              <w:t>EF #2</w:t>
            </w:r>
          </w:p>
        </w:tc>
        <w:tc>
          <w:tcPr>
            <w:tcW w:w="1172" w:type="dxa"/>
            <w:tcBorders>
              <w:bottom w:val="single" w:sz="4" w:space="0" w:color="auto"/>
            </w:tcBorders>
          </w:tcPr>
          <w:p w14:paraId="7150234F" w14:textId="77777777" w:rsidR="00067FFB" w:rsidRDefault="00067FFB" w:rsidP="003263CA">
            <w:pPr>
              <w:jc w:val="center"/>
              <w:rPr>
                <w:rFonts w:ascii="Times New Roman" w:hAnsi="Times New Roman"/>
                <w:sz w:val="24"/>
                <w:szCs w:val="24"/>
              </w:rPr>
            </w:pPr>
            <w:r>
              <w:rPr>
                <w:rFonts w:ascii="Times New Roman" w:hAnsi="Times New Roman"/>
                <w:sz w:val="24"/>
                <w:szCs w:val="24"/>
              </w:rPr>
              <w:t>No. spectra</w:t>
            </w:r>
          </w:p>
        </w:tc>
      </w:tr>
      <w:tr w:rsidR="00067FFB" w:rsidRPr="006272BD" w14:paraId="6081A573" w14:textId="77777777" w:rsidTr="00A027C7">
        <w:trPr>
          <w:trHeight w:val="260"/>
        </w:trPr>
        <w:tc>
          <w:tcPr>
            <w:tcW w:w="2346" w:type="dxa"/>
            <w:tcBorders>
              <w:top w:val="single" w:sz="4" w:space="0" w:color="auto"/>
            </w:tcBorders>
          </w:tcPr>
          <w:p w14:paraId="5EA26349" w14:textId="77CA3D93" w:rsidR="00067FFB" w:rsidRPr="006272BD" w:rsidRDefault="00067FFB" w:rsidP="003263CA">
            <w:pPr>
              <w:rPr>
                <w:rFonts w:ascii="Times New Roman" w:hAnsi="Times New Roman" w:cs="Times New Roman"/>
                <w:sz w:val="24"/>
                <w:szCs w:val="24"/>
              </w:rPr>
            </w:pPr>
            <w:proofErr w:type="gramStart"/>
            <w:r w:rsidRPr="006272BD">
              <w:rPr>
                <w:rFonts w:ascii="Times New Roman" w:hAnsi="Times New Roman" w:cs="Times New Roman"/>
                <w:sz w:val="24"/>
                <w:szCs w:val="24"/>
              </w:rPr>
              <w:t>Time period</w:t>
            </w:r>
            <w:proofErr w:type="gramEnd"/>
            <w:r w:rsidRPr="006272BD">
              <w:rPr>
                <w:rFonts w:ascii="Times New Roman" w:hAnsi="Times New Roman" w:cs="Times New Roman"/>
                <w:sz w:val="24"/>
                <w:szCs w:val="24"/>
              </w:rPr>
              <w:t xml:space="preserve"> P</w:t>
            </w:r>
            <w:r w:rsidR="00C6593D">
              <w:rPr>
                <w:rFonts w:ascii="Times New Roman" w:hAnsi="Times New Roman" w:cs="Times New Roman"/>
                <w:sz w:val="24"/>
                <w:szCs w:val="24"/>
              </w:rPr>
              <w:t>F</w:t>
            </w:r>
            <w:r w:rsidRPr="006272BD">
              <w:rPr>
                <w:rFonts w:ascii="Times New Roman" w:hAnsi="Times New Roman" w:cs="Times New Roman"/>
                <w:sz w:val="24"/>
                <w:szCs w:val="24"/>
              </w:rPr>
              <w:t>PC inlet + P</w:t>
            </w:r>
            <w:r w:rsidR="00C6593D">
              <w:rPr>
                <w:rFonts w:ascii="Times New Roman" w:hAnsi="Times New Roman" w:cs="Times New Roman"/>
                <w:sz w:val="24"/>
                <w:szCs w:val="24"/>
              </w:rPr>
              <w:t>F</w:t>
            </w:r>
            <w:r w:rsidRPr="006272BD">
              <w:rPr>
                <w:rFonts w:ascii="Times New Roman" w:hAnsi="Times New Roman" w:cs="Times New Roman"/>
                <w:sz w:val="24"/>
                <w:szCs w:val="24"/>
              </w:rPr>
              <w:t>PC</w:t>
            </w:r>
          </w:p>
        </w:tc>
        <w:tc>
          <w:tcPr>
            <w:tcW w:w="1896" w:type="dxa"/>
            <w:tcBorders>
              <w:top w:val="single" w:sz="4" w:space="0" w:color="auto"/>
            </w:tcBorders>
            <w:vAlign w:val="center"/>
          </w:tcPr>
          <w:p w14:paraId="16C7D0B9" w14:textId="77777777" w:rsidR="00067FFB" w:rsidRPr="006272BD" w:rsidRDefault="00067FFB" w:rsidP="003263CA">
            <w:pPr>
              <w:jc w:val="center"/>
              <w:rPr>
                <w:rFonts w:ascii="Times New Roman" w:hAnsi="Times New Roman" w:cs="Times New Roman"/>
                <w:sz w:val="24"/>
                <w:szCs w:val="24"/>
              </w:rPr>
            </w:pPr>
            <w:r w:rsidRPr="00AE3A45">
              <w:rPr>
                <w:rFonts w:ascii="Times New Roman" w:hAnsi="Times New Roman"/>
                <w:color w:val="000000" w:themeColor="text1"/>
                <w:kern w:val="24"/>
                <w:sz w:val="24"/>
                <w:szCs w:val="24"/>
                <w:lang w:val="en-US"/>
              </w:rPr>
              <w:t>11:50 – 12:00 LT</w:t>
            </w:r>
          </w:p>
        </w:tc>
        <w:tc>
          <w:tcPr>
            <w:tcW w:w="1195" w:type="dxa"/>
            <w:tcBorders>
              <w:top w:val="single" w:sz="4" w:space="0" w:color="auto"/>
            </w:tcBorders>
            <w:vAlign w:val="center"/>
          </w:tcPr>
          <w:p w14:paraId="0A9EFD96" w14:textId="77777777" w:rsidR="00067FFB" w:rsidRPr="006272BD" w:rsidRDefault="00067FFB" w:rsidP="003263CA">
            <w:pPr>
              <w:jc w:val="center"/>
              <w:rPr>
                <w:rFonts w:ascii="Times New Roman" w:hAnsi="Times New Roman" w:cs="Times New Roman"/>
                <w:sz w:val="24"/>
                <w:szCs w:val="24"/>
              </w:rPr>
            </w:pPr>
            <w:r>
              <w:rPr>
                <w:rFonts w:ascii="Times New Roman" w:hAnsi="Times New Roman" w:cs="Times New Roman"/>
                <w:color w:val="000000" w:themeColor="text1"/>
                <w:kern w:val="24"/>
                <w:sz w:val="24"/>
                <w:szCs w:val="24"/>
                <w:lang w:val="en-US"/>
              </w:rPr>
              <w:t>1874</w:t>
            </w:r>
          </w:p>
        </w:tc>
        <w:tc>
          <w:tcPr>
            <w:tcW w:w="1896" w:type="dxa"/>
            <w:tcBorders>
              <w:top w:val="single" w:sz="4" w:space="0" w:color="auto"/>
            </w:tcBorders>
            <w:vAlign w:val="center"/>
          </w:tcPr>
          <w:p w14:paraId="107315B3" w14:textId="77777777" w:rsidR="00067FFB" w:rsidRPr="00AE3A45" w:rsidRDefault="00067FFB" w:rsidP="003263CA">
            <w:pPr>
              <w:jc w:val="center"/>
              <w:rPr>
                <w:rFonts w:ascii="Times New Roman" w:hAnsi="Times New Roman"/>
                <w:color w:val="000000" w:themeColor="text1"/>
                <w:kern w:val="24"/>
                <w:sz w:val="24"/>
                <w:szCs w:val="24"/>
                <w:lang w:val="en-US"/>
              </w:rPr>
            </w:pPr>
            <w:r w:rsidRPr="00A1569C">
              <w:rPr>
                <w:rFonts w:ascii="Times New Roman" w:hAnsi="Times New Roman" w:cs="Times New Roman"/>
                <w:color w:val="000000" w:themeColor="text1"/>
                <w:kern w:val="24"/>
                <w:sz w:val="24"/>
                <w:szCs w:val="24"/>
                <w:lang w:val="en-US"/>
              </w:rPr>
              <w:t>14:50 – 15:00 LT</w:t>
            </w:r>
          </w:p>
        </w:tc>
        <w:tc>
          <w:tcPr>
            <w:tcW w:w="1172" w:type="dxa"/>
            <w:tcBorders>
              <w:top w:val="single" w:sz="4" w:space="0" w:color="auto"/>
            </w:tcBorders>
            <w:vAlign w:val="center"/>
          </w:tcPr>
          <w:p w14:paraId="2A141BF7" w14:textId="77777777" w:rsidR="00067FFB" w:rsidRPr="004C76AB" w:rsidRDefault="00067FFB" w:rsidP="003263CA">
            <w:pPr>
              <w:jc w:val="center"/>
              <w:rPr>
                <w:rFonts w:ascii="Times New Roman" w:hAnsi="Times New Roman"/>
                <w:color w:val="000000" w:themeColor="text1"/>
                <w:kern w:val="24"/>
                <w:sz w:val="24"/>
                <w:szCs w:val="24"/>
              </w:rPr>
            </w:pPr>
            <w:r>
              <w:rPr>
                <w:rFonts w:ascii="Times New Roman" w:hAnsi="Times New Roman"/>
                <w:color w:val="000000" w:themeColor="text1"/>
                <w:kern w:val="24"/>
                <w:sz w:val="24"/>
                <w:szCs w:val="24"/>
              </w:rPr>
              <w:t>2105</w:t>
            </w:r>
          </w:p>
        </w:tc>
      </w:tr>
      <w:tr w:rsidR="00067FFB" w:rsidRPr="006272BD" w14:paraId="47DA33D4" w14:textId="77777777" w:rsidTr="00A027C7">
        <w:trPr>
          <w:cnfStyle w:val="000000100000" w:firstRow="0" w:lastRow="0" w:firstColumn="0" w:lastColumn="0" w:oddVBand="0" w:evenVBand="0" w:oddHBand="1" w:evenHBand="0" w:firstRowFirstColumn="0" w:firstRowLastColumn="0" w:lastRowFirstColumn="0" w:lastRowLastColumn="0"/>
          <w:trHeight w:val="251"/>
        </w:trPr>
        <w:tc>
          <w:tcPr>
            <w:tcW w:w="2346" w:type="dxa"/>
            <w:tcBorders>
              <w:bottom w:val="single" w:sz="4" w:space="0" w:color="auto"/>
            </w:tcBorders>
          </w:tcPr>
          <w:p w14:paraId="68B51AFF" w14:textId="24A9170E" w:rsidR="00067FFB" w:rsidRPr="006272BD" w:rsidRDefault="00067FFB" w:rsidP="003263CA">
            <w:pPr>
              <w:rPr>
                <w:rFonts w:ascii="Times New Roman" w:hAnsi="Times New Roman" w:cs="Times New Roman"/>
                <w:sz w:val="24"/>
                <w:szCs w:val="24"/>
              </w:rPr>
            </w:pPr>
            <w:proofErr w:type="gramStart"/>
            <w:r w:rsidRPr="006272BD">
              <w:rPr>
                <w:rFonts w:ascii="Times New Roman" w:hAnsi="Times New Roman" w:cs="Times New Roman"/>
                <w:sz w:val="24"/>
                <w:szCs w:val="24"/>
              </w:rPr>
              <w:t>Time period</w:t>
            </w:r>
            <w:proofErr w:type="gramEnd"/>
            <w:r w:rsidRPr="006272BD">
              <w:rPr>
                <w:rFonts w:ascii="Times New Roman" w:hAnsi="Times New Roman" w:cs="Times New Roman"/>
                <w:sz w:val="24"/>
                <w:szCs w:val="24"/>
              </w:rPr>
              <w:t xml:space="preserve"> P</w:t>
            </w:r>
            <w:r w:rsidR="00C6593D">
              <w:rPr>
                <w:rFonts w:ascii="Times New Roman" w:hAnsi="Times New Roman" w:cs="Times New Roman"/>
                <w:sz w:val="24"/>
                <w:szCs w:val="24"/>
              </w:rPr>
              <w:t>F</w:t>
            </w:r>
            <w:r w:rsidRPr="006272BD">
              <w:rPr>
                <w:rFonts w:ascii="Times New Roman" w:hAnsi="Times New Roman" w:cs="Times New Roman"/>
                <w:sz w:val="24"/>
                <w:szCs w:val="24"/>
              </w:rPr>
              <w:t>PC inlet only</w:t>
            </w:r>
          </w:p>
        </w:tc>
        <w:tc>
          <w:tcPr>
            <w:tcW w:w="1896" w:type="dxa"/>
            <w:tcBorders>
              <w:bottom w:val="single" w:sz="4" w:space="0" w:color="auto"/>
            </w:tcBorders>
            <w:vAlign w:val="center"/>
          </w:tcPr>
          <w:p w14:paraId="06D989E6" w14:textId="77777777" w:rsidR="00067FFB" w:rsidRPr="006272BD" w:rsidRDefault="00067FFB" w:rsidP="003263CA">
            <w:pPr>
              <w:jc w:val="center"/>
              <w:rPr>
                <w:rFonts w:ascii="Times New Roman" w:hAnsi="Times New Roman" w:cs="Times New Roman"/>
                <w:sz w:val="24"/>
                <w:szCs w:val="24"/>
              </w:rPr>
            </w:pPr>
            <w:r w:rsidRPr="006272BD">
              <w:rPr>
                <w:rFonts w:ascii="Times New Roman" w:hAnsi="Times New Roman" w:cs="Times New Roman"/>
                <w:color w:val="000000" w:themeColor="text1"/>
                <w:kern w:val="24"/>
                <w:sz w:val="24"/>
                <w:szCs w:val="24"/>
              </w:rPr>
              <w:t>13:10 – 13:20 LT</w:t>
            </w:r>
          </w:p>
        </w:tc>
        <w:tc>
          <w:tcPr>
            <w:tcW w:w="1195" w:type="dxa"/>
            <w:tcBorders>
              <w:bottom w:val="single" w:sz="4" w:space="0" w:color="auto"/>
            </w:tcBorders>
            <w:vAlign w:val="center"/>
          </w:tcPr>
          <w:p w14:paraId="628BE730" w14:textId="77777777" w:rsidR="00067FFB" w:rsidRPr="006272BD" w:rsidRDefault="00067FFB" w:rsidP="003263CA">
            <w:pPr>
              <w:jc w:val="center"/>
              <w:rPr>
                <w:rFonts w:ascii="Times New Roman" w:hAnsi="Times New Roman" w:cs="Times New Roman"/>
                <w:sz w:val="24"/>
                <w:szCs w:val="24"/>
              </w:rPr>
            </w:pPr>
            <w:r>
              <w:rPr>
                <w:rFonts w:ascii="Times New Roman" w:hAnsi="Times New Roman" w:cs="Times New Roman"/>
                <w:color w:val="000000" w:themeColor="text1"/>
                <w:kern w:val="24"/>
                <w:sz w:val="24"/>
                <w:szCs w:val="24"/>
              </w:rPr>
              <w:t>932</w:t>
            </w:r>
          </w:p>
        </w:tc>
        <w:tc>
          <w:tcPr>
            <w:tcW w:w="1896" w:type="dxa"/>
            <w:tcBorders>
              <w:bottom w:val="single" w:sz="4" w:space="0" w:color="auto"/>
            </w:tcBorders>
            <w:vAlign w:val="center"/>
          </w:tcPr>
          <w:p w14:paraId="2C3103D7" w14:textId="77777777" w:rsidR="00067FFB" w:rsidRPr="006272BD" w:rsidRDefault="00067FFB" w:rsidP="003263CA">
            <w:pPr>
              <w:jc w:val="center"/>
              <w:rPr>
                <w:rFonts w:ascii="Times New Roman" w:hAnsi="Times New Roman"/>
                <w:color w:val="000000" w:themeColor="text1"/>
                <w:kern w:val="24"/>
                <w:sz w:val="24"/>
                <w:szCs w:val="24"/>
              </w:rPr>
            </w:pPr>
            <w:r w:rsidRPr="006272BD">
              <w:rPr>
                <w:rFonts w:ascii="Times New Roman" w:hAnsi="Times New Roman" w:cs="Times New Roman"/>
                <w:color w:val="000000" w:themeColor="text1"/>
                <w:kern w:val="24"/>
                <w:sz w:val="24"/>
                <w:szCs w:val="24"/>
              </w:rPr>
              <w:t>14:13 – 14:23 LT</w:t>
            </w:r>
          </w:p>
        </w:tc>
        <w:tc>
          <w:tcPr>
            <w:tcW w:w="1172" w:type="dxa"/>
            <w:tcBorders>
              <w:bottom w:val="single" w:sz="4" w:space="0" w:color="auto"/>
            </w:tcBorders>
            <w:vAlign w:val="center"/>
          </w:tcPr>
          <w:p w14:paraId="6F6D1C0E" w14:textId="77777777" w:rsidR="00067FFB" w:rsidRPr="006272BD" w:rsidRDefault="00067FFB" w:rsidP="003263CA">
            <w:pPr>
              <w:jc w:val="center"/>
              <w:rPr>
                <w:rFonts w:ascii="Times New Roman" w:hAnsi="Times New Roman"/>
                <w:color w:val="000000" w:themeColor="text1"/>
                <w:kern w:val="24"/>
                <w:sz w:val="24"/>
                <w:szCs w:val="24"/>
              </w:rPr>
            </w:pPr>
            <w:r>
              <w:rPr>
                <w:rFonts w:ascii="Times New Roman" w:hAnsi="Times New Roman"/>
                <w:color w:val="000000" w:themeColor="text1"/>
                <w:kern w:val="24"/>
                <w:sz w:val="24"/>
                <w:szCs w:val="24"/>
              </w:rPr>
              <w:t>815</w:t>
            </w:r>
          </w:p>
        </w:tc>
      </w:tr>
      <w:tr w:rsidR="00067FFB" w:rsidRPr="006272BD" w14:paraId="57DC418A" w14:textId="77777777" w:rsidTr="00A027C7">
        <w:trPr>
          <w:trHeight w:val="251"/>
        </w:trPr>
        <w:tc>
          <w:tcPr>
            <w:tcW w:w="5437" w:type="dxa"/>
            <w:gridSpan w:val="3"/>
            <w:tcBorders>
              <w:top w:val="single" w:sz="4" w:space="0" w:color="auto"/>
              <w:bottom w:val="single" w:sz="4" w:space="0" w:color="auto"/>
            </w:tcBorders>
          </w:tcPr>
          <w:p w14:paraId="190337D7" w14:textId="77777777" w:rsidR="00067FFB" w:rsidRPr="006272BD" w:rsidRDefault="00067FFB" w:rsidP="003263CA">
            <w:pPr>
              <w:spacing w:before="240"/>
              <w:rPr>
                <w:rFonts w:ascii="Times New Roman" w:hAnsi="Times New Roman" w:cs="Times New Roman"/>
                <w:b/>
                <w:sz w:val="24"/>
                <w:szCs w:val="24"/>
              </w:rPr>
            </w:pPr>
            <w:r w:rsidRPr="006272BD">
              <w:rPr>
                <w:rFonts w:ascii="Times New Roman" w:hAnsi="Times New Roman" w:cs="Times New Roman"/>
                <w:b/>
                <w:sz w:val="24"/>
                <w:szCs w:val="24"/>
              </w:rPr>
              <w:t>SIZE DEPENDENT INFORMATION</w:t>
            </w:r>
          </w:p>
        </w:tc>
        <w:tc>
          <w:tcPr>
            <w:tcW w:w="1896" w:type="dxa"/>
            <w:tcBorders>
              <w:top w:val="single" w:sz="4" w:space="0" w:color="auto"/>
              <w:bottom w:val="single" w:sz="4" w:space="0" w:color="auto"/>
            </w:tcBorders>
          </w:tcPr>
          <w:p w14:paraId="2B81F532" w14:textId="77777777" w:rsidR="00067FFB" w:rsidRPr="006272BD" w:rsidRDefault="00067FFB" w:rsidP="003263CA">
            <w:pPr>
              <w:spacing w:before="240"/>
              <w:rPr>
                <w:rFonts w:ascii="Times New Roman" w:hAnsi="Times New Roman"/>
                <w:b/>
                <w:sz w:val="24"/>
                <w:szCs w:val="24"/>
              </w:rPr>
            </w:pPr>
          </w:p>
        </w:tc>
        <w:tc>
          <w:tcPr>
            <w:tcW w:w="1172" w:type="dxa"/>
            <w:tcBorders>
              <w:top w:val="single" w:sz="4" w:space="0" w:color="auto"/>
              <w:bottom w:val="single" w:sz="4" w:space="0" w:color="auto"/>
            </w:tcBorders>
          </w:tcPr>
          <w:p w14:paraId="33A83A95" w14:textId="77777777" w:rsidR="00067FFB" w:rsidRPr="006272BD" w:rsidRDefault="00067FFB" w:rsidP="003263CA">
            <w:pPr>
              <w:spacing w:before="240"/>
              <w:rPr>
                <w:rFonts w:ascii="Times New Roman" w:hAnsi="Times New Roman"/>
                <w:b/>
                <w:sz w:val="24"/>
                <w:szCs w:val="24"/>
              </w:rPr>
            </w:pPr>
          </w:p>
        </w:tc>
      </w:tr>
      <w:tr w:rsidR="00A027C7" w:rsidRPr="006272BD" w14:paraId="28DA8AB6" w14:textId="77777777" w:rsidTr="00A027C7">
        <w:trPr>
          <w:cnfStyle w:val="000000100000" w:firstRow="0" w:lastRow="0" w:firstColumn="0" w:lastColumn="0" w:oddVBand="0" w:evenVBand="0" w:oddHBand="1" w:evenHBand="0" w:firstRowFirstColumn="0" w:firstRowLastColumn="0" w:lastRowFirstColumn="0" w:lastRowLastColumn="0"/>
          <w:trHeight w:val="251"/>
        </w:trPr>
        <w:tc>
          <w:tcPr>
            <w:tcW w:w="2346" w:type="dxa"/>
            <w:tcBorders>
              <w:top w:val="single" w:sz="4" w:space="0" w:color="auto"/>
              <w:bottom w:val="single" w:sz="4" w:space="0" w:color="auto"/>
            </w:tcBorders>
          </w:tcPr>
          <w:p w14:paraId="37CB3C0D" w14:textId="77777777" w:rsidR="00A027C7" w:rsidRPr="006272BD" w:rsidRDefault="00A027C7" w:rsidP="003263CA">
            <w:pPr>
              <w:rPr>
                <w:rFonts w:ascii="Times New Roman" w:hAnsi="Times New Roman"/>
                <w:sz w:val="24"/>
                <w:szCs w:val="24"/>
              </w:rPr>
            </w:pPr>
          </w:p>
        </w:tc>
        <w:tc>
          <w:tcPr>
            <w:tcW w:w="3091" w:type="dxa"/>
            <w:gridSpan w:val="2"/>
            <w:tcBorders>
              <w:top w:val="single" w:sz="4" w:space="0" w:color="auto"/>
              <w:bottom w:val="single" w:sz="4" w:space="0" w:color="auto"/>
            </w:tcBorders>
          </w:tcPr>
          <w:p w14:paraId="0ACB8E4D" w14:textId="77777777" w:rsidR="00A027C7" w:rsidRPr="006272BD" w:rsidRDefault="00A027C7" w:rsidP="003263CA">
            <w:pPr>
              <w:rPr>
                <w:rFonts w:ascii="Times New Roman" w:hAnsi="Times New Roman"/>
                <w:color w:val="000000" w:themeColor="text1"/>
                <w:kern w:val="24"/>
                <w:sz w:val="24"/>
                <w:szCs w:val="24"/>
              </w:rPr>
            </w:pPr>
          </w:p>
        </w:tc>
        <w:tc>
          <w:tcPr>
            <w:tcW w:w="1896" w:type="dxa"/>
            <w:tcBorders>
              <w:top w:val="single" w:sz="4" w:space="0" w:color="auto"/>
              <w:bottom w:val="single" w:sz="4" w:space="0" w:color="auto"/>
            </w:tcBorders>
          </w:tcPr>
          <w:p w14:paraId="3E1ECFB4" w14:textId="77777777" w:rsidR="00A027C7" w:rsidRPr="006272BD" w:rsidRDefault="00A027C7" w:rsidP="003263CA">
            <w:pPr>
              <w:jc w:val="center"/>
              <w:rPr>
                <w:rFonts w:ascii="Times New Roman" w:hAnsi="Times New Roman"/>
                <w:color w:val="000000" w:themeColor="text1"/>
                <w:kern w:val="24"/>
                <w:sz w:val="24"/>
                <w:szCs w:val="24"/>
              </w:rPr>
            </w:pPr>
            <w:r>
              <w:rPr>
                <w:rFonts w:ascii="Times New Roman" w:hAnsi="Times New Roman" w:cs="Times New Roman"/>
                <w:sz w:val="24"/>
                <w:szCs w:val="24"/>
              </w:rPr>
              <w:t>No. spectra</w:t>
            </w:r>
          </w:p>
        </w:tc>
        <w:tc>
          <w:tcPr>
            <w:tcW w:w="1172" w:type="dxa"/>
            <w:tcBorders>
              <w:top w:val="single" w:sz="4" w:space="0" w:color="auto"/>
              <w:bottom w:val="single" w:sz="4" w:space="0" w:color="auto"/>
            </w:tcBorders>
          </w:tcPr>
          <w:p w14:paraId="3F12FAEA" w14:textId="77777777" w:rsidR="00A027C7" w:rsidRDefault="00A027C7" w:rsidP="003263CA">
            <w:pPr>
              <w:jc w:val="center"/>
              <w:rPr>
                <w:rFonts w:ascii="Times New Roman" w:hAnsi="Times New Roman"/>
                <w:color w:val="000000" w:themeColor="text1"/>
                <w:kern w:val="24"/>
                <w:sz w:val="24"/>
                <w:szCs w:val="24"/>
              </w:rPr>
            </w:pPr>
          </w:p>
        </w:tc>
      </w:tr>
      <w:tr w:rsidR="00067FFB" w:rsidRPr="006272BD" w14:paraId="2FACE5DC" w14:textId="77777777" w:rsidTr="00A027C7">
        <w:trPr>
          <w:trHeight w:val="251"/>
        </w:trPr>
        <w:tc>
          <w:tcPr>
            <w:tcW w:w="2346" w:type="dxa"/>
            <w:tcBorders>
              <w:top w:val="single" w:sz="4" w:space="0" w:color="auto"/>
              <w:bottom w:val="single" w:sz="4" w:space="0" w:color="auto"/>
            </w:tcBorders>
          </w:tcPr>
          <w:p w14:paraId="63082422" w14:textId="77777777" w:rsidR="00067FFB" w:rsidRPr="006272BD" w:rsidRDefault="00067FFB" w:rsidP="003263CA">
            <w:pPr>
              <w:rPr>
                <w:rFonts w:ascii="Times New Roman" w:hAnsi="Times New Roman" w:cs="Times New Roman"/>
                <w:sz w:val="24"/>
                <w:szCs w:val="24"/>
              </w:rPr>
            </w:pPr>
            <w:r w:rsidRPr="006272BD">
              <w:rPr>
                <w:rFonts w:ascii="Times New Roman" w:hAnsi="Times New Roman" w:cs="Times New Roman"/>
                <w:sz w:val="24"/>
                <w:szCs w:val="24"/>
              </w:rPr>
              <w:t>Median particle diameter of cluster</w:t>
            </w:r>
            <w:r>
              <w:rPr>
                <w:rFonts w:ascii="Times New Roman" w:hAnsi="Times New Roman" w:cs="Times New Roman"/>
                <w:sz w:val="24"/>
                <w:szCs w:val="24"/>
              </w:rPr>
              <w:t>s</w:t>
            </w:r>
          </w:p>
        </w:tc>
        <w:tc>
          <w:tcPr>
            <w:tcW w:w="3091" w:type="dxa"/>
            <w:gridSpan w:val="2"/>
            <w:tcBorders>
              <w:top w:val="single" w:sz="4" w:space="0" w:color="auto"/>
              <w:bottom w:val="single" w:sz="4" w:space="0" w:color="auto"/>
            </w:tcBorders>
            <w:vAlign w:val="center"/>
          </w:tcPr>
          <w:p w14:paraId="4A5F1926" w14:textId="77777777" w:rsidR="00067FFB" w:rsidRPr="006272BD" w:rsidRDefault="00067FFB" w:rsidP="003263CA">
            <w:pPr>
              <w:rPr>
                <w:rFonts w:ascii="Times New Roman" w:hAnsi="Times New Roman" w:cs="Times New Roman"/>
                <w:b/>
                <w:sz w:val="24"/>
                <w:szCs w:val="24"/>
              </w:rPr>
            </w:pPr>
            <w:r w:rsidRPr="006272BD">
              <w:rPr>
                <w:rFonts w:ascii="Times New Roman" w:hAnsi="Times New Roman" w:cs="Times New Roman"/>
                <w:color w:val="000000" w:themeColor="text1"/>
                <w:kern w:val="24"/>
                <w:sz w:val="24"/>
                <w:szCs w:val="24"/>
              </w:rPr>
              <w:t>10:18 – 11:08 LT</w:t>
            </w:r>
          </w:p>
        </w:tc>
        <w:tc>
          <w:tcPr>
            <w:tcW w:w="1896" w:type="dxa"/>
            <w:tcBorders>
              <w:top w:val="single" w:sz="4" w:space="0" w:color="auto"/>
              <w:bottom w:val="single" w:sz="4" w:space="0" w:color="auto"/>
            </w:tcBorders>
            <w:vAlign w:val="center"/>
          </w:tcPr>
          <w:p w14:paraId="3D5496C1" w14:textId="77777777" w:rsidR="00067FFB" w:rsidRPr="006272BD" w:rsidRDefault="00067FFB" w:rsidP="003263CA">
            <w:pPr>
              <w:jc w:val="center"/>
              <w:rPr>
                <w:rFonts w:ascii="Times New Roman" w:hAnsi="Times New Roman"/>
                <w:color w:val="000000" w:themeColor="text1"/>
                <w:kern w:val="24"/>
                <w:sz w:val="24"/>
                <w:szCs w:val="24"/>
              </w:rPr>
            </w:pPr>
            <w:r>
              <w:rPr>
                <w:rFonts w:ascii="Times New Roman" w:hAnsi="Times New Roman"/>
                <w:color w:val="000000" w:themeColor="text1"/>
                <w:kern w:val="24"/>
                <w:sz w:val="24"/>
                <w:szCs w:val="24"/>
              </w:rPr>
              <w:t>4783</w:t>
            </w:r>
          </w:p>
        </w:tc>
        <w:tc>
          <w:tcPr>
            <w:tcW w:w="1172" w:type="dxa"/>
            <w:tcBorders>
              <w:top w:val="single" w:sz="4" w:space="0" w:color="auto"/>
              <w:bottom w:val="single" w:sz="4" w:space="0" w:color="auto"/>
            </w:tcBorders>
            <w:vAlign w:val="center"/>
          </w:tcPr>
          <w:p w14:paraId="71283CAE" w14:textId="77777777" w:rsidR="00067FFB" w:rsidRDefault="00067FFB" w:rsidP="003263CA">
            <w:pPr>
              <w:jc w:val="center"/>
              <w:rPr>
                <w:rFonts w:ascii="Times New Roman" w:hAnsi="Times New Roman"/>
                <w:color w:val="000000" w:themeColor="text1"/>
                <w:kern w:val="24"/>
                <w:sz w:val="24"/>
                <w:szCs w:val="24"/>
              </w:rPr>
            </w:pPr>
          </w:p>
        </w:tc>
      </w:tr>
      <w:tr w:rsidR="00067FFB" w:rsidRPr="006272BD" w14:paraId="117FF39D" w14:textId="77777777" w:rsidTr="00A027C7">
        <w:trPr>
          <w:cnfStyle w:val="000000100000" w:firstRow="0" w:lastRow="0" w:firstColumn="0" w:lastColumn="0" w:oddVBand="0" w:evenVBand="0" w:oddHBand="1" w:evenHBand="0" w:firstRowFirstColumn="0" w:firstRowLastColumn="0" w:lastRowFirstColumn="0" w:lastRowLastColumn="0"/>
          <w:trHeight w:val="251"/>
        </w:trPr>
        <w:tc>
          <w:tcPr>
            <w:tcW w:w="2346" w:type="dxa"/>
            <w:tcBorders>
              <w:top w:val="single" w:sz="4" w:space="0" w:color="auto"/>
            </w:tcBorders>
          </w:tcPr>
          <w:p w14:paraId="16FAEC23" w14:textId="77777777" w:rsidR="00067FFB" w:rsidRPr="006272BD" w:rsidRDefault="00067FFB" w:rsidP="003263CA">
            <w:pPr>
              <w:rPr>
                <w:rFonts w:ascii="Times New Roman" w:hAnsi="Times New Roman" w:cs="Times New Roman"/>
                <w:sz w:val="24"/>
                <w:szCs w:val="24"/>
              </w:rPr>
            </w:pPr>
            <w:r w:rsidRPr="006272BD">
              <w:rPr>
                <w:rFonts w:ascii="Times New Roman" w:hAnsi="Times New Roman" w:cs="Times New Roman"/>
                <w:sz w:val="24"/>
                <w:szCs w:val="24"/>
              </w:rPr>
              <w:t>Fractional size distribution</w:t>
            </w:r>
          </w:p>
        </w:tc>
        <w:tc>
          <w:tcPr>
            <w:tcW w:w="3091" w:type="dxa"/>
            <w:gridSpan w:val="2"/>
            <w:tcBorders>
              <w:top w:val="single" w:sz="4" w:space="0" w:color="auto"/>
            </w:tcBorders>
            <w:vAlign w:val="center"/>
          </w:tcPr>
          <w:p w14:paraId="3341AB92" w14:textId="77777777" w:rsidR="00067FFB" w:rsidRPr="006272BD" w:rsidRDefault="00067FFB" w:rsidP="003263CA">
            <w:pPr>
              <w:rPr>
                <w:rFonts w:ascii="Times New Roman" w:hAnsi="Times New Roman" w:cs="Times New Roman"/>
                <w:color w:val="000000" w:themeColor="text1"/>
                <w:kern w:val="24"/>
                <w:sz w:val="24"/>
                <w:szCs w:val="24"/>
              </w:rPr>
            </w:pPr>
            <w:r w:rsidRPr="006272BD">
              <w:rPr>
                <w:rFonts w:ascii="Times New Roman" w:hAnsi="Times New Roman" w:cs="Times New Roman"/>
                <w:color w:val="000000"/>
                <w:kern w:val="24"/>
                <w:sz w:val="24"/>
                <w:szCs w:val="24"/>
                <w:lang w:val="de-DE"/>
              </w:rPr>
              <w:t>10:18 – 11:08 LT</w:t>
            </w:r>
          </w:p>
        </w:tc>
        <w:tc>
          <w:tcPr>
            <w:tcW w:w="1896" w:type="dxa"/>
            <w:tcBorders>
              <w:top w:val="single" w:sz="4" w:space="0" w:color="auto"/>
            </w:tcBorders>
            <w:vAlign w:val="center"/>
          </w:tcPr>
          <w:p w14:paraId="795FC3FF" w14:textId="77777777" w:rsidR="00067FFB" w:rsidRPr="006272BD" w:rsidRDefault="00067FFB" w:rsidP="003263CA">
            <w:pPr>
              <w:jc w:val="center"/>
              <w:rPr>
                <w:rFonts w:ascii="Times New Roman" w:hAnsi="Times New Roman"/>
                <w:color w:val="000000"/>
                <w:kern w:val="24"/>
                <w:sz w:val="24"/>
                <w:szCs w:val="24"/>
                <w:lang w:val="de-DE"/>
              </w:rPr>
            </w:pPr>
            <w:r>
              <w:rPr>
                <w:rFonts w:ascii="Times New Roman" w:hAnsi="Times New Roman"/>
                <w:color w:val="000000" w:themeColor="text1"/>
                <w:kern w:val="24"/>
                <w:sz w:val="24"/>
                <w:szCs w:val="24"/>
              </w:rPr>
              <w:t>4783</w:t>
            </w:r>
          </w:p>
        </w:tc>
        <w:tc>
          <w:tcPr>
            <w:tcW w:w="1172" w:type="dxa"/>
            <w:tcBorders>
              <w:top w:val="single" w:sz="4" w:space="0" w:color="auto"/>
            </w:tcBorders>
            <w:vAlign w:val="center"/>
          </w:tcPr>
          <w:p w14:paraId="69EF042C" w14:textId="77777777" w:rsidR="00067FFB" w:rsidRPr="006272BD" w:rsidRDefault="00067FFB" w:rsidP="003263CA">
            <w:pPr>
              <w:jc w:val="center"/>
              <w:rPr>
                <w:rFonts w:ascii="Times New Roman" w:hAnsi="Times New Roman"/>
                <w:color w:val="000000"/>
                <w:kern w:val="24"/>
                <w:sz w:val="24"/>
                <w:szCs w:val="24"/>
                <w:lang w:val="de-DE"/>
              </w:rPr>
            </w:pPr>
          </w:p>
        </w:tc>
      </w:tr>
    </w:tbl>
    <w:p w14:paraId="25DBC12F" w14:textId="77777777" w:rsidR="00067FFB" w:rsidRPr="006272BD" w:rsidRDefault="00067FFB" w:rsidP="00F31F9C">
      <w:pPr>
        <w:rPr>
          <w:rFonts w:ascii="Times New Roman" w:hAnsi="Times New Roman"/>
          <w:sz w:val="24"/>
          <w:szCs w:val="24"/>
          <w:lang w:val="en-GB" w:eastAsia="en-GB"/>
        </w:rPr>
      </w:pPr>
    </w:p>
    <w:p w14:paraId="03592A13" w14:textId="3CA04730" w:rsidR="00D67CE8" w:rsidRPr="006272BD" w:rsidRDefault="00A87933" w:rsidP="00D67CE8">
      <w:pPr>
        <w:pStyle w:val="Newparagraph"/>
        <w:keepNext/>
        <w:ind w:firstLine="0"/>
        <w:rPr>
          <w:rFonts w:ascii="Times New Roman" w:hAnsi="Times New Roman"/>
          <w:sz w:val="24"/>
        </w:rPr>
      </w:pPr>
      <w:r w:rsidRPr="006272BD">
        <w:rPr>
          <w:rFonts w:ascii="Times New Roman" w:hAnsi="Times New Roman"/>
          <w:noProof/>
          <w:sz w:val="24"/>
          <w:lang w:val="en-CA" w:eastAsia="en-CA"/>
        </w:rPr>
        <w:lastRenderedPageBreak/>
        <w:drawing>
          <wp:inline distT="0" distB="0" distL="0" distR="0" wp14:anchorId="5090633D" wp14:editId="1ED2E316">
            <wp:extent cx="5486400" cy="2717165"/>
            <wp:effectExtent l="0" t="0" r="0" b="6985"/>
            <wp:docPr id="7" name="Inhaltsplatzhalt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Inhaltsplatzhalter 6"/>
                    <pic:cNvPicPr>
                      <a:picLocks noGrp="1"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2717165"/>
                    </a:xfrm>
                    <a:prstGeom prst="rect">
                      <a:avLst/>
                    </a:prstGeom>
                  </pic:spPr>
                </pic:pic>
              </a:graphicData>
            </a:graphic>
          </wp:inline>
        </w:drawing>
      </w:r>
    </w:p>
    <w:p w14:paraId="6BD7E2B6" w14:textId="1457336B" w:rsidR="00A87933" w:rsidRDefault="00870182" w:rsidP="00FA24EE">
      <w:pPr>
        <w:pStyle w:val="Figurecaption"/>
      </w:pPr>
      <w:bookmarkStart w:id="11" w:name="_Ref526341341"/>
      <w:r w:rsidRPr="006272BD">
        <w:rPr>
          <w:b/>
        </w:rPr>
        <w:t>Figure S</w:t>
      </w:r>
      <w:bookmarkEnd w:id="11"/>
      <w:r w:rsidR="008518E0">
        <w:rPr>
          <w:b/>
        </w:rPr>
        <w:t>9</w:t>
      </w:r>
      <w:r w:rsidRPr="006272BD">
        <w:rPr>
          <w:b/>
        </w:rPr>
        <w:t>.</w:t>
      </w:r>
      <w:r w:rsidR="00A87933" w:rsidRPr="006272BD">
        <w:rPr>
          <w:b/>
        </w:rPr>
        <w:t xml:space="preserve"> </w:t>
      </w:r>
      <w:r w:rsidR="0012396B" w:rsidRPr="006272BD">
        <w:t>Fractional size distribution of particles types (clusters) identified by ALABAMA during a measurement without the P</w:t>
      </w:r>
      <w:r w:rsidR="00C6593D">
        <w:t>F</w:t>
      </w:r>
      <w:r w:rsidR="0012396B" w:rsidRPr="006272BD">
        <w:t>PC. 20 clusters were prescr</w:t>
      </w:r>
      <w:r w:rsidR="006D6E06">
        <w:t>ibed for the analysis algorithm;</w:t>
      </w:r>
      <w:r w:rsidR="0012396B" w:rsidRPr="006272BD">
        <w:t xml:space="preserve"> cluster 20 represents the unassigned particles. The purple line represents the absolute size distribution of all particle</w:t>
      </w:r>
      <w:r w:rsidR="00287E41">
        <w:t>s</w:t>
      </w:r>
      <w:r w:rsidR="0012396B" w:rsidRPr="006272BD">
        <w:t xml:space="preserve"> </w:t>
      </w:r>
      <w:r w:rsidR="0034655D" w:rsidRPr="006272BD">
        <w:t>analysed</w:t>
      </w:r>
      <w:r w:rsidR="0012396B" w:rsidRPr="006272BD">
        <w:t xml:space="preserve"> by ALABAMA.</w:t>
      </w:r>
    </w:p>
    <w:p w14:paraId="0B1125E4" w14:textId="77777777" w:rsidR="00686DAF" w:rsidRPr="00686DAF" w:rsidRDefault="00686DAF" w:rsidP="00686DAF">
      <w:pPr>
        <w:rPr>
          <w:lang w:val="en-GB" w:eastAsia="en-GB"/>
        </w:rPr>
      </w:pPr>
    </w:p>
    <w:p w14:paraId="40D80338" w14:textId="2F9392A6" w:rsidR="00E0748B" w:rsidRDefault="00870182" w:rsidP="00281E75">
      <w:pPr>
        <w:pStyle w:val="SMcaption"/>
        <w:jc w:val="both"/>
        <w:rPr>
          <w:rFonts w:ascii="Times New Roman" w:hAnsi="Times New Roman"/>
          <w:sz w:val="24"/>
          <w:szCs w:val="24"/>
        </w:rPr>
      </w:pPr>
      <w:bookmarkStart w:id="12" w:name="_Ref526341363"/>
      <w:bookmarkStart w:id="13" w:name="_GoBack"/>
      <w:r w:rsidRPr="006272BD">
        <w:rPr>
          <w:rFonts w:ascii="Times New Roman" w:hAnsi="Times New Roman"/>
          <w:b/>
          <w:sz w:val="24"/>
          <w:szCs w:val="24"/>
        </w:rPr>
        <w:t>Text S</w:t>
      </w:r>
      <w:r w:rsidRPr="006272BD">
        <w:rPr>
          <w:rFonts w:ascii="Times New Roman" w:hAnsi="Times New Roman"/>
          <w:b/>
          <w:sz w:val="24"/>
          <w:szCs w:val="24"/>
          <w:lang w:val="en-GB" w:eastAsia="en-GB"/>
        </w:rPr>
        <w:fldChar w:fldCharType="begin"/>
      </w:r>
      <w:r w:rsidRPr="006272BD">
        <w:rPr>
          <w:rFonts w:ascii="Times New Roman" w:hAnsi="Times New Roman"/>
          <w:b/>
          <w:sz w:val="24"/>
          <w:szCs w:val="24"/>
        </w:rPr>
        <w:instrText xml:space="preserve"> SEQ Text_S \* ARABIC </w:instrText>
      </w:r>
      <w:r w:rsidRPr="006272BD">
        <w:rPr>
          <w:rFonts w:ascii="Times New Roman" w:hAnsi="Times New Roman"/>
          <w:b/>
          <w:sz w:val="24"/>
          <w:szCs w:val="24"/>
          <w:lang w:val="en-GB" w:eastAsia="en-GB"/>
        </w:rPr>
        <w:fldChar w:fldCharType="separate"/>
      </w:r>
      <w:r w:rsidR="0042314B">
        <w:rPr>
          <w:rFonts w:ascii="Times New Roman" w:hAnsi="Times New Roman"/>
          <w:b/>
          <w:noProof/>
          <w:sz w:val="24"/>
          <w:szCs w:val="24"/>
        </w:rPr>
        <w:t>1</w:t>
      </w:r>
      <w:r w:rsidRPr="006272BD">
        <w:rPr>
          <w:rFonts w:ascii="Times New Roman" w:hAnsi="Times New Roman"/>
          <w:b/>
          <w:sz w:val="24"/>
          <w:szCs w:val="24"/>
          <w:lang w:val="en-GB" w:eastAsia="en-GB"/>
        </w:rPr>
        <w:fldChar w:fldCharType="end"/>
      </w:r>
      <w:bookmarkEnd w:id="12"/>
      <w:r w:rsidRPr="006272BD">
        <w:rPr>
          <w:rFonts w:ascii="Times New Roman" w:hAnsi="Times New Roman"/>
          <w:b/>
          <w:sz w:val="24"/>
          <w:szCs w:val="24"/>
        </w:rPr>
        <w:t>.</w:t>
      </w:r>
      <w:r w:rsidRPr="006272BD">
        <w:rPr>
          <w:rFonts w:ascii="Times New Roman" w:hAnsi="Times New Roman"/>
          <w:sz w:val="24"/>
          <w:szCs w:val="24"/>
        </w:rPr>
        <w:t xml:space="preserve"> </w:t>
      </w:r>
      <w:r w:rsidR="00067FFB">
        <w:rPr>
          <w:rFonts w:ascii="Times New Roman" w:hAnsi="Times New Roman"/>
          <w:sz w:val="24"/>
          <w:szCs w:val="24"/>
        </w:rPr>
        <w:t>The presented c</w:t>
      </w:r>
      <w:r w:rsidR="00BD249E" w:rsidRPr="006272BD">
        <w:rPr>
          <w:rFonts w:ascii="Times New Roman" w:hAnsi="Times New Roman"/>
          <w:sz w:val="24"/>
          <w:szCs w:val="24"/>
        </w:rPr>
        <w:t>luster</w:t>
      </w:r>
      <w:r w:rsidR="00067FFB">
        <w:rPr>
          <w:rFonts w:ascii="Times New Roman" w:hAnsi="Times New Roman"/>
          <w:sz w:val="24"/>
          <w:szCs w:val="24"/>
        </w:rPr>
        <w:t>s and their abundances were obtained by applying the fuzzy c-means algorithm</w:t>
      </w:r>
      <w:r w:rsidR="00174576">
        <w:rPr>
          <w:rFonts w:ascii="Times New Roman" w:hAnsi="Times New Roman"/>
          <w:sz w:val="24"/>
          <w:szCs w:val="24"/>
        </w:rPr>
        <w:t xml:space="preserve"> </w:t>
      </w:r>
      <w:r w:rsidR="00174576">
        <w:rPr>
          <w:rFonts w:ascii="Times New Roman" w:hAnsi="Times New Roman"/>
          <w:sz w:val="24"/>
          <w:szCs w:val="24"/>
        </w:rPr>
        <w:fldChar w:fldCharType="begin" w:fldLock="1"/>
      </w:r>
      <w:r w:rsidR="008C0CE1">
        <w:rPr>
          <w:rFonts w:ascii="Times New Roman" w:hAnsi="Times New Roman"/>
          <w:sz w:val="24"/>
          <w:szCs w:val="24"/>
        </w:rPr>
        <w:instrText>ADDIN CSL_CITATION {"citationItems":[{"id":"ITEM-1","itemData":{"DOI":"10.1016/0098-3004(84)90020-7","ISSN":"0098-3004","abstract":"This paper transmits a FORTRAN-IV coding of the fuzzy c-means (FCM) clustering program. The FCM program is applicable to a wide variety of geostatistical data analysis problems. This program generates fuzzy partitions and prototypes for any set of numerical data. These partitions are useful for corroborating known substructures or suggesting substructure in unexplored data. The clustering criterion used to aggregate subsets is a generalized least-squares objective function. Features of this program include a choice of three norms (Euclidean, Diagonal, or Mahalonobis), an adjustable weighting factor that essentially controls sensitivity to noise, acceptance of variable numbers of clusters, and outputs that include several measures of cluster validity.","author":[{"dropping-particle":"","family":"Bezdek","given":"James C.","non-dropping-particle":"","parse-names":false,"suffix":""},{"dropping-particle":"","family":"Ehrlich","given":"Robert","non-dropping-particle":"","parse-names":false,"suffix":""},{"dropping-particle":"","family":"Full","given":"William","non-dropping-particle":"","parse-names":false,"suffix":""}],"container-title":"Computers &amp; Geosciences","id":"ITEM-1","issue":"2-3","issued":{"date-parts":[["1984","1","1"]]},"page":"191-203","publisher":"Pergamon","title":"FCM: The fuzzy c-means clustering algorithm","type":"article-journal","volume":"10"},"uris":["http://www.mendeley.com/documents/?uuid=308cf6f5-1aaa-36a6-9294-631c8b6a6b70"]},{"id":"ITEM-2","itemData":{"DOI":"10.1016/S1044-0305(99)00028-8","ISSN":"1879-1123","abstract":"A general solution for data processing of large numbers of micrometer- or submicrometer-particle mass spectra in aerosol analysis is described. The method is based on immediate evaluation of bipolar laser desorption ionization mass spectra acquired in an on-line (impact-free) time-of-flight instrument. The goal of the procedure is a characterization of the particle population under investigation in terms of chemical composition of particle classes, particle distributions, size distributions, and time courses, rather than an investigation of each individual particle. After automatic peak analysis of each newly acquired bipolar mass spectrum, the mass spectral information is statistically evaluated by a fuzzy clustering algorithm, providing for an immediate attribution of the particle to predefined particle classes. The particle distributions over these classes can be monitored as a function of time and particle size range. Definition of the particle classes as used for on-line evaluation is performed in an earlier step, either by manual approach, or by selection from a particle class database, or, as in most cases, by fuzzy clustering of a set of particle mass spectra from the population (the aerosol) under investigation. Definition of the particle classes is depending only on the distinguishability of the spectra patterns of different particles. It is not necessary for the clustering approach to fully ``understand'' the mass spectra. The range of possible applications of the method is therefore very broad. Particles dominated by inorganic components, as typically observed in aerosol chemistry for example, can be investigated the same way as organic particles (e.g., from smoke or automobile exhaust) or even biological particles such as bacteria, yeast, or pollen. The data processing method has been successfully applied in several fields of stationary applications and will be employed in mobile instruments for large scale field studies in atmospheric chemistry, engine combustion research, and the characterization of house dust.","author":[{"dropping-particle":"","family":"Hinz","given":"K -P.","non-dropping-particle":"","parse-names":false,"suffix":""},{"dropping-particle":"","family":"Greweling","given":"M","non-dropping-particle":"","parse-names":false,"suffix":""},{"dropping-particle":"","family":"Drews","given":"F","non-dropping-particle":"","parse-names":false,"suffix":""},{"dropping-particle":"","family":"Spengler","given":"B","non-dropping-particle":"","parse-names":false,"suffix":""}],"container-title":"Journal of the American Society for Mass Spectrometry","id":"ITEM-2","issue":"7","issued":{"date-parts":[["1999","7"]]},"page":"648-660","title":"Data processing in on-line laser mass spectrometry of inorganic, organic, or biological airborne particles","type":"article-journal","volume":"10"},"uris":["http://www.mendeley.com/documents/?uuid=40efb00c-d720-4224-8015-2de888c0c71d"]}],"mendeley":{"formattedCitation":"(Hinz et al. 1999; Bezdek et al. 1984)","manualFormatting":"(e.g. Hinz et al. 1999; Bezdek et al. 1984)","plainTextFormattedCitation":"(Hinz et al. 1999; Bezdek et al. 1984)","previouslyFormattedCitation":"(Hinz et al. 1999; Bezdek et al. 1984)"},"properties":{"noteIndex":0},"schema":"https://github.com/citation-style-language/schema/raw/master/csl-citation.json"}</w:instrText>
      </w:r>
      <w:r w:rsidR="00174576">
        <w:rPr>
          <w:rFonts w:ascii="Times New Roman" w:hAnsi="Times New Roman"/>
          <w:sz w:val="24"/>
          <w:szCs w:val="24"/>
        </w:rPr>
        <w:fldChar w:fldCharType="separate"/>
      </w:r>
      <w:r w:rsidR="00174576" w:rsidRPr="00174576">
        <w:rPr>
          <w:rFonts w:ascii="Times New Roman" w:hAnsi="Times New Roman"/>
          <w:noProof/>
          <w:sz w:val="24"/>
          <w:szCs w:val="24"/>
        </w:rPr>
        <w:t>(</w:t>
      </w:r>
      <w:r w:rsidR="00174576">
        <w:rPr>
          <w:rFonts w:ascii="Times New Roman" w:hAnsi="Times New Roman"/>
          <w:noProof/>
          <w:sz w:val="24"/>
          <w:szCs w:val="24"/>
        </w:rPr>
        <w:t xml:space="preserve">e.g. </w:t>
      </w:r>
      <w:r w:rsidR="00174576" w:rsidRPr="00174576">
        <w:rPr>
          <w:rFonts w:ascii="Times New Roman" w:hAnsi="Times New Roman"/>
          <w:noProof/>
          <w:sz w:val="24"/>
          <w:szCs w:val="24"/>
        </w:rPr>
        <w:t>Hinz et al. 1999; Bezdek et al. 1984)</w:t>
      </w:r>
      <w:r w:rsidR="00174576">
        <w:rPr>
          <w:rFonts w:ascii="Times New Roman" w:hAnsi="Times New Roman"/>
          <w:sz w:val="24"/>
          <w:szCs w:val="24"/>
        </w:rPr>
        <w:fldChar w:fldCharType="end"/>
      </w:r>
      <w:r w:rsidR="00174576">
        <w:rPr>
          <w:rFonts w:ascii="Times New Roman" w:hAnsi="Times New Roman"/>
          <w:sz w:val="24"/>
          <w:szCs w:val="24"/>
        </w:rPr>
        <w:t xml:space="preserve"> </w:t>
      </w:r>
      <w:r w:rsidR="00067FFB">
        <w:rPr>
          <w:rFonts w:ascii="Times New Roman" w:hAnsi="Times New Roman"/>
          <w:sz w:val="24"/>
          <w:szCs w:val="24"/>
        </w:rPr>
        <w:t>to the ALABAMA mass spectra, with 20 random class centers chosen as start</w:t>
      </w:r>
      <w:r w:rsidR="00547A27">
        <w:rPr>
          <w:rFonts w:ascii="Times New Roman" w:hAnsi="Times New Roman"/>
          <w:sz w:val="24"/>
          <w:szCs w:val="24"/>
        </w:rPr>
        <w:t>ing</w:t>
      </w:r>
      <w:r w:rsidR="00067FFB">
        <w:rPr>
          <w:rFonts w:ascii="Times New Roman" w:hAnsi="Times New Roman"/>
          <w:sz w:val="24"/>
          <w:szCs w:val="24"/>
        </w:rPr>
        <w:t xml:space="preserve"> conditions.</w:t>
      </w:r>
      <w:r w:rsidR="00547A27">
        <w:rPr>
          <w:rFonts w:ascii="Times New Roman" w:hAnsi="Times New Roman"/>
          <w:sz w:val="24"/>
          <w:szCs w:val="24"/>
        </w:rPr>
        <w:t xml:space="preserve"> </w:t>
      </w:r>
      <w:r w:rsidR="008A7848">
        <w:rPr>
          <w:rFonts w:ascii="Times New Roman" w:hAnsi="Times New Roman"/>
          <w:sz w:val="24"/>
          <w:szCs w:val="24"/>
        </w:rPr>
        <w:t>It is beyond the scope of this paper to discuss the composition of each particle cluster but two clusters, C0 and C12</w:t>
      </w:r>
      <w:r w:rsidR="00547A27">
        <w:rPr>
          <w:rFonts w:ascii="Times New Roman" w:hAnsi="Times New Roman"/>
          <w:sz w:val="24"/>
          <w:szCs w:val="24"/>
        </w:rPr>
        <w:t>,</w:t>
      </w:r>
      <w:r w:rsidR="008A7848">
        <w:rPr>
          <w:rFonts w:ascii="Times New Roman" w:hAnsi="Times New Roman"/>
          <w:sz w:val="24"/>
          <w:szCs w:val="24"/>
        </w:rPr>
        <w:t xml:space="preserve"> are discussed below. </w:t>
      </w:r>
    </w:p>
    <w:p w14:paraId="3EFF9C54" w14:textId="77777777" w:rsidR="00547A27" w:rsidRDefault="00547A27" w:rsidP="00281E75">
      <w:pPr>
        <w:pStyle w:val="SMcaption"/>
        <w:jc w:val="both"/>
        <w:rPr>
          <w:rFonts w:ascii="Times New Roman" w:hAnsi="Times New Roman"/>
          <w:sz w:val="24"/>
          <w:szCs w:val="24"/>
        </w:rPr>
      </w:pPr>
    </w:p>
    <w:p w14:paraId="4904CAD0" w14:textId="215D0EA8" w:rsidR="00C5466F" w:rsidRDefault="00067FFB" w:rsidP="00281E75">
      <w:pPr>
        <w:pStyle w:val="SMcaption"/>
        <w:jc w:val="both"/>
        <w:rPr>
          <w:rFonts w:ascii="Times New Roman" w:hAnsi="Times New Roman"/>
          <w:sz w:val="24"/>
          <w:szCs w:val="24"/>
        </w:rPr>
      </w:pPr>
      <w:r>
        <w:rPr>
          <w:rFonts w:ascii="Times New Roman" w:hAnsi="Times New Roman"/>
          <w:sz w:val="24"/>
          <w:szCs w:val="24"/>
        </w:rPr>
        <w:t>For the EF calculation</w:t>
      </w:r>
      <w:r w:rsidR="008A6248">
        <w:rPr>
          <w:rFonts w:ascii="Times New Roman" w:hAnsi="Times New Roman"/>
          <w:sz w:val="24"/>
          <w:szCs w:val="24"/>
        </w:rPr>
        <w:t>,</w:t>
      </w:r>
      <w:r>
        <w:rPr>
          <w:rFonts w:ascii="Times New Roman" w:hAnsi="Times New Roman"/>
          <w:sz w:val="24"/>
          <w:szCs w:val="24"/>
        </w:rPr>
        <w:t xml:space="preserve"> the cluster fractions during the </w:t>
      </w:r>
      <w:proofErr w:type="gramStart"/>
      <w:r>
        <w:rPr>
          <w:rFonts w:ascii="Times New Roman" w:hAnsi="Times New Roman"/>
          <w:sz w:val="24"/>
          <w:szCs w:val="24"/>
        </w:rPr>
        <w:t>time period</w:t>
      </w:r>
      <w:proofErr w:type="gramEnd"/>
      <w:r>
        <w:rPr>
          <w:rFonts w:ascii="Times New Roman" w:hAnsi="Times New Roman"/>
          <w:sz w:val="24"/>
          <w:szCs w:val="24"/>
        </w:rPr>
        <w:t xml:space="preserve"> listed in</w:t>
      </w:r>
      <w:r w:rsidR="008C0CE1">
        <w:rPr>
          <w:rFonts w:ascii="Times New Roman" w:hAnsi="Times New Roman"/>
          <w:sz w:val="24"/>
          <w:szCs w:val="24"/>
        </w:rPr>
        <w:t xml:space="preserve"> </w:t>
      </w:r>
      <w:r>
        <w:rPr>
          <w:rFonts w:ascii="Times New Roman" w:hAnsi="Times New Roman"/>
          <w:sz w:val="24"/>
          <w:szCs w:val="24"/>
        </w:rPr>
        <w:t>Table S2, related to the total number of detected particles at the same period</w:t>
      </w:r>
      <w:r w:rsidR="008A6248">
        <w:rPr>
          <w:rFonts w:ascii="Times New Roman" w:hAnsi="Times New Roman"/>
          <w:sz w:val="24"/>
          <w:szCs w:val="24"/>
        </w:rPr>
        <w:t>,</w:t>
      </w:r>
      <w:r>
        <w:rPr>
          <w:rFonts w:ascii="Times New Roman" w:hAnsi="Times New Roman"/>
          <w:sz w:val="24"/>
          <w:szCs w:val="24"/>
        </w:rPr>
        <w:t xml:space="preserve"> were used. The particle detection in ALABAMA takes place before ablation/ionization and was without limitation during times with enhanced particle concentrations when using the P</w:t>
      </w:r>
      <w:r w:rsidR="00C6593D">
        <w:rPr>
          <w:rFonts w:ascii="Times New Roman" w:hAnsi="Times New Roman"/>
          <w:sz w:val="24"/>
          <w:szCs w:val="24"/>
        </w:rPr>
        <w:t>F</w:t>
      </w:r>
      <w:r>
        <w:rPr>
          <w:rFonts w:ascii="Times New Roman" w:hAnsi="Times New Roman"/>
          <w:sz w:val="24"/>
          <w:szCs w:val="24"/>
        </w:rPr>
        <w:t>PC. The median diameter siz</w:t>
      </w:r>
      <w:r w:rsidR="00121A80">
        <w:rPr>
          <w:rFonts w:ascii="Times New Roman" w:hAnsi="Times New Roman"/>
          <w:sz w:val="24"/>
          <w:szCs w:val="24"/>
        </w:rPr>
        <w:t>e</w:t>
      </w:r>
      <w:r>
        <w:rPr>
          <w:rFonts w:ascii="Times New Roman" w:hAnsi="Times New Roman"/>
          <w:sz w:val="24"/>
          <w:szCs w:val="24"/>
        </w:rPr>
        <w:t xml:space="preserve"> of the clusters was obtained from an earlier </w:t>
      </w:r>
      <w:proofErr w:type="gramStart"/>
      <w:r>
        <w:rPr>
          <w:rFonts w:ascii="Times New Roman" w:hAnsi="Times New Roman"/>
          <w:sz w:val="24"/>
          <w:szCs w:val="24"/>
        </w:rPr>
        <w:t>time period</w:t>
      </w:r>
      <w:proofErr w:type="gramEnd"/>
      <w:r>
        <w:rPr>
          <w:rFonts w:ascii="Times New Roman" w:hAnsi="Times New Roman"/>
          <w:sz w:val="24"/>
          <w:szCs w:val="24"/>
        </w:rPr>
        <w:t xml:space="preserve"> on this day </w:t>
      </w:r>
      <w:r w:rsidR="00AE3667">
        <w:rPr>
          <w:rFonts w:ascii="Times New Roman" w:hAnsi="Times New Roman"/>
          <w:sz w:val="24"/>
          <w:szCs w:val="24"/>
        </w:rPr>
        <w:t xml:space="preserve">(Table </w:t>
      </w:r>
      <w:r w:rsidR="006D6E06">
        <w:rPr>
          <w:rFonts w:ascii="Times New Roman" w:hAnsi="Times New Roman"/>
          <w:sz w:val="24"/>
          <w:szCs w:val="24"/>
        </w:rPr>
        <w:t>S</w:t>
      </w:r>
      <w:r w:rsidR="00AE3667">
        <w:rPr>
          <w:rFonts w:ascii="Times New Roman" w:hAnsi="Times New Roman"/>
          <w:sz w:val="24"/>
          <w:szCs w:val="24"/>
        </w:rPr>
        <w:t>2)</w:t>
      </w:r>
      <w:r>
        <w:rPr>
          <w:rFonts w:ascii="Times New Roman" w:hAnsi="Times New Roman"/>
          <w:sz w:val="24"/>
          <w:szCs w:val="24"/>
        </w:rPr>
        <w:t xml:space="preserve"> with stable particle size distributions. One of the clusters with the smallest particles is </w:t>
      </w:r>
      <w:r w:rsidR="00854402">
        <w:rPr>
          <w:rFonts w:ascii="Times New Roman" w:hAnsi="Times New Roman"/>
          <w:sz w:val="24"/>
          <w:szCs w:val="24"/>
        </w:rPr>
        <w:t>C</w:t>
      </w:r>
      <w:r>
        <w:rPr>
          <w:rFonts w:ascii="Times New Roman" w:hAnsi="Times New Roman"/>
          <w:sz w:val="24"/>
          <w:szCs w:val="24"/>
        </w:rPr>
        <w:t>luster</w:t>
      </w:r>
      <w:r w:rsidR="00511361">
        <w:rPr>
          <w:rFonts w:ascii="Times New Roman" w:hAnsi="Times New Roman"/>
          <w:sz w:val="24"/>
          <w:szCs w:val="24"/>
        </w:rPr>
        <w:t xml:space="preserve"> </w:t>
      </w:r>
      <w:r w:rsidR="00BD249E" w:rsidRPr="006272BD">
        <w:rPr>
          <w:rFonts w:ascii="Times New Roman" w:hAnsi="Times New Roman"/>
          <w:sz w:val="24"/>
          <w:szCs w:val="24"/>
        </w:rPr>
        <w:t>12</w:t>
      </w:r>
      <w:r w:rsidR="00B21F8C" w:rsidRPr="006272BD">
        <w:rPr>
          <w:rFonts w:ascii="Times New Roman" w:hAnsi="Times New Roman"/>
          <w:sz w:val="24"/>
          <w:szCs w:val="24"/>
        </w:rPr>
        <w:t xml:space="preserve"> </w:t>
      </w:r>
      <w:r>
        <w:rPr>
          <w:rFonts w:ascii="Times New Roman" w:hAnsi="Times New Roman"/>
          <w:sz w:val="24"/>
          <w:szCs w:val="24"/>
        </w:rPr>
        <w:t>with</w:t>
      </w:r>
      <w:r w:rsidR="00C5466F">
        <w:rPr>
          <w:rFonts w:ascii="Times New Roman" w:hAnsi="Times New Roman"/>
          <w:sz w:val="24"/>
          <w:szCs w:val="24"/>
        </w:rPr>
        <w:t xml:space="preserve"> </w:t>
      </w:r>
      <w:r w:rsidR="006F10A6" w:rsidRPr="006272BD">
        <w:rPr>
          <w:rFonts w:ascii="Times New Roman" w:hAnsi="Times New Roman"/>
          <w:sz w:val="24"/>
          <w:szCs w:val="24"/>
        </w:rPr>
        <w:t xml:space="preserve">a median </w:t>
      </w:r>
      <w:r w:rsidR="00B21F8C" w:rsidRPr="006272BD">
        <w:rPr>
          <w:rFonts w:ascii="Times New Roman" w:hAnsi="Times New Roman"/>
          <w:sz w:val="24"/>
          <w:szCs w:val="24"/>
        </w:rPr>
        <w:t>vacuum</w:t>
      </w:r>
      <w:r w:rsidR="006F10A6" w:rsidRPr="006272BD">
        <w:rPr>
          <w:rFonts w:ascii="Times New Roman" w:hAnsi="Times New Roman"/>
          <w:sz w:val="24"/>
          <w:szCs w:val="24"/>
        </w:rPr>
        <w:t xml:space="preserve"> aerodynamic diameter of </w:t>
      </w:r>
      <w:r w:rsidR="00B21F8C" w:rsidRPr="006272BD">
        <w:rPr>
          <w:rFonts w:ascii="Times New Roman" w:hAnsi="Times New Roman"/>
          <w:sz w:val="24"/>
          <w:szCs w:val="24"/>
        </w:rPr>
        <w:t>427 nm</w:t>
      </w:r>
      <w:r w:rsidR="00C5466F">
        <w:rPr>
          <w:rFonts w:ascii="Times New Roman" w:hAnsi="Times New Roman"/>
          <w:sz w:val="24"/>
          <w:szCs w:val="24"/>
        </w:rPr>
        <w:t>. T</w:t>
      </w:r>
      <w:r w:rsidR="00F0029E" w:rsidRPr="006272BD">
        <w:rPr>
          <w:rFonts w:ascii="Times New Roman" w:hAnsi="Times New Roman"/>
          <w:sz w:val="24"/>
          <w:szCs w:val="24"/>
        </w:rPr>
        <w:t>he signal intensities of elem</w:t>
      </w:r>
      <w:r w:rsidR="00695D76" w:rsidRPr="006272BD">
        <w:rPr>
          <w:rFonts w:ascii="Times New Roman" w:hAnsi="Times New Roman"/>
          <w:sz w:val="24"/>
          <w:szCs w:val="24"/>
        </w:rPr>
        <w:t>ental ca</w:t>
      </w:r>
      <w:r w:rsidR="00C5466F">
        <w:rPr>
          <w:rFonts w:ascii="Times New Roman" w:hAnsi="Times New Roman"/>
          <w:sz w:val="24"/>
          <w:szCs w:val="24"/>
        </w:rPr>
        <w:t>rbon (EC)-</w:t>
      </w:r>
      <w:r w:rsidR="00695D76" w:rsidRPr="006272BD">
        <w:rPr>
          <w:rFonts w:ascii="Times New Roman" w:hAnsi="Times New Roman"/>
          <w:sz w:val="24"/>
          <w:szCs w:val="24"/>
        </w:rPr>
        <w:t xml:space="preserve">related mass-to-charge ratios </w:t>
      </w:r>
      <w:r w:rsidR="00C5466F">
        <w:rPr>
          <w:rFonts w:ascii="Times New Roman" w:hAnsi="Times New Roman"/>
          <w:sz w:val="24"/>
          <w:szCs w:val="24"/>
        </w:rPr>
        <w:t>(</w:t>
      </w:r>
      <w:r w:rsidR="00695D76" w:rsidRPr="006272BD">
        <w:rPr>
          <w:rFonts w:ascii="Times New Roman" w:hAnsi="Times New Roman"/>
          <w:sz w:val="24"/>
          <w:szCs w:val="24"/>
        </w:rPr>
        <w:t>m/z</w:t>
      </w:r>
      <w:r w:rsidR="00C5466F">
        <w:rPr>
          <w:rFonts w:ascii="Times New Roman" w:hAnsi="Times New Roman"/>
          <w:sz w:val="24"/>
          <w:szCs w:val="24"/>
        </w:rPr>
        <w:t xml:space="preserve">) of </w:t>
      </w:r>
      <w:r w:rsidR="004E4E1C" w:rsidRPr="006272BD">
        <w:rPr>
          <w:rFonts w:ascii="Times New Roman" w:hAnsi="Times New Roman"/>
          <w:sz w:val="24"/>
          <w:szCs w:val="24"/>
        </w:rPr>
        <w:t>12</w:t>
      </w:r>
      <w:r w:rsidR="00C5466F">
        <w:rPr>
          <w:rFonts w:ascii="Times New Roman" w:hAnsi="Times New Roman"/>
          <w:sz w:val="24"/>
          <w:szCs w:val="24"/>
        </w:rPr>
        <w:t>,</w:t>
      </w:r>
      <w:r w:rsidR="004E4E1C" w:rsidRPr="006272BD">
        <w:rPr>
          <w:rFonts w:ascii="Times New Roman" w:hAnsi="Times New Roman"/>
          <w:sz w:val="24"/>
          <w:szCs w:val="24"/>
        </w:rPr>
        <w:t xml:space="preserve"> 24</w:t>
      </w:r>
      <w:r w:rsidR="00C5466F">
        <w:rPr>
          <w:rFonts w:ascii="Times New Roman" w:hAnsi="Times New Roman"/>
          <w:sz w:val="24"/>
          <w:szCs w:val="24"/>
        </w:rPr>
        <w:t xml:space="preserve"> and</w:t>
      </w:r>
      <w:r w:rsidR="004E4E1C" w:rsidRPr="006272BD">
        <w:rPr>
          <w:rFonts w:ascii="Times New Roman" w:hAnsi="Times New Roman"/>
          <w:sz w:val="24"/>
          <w:szCs w:val="24"/>
        </w:rPr>
        <w:t xml:space="preserve"> 36</w:t>
      </w:r>
      <w:r w:rsidR="00695D76" w:rsidRPr="006272BD">
        <w:rPr>
          <w:rFonts w:ascii="Times New Roman" w:hAnsi="Times New Roman"/>
          <w:sz w:val="24"/>
          <w:szCs w:val="24"/>
        </w:rPr>
        <w:t xml:space="preserve"> dominat</w:t>
      </w:r>
      <w:r w:rsidR="00C5466F">
        <w:rPr>
          <w:rFonts w:ascii="Times New Roman" w:hAnsi="Times New Roman"/>
          <w:sz w:val="24"/>
          <w:szCs w:val="24"/>
        </w:rPr>
        <w:t>e</w:t>
      </w:r>
      <w:r w:rsidR="00695D76" w:rsidRPr="006272BD">
        <w:rPr>
          <w:rFonts w:ascii="Times New Roman" w:hAnsi="Times New Roman"/>
          <w:sz w:val="24"/>
          <w:szCs w:val="24"/>
        </w:rPr>
        <w:t xml:space="preserve"> </w:t>
      </w:r>
      <w:r w:rsidR="004E4E1C" w:rsidRPr="006272BD">
        <w:rPr>
          <w:rFonts w:ascii="Times New Roman" w:hAnsi="Times New Roman"/>
          <w:sz w:val="24"/>
          <w:szCs w:val="24"/>
        </w:rPr>
        <w:t xml:space="preserve">the positive </w:t>
      </w:r>
      <w:r w:rsidR="00243E80">
        <w:rPr>
          <w:rFonts w:ascii="Times New Roman" w:hAnsi="Times New Roman"/>
          <w:sz w:val="24"/>
          <w:szCs w:val="24"/>
        </w:rPr>
        <w:t xml:space="preserve">averaged </w:t>
      </w:r>
      <w:r w:rsidR="004E4E1C" w:rsidRPr="006272BD">
        <w:rPr>
          <w:rFonts w:ascii="Times New Roman" w:hAnsi="Times New Roman"/>
          <w:sz w:val="24"/>
          <w:szCs w:val="24"/>
        </w:rPr>
        <w:t>mass spectra</w:t>
      </w:r>
      <w:r w:rsidR="00C5466F">
        <w:rPr>
          <w:rFonts w:ascii="Times New Roman" w:hAnsi="Times New Roman"/>
          <w:sz w:val="24"/>
          <w:szCs w:val="24"/>
        </w:rPr>
        <w:t xml:space="preserve"> of Cluster 12 , with </w:t>
      </w:r>
      <w:r w:rsidR="004E4E1C" w:rsidRPr="006272BD">
        <w:rPr>
          <w:rFonts w:ascii="Times New Roman" w:hAnsi="Times New Roman"/>
          <w:sz w:val="24"/>
          <w:szCs w:val="24"/>
        </w:rPr>
        <w:t xml:space="preserve">lower intensity K </w:t>
      </w:r>
      <w:r w:rsidR="00C5466F">
        <w:rPr>
          <w:rFonts w:ascii="Times New Roman" w:hAnsi="Times New Roman"/>
          <w:sz w:val="24"/>
          <w:szCs w:val="24"/>
        </w:rPr>
        <w:t>signals (m/z 39, 41)</w:t>
      </w:r>
      <w:r w:rsidR="004E4E1C" w:rsidRPr="006272BD">
        <w:rPr>
          <w:rFonts w:ascii="Times New Roman" w:hAnsi="Times New Roman"/>
          <w:sz w:val="24"/>
          <w:szCs w:val="24"/>
        </w:rPr>
        <w:t xml:space="preserve"> and signatures of </w:t>
      </w:r>
      <w:r w:rsidR="00C5466F">
        <w:rPr>
          <w:rFonts w:ascii="Times New Roman" w:hAnsi="Times New Roman"/>
          <w:sz w:val="24"/>
          <w:szCs w:val="24"/>
        </w:rPr>
        <w:t>organic carbon (</w:t>
      </w:r>
      <w:r w:rsidR="004E4E1C" w:rsidRPr="006272BD">
        <w:rPr>
          <w:rFonts w:ascii="Times New Roman" w:hAnsi="Times New Roman"/>
          <w:sz w:val="24"/>
          <w:szCs w:val="24"/>
        </w:rPr>
        <w:t>OC</w:t>
      </w:r>
      <w:r w:rsidR="00C5466F">
        <w:rPr>
          <w:rFonts w:ascii="Times New Roman" w:hAnsi="Times New Roman"/>
          <w:sz w:val="24"/>
          <w:szCs w:val="24"/>
        </w:rPr>
        <w:t>)</w:t>
      </w:r>
      <w:r w:rsidR="00243E80">
        <w:rPr>
          <w:rFonts w:ascii="Times New Roman" w:hAnsi="Times New Roman"/>
          <w:sz w:val="24"/>
          <w:szCs w:val="24"/>
        </w:rPr>
        <w:t xml:space="preserve"> </w:t>
      </w:r>
      <w:r w:rsidR="00854402">
        <w:rPr>
          <w:rFonts w:ascii="Times New Roman" w:hAnsi="Times New Roman"/>
          <w:sz w:val="24"/>
          <w:szCs w:val="24"/>
        </w:rPr>
        <w:t>a</w:t>
      </w:r>
      <w:r w:rsidR="00243E80">
        <w:rPr>
          <w:rFonts w:ascii="Times New Roman" w:hAnsi="Times New Roman"/>
          <w:sz w:val="24"/>
          <w:szCs w:val="24"/>
        </w:rPr>
        <w:t>s m/z 27, 29, 37, 43</w:t>
      </w:r>
      <w:r w:rsidR="008C0CE1">
        <w:rPr>
          <w:rFonts w:ascii="Times New Roman" w:hAnsi="Times New Roman"/>
          <w:sz w:val="24"/>
          <w:szCs w:val="24"/>
        </w:rPr>
        <w:t xml:space="preserve"> </w:t>
      </w:r>
      <w:r w:rsidR="008C0CE1">
        <w:rPr>
          <w:rFonts w:ascii="Times New Roman" w:hAnsi="Times New Roman"/>
          <w:sz w:val="24"/>
          <w:szCs w:val="24"/>
        </w:rPr>
        <w:fldChar w:fldCharType="begin" w:fldLock="1"/>
      </w:r>
      <w:r w:rsidR="008C0CE1">
        <w:rPr>
          <w:rFonts w:ascii="Times New Roman" w:hAnsi="Times New Roman"/>
          <w:sz w:val="24"/>
          <w:szCs w:val="24"/>
        </w:rPr>
        <w:instrText>ADDIN CSL_CITATION {"citationItems":[{"id":"ITEM-1","itemData":{"DOI":"10.1080/02786820600729138","author":[{"dropping-particle":"","family":"Spencer","given":"Matthew T","non-dropping-particle":"","parse-names":false,"suffix":""},{"dropping-particle":"","family":"Prather","given":"Kimberly A","non-dropping-particle":"","parse-names":false,"suffix":""}],"container-title":"Aerosol Science and Technology","id":"ITEM-1","issue":"8","issued":{"date-parts":[["2006"]]},"page":"585-594","publisher":"Taylor &amp; Francis","title":"Using ATOFMS to Determine OC/EC Mass Fractions in Particles","type":"article-journal","volume":"40"},"uris":["http://www.mendeley.com/documents/?uuid=39066ecd-b3ee-4d09-a8c4-ddc651189b6d"]}],"mendeley":{"formattedCitation":"(Spencer and Prather 2006)","plainTextFormattedCitation":"(Spencer and Prather 2006)"},"properties":{"noteIndex":0},"schema":"https://github.com/citation-style-language/schema/raw/master/csl-citation.json"}</w:instrText>
      </w:r>
      <w:r w:rsidR="008C0CE1">
        <w:rPr>
          <w:rFonts w:ascii="Times New Roman" w:hAnsi="Times New Roman"/>
          <w:sz w:val="24"/>
          <w:szCs w:val="24"/>
        </w:rPr>
        <w:fldChar w:fldCharType="separate"/>
      </w:r>
      <w:r w:rsidR="008C0CE1" w:rsidRPr="008C0CE1">
        <w:rPr>
          <w:rFonts w:ascii="Times New Roman" w:hAnsi="Times New Roman"/>
          <w:noProof/>
          <w:sz w:val="24"/>
          <w:szCs w:val="24"/>
        </w:rPr>
        <w:t>(Spencer and Prather</w:t>
      </w:r>
      <w:r w:rsidR="00854402">
        <w:rPr>
          <w:rFonts w:ascii="Times New Roman" w:hAnsi="Times New Roman"/>
          <w:noProof/>
          <w:sz w:val="24"/>
          <w:szCs w:val="24"/>
        </w:rPr>
        <w:t>,</w:t>
      </w:r>
      <w:r w:rsidR="008C0CE1" w:rsidRPr="008C0CE1">
        <w:rPr>
          <w:rFonts w:ascii="Times New Roman" w:hAnsi="Times New Roman"/>
          <w:noProof/>
          <w:sz w:val="24"/>
          <w:szCs w:val="24"/>
        </w:rPr>
        <w:t xml:space="preserve"> 2006)</w:t>
      </w:r>
      <w:r w:rsidR="008C0CE1">
        <w:rPr>
          <w:rFonts w:ascii="Times New Roman" w:hAnsi="Times New Roman"/>
          <w:sz w:val="24"/>
          <w:szCs w:val="24"/>
        </w:rPr>
        <w:fldChar w:fldCharType="end"/>
      </w:r>
      <w:r w:rsidR="008C0CE1">
        <w:rPr>
          <w:rFonts w:ascii="Times New Roman" w:hAnsi="Times New Roman"/>
          <w:sz w:val="24"/>
          <w:szCs w:val="24"/>
        </w:rPr>
        <w:t xml:space="preserve">. </w:t>
      </w:r>
      <w:r w:rsidR="00C5466F">
        <w:rPr>
          <w:rFonts w:ascii="Times New Roman" w:hAnsi="Times New Roman"/>
          <w:sz w:val="24"/>
          <w:szCs w:val="24"/>
        </w:rPr>
        <w:t xml:space="preserve">In the negative mode spectrum, </w:t>
      </w:r>
      <w:r w:rsidR="00471174" w:rsidRPr="006272BD">
        <w:rPr>
          <w:rFonts w:ascii="Times New Roman" w:hAnsi="Times New Roman"/>
          <w:sz w:val="24"/>
          <w:szCs w:val="24"/>
        </w:rPr>
        <w:t>the signal of m/z 26 (CN</w:t>
      </w:r>
      <w:r w:rsidR="00C5466F" w:rsidRPr="00C5466F">
        <w:rPr>
          <w:rFonts w:ascii="Times New Roman" w:hAnsi="Times New Roman"/>
          <w:sz w:val="24"/>
          <w:szCs w:val="24"/>
          <w:vertAlign w:val="superscript"/>
        </w:rPr>
        <w:t>-</w:t>
      </w:r>
      <w:r w:rsidR="00471174" w:rsidRPr="006272BD">
        <w:rPr>
          <w:rFonts w:ascii="Times New Roman" w:hAnsi="Times New Roman"/>
          <w:sz w:val="24"/>
          <w:szCs w:val="24"/>
        </w:rPr>
        <w:t xml:space="preserve">) </w:t>
      </w:r>
      <w:r w:rsidR="00C5466F">
        <w:rPr>
          <w:rFonts w:ascii="Times New Roman" w:hAnsi="Times New Roman"/>
          <w:sz w:val="24"/>
          <w:szCs w:val="24"/>
        </w:rPr>
        <w:t xml:space="preserve">dominates with </w:t>
      </w:r>
      <w:r w:rsidR="00471174" w:rsidRPr="006272BD">
        <w:rPr>
          <w:rFonts w:ascii="Times New Roman" w:hAnsi="Times New Roman"/>
          <w:sz w:val="24"/>
          <w:szCs w:val="24"/>
        </w:rPr>
        <w:t>lower intens</w:t>
      </w:r>
      <w:r w:rsidR="00C5466F">
        <w:rPr>
          <w:rFonts w:ascii="Times New Roman" w:hAnsi="Times New Roman"/>
          <w:sz w:val="24"/>
          <w:szCs w:val="24"/>
        </w:rPr>
        <w:t xml:space="preserve">ity signals at m/z </w:t>
      </w:r>
      <w:r w:rsidR="00471174" w:rsidRPr="006272BD">
        <w:rPr>
          <w:rFonts w:ascii="Times New Roman" w:hAnsi="Times New Roman"/>
          <w:sz w:val="24"/>
          <w:szCs w:val="24"/>
        </w:rPr>
        <w:t>24 (C</w:t>
      </w:r>
      <w:r w:rsidR="00471174" w:rsidRPr="002641BB">
        <w:rPr>
          <w:rFonts w:ascii="Times New Roman" w:hAnsi="Times New Roman"/>
          <w:sz w:val="24"/>
          <w:szCs w:val="24"/>
          <w:vertAlign w:val="subscript"/>
        </w:rPr>
        <w:t>2</w:t>
      </w:r>
      <w:r w:rsidR="002641BB" w:rsidRPr="002641BB">
        <w:rPr>
          <w:rFonts w:ascii="Times New Roman" w:hAnsi="Times New Roman"/>
          <w:sz w:val="24"/>
          <w:szCs w:val="24"/>
          <w:vertAlign w:val="superscript"/>
        </w:rPr>
        <w:t>-</w:t>
      </w:r>
      <w:r w:rsidR="00471174" w:rsidRPr="006272BD">
        <w:rPr>
          <w:rFonts w:ascii="Times New Roman" w:hAnsi="Times New Roman"/>
          <w:sz w:val="24"/>
          <w:szCs w:val="24"/>
        </w:rPr>
        <w:t>), 25(C</w:t>
      </w:r>
      <w:r w:rsidR="00471174" w:rsidRPr="002641BB">
        <w:rPr>
          <w:rFonts w:ascii="Times New Roman" w:hAnsi="Times New Roman"/>
          <w:sz w:val="24"/>
          <w:szCs w:val="24"/>
          <w:vertAlign w:val="subscript"/>
        </w:rPr>
        <w:t>2</w:t>
      </w:r>
      <w:r w:rsidR="00471174" w:rsidRPr="006272BD">
        <w:rPr>
          <w:rFonts w:ascii="Times New Roman" w:hAnsi="Times New Roman"/>
          <w:sz w:val="24"/>
          <w:szCs w:val="24"/>
        </w:rPr>
        <w:t>H</w:t>
      </w:r>
      <w:r w:rsidR="002641BB" w:rsidRPr="002641BB">
        <w:rPr>
          <w:rFonts w:ascii="Times New Roman" w:hAnsi="Times New Roman"/>
          <w:sz w:val="24"/>
          <w:szCs w:val="24"/>
          <w:vertAlign w:val="superscript"/>
        </w:rPr>
        <w:t>-</w:t>
      </w:r>
      <w:r w:rsidR="00471174" w:rsidRPr="006272BD">
        <w:rPr>
          <w:rFonts w:ascii="Times New Roman" w:hAnsi="Times New Roman"/>
          <w:sz w:val="24"/>
          <w:szCs w:val="24"/>
        </w:rPr>
        <w:t>) and 97</w:t>
      </w:r>
      <w:r w:rsidR="002641BB">
        <w:rPr>
          <w:rFonts w:ascii="Times New Roman" w:hAnsi="Times New Roman"/>
          <w:sz w:val="24"/>
          <w:szCs w:val="24"/>
        </w:rPr>
        <w:t xml:space="preserve"> (</w:t>
      </w:r>
      <w:r w:rsidR="002641BB" w:rsidRPr="006272BD">
        <w:rPr>
          <w:rFonts w:ascii="Times New Roman" w:hAnsi="Times New Roman"/>
          <w:sz w:val="24"/>
          <w:szCs w:val="24"/>
        </w:rPr>
        <w:t>HSO</w:t>
      </w:r>
      <w:r w:rsidR="002641BB" w:rsidRPr="00C5466F">
        <w:rPr>
          <w:rFonts w:ascii="Times New Roman" w:hAnsi="Times New Roman"/>
          <w:sz w:val="24"/>
          <w:szCs w:val="24"/>
          <w:vertAlign w:val="subscript"/>
        </w:rPr>
        <w:t>4</w:t>
      </w:r>
      <w:r w:rsidR="002641BB" w:rsidRPr="00C5466F">
        <w:rPr>
          <w:rFonts w:ascii="Times New Roman" w:hAnsi="Times New Roman"/>
          <w:sz w:val="24"/>
          <w:szCs w:val="24"/>
          <w:vertAlign w:val="superscript"/>
        </w:rPr>
        <w:t>-</w:t>
      </w:r>
      <w:r w:rsidR="00471174" w:rsidRPr="006272BD">
        <w:rPr>
          <w:rFonts w:ascii="Times New Roman" w:hAnsi="Times New Roman"/>
          <w:sz w:val="24"/>
          <w:szCs w:val="24"/>
        </w:rPr>
        <w:t xml:space="preserve">). </w:t>
      </w:r>
      <w:r w:rsidR="00DD373A" w:rsidRPr="006272BD">
        <w:rPr>
          <w:rFonts w:ascii="Times New Roman" w:hAnsi="Times New Roman"/>
          <w:sz w:val="24"/>
          <w:szCs w:val="24"/>
        </w:rPr>
        <w:t>Overall the cluster is dominated by EC and K, w</w:t>
      </w:r>
      <w:r w:rsidR="00C5466F">
        <w:rPr>
          <w:rFonts w:ascii="Times New Roman" w:hAnsi="Times New Roman"/>
          <w:sz w:val="24"/>
          <w:szCs w:val="24"/>
        </w:rPr>
        <w:t xml:space="preserve">ith little indication of atmospheric aging. </w:t>
      </w:r>
      <w:r w:rsidR="00243E80">
        <w:rPr>
          <w:rFonts w:ascii="Times New Roman" w:hAnsi="Times New Roman"/>
          <w:sz w:val="24"/>
          <w:szCs w:val="24"/>
        </w:rPr>
        <w:t>In particular, m/z 43 (C</w:t>
      </w:r>
      <w:r w:rsidR="00243E80" w:rsidRPr="008C0CE1">
        <w:rPr>
          <w:rFonts w:ascii="Times New Roman" w:hAnsi="Times New Roman"/>
          <w:sz w:val="24"/>
          <w:szCs w:val="24"/>
          <w:vertAlign w:val="subscript"/>
        </w:rPr>
        <w:t>2</w:t>
      </w:r>
      <w:r w:rsidR="00243E80">
        <w:rPr>
          <w:rFonts w:ascii="Times New Roman" w:hAnsi="Times New Roman"/>
          <w:sz w:val="24"/>
          <w:szCs w:val="24"/>
        </w:rPr>
        <w:t>H</w:t>
      </w:r>
      <w:r w:rsidR="00243E80" w:rsidRPr="008C0CE1">
        <w:rPr>
          <w:rFonts w:ascii="Times New Roman" w:hAnsi="Times New Roman"/>
          <w:sz w:val="24"/>
          <w:szCs w:val="24"/>
          <w:vertAlign w:val="subscript"/>
        </w:rPr>
        <w:t>3</w:t>
      </w:r>
      <w:r w:rsidR="00243E80">
        <w:rPr>
          <w:rFonts w:ascii="Times New Roman" w:hAnsi="Times New Roman"/>
          <w:sz w:val="24"/>
          <w:szCs w:val="24"/>
        </w:rPr>
        <w:t>O</w:t>
      </w:r>
      <w:r w:rsidR="00243E80" w:rsidRPr="008C0CE1">
        <w:rPr>
          <w:rFonts w:ascii="Times New Roman" w:hAnsi="Times New Roman"/>
          <w:sz w:val="24"/>
          <w:szCs w:val="24"/>
          <w:vertAlign w:val="superscript"/>
        </w:rPr>
        <w:t>+</w:t>
      </w:r>
      <w:r w:rsidR="00243E80">
        <w:rPr>
          <w:rFonts w:ascii="Times New Roman" w:hAnsi="Times New Roman"/>
          <w:sz w:val="24"/>
          <w:szCs w:val="24"/>
        </w:rPr>
        <w:t xml:space="preserve">) is a commonly used marker for aged organics </w:t>
      </w:r>
      <w:r w:rsidR="00BB310A">
        <w:rPr>
          <w:rFonts w:ascii="Times New Roman" w:hAnsi="Times New Roman"/>
          <w:sz w:val="24"/>
          <w:szCs w:val="24"/>
        </w:rPr>
        <w:fldChar w:fldCharType="begin" w:fldLock="1"/>
      </w:r>
      <w:r w:rsidR="00297FD4">
        <w:rPr>
          <w:rFonts w:ascii="Times New Roman" w:hAnsi="Times New Roman"/>
          <w:sz w:val="24"/>
          <w:szCs w:val="24"/>
        </w:rPr>
        <w:instrText>ADDIN CSL_CITATION {"citationItems":[{"id":"ITEM-1","itemData":{"DOI":"10.1016/J.ATMOSENV.2012.05.032","ISSN":"1352-2310","abstract":"The Study of Organic Aerosols in Riverside, CA (SOAR) field campaign, conducted in the summer and fall of 2005, focused on developing a stronger understanding of seasonal influences on the sources and processes contributing to some of the highest levels of particulate matter in the United States. On-line single-particle mass spectrometry measurements showed that carbonaceous particles generally dominated the submicron size range (&gt;75% by number), compared to primarily aged sea salt and dust in the supermicron size range. During periods with high PM2.5 (particulate matter &lt;2.5 μm) mass and number concentrations, hygroscopic water-containing carbonaceous particles internally mixed with sulfate and nitrate extended up into the supermicron size mode. The mixing state of carbonaceous particles changed with season. In the summer, carbonaceous particles were primarily mixed with secondary (oxidized) organic carbon and sulfate; whereas in the fall, they were mixed mostly with ammonium nitrate. During each season, different processes contributed to the highest pollution levels. In the summer, photochemical production of highly aged secondary organic carbon resulted in daily peaks in both number and mass particle concentrations, followed by removal in the afternoon by the arrival of the clean marine air masses from the coast. In contrast, cooler, more stagnant meteorological conditions in the fall season resulted in the buildup over several days of submicron carbonaceous particles mixed with semivolatile ammonium, nitrate, and amines. In addition, Santa Ana wind events in the fall led to dust and biomass burning particles dominating both the submicron and supermicron size ranges.","author":[{"dropping-particle":"","family":"Qin","given":"Xueying","non-dropping-particle":"","parse-names":false,"suffix":""},{"dropping-particle":"","family":"Pratt","given":"Kerri A.","non-dropping-particle":"","parse-names":false,"suffix":""},{"dropping-particle":"","family":"Shields","given":"Laura G.","non-dropping-particle":"","parse-names":false,"suffix":""},{"dropping-particle":"","family":"Toner","given":"Stephen M.","non-dropping-particle":"","parse-names":false,"suffix":""},{"dropping-particle":"","family":"Prather","given":"Kimberly A.","non-dropping-particle":"","parse-names":false,"suffix":""}],"container-title":"Atmospheric Environment","id":"ITEM-1","issued":{"date-parts":[["2012","11","1"]]},"page":"587-596","publisher":"Pergamon","title":"Seasonal comparisons of single-particle chemical mixing state in Riverside, CA","type":"article-journal","volume":"59"},"uris":["http://www.mendeley.com/documents/?uuid=771177d9-b658-3810-8813-62c0b7f5d06c"]}],"mendeley":{"formattedCitation":"(Qin et al. 2012)","plainTextFormattedCitation":"(Qin et al. 2012)","previouslyFormattedCitation":"(Qin et al. 2012)"},"properties":{"noteIndex":0},"schema":"https://github.com/citation-style-language/schema/raw/master/csl-citation.json"}</w:instrText>
      </w:r>
      <w:r w:rsidR="00BB310A">
        <w:rPr>
          <w:rFonts w:ascii="Times New Roman" w:hAnsi="Times New Roman"/>
          <w:sz w:val="24"/>
          <w:szCs w:val="24"/>
        </w:rPr>
        <w:fldChar w:fldCharType="separate"/>
      </w:r>
      <w:r w:rsidR="00BB310A" w:rsidRPr="00BB310A">
        <w:rPr>
          <w:rFonts w:ascii="Times New Roman" w:hAnsi="Times New Roman"/>
          <w:noProof/>
          <w:sz w:val="24"/>
          <w:szCs w:val="24"/>
        </w:rPr>
        <w:t>(Qin et al.</w:t>
      </w:r>
      <w:r w:rsidR="00854402">
        <w:rPr>
          <w:rFonts w:ascii="Times New Roman" w:hAnsi="Times New Roman"/>
          <w:noProof/>
          <w:sz w:val="24"/>
          <w:szCs w:val="24"/>
        </w:rPr>
        <w:t>,</w:t>
      </w:r>
      <w:r w:rsidR="00BB310A" w:rsidRPr="00BB310A">
        <w:rPr>
          <w:rFonts w:ascii="Times New Roman" w:hAnsi="Times New Roman"/>
          <w:noProof/>
          <w:sz w:val="24"/>
          <w:szCs w:val="24"/>
        </w:rPr>
        <w:t xml:space="preserve"> 2012)</w:t>
      </w:r>
      <w:r w:rsidR="00BB310A">
        <w:rPr>
          <w:rFonts w:ascii="Times New Roman" w:hAnsi="Times New Roman"/>
          <w:sz w:val="24"/>
          <w:szCs w:val="24"/>
        </w:rPr>
        <w:fldChar w:fldCharType="end"/>
      </w:r>
      <w:r w:rsidR="00BB310A">
        <w:rPr>
          <w:rFonts w:ascii="Times New Roman" w:hAnsi="Times New Roman"/>
          <w:sz w:val="24"/>
          <w:szCs w:val="24"/>
        </w:rPr>
        <w:t>,</w:t>
      </w:r>
      <w:r w:rsidR="00243E80">
        <w:rPr>
          <w:rFonts w:ascii="Times New Roman" w:hAnsi="Times New Roman"/>
          <w:sz w:val="24"/>
          <w:szCs w:val="24"/>
        </w:rPr>
        <w:t xml:space="preserve"> although it may alternatively be identified as C</w:t>
      </w:r>
      <w:r w:rsidR="00243E80" w:rsidRPr="00243E80">
        <w:rPr>
          <w:rFonts w:ascii="Times New Roman" w:hAnsi="Times New Roman"/>
          <w:sz w:val="24"/>
          <w:szCs w:val="24"/>
          <w:vertAlign w:val="subscript"/>
        </w:rPr>
        <w:t>3</w:t>
      </w:r>
      <w:r w:rsidR="00243E80">
        <w:rPr>
          <w:rFonts w:ascii="Times New Roman" w:hAnsi="Times New Roman"/>
          <w:sz w:val="24"/>
          <w:szCs w:val="24"/>
        </w:rPr>
        <w:t>H</w:t>
      </w:r>
      <w:r w:rsidR="00243E80" w:rsidRPr="00243E80">
        <w:rPr>
          <w:rFonts w:ascii="Times New Roman" w:hAnsi="Times New Roman"/>
          <w:sz w:val="24"/>
          <w:szCs w:val="24"/>
          <w:vertAlign w:val="subscript"/>
        </w:rPr>
        <w:t>7</w:t>
      </w:r>
      <w:r w:rsidR="00243E80" w:rsidRPr="00243E80">
        <w:rPr>
          <w:rFonts w:ascii="Times New Roman" w:hAnsi="Times New Roman"/>
          <w:sz w:val="24"/>
          <w:szCs w:val="24"/>
          <w:vertAlign w:val="superscript"/>
        </w:rPr>
        <w:t>+</w:t>
      </w:r>
      <w:r w:rsidR="00243E80">
        <w:rPr>
          <w:rFonts w:ascii="Times New Roman" w:hAnsi="Times New Roman"/>
          <w:sz w:val="24"/>
          <w:szCs w:val="24"/>
        </w:rPr>
        <w:t xml:space="preserve"> or C</w:t>
      </w:r>
      <w:r w:rsidR="00243E80" w:rsidRPr="00243E80">
        <w:rPr>
          <w:rFonts w:ascii="Times New Roman" w:hAnsi="Times New Roman"/>
          <w:sz w:val="24"/>
          <w:szCs w:val="24"/>
          <w:vertAlign w:val="subscript"/>
        </w:rPr>
        <w:t>2</w:t>
      </w:r>
      <w:r w:rsidR="00243E80">
        <w:rPr>
          <w:rFonts w:ascii="Times New Roman" w:hAnsi="Times New Roman"/>
          <w:sz w:val="24"/>
          <w:szCs w:val="24"/>
        </w:rPr>
        <w:t>H</w:t>
      </w:r>
      <w:r w:rsidR="00243E80" w:rsidRPr="008C0CE1">
        <w:rPr>
          <w:rFonts w:ascii="Times New Roman" w:hAnsi="Times New Roman"/>
          <w:sz w:val="24"/>
          <w:szCs w:val="24"/>
          <w:vertAlign w:val="subscript"/>
        </w:rPr>
        <w:t>5</w:t>
      </w:r>
      <w:r w:rsidR="00243E80">
        <w:rPr>
          <w:rFonts w:ascii="Times New Roman" w:hAnsi="Times New Roman"/>
          <w:sz w:val="24"/>
          <w:szCs w:val="24"/>
        </w:rPr>
        <w:t>N</w:t>
      </w:r>
      <w:r w:rsidR="00243E80" w:rsidRPr="008C0CE1">
        <w:rPr>
          <w:rFonts w:ascii="Times New Roman" w:hAnsi="Times New Roman"/>
          <w:sz w:val="24"/>
          <w:szCs w:val="24"/>
          <w:vertAlign w:val="superscript"/>
        </w:rPr>
        <w:t>+</w:t>
      </w:r>
      <w:r w:rsidR="00243E80">
        <w:rPr>
          <w:rFonts w:ascii="Times New Roman" w:hAnsi="Times New Roman"/>
          <w:sz w:val="24"/>
          <w:szCs w:val="24"/>
        </w:rPr>
        <w:t>.</w:t>
      </w:r>
    </w:p>
    <w:p w14:paraId="6BD6B4C7" w14:textId="77777777" w:rsidR="00C5466F" w:rsidRDefault="00C5466F" w:rsidP="00281E75">
      <w:pPr>
        <w:pStyle w:val="SMcaption"/>
        <w:jc w:val="both"/>
        <w:rPr>
          <w:rFonts w:ascii="Times New Roman" w:hAnsi="Times New Roman"/>
          <w:sz w:val="24"/>
          <w:szCs w:val="24"/>
        </w:rPr>
      </w:pPr>
    </w:p>
    <w:p w14:paraId="5AEF5D6F" w14:textId="4B494477" w:rsidR="00401B84" w:rsidRPr="006272BD" w:rsidRDefault="002641BB" w:rsidP="00281E75">
      <w:pPr>
        <w:pStyle w:val="SMcaption"/>
        <w:jc w:val="both"/>
        <w:rPr>
          <w:rFonts w:ascii="Times New Roman" w:hAnsi="Times New Roman"/>
          <w:sz w:val="24"/>
          <w:szCs w:val="24"/>
          <w:lang w:val="en-CA"/>
        </w:rPr>
      </w:pPr>
      <w:r>
        <w:rPr>
          <w:rFonts w:ascii="Times New Roman" w:hAnsi="Times New Roman"/>
          <w:sz w:val="24"/>
          <w:szCs w:val="24"/>
        </w:rPr>
        <w:t>For Cluster 0</w:t>
      </w:r>
      <w:r w:rsidR="003A1DFA" w:rsidRPr="006272BD">
        <w:rPr>
          <w:rFonts w:ascii="Times New Roman" w:hAnsi="Times New Roman"/>
          <w:sz w:val="24"/>
          <w:szCs w:val="24"/>
        </w:rPr>
        <w:t xml:space="preserve">, the median vacuum aerodynamic diameter is 899 nm. </w:t>
      </w:r>
      <w:r w:rsidR="00C5466F">
        <w:rPr>
          <w:rFonts w:ascii="Times New Roman" w:hAnsi="Times New Roman"/>
          <w:sz w:val="24"/>
          <w:szCs w:val="24"/>
        </w:rPr>
        <w:t>T</w:t>
      </w:r>
      <w:r w:rsidR="00613A08" w:rsidRPr="006272BD">
        <w:rPr>
          <w:rFonts w:ascii="Times New Roman" w:hAnsi="Times New Roman"/>
          <w:sz w:val="24"/>
          <w:szCs w:val="24"/>
        </w:rPr>
        <w:t>he positive</w:t>
      </w:r>
      <w:r w:rsidR="00A23070">
        <w:rPr>
          <w:rFonts w:ascii="Times New Roman" w:hAnsi="Times New Roman"/>
          <w:sz w:val="24"/>
          <w:szCs w:val="24"/>
        </w:rPr>
        <w:t xml:space="preserve"> averaged</w:t>
      </w:r>
      <w:r w:rsidR="00613A08" w:rsidRPr="006272BD">
        <w:rPr>
          <w:rFonts w:ascii="Times New Roman" w:hAnsi="Times New Roman"/>
          <w:sz w:val="24"/>
          <w:szCs w:val="24"/>
        </w:rPr>
        <w:t xml:space="preserve"> mass spectr</w:t>
      </w:r>
      <w:r w:rsidR="00A23070">
        <w:rPr>
          <w:rFonts w:ascii="Times New Roman" w:hAnsi="Times New Roman"/>
          <w:sz w:val="24"/>
          <w:szCs w:val="24"/>
        </w:rPr>
        <w:t>um</w:t>
      </w:r>
      <w:r w:rsidR="00613A08" w:rsidRPr="006272BD">
        <w:rPr>
          <w:rFonts w:ascii="Times New Roman" w:hAnsi="Times New Roman"/>
          <w:sz w:val="24"/>
          <w:szCs w:val="24"/>
        </w:rPr>
        <w:t xml:space="preserve"> </w:t>
      </w:r>
      <w:r w:rsidR="00A23070">
        <w:rPr>
          <w:rFonts w:ascii="Times New Roman" w:hAnsi="Times New Roman"/>
          <w:sz w:val="24"/>
          <w:szCs w:val="24"/>
        </w:rPr>
        <w:t>is</w:t>
      </w:r>
      <w:r w:rsidR="00A7400A" w:rsidRPr="006272BD">
        <w:rPr>
          <w:rFonts w:ascii="Times New Roman" w:hAnsi="Times New Roman"/>
          <w:sz w:val="24"/>
          <w:szCs w:val="24"/>
        </w:rPr>
        <w:t xml:space="preserve"> dominated by OC signatures, with addi</w:t>
      </w:r>
      <w:r>
        <w:rPr>
          <w:rFonts w:ascii="Times New Roman" w:hAnsi="Times New Roman"/>
          <w:sz w:val="24"/>
          <w:szCs w:val="24"/>
        </w:rPr>
        <w:t xml:space="preserve">tional high signals of </w:t>
      </w:r>
      <w:bookmarkEnd w:id="13"/>
      <w:r>
        <w:rPr>
          <w:rFonts w:ascii="Times New Roman" w:hAnsi="Times New Roman"/>
          <w:sz w:val="24"/>
          <w:szCs w:val="24"/>
        </w:rPr>
        <w:t>nitrogen-</w:t>
      </w:r>
      <w:r w:rsidR="00A7400A" w:rsidRPr="006272BD">
        <w:rPr>
          <w:rFonts w:ascii="Times New Roman" w:hAnsi="Times New Roman"/>
          <w:sz w:val="24"/>
          <w:szCs w:val="24"/>
        </w:rPr>
        <w:lastRenderedPageBreak/>
        <w:t xml:space="preserve">related </w:t>
      </w:r>
      <w:r w:rsidR="00C5466F">
        <w:rPr>
          <w:rFonts w:ascii="Times New Roman" w:hAnsi="Times New Roman"/>
          <w:sz w:val="24"/>
          <w:szCs w:val="24"/>
        </w:rPr>
        <w:t>peaks at m/z</w:t>
      </w:r>
      <w:r w:rsidR="00A50D2C" w:rsidRPr="006272BD">
        <w:rPr>
          <w:rFonts w:ascii="Times New Roman" w:hAnsi="Times New Roman"/>
          <w:sz w:val="24"/>
          <w:szCs w:val="24"/>
        </w:rPr>
        <w:t xml:space="preserve"> 18 (NH</w:t>
      </w:r>
      <w:r w:rsidR="00A50D2C" w:rsidRPr="00C5466F">
        <w:rPr>
          <w:rFonts w:ascii="Times New Roman" w:hAnsi="Times New Roman"/>
          <w:sz w:val="24"/>
          <w:szCs w:val="24"/>
          <w:vertAlign w:val="subscript"/>
        </w:rPr>
        <w:t>4</w:t>
      </w:r>
      <w:r w:rsidR="00C5466F" w:rsidRPr="00C5466F">
        <w:rPr>
          <w:rFonts w:ascii="Times New Roman" w:hAnsi="Times New Roman"/>
          <w:sz w:val="24"/>
          <w:szCs w:val="24"/>
          <w:vertAlign w:val="superscript"/>
        </w:rPr>
        <w:t>+</w:t>
      </w:r>
      <w:r w:rsidR="00A50D2C" w:rsidRPr="006272BD">
        <w:rPr>
          <w:rFonts w:ascii="Times New Roman" w:hAnsi="Times New Roman"/>
          <w:sz w:val="24"/>
          <w:szCs w:val="24"/>
        </w:rPr>
        <w:t>) and 30 (</w:t>
      </w:r>
      <w:r w:rsidR="00A23070">
        <w:rPr>
          <w:rFonts w:ascii="Times New Roman" w:hAnsi="Times New Roman"/>
          <w:sz w:val="24"/>
          <w:szCs w:val="24"/>
        </w:rPr>
        <w:t>CH</w:t>
      </w:r>
      <w:r w:rsidR="00A23070" w:rsidRPr="00A23070">
        <w:rPr>
          <w:rFonts w:ascii="Times New Roman" w:hAnsi="Times New Roman"/>
          <w:sz w:val="24"/>
          <w:szCs w:val="24"/>
          <w:vertAlign w:val="subscript"/>
        </w:rPr>
        <w:t>4</w:t>
      </w:r>
      <w:r w:rsidR="00A23070">
        <w:rPr>
          <w:rFonts w:ascii="Times New Roman" w:hAnsi="Times New Roman"/>
          <w:sz w:val="24"/>
          <w:szCs w:val="24"/>
        </w:rPr>
        <w:t>N</w:t>
      </w:r>
      <w:r w:rsidR="00A23070" w:rsidRPr="00A23070">
        <w:rPr>
          <w:rFonts w:ascii="Times New Roman" w:hAnsi="Times New Roman"/>
          <w:sz w:val="24"/>
          <w:szCs w:val="24"/>
          <w:vertAlign w:val="superscript"/>
        </w:rPr>
        <w:t>+</w:t>
      </w:r>
      <w:r w:rsidR="00A23070">
        <w:rPr>
          <w:rFonts w:ascii="Times New Roman" w:hAnsi="Times New Roman"/>
          <w:sz w:val="24"/>
          <w:szCs w:val="24"/>
        </w:rPr>
        <w:t xml:space="preserve"> or </w:t>
      </w:r>
      <w:r w:rsidR="00A50D2C" w:rsidRPr="006272BD">
        <w:rPr>
          <w:rFonts w:ascii="Times New Roman" w:hAnsi="Times New Roman"/>
          <w:sz w:val="24"/>
          <w:szCs w:val="24"/>
        </w:rPr>
        <w:t>NO</w:t>
      </w:r>
      <w:r w:rsidR="00C5466F" w:rsidRPr="00C5466F">
        <w:rPr>
          <w:rFonts w:ascii="Times New Roman" w:hAnsi="Times New Roman"/>
          <w:sz w:val="24"/>
          <w:szCs w:val="24"/>
          <w:vertAlign w:val="superscript"/>
        </w:rPr>
        <w:t>+</w:t>
      </w:r>
      <w:r w:rsidR="00A50D2C" w:rsidRPr="006272BD">
        <w:rPr>
          <w:rFonts w:ascii="Times New Roman" w:hAnsi="Times New Roman"/>
          <w:sz w:val="24"/>
          <w:szCs w:val="24"/>
        </w:rPr>
        <w:t xml:space="preserve">). </w:t>
      </w:r>
      <w:r w:rsidR="00C5466F">
        <w:rPr>
          <w:rFonts w:ascii="Times New Roman" w:hAnsi="Times New Roman"/>
          <w:sz w:val="24"/>
          <w:szCs w:val="24"/>
        </w:rPr>
        <w:t xml:space="preserve">In the negative mode, </w:t>
      </w:r>
      <w:r w:rsidR="00854402">
        <w:rPr>
          <w:rFonts w:ascii="Times New Roman" w:hAnsi="Times New Roman"/>
          <w:sz w:val="24"/>
          <w:szCs w:val="24"/>
        </w:rPr>
        <w:t>C</w:t>
      </w:r>
      <w:r w:rsidR="00A50D2C" w:rsidRPr="006272BD">
        <w:rPr>
          <w:rFonts w:ascii="Times New Roman" w:hAnsi="Times New Roman"/>
          <w:sz w:val="24"/>
          <w:szCs w:val="24"/>
        </w:rPr>
        <w:t xml:space="preserve">luster </w:t>
      </w:r>
      <w:r w:rsidR="00C5466F">
        <w:rPr>
          <w:rFonts w:ascii="Times New Roman" w:hAnsi="Times New Roman"/>
          <w:sz w:val="24"/>
          <w:szCs w:val="24"/>
        </w:rPr>
        <w:t>0 is dominated by a strong</w:t>
      </w:r>
      <w:r w:rsidR="00A50D2C" w:rsidRPr="006272BD">
        <w:rPr>
          <w:rFonts w:ascii="Times New Roman" w:hAnsi="Times New Roman"/>
          <w:sz w:val="24"/>
          <w:szCs w:val="24"/>
        </w:rPr>
        <w:t xml:space="preserve"> peak at m/z 97 (HSO</w:t>
      </w:r>
      <w:r w:rsidR="00A50D2C" w:rsidRPr="00C5466F">
        <w:rPr>
          <w:rFonts w:ascii="Times New Roman" w:hAnsi="Times New Roman"/>
          <w:sz w:val="24"/>
          <w:szCs w:val="24"/>
          <w:vertAlign w:val="subscript"/>
        </w:rPr>
        <w:t>4</w:t>
      </w:r>
      <w:r w:rsidR="00C5466F" w:rsidRPr="00C5466F">
        <w:rPr>
          <w:rFonts w:ascii="Times New Roman" w:hAnsi="Times New Roman"/>
          <w:sz w:val="24"/>
          <w:szCs w:val="24"/>
          <w:vertAlign w:val="superscript"/>
        </w:rPr>
        <w:t>-</w:t>
      </w:r>
      <w:r w:rsidR="00A50D2C" w:rsidRPr="006272BD">
        <w:rPr>
          <w:rFonts w:ascii="Times New Roman" w:hAnsi="Times New Roman"/>
          <w:sz w:val="24"/>
          <w:szCs w:val="24"/>
        </w:rPr>
        <w:t xml:space="preserve">) which might be related to sulfate </w:t>
      </w:r>
      <w:r w:rsidR="00C5466F">
        <w:rPr>
          <w:rFonts w:ascii="Times New Roman" w:hAnsi="Times New Roman"/>
          <w:sz w:val="24"/>
          <w:szCs w:val="24"/>
        </w:rPr>
        <w:t>with possible signatures from</w:t>
      </w:r>
      <w:r w:rsidR="00A50D2C" w:rsidRPr="006272BD">
        <w:rPr>
          <w:rFonts w:ascii="Times New Roman" w:hAnsi="Times New Roman"/>
          <w:sz w:val="24"/>
          <w:szCs w:val="24"/>
        </w:rPr>
        <w:t xml:space="preserve"> </w:t>
      </w:r>
      <w:proofErr w:type="spellStart"/>
      <w:r w:rsidR="00A50D2C" w:rsidRPr="006272BD">
        <w:rPr>
          <w:rFonts w:ascii="Times New Roman" w:hAnsi="Times New Roman"/>
          <w:sz w:val="24"/>
          <w:szCs w:val="24"/>
        </w:rPr>
        <w:t>organosulfates</w:t>
      </w:r>
      <w:proofErr w:type="spellEnd"/>
      <w:r w:rsidR="00A50D2C" w:rsidRPr="006272BD">
        <w:rPr>
          <w:rFonts w:ascii="Times New Roman" w:hAnsi="Times New Roman"/>
          <w:sz w:val="24"/>
          <w:szCs w:val="24"/>
        </w:rPr>
        <w:t xml:space="preserve"> as </w:t>
      </w:r>
      <w:r>
        <w:rPr>
          <w:rFonts w:ascii="Times New Roman" w:hAnsi="Times New Roman"/>
          <w:sz w:val="24"/>
          <w:szCs w:val="24"/>
        </w:rPr>
        <w:t xml:space="preserve">m/z </w:t>
      </w:r>
      <w:r w:rsidR="00A50D2C" w:rsidRPr="006272BD">
        <w:rPr>
          <w:rFonts w:ascii="Times New Roman" w:hAnsi="Times New Roman"/>
          <w:sz w:val="24"/>
          <w:szCs w:val="24"/>
        </w:rPr>
        <w:t xml:space="preserve">141 and 155 </w:t>
      </w:r>
      <w:r w:rsidR="00C445E1" w:rsidRPr="006272BD">
        <w:rPr>
          <w:rFonts w:ascii="Times New Roman" w:hAnsi="Times New Roman"/>
          <w:sz w:val="24"/>
          <w:szCs w:val="24"/>
          <w:lang w:val="en-GB" w:eastAsia="en-GB"/>
        </w:rPr>
        <w:fldChar w:fldCharType="begin" w:fldLock="1"/>
      </w:r>
      <w:r w:rsidR="00286179">
        <w:rPr>
          <w:rFonts w:ascii="Times New Roman" w:hAnsi="Times New Roman"/>
          <w:sz w:val="24"/>
          <w:szCs w:val="24"/>
        </w:rPr>
        <w:instrText>ADDIN CSL_CITATION {"citationItems":[{"id":"ITEM-1","itemData":{"DOI":"10.1073/pnas.1012561107","ISBN":"0027-8424","ISSN":"0027-8424","PMID":"21098310","abstract":"Recent laboratory studies have demonstrated that isoprene oxidation products can partition to atmospheric aerosols by reacting with condensed phase sulfuric acid, forming low-volatility organosulfate compounds. We have identified organosulfate compounds in free tropospheric aerosols by single particle mass spectrometry during several airborne field campaigns. One of these organosulfates is identified as the sulfate ester of IEPOX, a second generation oxidation product of isoprene. The patterns of IEPOX sulfate ester in ambient data generally followed the aerosol acidity and NOx dependence established by laboratory studies. Detection of the IEPOX sulfate ester was most sensitive using reduced ionization laser power, when it was observed in up to 80% of particles in the tropical free troposphere. Based on laboratory mass calibrations, IEPOX added &gt; 0.4% to tropospheric aerosol mass in the remote tropics and up to 20% in regions downwind of isoprene sources. In the southeastern United States, when acidic aerosol was exposed to fresh isoprene emissions, accumulation of IEPOX increased aerosol mass by up to 3%. The IEPOX sulfate ester is therefore one of the most abundant single organic compounds measured in atmospheric aerosol. Our data show that acidity-dependent IEPOX uptake is a mechanism by which anthropogenic SO2 and marine dimethyl sulfide emissions generate secondary biogenic aerosol mass throughout the troposphere.","author":[{"dropping-particle":"","family":"Froyd","given":"K. D.","non-dropping-particle":"","parse-names":false,"suffix":""},{"dropping-particle":"","family":"Murphy","given":"S. M.","non-dropping-particle":"","parse-names":false,"suffix":""},{"dropping-particle":"","family":"Murphy","given":"D. M.","non-dropping-particle":"","parse-names":false,"suffix":""},{"dropping-particle":"","family":"Gouw","given":"J. A.","non-dropping-particle":"de","parse-names":false,"suffix":""},{"dropping-particle":"","family":"Eddingsaas","given":"N. C.","non-dropping-particle":"","parse-names":false,"suffix":""},{"dropping-particle":"","family":"Wennberg","given":"P. O.","non-dropping-particle":"","parse-names":false,"suffix":""}],"container-title":"Proceedings of the National Academy of Sciences","id":"ITEM-1","issue":"50","issued":{"date-parts":[["2010","11","22"]]},"page":"21360-21365","publisher":"National Academy of Sciences","title":"Contribution of isoprene-derived organosulfates to free tropospheric aerosol mass","type":"article-journal","volume":"107"},"uris":["http://www.mendeley.com/documents/?uuid=05343215-83f6-30bf-9c19-01912c149839"]}],"mendeley":{"formattedCitation":"(Froyd et al. 2010)","plainTextFormattedCitation":"(Froyd et al. 2010)","previouslyFormattedCitation":"(Froyd et al. 2010)"},"properties":{"noteIndex":0},"schema":"https://github.com/citation-style-language/schema/raw/master/csl-citation.json"}</w:instrText>
      </w:r>
      <w:r w:rsidR="00C445E1" w:rsidRPr="006272BD">
        <w:rPr>
          <w:rFonts w:ascii="Times New Roman" w:hAnsi="Times New Roman"/>
          <w:sz w:val="24"/>
          <w:szCs w:val="24"/>
          <w:lang w:val="en-GB" w:eastAsia="en-GB"/>
        </w:rPr>
        <w:fldChar w:fldCharType="separate"/>
      </w:r>
      <w:r w:rsidR="00E45FF4" w:rsidRPr="006272BD">
        <w:rPr>
          <w:rFonts w:ascii="Times New Roman" w:hAnsi="Times New Roman"/>
          <w:noProof/>
          <w:sz w:val="24"/>
          <w:szCs w:val="24"/>
        </w:rPr>
        <w:t>(Froyd et al.</w:t>
      </w:r>
      <w:r w:rsidR="005E4983">
        <w:rPr>
          <w:rFonts w:ascii="Times New Roman" w:hAnsi="Times New Roman"/>
          <w:noProof/>
          <w:sz w:val="24"/>
          <w:szCs w:val="24"/>
        </w:rPr>
        <w:t>,</w:t>
      </w:r>
      <w:r w:rsidR="00E45FF4" w:rsidRPr="006272BD">
        <w:rPr>
          <w:rFonts w:ascii="Times New Roman" w:hAnsi="Times New Roman"/>
          <w:noProof/>
          <w:sz w:val="24"/>
          <w:szCs w:val="24"/>
        </w:rPr>
        <w:t xml:space="preserve"> 2010)</w:t>
      </w:r>
      <w:r w:rsidR="00C445E1" w:rsidRPr="006272BD">
        <w:rPr>
          <w:rFonts w:ascii="Times New Roman" w:hAnsi="Times New Roman"/>
          <w:sz w:val="24"/>
          <w:szCs w:val="24"/>
          <w:lang w:val="en-GB" w:eastAsia="en-GB"/>
        </w:rPr>
        <w:fldChar w:fldCharType="end"/>
      </w:r>
      <w:r w:rsidR="00E45FF4" w:rsidRPr="006272BD">
        <w:rPr>
          <w:rFonts w:ascii="Times New Roman" w:hAnsi="Times New Roman"/>
          <w:sz w:val="24"/>
          <w:szCs w:val="24"/>
        </w:rPr>
        <w:t xml:space="preserve">. </w:t>
      </w:r>
      <w:r w:rsidR="00C5466F">
        <w:rPr>
          <w:rFonts w:ascii="Times New Roman" w:hAnsi="Times New Roman"/>
          <w:sz w:val="24"/>
          <w:szCs w:val="24"/>
        </w:rPr>
        <w:t>Overall, t</w:t>
      </w:r>
      <w:r w:rsidR="00E45FF4" w:rsidRPr="006272BD">
        <w:rPr>
          <w:rFonts w:ascii="Times New Roman" w:hAnsi="Times New Roman"/>
          <w:sz w:val="24"/>
          <w:szCs w:val="24"/>
        </w:rPr>
        <w:t xml:space="preserve">he cluster is </w:t>
      </w:r>
      <w:r w:rsidR="00C5466F">
        <w:rPr>
          <w:rFonts w:ascii="Times New Roman" w:hAnsi="Times New Roman"/>
          <w:sz w:val="24"/>
          <w:szCs w:val="24"/>
        </w:rPr>
        <w:t xml:space="preserve">dominated by </w:t>
      </w:r>
      <w:r w:rsidR="00E45FF4" w:rsidRPr="006272BD">
        <w:rPr>
          <w:rFonts w:ascii="Times New Roman" w:hAnsi="Times New Roman"/>
          <w:sz w:val="24"/>
          <w:szCs w:val="24"/>
        </w:rPr>
        <w:t>ammonium sulfate</w:t>
      </w:r>
      <w:r w:rsidR="00A23070">
        <w:rPr>
          <w:rFonts w:ascii="Times New Roman" w:hAnsi="Times New Roman"/>
          <w:sz w:val="24"/>
          <w:szCs w:val="24"/>
        </w:rPr>
        <w:t xml:space="preserve"> related compounds</w:t>
      </w:r>
      <w:r w:rsidR="00E45FF4" w:rsidRPr="006272BD">
        <w:rPr>
          <w:rFonts w:ascii="Times New Roman" w:hAnsi="Times New Roman"/>
          <w:sz w:val="24"/>
          <w:szCs w:val="24"/>
        </w:rPr>
        <w:t xml:space="preserve"> and OC</w:t>
      </w:r>
      <w:r w:rsidR="00C5466F">
        <w:rPr>
          <w:rFonts w:ascii="Times New Roman" w:hAnsi="Times New Roman"/>
          <w:sz w:val="24"/>
          <w:szCs w:val="24"/>
        </w:rPr>
        <w:t>, with evidence of more aging than the previously discussed C</w:t>
      </w:r>
      <w:r w:rsidR="00CE66D8" w:rsidRPr="006272BD">
        <w:rPr>
          <w:rFonts w:ascii="Times New Roman" w:hAnsi="Times New Roman"/>
          <w:sz w:val="24"/>
          <w:szCs w:val="24"/>
        </w:rPr>
        <w:t>luster 1</w:t>
      </w:r>
      <w:r w:rsidR="00C5466F">
        <w:rPr>
          <w:rFonts w:ascii="Times New Roman" w:hAnsi="Times New Roman"/>
          <w:sz w:val="24"/>
          <w:szCs w:val="24"/>
        </w:rPr>
        <w:t>2</w:t>
      </w:r>
      <w:r w:rsidR="00A23070">
        <w:rPr>
          <w:rFonts w:ascii="Times New Roman" w:hAnsi="Times New Roman"/>
          <w:sz w:val="24"/>
          <w:szCs w:val="24"/>
        </w:rPr>
        <w:t xml:space="preserve"> (signal intensity of m/z 43 in Cluster 0 is roughly then times higher to Cluster 12</w:t>
      </w:r>
      <w:r w:rsidR="005E4983">
        <w:rPr>
          <w:rFonts w:ascii="Times New Roman" w:hAnsi="Times New Roman"/>
          <w:sz w:val="24"/>
          <w:szCs w:val="24"/>
        </w:rPr>
        <w:t>).</w:t>
      </w:r>
    </w:p>
    <w:p w14:paraId="79E4F96B" w14:textId="77777777" w:rsidR="00401B84" w:rsidRPr="006272BD" w:rsidRDefault="00401B84" w:rsidP="00B9440A">
      <w:pPr>
        <w:pStyle w:val="SMcaption"/>
        <w:rPr>
          <w:rFonts w:ascii="Times New Roman" w:hAnsi="Times New Roman"/>
          <w:sz w:val="24"/>
          <w:szCs w:val="24"/>
          <w:lang w:val="en-CA"/>
        </w:rPr>
      </w:pPr>
    </w:p>
    <w:p w14:paraId="2E499FDB" w14:textId="77777777" w:rsidR="00287E41" w:rsidRPr="00287E41" w:rsidRDefault="00287E41" w:rsidP="009C5154">
      <w:pPr>
        <w:widowControl w:val="0"/>
        <w:autoSpaceDE w:val="0"/>
        <w:autoSpaceDN w:val="0"/>
        <w:adjustRightInd w:val="0"/>
        <w:ind w:left="480" w:hanging="480"/>
        <w:rPr>
          <w:rFonts w:ascii="Times New Roman" w:hAnsi="Times New Roman"/>
          <w:b/>
          <w:sz w:val="24"/>
          <w:szCs w:val="24"/>
          <w:lang w:val="en-CA"/>
        </w:rPr>
      </w:pPr>
      <w:r w:rsidRPr="00287E41">
        <w:rPr>
          <w:rFonts w:ascii="Times New Roman" w:hAnsi="Times New Roman"/>
          <w:b/>
          <w:sz w:val="24"/>
          <w:szCs w:val="24"/>
          <w:lang w:val="en-CA"/>
        </w:rPr>
        <w:t>References</w:t>
      </w:r>
    </w:p>
    <w:p w14:paraId="7F1763E7" w14:textId="77777777" w:rsidR="00287E41" w:rsidRDefault="00287E41" w:rsidP="009C5154">
      <w:pPr>
        <w:widowControl w:val="0"/>
        <w:autoSpaceDE w:val="0"/>
        <w:autoSpaceDN w:val="0"/>
        <w:adjustRightInd w:val="0"/>
        <w:ind w:left="480" w:hanging="480"/>
        <w:rPr>
          <w:rFonts w:ascii="Times New Roman" w:hAnsi="Times New Roman"/>
          <w:sz w:val="24"/>
          <w:szCs w:val="24"/>
          <w:lang w:val="en-CA"/>
        </w:rPr>
      </w:pPr>
    </w:p>
    <w:p w14:paraId="18DFC24F" w14:textId="4990643F" w:rsidR="008C0CE1" w:rsidRPr="008C0CE1" w:rsidRDefault="00E030CD" w:rsidP="008C0CE1">
      <w:pPr>
        <w:widowControl w:val="0"/>
        <w:autoSpaceDE w:val="0"/>
        <w:autoSpaceDN w:val="0"/>
        <w:adjustRightInd w:val="0"/>
        <w:ind w:left="480" w:hanging="480"/>
        <w:rPr>
          <w:rFonts w:ascii="Times New Roman" w:hAnsi="Times New Roman"/>
          <w:noProof/>
          <w:sz w:val="24"/>
          <w:szCs w:val="24"/>
        </w:rPr>
      </w:pPr>
      <w:r w:rsidRPr="006272BD">
        <w:rPr>
          <w:rFonts w:ascii="Times New Roman" w:hAnsi="Times New Roman"/>
          <w:sz w:val="24"/>
          <w:szCs w:val="24"/>
          <w:lang w:val="en-CA"/>
        </w:rPr>
        <w:fldChar w:fldCharType="begin" w:fldLock="1"/>
      </w:r>
      <w:r w:rsidRPr="006272BD">
        <w:rPr>
          <w:rFonts w:ascii="Times New Roman" w:hAnsi="Times New Roman"/>
          <w:sz w:val="24"/>
          <w:szCs w:val="24"/>
          <w:lang w:val="en-CA"/>
        </w:rPr>
        <w:instrText xml:space="preserve">ADDIN Mendeley Bibliography CSL_BIBLIOGRAPHY </w:instrText>
      </w:r>
      <w:r w:rsidRPr="006272BD">
        <w:rPr>
          <w:rFonts w:ascii="Times New Roman" w:hAnsi="Times New Roman"/>
          <w:sz w:val="24"/>
          <w:szCs w:val="24"/>
          <w:lang w:val="en-CA"/>
        </w:rPr>
        <w:fldChar w:fldCharType="separate"/>
      </w:r>
      <w:r w:rsidR="008C0CE1" w:rsidRPr="008C0CE1">
        <w:rPr>
          <w:rFonts w:ascii="Times New Roman" w:hAnsi="Times New Roman"/>
          <w:noProof/>
          <w:sz w:val="24"/>
          <w:szCs w:val="24"/>
        </w:rPr>
        <w:t>Bezdek, J.C., Ehrlich, R., and Full, W. (1984). FCM: The fuzzy c-means clustering algorithm.</w:t>
      </w:r>
      <w:r w:rsidR="008C0CE1" w:rsidRPr="008C0CE1">
        <w:rPr>
          <w:rFonts w:ascii="Times New Roman" w:hAnsi="Times New Roman"/>
          <w:i/>
          <w:iCs/>
          <w:noProof/>
          <w:sz w:val="24"/>
          <w:szCs w:val="24"/>
        </w:rPr>
        <w:t xml:space="preserve"> Comput. Geosci.,</w:t>
      </w:r>
      <w:r w:rsidR="008C0CE1" w:rsidRPr="008C0CE1">
        <w:rPr>
          <w:rFonts w:ascii="Times New Roman" w:hAnsi="Times New Roman"/>
          <w:noProof/>
          <w:sz w:val="24"/>
          <w:szCs w:val="24"/>
        </w:rPr>
        <w:t xml:space="preserve"> 10(2–3):191–203.</w:t>
      </w:r>
    </w:p>
    <w:p w14:paraId="5B2E0AEB" w14:textId="58E09DAC" w:rsidR="008C0CE1" w:rsidRDefault="008C0CE1" w:rsidP="008C0CE1">
      <w:pPr>
        <w:widowControl w:val="0"/>
        <w:autoSpaceDE w:val="0"/>
        <w:autoSpaceDN w:val="0"/>
        <w:adjustRightInd w:val="0"/>
        <w:ind w:left="480" w:hanging="480"/>
        <w:rPr>
          <w:rFonts w:ascii="Times New Roman" w:hAnsi="Times New Roman"/>
          <w:noProof/>
          <w:sz w:val="24"/>
          <w:szCs w:val="24"/>
        </w:rPr>
      </w:pPr>
      <w:r w:rsidRPr="008C0CE1">
        <w:rPr>
          <w:rFonts w:ascii="Times New Roman" w:hAnsi="Times New Roman"/>
          <w:noProof/>
          <w:sz w:val="24"/>
          <w:szCs w:val="24"/>
        </w:rPr>
        <w:t>Froyd, K.D., Murphy, S.M., Murphy, D.M., de Gouw, J.A., Eddingsaas, N.C., and Wennberg, P.O. (2010). Contribution of isoprene-derived organosulfates to free tropospheric aerosol mass.</w:t>
      </w:r>
      <w:r w:rsidRPr="008C0CE1">
        <w:rPr>
          <w:rFonts w:ascii="Times New Roman" w:hAnsi="Times New Roman"/>
          <w:i/>
          <w:iCs/>
          <w:noProof/>
          <w:sz w:val="24"/>
          <w:szCs w:val="24"/>
        </w:rPr>
        <w:t xml:space="preserve"> Proc. Natl. Acad. Sci.,</w:t>
      </w:r>
      <w:r w:rsidRPr="008C0CE1">
        <w:rPr>
          <w:rFonts w:ascii="Times New Roman" w:hAnsi="Times New Roman"/>
          <w:noProof/>
          <w:sz w:val="24"/>
          <w:szCs w:val="24"/>
        </w:rPr>
        <w:t xml:space="preserve"> 107(50):21360–21365.</w:t>
      </w:r>
    </w:p>
    <w:p w14:paraId="1065B862" w14:textId="77777777" w:rsidR="008C0CE1" w:rsidRPr="008C0CE1" w:rsidRDefault="008C0CE1" w:rsidP="008C0CE1">
      <w:pPr>
        <w:widowControl w:val="0"/>
        <w:autoSpaceDE w:val="0"/>
        <w:autoSpaceDN w:val="0"/>
        <w:adjustRightInd w:val="0"/>
        <w:ind w:left="480" w:hanging="480"/>
        <w:rPr>
          <w:rFonts w:ascii="Times New Roman" w:hAnsi="Times New Roman"/>
          <w:noProof/>
          <w:sz w:val="24"/>
          <w:szCs w:val="24"/>
        </w:rPr>
      </w:pPr>
      <w:r w:rsidRPr="008C0CE1">
        <w:rPr>
          <w:rFonts w:ascii="Times New Roman" w:hAnsi="Times New Roman"/>
          <w:noProof/>
          <w:sz w:val="24"/>
          <w:szCs w:val="24"/>
        </w:rPr>
        <w:t>Hinz, K.-P., Greweling, M., Drews, F., and Spengler, B. (1999). Data processing in on-line laser mass spectrometry of inorganic, organic, or biological airborne particles.</w:t>
      </w:r>
      <w:r w:rsidRPr="008C0CE1">
        <w:rPr>
          <w:rFonts w:ascii="Times New Roman" w:hAnsi="Times New Roman"/>
          <w:i/>
          <w:iCs/>
          <w:noProof/>
          <w:sz w:val="24"/>
          <w:szCs w:val="24"/>
        </w:rPr>
        <w:t xml:space="preserve"> J. Am. Soc. Mass Spectrom.,</w:t>
      </w:r>
      <w:r w:rsidRPr="008C0CE1">
        <w:rPr>
          <w:rFonts w:ascii="Times New Roman" w:hAnsi="Times New Roman"/>
          <w:noProof/>
          <w:sz w:val="24"/>
          <w:szCs w:val="24"/>
        </w:rPr>
        <w:t xml:space="preserve"> 10(7):648–660.</w:t>
      </w:r>
    </w:p>
    <w:p w14:paraId="295F475E" w14:textId="77777777" w:rsidR="008C0CE1" w:rsidRPr="008C0CE1" w:rsidRDefault="008C0CE1" w:rsidP="008C0CE1">
      <w:pPr>
        <w:widowControl w:val="0"/>
        <w:autoSpaceDE w:val="0"/>
        <w:autoSpaceDN w:val="0"/>
        <w:adjustRightInd w:val="0"/>
        <w:ind w:left="480" w:hanging="480"/>
        <w:rPr>
          <w:rFonts w:ascii="Times New Roman" w:hAnsi="Times New Roman"/>
          <w:noProof/>
          <w:sz w:val="24"/>
          <w:szCs w:val="24"/>
        </w:rPr>
      </w:pPr>
      <w:r w:rsidRPr="008C0CE1">
        <w:rPr>
          <w:rFonts w:ascii="Times New Roman" w:hAnsi="Times New Roman"/>
          <w:noProof/>
          <w:sz w:val="24"/>
          <w:szCs w:val="24"/>
        </w:rPr>
        <w:t>Qin, X., Pratt, K.A., Shields, L.G., Toner, S.M., and Prather, K.A. (2012). Seasonal comparisons of single-particle chemical mixing state in Riverside, CA.</w:t>
      </w:r>
      <w:r w:rsidRPr="008C0CE1">
        <w:rPr>
          <w:rFonts w:ascii="Times New Roman" w:hAnsi="Times New Roman"/>
          <w:i/>
          <w:iCs/>
          <w:noProof/>
          <w:sz w:val="24"/>
          <w:szCs w:val="24"/>
        </w:rPr>
        <w:t xml:space="preserve"> Atmos. Environ.,</w:t>
      </w:r>
      <w:r w:rsidRPr="008C0CE1">
        <w:rPr>
          <w:rFonts w:ascii="Times New Roman" w:hAnsi="Times New Roman"/>
          <w:noProof/>
          <w:sz w:val="24"/>
          <w:szCs w:val="24"/>
        </w:rPr>
        <w:t xml:space="preserve"> 59:587–596.</w:t>
      </w:r>
    </w:p>
    <w:p w14:paraId="6C509C87" w14:textId="54D47115" w:rsidR="00E030CD" w:rsidRPr="006272BD" w:rsidRDefault="008C0CE1" w:rsidP="00C5069C">
      <w:pPr>
        <w:widowControl w:val="0"/>
        <w:autoSpaceDE w:val="0"/>
        <w:autoSpaceDN w:val="0"/>
        <w:adjustRightInd w:val="0"/>
        <w:ind w:left="480" w:hanging="480"/>
        <w:rPr>
          <w:rFonts w:ascii="Times New Roman" w:hAnsi="Times New Roman"/>
          <w:sz w:val="24"/>
          <w:szCs w:val="24"/>
          <w:lang w:val="en-CA"/>
        </w:rPr>
      </w:pPr>
      <w:r w:rsidRPr="008C0CE1">
        <w:rPr>
          <w:rFonts w:ascii="Times New Roman" w:hAnsi="Times New Roman"/>
          <w:noProof/>
          <w:sz w:val="24"/>
          <w:szCs w:val="24"/>
        </w:rPr>
        <w:t>Spencer, M.T. and Prather, K.A. (2006). Using ATOFMS to Determine OC/EC Mass Fractions in Particles.</w:t>
      </w:r>
      <w:r w:rsidRPr="008C0CE1">
        <w:rPr>
          <w:rFonts w:ascii="Times New Roman" w:hAnsi="Times New Roman"/>
          <w:i/>
          <w:iCs/>
          <w:noProof/>
          <w:sz w:val="24"/>
          <w:szCs w:val="24"/>
        </w:rPr>
        <w:t xml:space="preserve"> Aerosol Sci. Technol.,</w:t>
      </w:r>
      <w:r w:rsidRPr="008C0CE1">
        <w:rPr>
          <w:rFonts w:ascii="Times New Roman" w:hAnsi="Times New Roman"/>
          <w:noProof/>
          <w:sz w:val="24"/>
          <w:szCs w:val="24"/>
        </w:rPr>
        <w:t xml:space="preserve"> 40(8):585–594.</w:t>
      </w:r>
      <w:r w:rsidR="00E030CD" w:rsidRPr="006272BD">
        <w:rPr>
          <w:rFonts w:ascii="Times New Roman" w:hAnsi="Times New Roman"/>
          <w:sz w:val="24"/>
          <w:szCs w:val="24"/>
          <w:lang w:val="en-CA"/>
        </w:rPr>
        <w:fldChar w:fldCharType="end"/>
      </w:r>
    </w:p>
    <w:sectPr w:rsidR="00E030CD" w:rsidRPr="006272BD" w:rsidSect="00F125EE">
      <w:headerReference w:type="default" r:id="rId19"/>
      <w:foot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1A02" w14:textId="77777777" w:rsidR="00095F45" w:rsidRDefault="00095F45">
      <w:r>
        <w:separator/>
      </w:r>
    </w:p>
  </w:endnote>
  <w:endnote w:type="continuationSeparator" w:id="0">
    <w:p w14:paraId="0E35DF5D" w14:textId="77777777" w:rsidR="00095F45" w:rsidRDefault="0009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E7ED" w14:textId="7555735F" w:rsidR="00F125EE" w:rsidRDefault="00114193">
    <w:pPr>
      <w:pStyle w:val="Footer"/>
      <w:jc w:val="right"/>
    </w:pPr>
    <w:r>
      <w:fldChar w:fldCharType="begin"/>
    </w:r>
    <w:r>
      <w:instrText xml:space="preserve"> PAGE   \* MERGEFORMAT </w:instrText>
    </w:r>
    <w:r>
      <w:fldChar w:fldCharType="separate"/>
    </w:r>
    <w:r w:rsidR="00FD6FC7">
      <w:rPr>
        <w:noProof/>
      </w:rPr>
      <w:t>1</w:t>
    </w:r>
    <w:r>
      <w:fldChar w:fldCharType="end"/>
    </w:r>
  </w:p>
  <w:p w14:paraId="486656F3"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7650" w14:textId="77777777" w:rsidR="00095F45" w:rsidRDefault="00095F45">
      <w:r>
        <w:separator/>
      </w:r>
    </w:p>
  </w:footnote>
  <w:footnote w:type="continuationSeparator" w:id="0">
    <w:p w14:paraId="4F0FBDC0" w14:textId="77777777" w:rsidR="00095F45" w:rsidRDefault="0009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3C1C" w14:textId="77777777" w:rsidR="003A2FD8" w:rsidRPr="005001AC" w:rsidRDefault="003A2FD8" w:rsidP="005001AC">
    <w:pPr>
      <w:jc w:val="right"/>
      <w:rPr>
        <w:sz w:val="20"/>
      </w:rPr>
    </w:pPr>
  </w:p>
  <w:p w14:paraId="18F8F636"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6777B"/>
    <w:multiLevelType w:val="hybridMultilevel"/>
    <w:tmpl w:val="ECE4899A"/>
    <w:lvl w:ilvl="0" w:tplc="842C05DC">
      <w:start w:val="1"/>
      <w:numFmt w:val="bullet"/>
      <w:lvlText w:val="•"/>
      <w:lvlJc w:val="left"/>
      <w:pPr>
        <w:tabs>
          <w:tab w:val="num" w:pos="720"/>
        </w:tabs>
        <w:ind w:left="720" w:hanging="360"/>
      </w:pPr>
      <w:rPr>
        <w:rFonts w:ascii="Arial" w:hAnsi="Arial" w:hint="default"/>
      </w:rPr>
    </w:lvl>
    <w:lvl w:ilvl="1" w:tplc="492A315E">
      <w:start w:val="270"/>
      <w:numFmt w:val="bullet"/>
      <w:lvlText w:val="–"/>
      <w:lvlJc w:val="left"/>
      <w:pPr>
        <w:tabs>
          <w:tab w:val="num" w:pos="1440"/>
        </w:tabs>
        <w:ind w:left="1440" w:hanging="360"/>
      </w:pPr>
      <w:rPr>
        <w:rFonts w:ascii="Arial" w:hAnsi="Arial" w:hint="default"/>
      </w:rPr>
    </w:lvl>
    <w:lvl w:ilvl="2" w:tplc="4EEE97AC">
      <w:start w:val="270"/>
      <w:numFmt w:val="bullet"/>
      <w:lvlText w:val="•"/>
      <w:lvlJc w:val="left"/>
      <w:pPr>
        <w:tabs>
          <w:tab w:val="num" w:pos="2160"/>
        </w:tabs>
        <w:ind w:left="2160" w:hanging="360"/>
      </w:pPr>
      <w:rPr>
        <w:rFonts w:ascii="Arial" w:hAnsi="Arial" w:hint="default"/>
      </w:rPr>
    </w:lvl>
    <w:lvl w:ilvl="3" w:tplc="36ACC8C4">
      <w:start w:val="270"/>
      <w:numFmt w:val="bullet"/>
      <w:lvlText w:val="–"/>
      <w:lvlJc w:val="left"/>
      <w:pPr>
        <w:tabs>
          <w:tab w:val="num" w:pos="2880"/>
        </w:tabs>
        <w:ind w:left="2880" w:hanging="360"/>
      </w:pPr>
      <w:rPr>
        <w:rFonts w:ascii="Arial" w:hAnsi="Arial" w:hint="default"/>
      </w:rPr>
    </w:lvl>
    <w:lvl w:ilvl="4" w:tplc="A5A2B394">
      <w:start w:val="270"/>
      <w:numFmt w:val="bullet"/>
      <w:lvlText w:val="»"/>
      <w:lvlJc w:val="left"/>
      <w:pPr>
        <w:tabs>
          <w:tab w:val="num" w:pos="3600"/>
        </w:tabs>
        <w:ind w:left="3600" w:hanging="360"/>
      </w:pPr>
      <w:rPr>
        <w:rFonts w:ascii="Arial" w:hAnsi="Arial" w:hint="default"/>
      </w:rPr>
    </w:lvl>
    <w:lvl w:ilvl="5" w:tplc="A2E0F0B0" w:tentative="1">
      <w:start w:val="1"/>
      <w:numFmt w:val="bullet"/>
      <w:lvlText w:val="•"/>
      <w:lvlJc w:val="left"/>
      <w:pPr>
        <w:tabs>
          <w:tab w:val="num" w:pos="4320"/>
        </w:tabs>
        <w:ind w:left="4320" w:hanging="360"/>
      </w:pPr>
      <w:rPr>
        <w:rFonts w:ascii="Arial" w:hAnsi="Arial" w:hint="default"/>
      </w:rPr>
    </w:lvl>
    <w:lvl w:ilvl="6" w:tplc="3C9A427A" w:tentative="1">
      <w:start w:val="1"/>
      <w:numFmt w:val="bullet"/>
      <w:lvlText w:val="•"/>
      <w:lvlJc w:val="left"/>
      <w:pPr>
        <w:tabs>
          <w:tab w:val="num" w:pos="5040"/>
        </w:tabs>
        <w:ind w:left="5040" w:hanging="360"/>
      </w:pPr>
      <w:rPr>
        <w:rFonts w:ascii="Arial" w:hAnsi="Arial" w:hint="default"/>
      </w:rPr>
    </w:lvl>
    <w:lvl w:ilvl="7" w:tplc="C7BE4DFC" w:tentative="1">
      <w:start w:val="1"/>
      <w:numFmt w:val="bullet"/>
      <w:lvlText w:val="•"/>
      <w:lvlJc w:val="left"/>
      <w:pPr>
        <w:tabs>
          <w:tab w:val="num" w:pos="5760"/>
        </w:tabs>
        <w:ind w:left="5760" w:hanging="360"/>
      </w:pPr>
      <w:rPr>
        <w:rFonts w:ascii="Arial" w:hAnsi="Arial" w:hint="default"/>
      </w:rPr>
    </w:lvl>
    <w:lvl w:ilvl="8" w:tplc="0B44B0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A3E11"/>
    <w:multiLevelType w:val="hybridMultilevel"/>
    <w:tmpl w:val="9812504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5D0"/>
    <w:rsid w:val="00011C87"/>
    <w:rsid w:val="00015F74"/>
    <w:rsid w:val="00021B2E"/>
    <w:rsid w:val="0003046D"/>
    <w:rsid w:val="00043571"/>
    <w:rsid w:val="00050ADF"/>
    <w:rsid w:val="00065EBD"/>
    <w:rsid w:val="0006680D"/>
    <w:rsid w:val="00067FFB"/>
    <w:rsid w:val="000711F7"/>
    <w:rsid w:val="0007651F"/>
    <w:rsid w:val="00083B44"/>
    <w:rsid w:val="000850DC"/>
    <w:rsid w:val="0009324B"/>
    <w:rsid w:val="000939E8"/>
    <w:rsid w:val="00094365"/>
    <w:rsid w:val="00095F45"/>
    <w:rsid w:val="000A46CD"/>
    <w:rsid w:val="000A5A69"/>
    <w:rsid w:val="000B2E64"/>
    <w:rsid w:val="000B5383"/>
    <w:rsid w:val="000C2771"/>
    <w:rsid w:val="000D68BD"/>
    <w:rsid w:val="000E27BF"/>
    <w:rsid w:val="000E3DA9"/>
    <w:rsid w:val="000F0DCE"/>
    <w:rsid w:val="000F1F87"/>
    <w:rsid w:val="000F2C30"/>
    <w:rsid w:val="000F59B3"/>
    <w:rsid w:val="00103C53"/>
    <w:rsid w:val="001108B2"/>
    <w:rsid w:val="00111843"/>
    <w:rsid w:val="00112C5B"/>
    <w:rsid w:val="00112E4C"/>
    <w:rsid w:val="00113908"/>
    <w:rsid w:val="00114193"/>
    <w:rsid w:val="00114951"/>
    <w:rsid w:val="001154E6"/>
    <w:rsid w:val="00115A38"/>
    <w:rsid w:val="0011687B"/>
    <w:rsid w:val="00120BB5"/>
    <w:rsid w:val="00121A80"/>
    <w:rsid w:val="0012396B"/>
    <w:rsid w:val="00124F82"/>
    <w:rsid w:val="001278E3"/>
    <w:rsid w:val="00130743"/>
    <w:rsid w:val="00130B50"/>
    <w:rsid w:val="0013236F"/>
    <w:rsid w:val="00135D7F"/>
    <w:rsid w:val="00136731"/>
    <w:rsid w:val="0016337A"/>
    <w:rsid w:val="00164269"/>
    <w:rsid w:val="00167C12"/>
    <w:rsid w:val="00173C28"/>
    <w:rsid w:val="00174511"/>
    <w:rsid w:val="00174576"/>
    <w:rsid w:val="0017692C"/>
    <w:rsid w:val="001966FD"/>
    <w:rsid w:val="00197826"/>
    <w:rsid w:val="001A1BDE"/>
    <w:rsid w:val="001A5E40"/>
    <w:rsid w:val="001B10C4"/>
    <w:rsid w:val="001B1460"/>
    <w:rsid w:val="001C48C7"/>
    <w:rsid w:val="001C502F"/>
    <w:rsid w:val="001C7B4E"/>
    <w:rsid w:val="001D325C"/>
    <w:rsid w:val="001E2E4C"/>
    <w:rsid w:val="001F0876"/>
    <w:rsid w:val="001F167C"/>
    <w:rsid w:val="001F5E91"/>
    <w:rsid w:val="001F66F5"/>
    <w:rsid w:val="001F7EE3"/>
    <w:rsid w:val="0020183F"/>
    <w:rsid w:val="002077B9"/>
    <w:rsid w:val="00214596"/>
    <w:rsid w:val="00215554"/>
    <w:rsid w:val="002157F6"/>
    <w:rsid w:val="00221C70"/>
    <w:rsid w:val="002251AF"/>
    <w:rsid w:val="00227D86"/>
    <w:rsid w:val="002304E9"/>
    <w:rsid w:val="00233159"/>
    <w:rsid w:val="00236410"/>
    <w:rsid w:val="00243B68"/>
    <w:rsid w:val="00243E80"/>
    <w:rsid w:val="00262D72"/>
    <w:rsid w:val="00262EE4"/>
    <w:rsid w:val="002641BB"/>
    <w:rsid w:val="00264D40"/>
    <w:rsid w:val="00265CC8"/>
    <w:rsid w:val="00276EB2"/>
    <w:rsid w:val="002800B6"/>
    <w:rsid w:val="00281E75"/>
    <w:rsid w:val="00284375"/>
    <w:rsid w:val="00286179"/>
    <w:rsid w:val="00287E41"/>
    <w:rsid w:val="00293CBE"/>
    <w:rsid w:val="00295502"/>
    <w:rsid w:val="00297FD4"/>
    <w:rsid w:val="002A08B4"/>
    <w:rsid w:val="002B35D4"/>
    <w:rsid w:val="002B4F6B"/>
    <w:rsid w:val="002B56CC"/>
    <w:rsid w:val="002C030F"/>
    <w:rsid w:val="002D4AD6"/>
    <w:rsid w:val="002F3966"/>
    <w:rsid w:val="00300283"/>
    <w:rsid w:val="00311410"/>
    <w:rsid w:val="00320398"/>
    <w:rsid w:val="00320E2C"/>
    <w:rsid w:val="00331D75"/>
    <w:rsid w:val="00337121"/>
    <w:rsid w:val="0034655D"/>
    <w:rsid w:val="00355362"/>
    <w:rsid w:val="00355AF3"/>
    <w:rsid w:val="00356317"/>
    <w:rsid w:val="00363E44"/>
    <w:rsid w:val="003732E5"/>
    <w:rsid w:val="0038164A"/>
    <w:rsid w:val="00395E86"/>
    <w:rsid w:val="003976A6"/>
    <w:rsid w:val="003A0E5B"/>
    <w:rsid w:val="003A1DFA"/>
    <w:rsid w:val="003A2FD8"/>
    <w:rsid w:val="003B2FF3"/>
    <w:rsid w:val="003B40E6"/>
    <w:rsid w:val="003B604B"/>
    <w:rsid w:val="003C007A"/>
    <w:rsid w:val="003C4BF1"/>
    <w:rsid w:val="003C504E"/>
    <w:rsid w:val="003D7D93"/>
    <w:rsid w:val="003D7DF3"/>
    <w:rsid w:val="003E1980"/>
    <w:rsid w:val="003E2B2C"/>
    <w:rsid w:val="003E73EC"/>
    <w:rsid w:val="003F3173"/>
    <w:rsid w:val="003F3D3F"/>
    <w:rsid w:val="003F6E14"/>
    <w:rsid w:val="00400205"/>
    <w:rsid w:val="00401AAF"/>
    <w:rsid w:val="00401B84"/>
    <w:rsid w:val="00405336"/>
    <w:rsid w:val="004106D4"/>
    <w:rsid w:val="00420408"/>
    <w:rsid w:val="0042314B"/>
    <w:rsid w:val="00426377"/>
    <w:rsid w:val="004313F8"/>
    <w:rsid w:val="00436AC9"/>
    <w:rsid w:val="004505CD"/>
    <w:rsid w:val="004568BC"/>
    <w:rsid w:val="004571D5"/>
    <w:rsid w:val="00462F1B"/>
    <w:rsid w:val="0046356B"/>
    <w:rsid w:val="0046654C"/>
    <w:rsid w:val="00471174"/>
    <w:rsid w:val="00473B91"/>
    <w:rsid w:val="00477182"/>
    <w:rsid w:val="004779CB"/>
    <w:rsid w:val="00481118"/>
    <w:rsid w:val="00482A2A"/>
    <w:rsid w:val="0049040C"/>
    <w:rsid w:val="004948E5"/>
    <w:rsid w:val="004A18B2"/>
    <w:rsid w:val="004A6212"/>
    <w:rsid w:val="004A75F9"/>
    <w:rsid w:val="004B17F5"/>
    <w:rsid w:val="004B2481"/>
    <w:rsid w:val="004B2C9E"/>
    <w:rsid w:val="004B4AE9"/>
    <w:rsid w:val="004C5C17"/>
    <w:rsid w:val="004C7791"/>
    <w:rsid w:val="004D2A8C"/>
    <w:rsid w:val="004E42D8"/>
    <w:rsid w:val="004E43F7"/>
    <w:rsid w:val="004E4E1C"/>
    <w:rsid w:val="004E6B75"/>
    <w:rsid w:val="004E7BA2"/>
    <w:rsid w:val="004F04DB"/>
    <w:rsid w:val="004F0621"/>
    <w:rsid w:val="004F5FA2"/>
    <w:rsid w:val="004F7EDF"/>
    <w:rsid w:val="005001AC"/>
    <w:rsid w:val="00511282"/>
    <w:rsid w:val="00511361"/>
    <w:rsid w:val="005115C8"/>
    <w:rsid w:val="00517016"/>
    <w:rsid w:val="00527D71"/>
    <w:rsid w:val="00527D84"/>
    <w:rsid w:val="005314B5"/>
    <w:rsid w:val="0053502D"/>
    <w:rsid w:val="00542FC3"/>
    <w:rsid w:val="005441D5"/>
    <w:rsid w:val="0054432F"/>
    <w:rsid w:val="00544860"/>
    <w:rsid w:val="005464CE"/>
    <w:rsid w:val="00547A27"/>
    <w:rsid w:val="005505C3"/>
    <w:rsid w:val="00552C23"/>
    <w:rsid w:val="0055375F"/>
    <w:rsid w:val="005607DD"/>
    <w:rsid w:val="0056293A"/>
    <w:rsid w:val="005650A8"/>
    <w:rsid w:val="0056730F"/>
    <w:rsid w:val="00572DFF"/>
    <w:rsid w:val="00576174"/>
    <w:rsid w:val="00577E91"/>
    <w:rsid w:val="0059516D"/>
    <w:rsid w:val="005A41BC"/>
    <w:rsid w:val="005A558C"/>
    <w:rsid w:val="005B186E"/>
    <w:rsid w:val="005C4B93"/>
    <w:rsid w:val="005C6651"/>
    <w:rsid w:val="005D0CC0"/>
    <w:rsid w:val="005D353D"/>
    <w:rsid w:val="005D6D71"/>
    <w:rsid w:val="005E1292"/>
    <w:rsid w:val="005E18DC"/>
    <w:rsid w:val="005E28F8"/>
    <w:rsid w:val="005E4983"/>
    <w:rsid w:val="005E6513"/>
    <w:rsid w:val="00601A81"/>
    <w:rsid w:val="00604329"/>
    <w:rsid w:val="006100D4"/>
    <w:rsid w:val="0061180E"/>
    <w:rsid w:val="00611F9E"/>
    <w:rsid w:val="00613A08"/>
    <w:rsid w:val="00617439"/>
    <w:rsid w:val="00620867"/>
    <w:rsid w:val="006237D4"/>
    <w:rsid w:val="006243C3"/>
    <w:rsid w:val="006272BD"/>
    <w:rsid w:val="00642E1A"/>
    <w:rsid w:val="00651114"/>
    <w:rsid w:val="006517FC"/>
    <w:rsid w:val="006530AA"/>
    <w:rsid w:val="00657B28"/>
    <w:rsid w:val="006618E0"/>
    <w:rsid w:val="006622CF"/>
    <w:rsid w:val="006625FA"/>
    <w:rsid w:val="00664A12"/>
    <w:rsid w:val="00665940"/>
    <w:rsid w:val="0066722B"/>
    <w:rsid w:val="00670299"/>
    <w:rsid w:val="00674765"/>
    <w:rsid w:val="006752B0"/>
    <w:rsid w:val="0068469F"/>
    <w:rsid w:val="00686DAF"/>
    <w:rsid w:val="006912EF"/>
    <w:rsid w:val="00691985"/>
    <w:rsid w:val="00695D76"/>
    <w:rsid w:val="006962C1"/>
    <w:rsid w:val="006A1B64"/>
    <w:rsid w:val="006A2ED3"/>
    <w:rsid w:val="006B03AD"/>
    <w:rsid w:val="006B0F7D"/>
    <w:rsid w:val="006B2421"/>
    <w:rsid w:val="006D6E06"/>
    <w:rsid w:val="006E29B4"/>
    <w:rsid w:val="006E379D"/>
    <w:rsid w:val="006F10A6"/>
    <w:rsid w:val="006F602A"/>
    <w:rsid w:val="00703818"/>
    <w:rsid w:val="007108F5"/>
    <w:rsid w:val="00712342"/>
    <w:rsid w:val="00713AF2"/>
    <w:rsid w:val="00713B7F"/>
    <w:rsid w:val="00713E5B"/>
    <w:rsid w:val="00717E6C"/>
    <w:rsid w:val="00721032"/>
    <w:rsid w:val="00725831"/>
    <w:rsid w:val="00733DCF"/>
    <w:rsid w:val="007344A9"/>
    <w:rsid w:val="00734886"/>
    <w:rsid w:val="007402FC"/>
    <w:rsid w:val="007411A1"/>
    <w:rsid w:val="00741EC1"/>
    <w:rsid w:val="00747A92"/>
    <w:rsid w:val="007563F2"/>
    <w:rsid w:val="00756B69"/>
    <w:rsid w:val="00764008"/>
    <w:rsid w:val="00765628"/>
    <w:rsid w:val="00774492"/>
    <w:rsid w:val="00780856"/>
    <w:rsid w:val="00783334"/>
    <w:rsid w:val="00783FDB"/>
    <w:rsid w:val="0079164A"/>
    <w:rsid w:val="00791CA4"/>
    <w:rsid w:val="007A007F"/>
    <w:rsid w:val="007A6913"/>
    <w:rsid w:val="007A78E3"/>
    <w:rsid w:val="007D06B3"/>
    <w:rsid w:val="007D5FB1"/>
    <w:rsid w:val="007E43C7"/>
    <w:rsid w:val="008003FB"/>
    <w:rsid w:val="008014D7"/>
    <w:rsid w:val="00807D35"/>
    <w:rsid w:val="00810676"/>
    <w:rsid w:val="008115D9"/>
    <w:rsid w:val="008217A5"/>
    <w:rsid w:val="00825950"/>
    <w:rsid w:val="0082607F"/>
    <w:rsid w:val="0084216C"/>
    <w:rsid w:val="008518E0"/>
    <w:rsid w:val="00852DB0"/>
    <w:rsid w:val="00854402"/>
    <w:rsid w:val="00857D62"/>
    <w:rsid w:val="00870182"/>
    <w:rsid w:val="00885C9B"/>
    <w:rsid w:val="008927D0"/>
    <w:rsid w:val="00893CCA"/>
    <w:rsid w:val="00894138"/>
    <w:rsid w:val="00894B13"/>
    <w:rsid w:val="008A5357"/>
    <w:rsid w:val="008A6248"/>
    <w:rsid w:val="008A7848"/>
    <w:rsid w:val="008B5CA7"/>
    <w:rsid w:val="008B5D71"/>
    <w:rsid w:val="008B64C0"/>
    <w:rsid w:val="008C0CE1"/>
    <w:rsid w:val="008C1A7C"/>
    <w:rsid w:val="008C1D02"/>
    <w:rsid w:val="008C2CD0"/>
    <w:rsid w:val="008C3392"/>
    <w:rsid w:val="008D2F38"/>
    <w:rsid w:val="008D2FF0"/>
    <w:rsid w:val="008D3F68"/>
    <w:rsid w:val="008D5D2A"/>
    <w:rsid w:val="008D7D65"/>
    <w:rsid w:val="008E2CF1"/>
    <w:rsid w:val="008E7064"/>
    <w:rsid w:val="008F08DC"/>
    <w:rsid w:val="008F5A8A"/>
    <w:rsid w:val="009025E0"/>
    <w:rsid w:val="00902D2F"/>
    <w:rsid w:val="00904B5C"/>
    <w:rsid w:val="009055D1"/>
    <w:rsid w:val="009102DB"/>
    <w:rsid w:val="00914B63"/>
    <w:rsid w:val="00917A50"/>
    <w:rsid w:val="00917F12"/>
    <w:rsid w:val="00920C01"/>
    <w:rsid w:val="00920E06"/>
    <w:rsid w:val="00922705"/>
    <w:rsid w:val="00924546"/>
    <w:rsid w:val="00932461"/>
    <w:rsid w:val="00932FE5"/>
    <w:rsid w:val="009354F3"/>
    <w:rsid w:val="00941A66"/>
    <w:rsid w:val="009447DC"/>
    <w:rsid w:val="00946724"/>
    <w:rsid w:val="00957195"/>
    <w:rsid w:val="00957F1E"/>
    <w:rsid w:val="00961BA5"/>
    <w:rsid w:val="0096351B"/>
    <w:rsid w:val="009642D7"/>
    <w:rsid w:val="009675D8"/>
    <w:rsid w:val="009743A9"/>
    <w:rsid w:val="00975720"/>
    <w:rsid w:val="009859A7"/>
    <w:rsid w:val="009A13E7"/>
    <w:rsid w:val="009A5287"/>
    <w:rsid w:val="009B1D3F"/>
    <w:rsid w:val="009B2AC5"/>
    <w:rsid w:val="009B3B48"/>
    <w:rsid w:val="009B7003"/>
    <w:rsid w:val="009B7984"/>
    <w:rsid w:val="009C5154"/>
    <w:rsid w:val="009D5246"/>
    <w:rsid w:val="009E20BD"/>
    <w:rsid w:val="009E65C2"/>
    <w:rsid w:val="009E6924"/>
    <w:rsid w:val="009E71A6"/>
    <w:rsid w:val="009F1A43"/>
    <w:rsid w:val="009F257C"/>
    <w:rsid w:val="009F426F"/>
    <w:rsid w:val="009F4BED"/>
    <w:rsid w:val="009F76FB"/>
    <w:rsid w:val="009F7D93"/>
    <w:rsid w:val="00A027C7"/>
    <w:rsid w:val="00A037D5"/>
    <w:rsid w:val="00A07423"/>
    <w:rsid w:val="00A1298F"/>
    <w:rsid w:val="00A13D48"/>
    <w:rsid w:val="00A23070"/>
    <w:rsid w:val="00A2607A"/>
    <w:rsid w:val="00A276DF"/>
    <w:rsid w:val="00A3084A"/>
    <w:rsid w:val="00A3281D"/>
    <w:rsid w:val="00A3346D"/>
    <w:rsid w:val="00A3403B"/>
    <w:rsid w:val="00A4031E"/>
    <w:rsid w:val="00A50033"/>
    <w:rsid w:val="00A50D2C"/>
    <w:rsid w:val="00A51A12"/>
    <w:rsid w:val="00A627D4"/>
    <w:rsid w:val="00A7400A"/>
    <w:rsid w:val="00A74DA2"/>
    <w:rsid w:val="00A765C7"/>
    <w:rsid w:val="00A822F2"/>
    <w:rsid w:val="00A87933"/>
    <w:rsid w:val="00A92733"/>
    <w:rsid w:val="00A974CD"/>
    <w:rsid w:val="00AA76F3"/>
    <w:rsid w:val="00AB41BB"/>
    <w:rsid w:val="00AB6525"/>
    <w:rsid w:val="00AC06FA"/>
    <w:rsid w:val="00AC0BBB"/>
    <w:rsid w:val="00AC7DA6"/>
    <w:rsid w:val="00AD1A03"/>
    <w:rsid w:val="00AD499C"/>
    <w:rsid w:val="00AE3667"/>
    <w:rsid w:val="00AE4559"/>
    <w:rsid w:val="00B00A1A"/>
    <w:rsid w:val="00B04613"/>
    <w:rsid w:val="00B21F8C"/>
    <w:rsid w:val="00B2251C"/>
    <w:rsid w:val="00B252B4"/>
    <w:rsid w:val="00B30334"/>
    <w:rsid w:val="00B3041F"/>
    <w:rsid w:val="00B3147F"/>
    <w:rsid w:val="00B36869"/>
    <w:rsid w:val="00B40BF7"/>
    <w:rsid w:val="00B43B31"/>
    <w:rsid w:val="00B47CFA"/>
    <w:rsid w:val="00B50A5C"/>
    <w:rsid w:val="00B57F00"/>
    <w:rsid w:val="00B626CB"/>
    <w:rsid w:val="00B67E74"/>
    <w:rsid w:val="00B740B7"/>
    <w:rsid w:val="00B74DAD"/>
    <w:rsid w:val="00B7560C"/>
    <w:rsid w:val="00B77E40"/>
    <w:rsid w:val="00B82C22"/>
    <w:rsid w:val="00B85AE6"/>
    <w:rsid w:val="00B91A85"/>
    <w:rsid w:val="00B93DBA"/>
    <w:rsid w:val="00B9440A"/>
    <w:rsid w:val="00B952C1"/>
    <w:rsid w:val="00B968D7"/>
    <w:rsid w:val="00BA3953"/>
    <w:rsid w:val="00BA3AC3"/>
    <w:rsid w:val="00BB1AE1"/>
    <w:rsid w:val="00BB2D2A"/>
    <w:rsid w:val="00BB2E8C"/>
    <w:rsid w:val="00BB310A"/>
    <w:rsid w:val="00BC758F"/>
    <w:rsid w:val="00BD249E"/>
    <w:rsid w:val="00BD2BC7"/>
    <w:rsid w:val="00BD58CF"/>
    <w:rsid w:val="00BF1BEB"/>
    <w:rsid w:val="00BF1BF9"/>
    <w:rsid w:val="00BF63D4"/>
    <w:rsid w:val="00C04C06"/>
    <w:rsid w:val="00C04CC1"/>
    <w:rsid w:val="00C051F5"/>
    <w:rsid w:val="00C071FC"/>
    <w:rsid w:val="00C115E1"/>
    <w:rsid w:val="00C149AB"/>
    <w:rsid w:val="00C22279"/>
    <w:rsid w:val="00C22C02"/>
    <w:rsid w:val="00C268BA"/>
    <w:rsid w:val="00C27F6F"/>
    <w:rsid w:val="00C30E83"/>
    <w:rsid w:val="00C34F25"/>
    <w:rsid w:val="00C41098"/>
    <w:rsid w:val="00C41D76"/>
    <w:rsid w:val="00C445E1"/>
    <w:rsid w:val="00C47FB5"/>
    <w:rsid w:val="00C5069C"/>
    <w:rsid w:val="00C50C6D"/>
    <w:rsid w:val="00C50D85"/>
    <w:rsid w:val="00C5466F"/>
    <w:rsid w:val="00C600D9"/>
    <w:rsid w:val="00C634D7"/>
    <w:rsid w:val="00C6593D"/>
    <w:rsid w:val="00C66288"/>
    <w:rsid w:val="00C663F5"/>
    <w:rsid w:val="00C665E3"/>
    <w:rsid w:val="00C73E09"/>
    <w:rsid w:val="00C75DE7"/>
    <w:rsid w:val="00CB7D86"/>
    <w:rsid w:val="00CC1384"/>
    <w:rsid w:val="00CD06C2"/>
    <w:rsid w:val="00CD3720"/>
    <w:rsid w:val="00CE66D8"/>
    <w:rsid w:val="00CE6EAA"/>
    <w:rsid w:val="00CF007B"/>
    <w:rsid w:val="00CF09A1"/>
    <w:rsid w:val="00CF1848"/>
    <w:rsid w:val="00CF5C2F"/>
    <w:rsid w:val="00D04BCF"/>
    <w:rsid w:val="00D10134"/>
    <w:rsid w:val="00D143D9"/>
    <w:rsid w:val="00D2036D"/>
    <w:rsid w:val="00D27FED"/>
    <w:rsid w:val="00D31DAB"/>
    <w:rsid w:val="00D374C4"/>
    <w:rsid w:val="00D4372A"/>
    <w:rsid w:val="00D46A68"/>
    <w:rsid w:val="00D46B36"/>
    <w:rsid w:val="00D472CE"/>
    <w:rsid w:val="00D518B6"/>
    <w:rsid w:val="00D577AA"/>
    <w:rsid w:val="00D60BB0"/>
    <w:rsid w:val="00D61C6D"/>
    <w:rsid w:val="00D65708"/>
    <w:rsid w:val="00D666B6"/>
    <w:rsid w:val="00D6688A"/>
    <w:rsid w:val="00D67CE8"/>
    <w:rsid w:val="00D708E8"/>
    <w:rsid w:val="00D76906"/>
    <w:rsid w:val="00D8159F"/>
    <w:rsid w:val="00D81D31"/>
    <w:rsid w:val="00D95C65"/>
    <w:rsid w:val="00DA425B"/>
    <w:rsid w:val="00DA44A2"/>
    <w:rsid w:val="00DB364D"/>
    <w:rsid w:val="00DC21F2"/>
    <w:rsid w:val="00DC6A77"/>
    <w:rsid w:val="00DD1D04"/>
    <w:rsid w:val="00DD373A"/>
    <w:rsid w:val="00DD79D7"/>
    <w:rsid w:val="00DF241B"/>
    <w:rsid w:val="00DF496E"/>
    <w:rsid w:val="00E01AAB"/>
    <w:rsid w:val="00E030CD"/>
    <w:rsid w:val="00E0748B"/>
    <w:rsid w:val="00E130E2"/>
    <w:rsid w:val="00E17715"/>
    <w:rsid w:val="00E20431"/>
    <w:rsid w:val="00E257C8"/>
    <w:rsid w:val="00E265B9"/>
    <w:rsid w:val="00E27E4F"/>
    <w:rsid w:val="00E344F4"/>
    <w:rsid w:val="00E3655B"/>
    <w:rsid w:val="00E37845"/>
    <w:rsid w:val="00E40896"/>
    <w:rsid w:val="00E42096"/>
    <w:rsid w:val="00E426C4"/>
    <w:rsid w:val="00E43D2D"/>
    <w:rsid w:val="00E449CB"/>
    <w:rsid w:val="00E45FF4"/>
    <w:rsid w:val="00E50D1E"/>
    <w:rsid w:val="00E519C4"/>
    <w:rsid w:val="00E51EE5"/>
    <w:rsid w:val="00E52CAC"/>
    <w:rsid w:val="00E53DB7"/>
    <w:rsid w:val="00E63760"/>
    <w:rsid w:val="00E64049"/>
    <w:rsid w:val="00E717D1"/>
    <w:rsid w:val="00E83EF4"/>
    <w:rsid w:val="00E845B3"/>
    <w:rsid w:val="00E9773B"/>
    <w:rsid w:val="00EA40D9"/>
    <w:rsid w:val="00EC0884"/>
    <w:rsid w:val="00EC13A3"/>
    <w:rsid w:val="00EC7C85"/>
    <w:rsid w:val="00ED2DD4"/>
    <w:rsid w:val="00ED39FE"/>
    <w:rsid w:val="00ED5775"/>
    <w:rsid w:val="00ED6781"/>
    <w:rsid w:val="00ED69CA"/>
    <w:rsid w:val="00EE35AB"/>
    <w:rsid w:val="00EE419C"/>
    <w:rsid w:val="00EE4FB1"/>
    <w:rsid w:val="00EF0124"/>
    <w:rsid w:val="00EF25A3"/>
    <w:rsid w:val="00EF7A6D"/>
    <w:rsid w:val="00F0029E"/>
    <w:rsid w:val="00F02CFE"/>
    <w:rsid w:val="00F125EE"/>
    <w:rsid w:val="00F12E98"/>
    <w:rsid w:val="00F174ED"/>
    <w:rsid w:val="00F22029"/>
    <w:rsid w:val="00F23E46"/>
    <w:rsid w:val="00F31F9C"/>
    <w:rsid w:val="00F3515C"/>
    <w:rsid w:val="00F429BA"/>
    <w:rsid w:val="00F4451F"/>
    <w:rsid w:val="00F47BA3"/>
    <w:rsid w:val="00F56E67"/>
    <w:rsid w:val="00F62050"/>
    <w:rsid w:val="00F630EA"/>
    <w:rsid w:val="00F6474F"/>
    <w:rsid w:val="00F7007E"/>
    <w:rsid w:val="00F73193"/>
    <w:rsid w:val="00F7338F"/>
    <w:rsid w:val="00F74F95"/>
    <w:rsid w:val="00F80705"/>
    <w:rsid w:val="00F82984"/>
    <w:rsid w:val="00F94F7E"/>
    <w:rsid w:val="00F95DA8"/>
    <w:rsid w:val="00FA1481"/>
    <w:rsid w:val="00FA24EE"/>
    <w:rsid w:val="00FA392C"/>
    <w:rsid w:val="00FB09C0"/>
    <w:rsid w:val="00FB1C42"/>
    <w:rsid w:val="00FB1F62"/>
    <w:rsid w:val="00FB32EC"/>
    <w:rsid w:val="00FD398F"/>
    <w:rsid w:val="00FD6FC7"/>
    <w:rsid w:val="00FE66F9"/>
    <w:rsid w:val="00FE6705"/>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uiPriority="99"/>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Hyperlink" w:uiPriority="99"/>
    <w:lsdException w:name="FollowedHyperlink" w:semiHidden="1"/>
    <w:lsdException w:name="Strong" w:semiHidden="1" w:uiPriority="22" w:qFormat="1"/>
    <w:lsdException w:name="Emphasis" w:semiHidden="1" w:uiPriority="20"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2F2"/>
    <w:rPr>
      <w:rFonts w:ascii="Arial" w:hAnsi="Arial"/>
      <w:sz w:val="22"/>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uiPriority w:val="99"/>
    <w:rsid w:val="00FD398F"/>
    <w:rPr>
      <w:rFonts w:ascii="Times New Roman" w:hAnsi="Times New Roman"/>
      <w:sz w:val="24"/>
    </w:rPr>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Figurecaption">
    <w:name w:val="Figure caption"/>
    <w:basedOn w:val="Normal"/>
    <w:next w:val="Normal"/>
    <w:qFormat/>
    <w:rsid w:val="0056293A"/>
    <w:pPr>
      <w:spacing w:before="240"/>
      <w:jc w:val="both"/>
    </w:pPr>
    <w:rPr>
      <w:rFonts w:ascii="Times New Roman" w:hAnsi="Times New Roman"/>
      <w:sz w:val="24"/>
      <w:szCs w:val="24"/>
      <w:lang w:val="en-GB" w:eastAsia="en-GB"/>
    </w:rPr>
  </w:style>
  <w:style w:type="paragraph" w:customStyle="1" w:styleId="Newparagraph">
    <w:name w:val="New paragraph"/>
    <w:basedOn w:val="Normal"/>
    <w:qFormat/>
    <w:rsid w:val="002157F6"/>
    <w:pPr>
      <w:spacing w:line="480" w:lineRule="auto"/>
      <w:ind w:firstLine="720"/>
    </w:pPr>
    <w:rPr>
      <w:szCs w:val="24"/>
      <w:lang w:val="en-GB" w:eastAsia="en-GB"/>
    </w:rPr>
  </w:style>
  <w:style w:type="paragraph" w:customStyle="1" w:styleId="Authornames">
    <w:name w:val="Author names"/>
    <w:basedOn w:val="Normal"/>
    <w:next w:val="Normal"/>
    <w:qFormat/>
    <w:rsid w:val="0059516D"/>
    <w:pPr>
      <w:spacing w:before="240" w:line="360" w:lineRule="auto"/>
    </w:pPr>
    <w:rPr>
      <w:sz w:val="28"/>
      <w:szCs w:val="24"/>
      <w:lang w:val="en-GB" w:eastAsia="en-GB"/>
    </w:rPr>
  </w:style>
  <w:style w:type="paragraph" w:customStyle="1" w:styleId="Affiliation">
    <w:name w:val="Affiliation"/>
    <w:basedOn w:val="Normal"/>
    <w:qFormat/>
    <w:rsid w:val="0059516D"/>
    <w:pPr>
      <w:spacing w:before="240" w:line="360" w:lineRule="auto"/>
    </w:pPr>
    <w:rPr>
      <w:i/>
      <w:szCs w:val="24"/>
      <w:lang w:val="en-GB" w:eastAsia="en-GB"/>
    </w:rPr>
  </w:style>
  <w:style w:type="table" w:styleId="PlainTable3">
    <w:name w:val="Plain Table 3"/>
    <w:basedOn w:val="TableNormal"/>
    <w:uiPriority w:val="43"/>
    <w:rsid w:val="00A2607A"/>
    <w:rPr>
      <w:rFonts w:asciiTheme="minorHAnsi" w:eastAsiaTheme="minorEastAsia" w:hAnsiTheme="minorHAnsi" w:cstheme="minorBidi"/>
      <w:sz w:val="22"/>
      <w:szCs w:val="22"/>
      <w:lang w:val="en-CA"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B36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067FFB"/>
    <w:rPr>
      <w:rFonts w:asciiTheme="minorHAnsi" w:eastAsiaTheme="minorEastAsia" w:hAnsiTheme="minorHAnsi" w:cstheme="minorBidi"/>
      <w:sz w:val="22"/>
      <w:szCs w:val="22"/>
      <w:lang w:val="en-CA"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le-text">
    <w:name w:val="title-text"/>
    <w:basedOn w:val="DefaultParagraphFont"/>
    <w:rsid w:val="00243E80"/>
  </w:style>
  <w:style w:type="character" w:styleId="Emphasis">
    <w:name w:val="Emphasis"/>
    <w:basedOn w:val="DefaultParagraphFont"/>
    <w:uiPriority w:val="20"/>
    <w:qFormat/>
    <w:rsid w:val="00243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738795594">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297099717">
      <w:bodyDiv w:val="1"/>
      <w:marLeft w:val="0"/>
      <w:marRight w:val="0"/>
      <w:marTop w:val="0"/>
      <w:marBottom w:val="0"/>
      <w:divBdr>
        <w:top w:val="none" w:sz="0" w:space="0" w:color="auto"/>
        <w:left w:val="none" w:sz="0" w:space="0" w:color="auto"/>
        <w:bottom w:val="none" w:sz="0" w:space="0" w:color="auto"/>
        <w:right w:val="none" w:sz="0" w:space="0" w:color="auto"/>
      </w:divBdr>
      <w:divsChild>
        <w:div w:id="2031683948">
          <w:marLeft w:val="547"/>
          <w:marRight w:val="0"/>
          <w:marTop w:val="106"/>
          <w:marBottom w:val="0"/>
          <w:divBdr>
            <w:top w:val="none" w:sz="0" w:space="0" w:color="auto"/>
            <w:left w:val="none" w:sz="0" w:space="0" w:color="auto"/>
            <w:bottom w:val="none" w:sz="0" w:space="0" w:color="auto"/>
            <w:right w:val="none" w:sz="0" w:space="0" w:color="auto"/>
          </w:divBdr>
        </w:div>
        <w:div w:id="1227456014">
          <w:marLeft w:val="1166"/>
          <w:marRight w:val="0"/>
          <w:marTop w:val="96"/>
          <w:marBottom w:val="0"/>
          <w:divBdr>
            <w:top w:val="none" w:sz="0" w:space="0" w:color="auto"/>
            <w:left w:val="none" w:sz="0" w:space="0" w:color="auto"/>
            <w:bottom w:val="none" w:sz="0" w:space="0" w:color="auto"/>
            <w:right w:val="none" w:sz="0" w:space="0" w:color="auto"/>
          </w:divBdr>
        </w:div>
        <w:div w:id="92628428">
          <w:marLeft w:val="1800"/>
          <w:marRight w:val="0"/>
          <w:marTop w:val="82"/>
          <w:marBottom w:val="0"/>
          <w:divBdr>
            <w:top w:val="none" w:sz="0" w:space="0" w:color="auto"/>
            <w:left w:val="none" w:sz="0" w:space="0" w:color="auto"/>
            <w:bottom w:val="none" w:sz="0" w:space="0" w:color="auto"/>
            <w:right w:val="none" w:sz="0" w:space="0" w:color="auto"/>
          </w:divBdr>
        </w:div>
        <w:div w:id="2103640353">
          <w:marLeft w:val="2520"/>
          <w:marRight w:val="0"/>
          <w:marTop w:val="67"/>
          <w:marBottom w:val="0"/>
          <w:divBdr>
            <w:top w:val="none" w:sz="0" w:space="0" w:color="auto"/>
            <w:left w:val="none" w:sz="0" w:space="0" w:color="auto"/>
            <w:bottom w:val="none" w:sz="0" w:space="0" w:color="auto"/>
            <w:right w:val="none" w:sz="0" w:space="0" w:color="auto"/>
          </w:divBdr>
        </w:div>
        <w:div w:id="1145584608">
          <w:marLeft w:val="3240"/>
          <w:marRight w:val="0"/>
          <w:marTop w:val="67"/>
          <w:marBottom w:val="0"/>
          <w:divBdr>
            <w:top w:val="none" w:sz="0" w:space="0" w:color="auto"/>
            <w:left w:val="none" w:sz="0" w:space="0" w:color="auto"/>
            <w:bottom w:val="none" w:sz="0" w:space="0" w:color="auto"/>
            <w:right w:val="none" w:sz="0" w:space="0" w:color="auto"/>
          </w:divBdr>
        </w:div>
        <w:div w:id="1491796798">
          <w:marLeft w:val="3240"/>
          <w:marRight w:val="0"/>
          <w:marTop w:val="67"/>
          <w:marBottom w:val="0"/>
          <w:divBdr>
            <w:top w:val="none" w:sz="0" w:space="0" w:color="auto"/>
            <w:left w:val="none" w:sz="0" w:space="0" w:color="auto"/>
            <w:bottom w:val="none" w:sz="0" w:space="0" w:color="auto"/>
            <w:right w:val="none" w:sz="0" w:space="0" w:color="auto"/>
          </w:divBdr>
        </w:div>
        <w:div w:id="872620742">
          <w:marLeft w:val="1800"/>
          <w:marRight w:val="0"/>
          <w:marTop w:val="82"/>
          <w:marBottom w:val="0"/>
          <w:divBdr>
            <w:top w:val="none" w:sz="0" w:space="0" w:color="auto"/>
            <w:left w:val="none" w:sz="0" w:space="0" w:color="auto"/>
            <w:bottom w:val="none" w:sz="0" w:space="0" w:color="auto"/>
            <w:right w:val="none" w:sz="0" w:space="0" w:color="auto"/>
          </w:divBdr>
        </w:div>
        <w:div w:id="1273367021">
          <w:marLeft w:val="1166"/>
          <w:marRight w:val="0"/>
          <w:marTop w:val="96"/>
          <w:marBottom w:val="0"/>
          <w:divBdr>
            <w:top w:val="none" w:sz="0" w:space="0" w:color="auto"/>
            <w:left w:val="none" w:sz="0" w:space="0" w:color="auto"/>
            <w:bottom w:val="none" w:sz="0" w:space="0" w:color="auto"/>
            <w:right w:val="none" w:sz="0" w:space="0" w:color="auto"/>
          </w:divBdr>
        </w:div>
        <w:div w:id="816191919">
          <w:marLeft w:val="1800"/>
          <w:marRight w:val="0"/>
          <w:marTop w:val="82"/>
          <w:marBottom w:val="0"/>
          <w:divBdr>
            <w:top w:val="none" w:sz="0" w:space="0" w:color="auto"/>
            <w:left w:val="none" w:sz="0" w:space="0" w:color="auto"/>
            <w:bottom w:val="none" w:sz="0" w:space="0" w:color="auto"/>
            <w:right w:val="none" w:sz="0" w:space="0" w:color="auto"/>
          </w:divBdr>
        </w:div>
        <w:div w:id="1553157505">
          <w:marLeft w:val="2520"/>
          <w:marRight w:val="0"/>
          <w:marTop w:val="67"/>
          <w:marBottom w:val="0"/>
          <w:divBdr>
            <w:top w:val="none" w:sz="0" w:space="0" w:color="auto"/>
            <w:left w:val="none" w:sz="0" w:space="0" w:color="auto"/>
            <w:bottom w:val="none" w:sz="0" w:space="0" w:color="auto"/>
            <w:right w:val="none" w:sz="0" w:space="0" w:color="auto"/>
          </w:divBdr>
        </w:div>
        <w:div w:id="594096814">
          <w:marLeft w:val="3240"/>
          <w:marRight w:val="0"/>
          <w:marTop w:val="67"/>
          <w:marBottom w:val="0"/>
          <w:divBdr>
            <w:top w:val="none" w:sz="0" w:space="0" w:color="auto"/>
            <w:left w:val="none" w:sz="0" w:space="0" w:color="auto"/>
            <w:bottom w:val="none" w:sz="0" w:space="0" w:color="auto"/>
            <w:right w:val="none" w:sz="0" w:space="0" w:color="auto"/>
          </w:divBdr>
        </w:div>
        <w:div w:id="439302046">
          <w:marLeft w:val="3240"/>
          <w:marRight w:val="0"/>
          <w:marTop w:val="67"/>
          <w:marBottom w:val="0"/>
          <w:divBdr>
            <w:top w:val="none" w:sz="0" w:space="0" w:color="auto"/>
            <w:left w:val="none" w:sz="0" w:space="0" w:color="auto"/>
            <w:bottom w:val="none" w:sz="0" w:space="0" w:color="auto"/>
            <w:right w:val="none" w:sz="0" w:space="0" w:color="auto"/>
          </w:divBdr>
        </w:div>
      </w:divsChild>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5878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A0E1-FEDE-4633-ADB5-9DE9E4D5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3182</Words>
  <Characters>18140</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Supporting Online Material for</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Ellen Gute</cp:lastModifiedBy>
  <cp:revision>17</cp:revision>
  <cp:lastPrinted>2019-02-12T14:54:00Z</cp:lastPrinted>
  <dcterms:created xsi:type="dcterms:W3CDTF">2019-02-07T19:22:00Z</dcterms:created>
  <dcterms:modified xsi:type="dcterms:W3CDTF">2019-05-29T13:44:00Z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http://www.zotero.org/styles/aerosol-science-and-technology</vt:lpwstr>
  </property>
  <property fmtid="{D5CDD505-2E9C-101B-9397-08002B2CF9AE}" pid="3" name="Mendeley Recent Style Name 0_1">
    <vt:lpwstr>Aerosol Science and Technology</vt:lpwstr>
  </property>
  <property fmtid="{D5CDD505-2E9C-101B-9397-08002B2CF9AE}" pid="4" name="Mendeley Recent Style Id 1_1">
    <vt:lpwstr>http://www.zotero.org/styles/american-geophysical-union</vt:lpwstr>
  </property>
  <property fmtid="{D5CDD505-2E9C-101B-9397-08002B2CF9AE}" pid="5" name="Mendeley Recent Style Name 1_1">
    <vt:lpwstr>American Geophysical Union</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http://www.zotero.org/styles/geophysical-research-letters</vt:lpwstr>
  </property>
  <property fmtid="{D5CDD505-2E9C-101B-9397-08002B2CF9AE}" pid="13" name="Mendeley Recent Style Name 5_1">
    <vt:lpwstr>Geophysical Research Letters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bd8ffa6b-e749-352a-b4ff-b4f1732de422</vt:lpwstr>
  </property>
  <property fmtid="{D5CDD505-2E9C-101B-9397-08002B2CF9AE}" pid="24" name="Mendeley Citation Style_1">
    <vt:lpwstr>http://www.zotero.org/styles/aerosol-science-and-technology</vt:lpwstr>
  </property>
</Properties>
</file>