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D7" w:rsidRPr="000F1595" w:rsidRDefault="007031D7" w:rsidP="007031D7">
      <w:pPr>
        <w:pStyle w:val="Default"/>
        <w:spacing w:line="360" w:lineRule="auto"/>
        <w:jc w:val="both"/>
        <w:rPr>
          <w:bCs/>
          <w:color w:val="auto"/>
        </w:rPr>
      </w:pPr>
      <w:r w:rsidRPr="00DA4C36">
        <w:rPr>
          <w:rFonts w:eastAsia="SimSun"/>
          <w:b/>
        </w:rPr>
        <w:t>Integrated risk assessment of potentially toxic elements and particle pollution in urban road dust of mega city of Pakistan</w:t>
      </w:r>
      <w:r w:rsidDel="000845E4">
        <w:rPr>
          <w:b/>
          <w:bCs/>
          <w:color w:val="auto"/>
        </w:rPr>
        <w:t xml:space="preserve"> </w:t>
      </w:r>
    </w:p>
    <w:p w:rsidR="003C3EA7" w:rsidRDefault="003C3EA7" w:rsidP="00F15423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7031D7" w:rsidRDefault="007031D7" w:rsidP="007031D7">
      <w:pPr>
        <w:pStyle w:val="Default"/>
        <w:spacing w:line="360" w:lineRule="auto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For submission</w:t>
      </w:r>
    </w:p>
    <w:p w:rsidR="007031D7" w:rsidRPr="003C3EA7" w:rsidRDefault="007031D7" w:rsidP="007031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 and Ecological Risk Assessment: An International Journal</w:t>
      </w:r>
    </w:p>
    <w:p w:rsidR="007031D7" w:rsidRDefault="007031D7" w:rsidP="00C57DE0">
      <w:pPr>
        <w:pStyle w:val="Default"/>
        <w:spacing w:before="100" w:beforeAutospacing="1" w:after="100" w:afterAutospacing="1"/>
        <w:jc w:val="center"/>
        <w:rPr>
          <w:b/>
        </w:rPr>
      </w:pPr>
    </w:p>
    <w:p w:rsidR="00C57DE0" w:rsidRDefault="00C57DE0" w:rsidP="00C57DE0">
      <w:pPr>
        <w:pStyle w:val="Default"/>
        <w:spacing w:before="100" w:beforeAutospacing="1" w:after="100" w:afterAutospacing="1"/>
        <w:jc w:val="center"/>
        <w:rPr>
          <w:b/>
        </w:rPr>
      </w:pPr>
      <w:r w:rsidRPr="00824CF9">
        <w:rPr>
          <w:b/>
        </w:rPr>
        <w:t>SUPPLEMENTARY INFORMATION</w:t>
      </w:r>
    </w:p>
    <w:p w:rsidR="00C57DE0" w:rsidRPr="00824CF9" w:rsidRDefault="00C57DE0" w:rsidP="00C57DE0">
      <w:pPr>
        <w:pStyle w:val="Default"/>
        <w:spacing w:before="100" w:beforeAutospacing="1" w:after="100" w:afterAutospacing="1"/>
        <w:rPr>
          <w:b/>
        </w:rPr>
      </w:pPr>
      <w:r>
        <w:rPr>
          <w:b/>
        </w:rPr>
        <w:t xml:space="preserve">Table S1: </w:t>
      </w:r>
      <w:r w:rsidRPr="005C0887">
        <w:rPr>
          <w:bCs/>
        </w:rPr>
        <w:t>Classification of</w:t>
      </w:r>
      <w:r>
        <w:rPr>
          <w:b/>
        </w:rPr>
        <w:t xml:space="preserve"> </w:t>
      </w:r>
      <w:proofErr w:type="spellStart"/>
      <w:r>
        <w:rPr>
          <w:rFonts w:eastAsia="Times New Roman"/>
        </w:rPr>
        <w:t>g</w:t>
      </w:r>
      <w:r w:rsidRPr="00D716E4">
        <w:rPr>
          <w:rFonts w:eastAsia="Times New Roman"/>
        </w:rPr>
        <w:t>eoaccumulation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Igeo</w:t>
      </w:r>
      <w:proofErr w:type="spellEnd"/>
      <w:r>
        <w:rPr>
          <w:rFonts w:eastAsia="Times New Roman"/>
        </w:rPr>
        <w:t>), contamination factor (CF), ecological risk (</w:t>
      </w:r>
      <w:proofErr w:type="spellStart"/>
      <w:r>
        <w:rPr>
          <w:rFonts w:eastAsia="Times New Roman"/>
        </w:rPr>
        <w:t>Ei</w:t>
      </w:r>
      <w:proofErr w:type="spellEnd"/>
      <w:r>
        <w:rPr>
          <w:rFonts w:eastAsia="Times New Roman"/>
        </w:rPr>
        <w:t>) and pollution index values.</w:t>
      </w:r>
    </w:p>
    <w:tbl>
      <w:tblPr>
        <w:tblW w:w="14080" w:type="dxa"/>
        <w:jc w:val="center"/>
        <w:tblLook w:val="04A0"/>
      </w:tblPr>
      <w:tblGrid>
        <w:gridCol w:w="1993"/>
        <w:gridCol w:w="2558"/>
        <w:gridCol w:w="1250"/>
        <w:gridCol w:w="598"/>
        <w:gridCol w:w="2269"/>
        <w:gridCol w:w="157"/>
        <w:gridCol w:w="538"/>
        <w:gridCol w:w="1497"/>
        <w:gridCol w:w="1122"/>
        <w:gridCol w:w="1109"/>
        <w:gridCol w:w="1083"/>
      </w:tblGrid>
      <w:tr w:rsidR="00C57DE0" w:rsidRPr="004B1CE7" w:rsidTr="00DC073E">
        <w:trPr>
          <w:trHeight w:val="300"/>
          <w:jc w:val="center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16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Geoaccumulation</w:t>
            </w:r>
            <w:proofErr w:type="spellEnd"/>
            <w:r w:rsidRPr="00D716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Index </w:t>
            </w:r>
            <w:r w:rsidRPr="00D716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</w:t>
            </w: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alue( </w:t>
            </w:r>
            <w:proofErr w:type="spellStart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Igeo</w:t>
            </w:r>
            <w:proofErr w:type="spellEnd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D716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Pollution level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5C088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0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Contamination factor (CF) values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5C088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0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Contamination range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16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Ecological risk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6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716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Ei</w:t>
            </w:r>
            <w:proofErr w:type="spellEnd"/>
            <w:r w:rsidRPr="00D716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</w:t>
            </w: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ange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Risk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Pollution index(PI) values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Pollution level</w:t>
            </w:r>
          </w:p>
        </w:tc>
      </w:tr>
      <w:tr w:rsidR="00C57DE0" w:rsidRPr="004B1CE7" w:rsidTr="00DC073E">
        <w:trPr>
          <w:trHeight w:val="300"/>
          <w:jc w:val="center"/>
        </w:trPr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Igeo</w:t>
            </w:r>
            <w:proofErr w:type="spellEnd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&lt; 0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unpolluted 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5C088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0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CF&lt; 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5C088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0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Low contamination factor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Ei</w:t>
            </w:r>
            <w:proofErr w:type="spellEnd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&lt; 40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7DE0" w:rsidRPr="004B1CE7" w:rsidTr="00DC073E">
        <w:trPr>
          <w:trHeight w:val="300"/>
          <w:jc w:val="center"/>
        </w:trPr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&lt; </w:t>
            </w:r>
            <w:proofErr w:type="spellStart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Igeo</w:t>
            </w:r>
            <w:proofErr w:type="spellEnd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≤ 1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unpolluted to moderately polluted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57DE0" w:rsidRPr="005C088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0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≤CF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</w:t>
            </w:r>
            <w:r w:rsidRPr="00D967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bottom"/>
            <w:hideMark/>
          </w:tcPr>
          <w:p w:rsidR="00C57DE0" w:rsidRPr="005C088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0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Moderate contamination factor</w:t>
            </w:r>
          </w:p>
        </w:tc>
        <w:tc>
          <w:tcPr>
            <w:tcW w:w="2216" w:type="dxa"/>
            <w:gridSpan w:val="3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 ≤ </w:t>
            </w:r>
            <w:proofErr w:type="spellStart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Ei</w:t>
            </w:r>
            <w:proofErr w:type="spellEnd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&lt; 80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109" w:type="dxa"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</w:t>
            </w: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≤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Low</w:t>
            </w:r>
          </w:p>
        </w:tc>
      </w:tr>
      <w:tr w:rsidR="00C57DE0" w:rsidRPr="004B1CE7" w:rsidTr="00DC073E">
        <w:trPr>
          <w:trHeight w:val="300"/>
          <w:jc w:val="center"/>
        </w:trPr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&lt; </w:t>
            </w:r>
            <w:proofErr w:type="spellStart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Igeo</w:t>
            </w:r>
            <w:proofErr w:type="spellEnd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≤ 2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oderately polluted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57DE0" w:rsidRPr="005C088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0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3=CF&lt;6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bottom"/>
            <w:hideMark/>
          </w:tcPr>
          <w:p w:rsidR="00C57DE0" w:rsidRPr="005C088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0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Considerable contamination factor</w:t>
            </w:r>
          </w:p>
        </w:tc>
        <w:tc>
          <w:tcPr>
            <w:tcW w:w="2216" w:type="dxa"/>
            <w:gridSpan w:val="3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 ≤ </w:t>
            </w:r>
            <w:proofErr w:type="spellStart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Ei</w:t>
            </w:r>
            <w:proofErr w:type="spellEnd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 160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Higher</w:t>
            </w:r>
          </w:p>
        </w:tc>
        <w:tc>
          <w:tcPr>
            <w:tcW w:w="1109" w:type="dxa"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1&lt;PI</w:t>
            </w: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≤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Middle</w:t>
            </w:r>
          </w:p>
        </w:tc>
      </w:tr>
      <w:tr w:rsidR="00C57DE0" w:rsidRPr="004B1CE7" w:rsidTr="00DC073E">
        <w:trPr>
          <w:trHeight w:val="300"/>
          <w:jc w:val="center"/>
        </w:trPr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&lt; </w:t>
            </w:r>
            <w:proofErr w:type="spellStart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Igeo</w:t>
            </w:r>
            <w:proofErr w:type="spellEnd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≤3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oderately to heavily polluted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C57DE0" w:rsidRPr="005C088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0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CF=6</w:t>
            </w:r>
          </w:p>
        </w:tc>
        <w:tc>
          <w:tcPr>
            <w:tcW w:w="2906" w:type="dxa"/>
            <w:gridSpan w:val="2"/>
            <w:shd w:val="clear" w:color="auto" w:fill="auto"/>
            <w:noWrap/>
            <w:vAlign w:val="bottom"/>
            <w:hideMark/>
          </w:tcPr>
          <w:p w:rsidR="00C57DE0" w:rsidRPr="005C088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0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Very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high </w:t>
            </w:r>
            <w:r w:rsidRPr="005C0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contamination factor</w:t>
            </w:r>
          </w:p>
        </w:tc>
        <w:tc>
          <w:tcPr>
            <w:tcW w:w="2216" w:type="dxa"/>
            <w:gridSpan w:val="3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 ≤ </w:t>
            </w:r>
            <w:proofErr w:type="spellStart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Ei</w:t>
            </w:r>
            <w:proofErr w:type="spellEnd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 320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109" w:type="dxa"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PI&gt;3</w:t>
            </w:r>
          </w:p>
        </w:tc>
        <w:tc>
          <w:tcPr>
            <w:tcW w:w="1083" w:type="dxa"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High</w:t>
            </w:r>
          </w:p>
        </w:tc>
      </w:tr>
      <w:tr w:rsidR="00C57DE0" w:rsidRPr="004B1CE7" w:rsidTr="00DC073E">
        <w:trPr>
          <w:trHeight w:val="300"/>
          <w:jc w:val="center"/>
        </w:trPr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&lt; </w:t>
            </w:r>
            <w:proofErr w:type="spellStart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Igeo</w:t>
            </w:r>
            <w:proofErr w:type="spellEnd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≤ 4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eavily polluted</w:t>
            </w:r>
          </w:p>
        </w:tc>
        <w:tc>
          <w:tcPr>
            <w:tcW w:w="1627" w:type="dxa"/>
            <w:gridSpan w:val="2"/>
            <w:shd w:val="clear" w:color="auto" w:fill="auto"/>
            <w:noWrap/>
            <w:vAlign w:val="bottom"/>
            <w:hideMark/>
          </w:tcPr>
          <w:p w:rsidR="00C57DE0" w:rsidRPr="005C088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0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C57DE0" w:rsidRPr="005C088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0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gridSpan w:val="2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320 ≤ </w:t>
            </w:r>
            <w:proofErr w:type="spellStart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Ei</w:t>
            </w:r>
            <w:proofErr w:type="spellEnd"/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Serious</w:t>
            </w:r>
          </w:p>
        </w:tc>
        <w:tc>
          <w:tcPr>
            <w:tcW w:w="1109" w:type="dxa"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7DE0" w:rsidRPr="004B1CE7" w:rsidTr="00DC073E">
        <w:trPr>
          <w:trHeight w:val="300"/>
          <w:jc w:val="center"/>
        </w:trPr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 &lt; </w:t>
            </w:r>
            <w:proofErr w:type="spellStart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Igeo</w:t>
            </w:r>
            <w:proofErr w:type="spellEnd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≤ 5 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eavily to extremely polluted</w:t>
            </w:r>
          </w:p>
        </w:tc>
        <w:tc>
          <w:tcPr>
            <w:tcW w:w="1627" w:type="dxa"/>
            <w:gridSpan w:val="2"/>
            <w:shd w:val="clear" w:color="auto" w:fill="auto"/>
            <w:noWrap/>
            <w:vAlign w:val="bottom"/>
            <w:hideMark/>
          </w:tcPr>
          <w:p w:rsidR="00C57DE0" w:rsidRPr="005C088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0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1" w:type="dxa"/>
            <w:gridSpan w:val="3"/>
            <w:shd w:val="clear" w:color="auto" w:fill="auto"/>
            <w:noWrap/>
            <w:vAlign w:val="bottom"/>
            <w:hideMark/>
          </w:tcPr>
          <w:p w:rsidR="00C57DE0" w:rsidRPr="005C088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0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7DE0" w:rsidRPr="004B1CE7" w:rsidTr="00DC073E">
        <w:trPr>
          <w:trHeight w:val="300"/>
          <w:jc w:val="center"/>
        </w:trPr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Igeo</w:t>
            </w:r>
            <w:proofErr w:type="spellEnd"/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&gt; 5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xtremely polluted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50505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505050"/>
                <w:sz w:val="24"/>
                <w:szCs w:val="24"/>
              </w:rPr>
              <w:t> </w:t>
            </w:r>
          </w:p>
        </w:tc>
        <w:tc>
          <w:tcPr>
            <w:tcW w:w="30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50505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50505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1C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57DE0" w:rsidRPr="004B1CE7" w:rsidRDefault="00C57DE0" w:rsidP="00DC073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57DE0" w:rsidRPr="00FA73D1" w:rsidRDefault="00C57DE0" w:rsidP="00C57DE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Martin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Meybeck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(1979)</w:t>
      </w:r>
      <w:r w:rsidRPr="00FA73D1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A73D1">
        <w:rPr>
          <w:rFonts w:ascii="Times New Roman" w:eastAsia="Times New Roman" w:hAnsi="Times New Roman"/>
          <w:color w:val="000000"/>
          <w:sz w:val="24"/>
          <w:szCs w:val="24"/>
        </w:rPr>
        <w:t>Chen et al., (2015); Muller (1969)</w:t>
      </w:r>
      <w:r w:rsidRPr="00FA73D1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FA73D1">
        <w:rPr>
          <w:rFonts w:ascii="Times New Roman" w:eastAsia="Times New Roman" w:hAnsi="Times New Roman"/>
          <w:sz w:val="24"/>
          <w:szCs w:val="24"/>
        </w:rPr>
        <w:t>Harikumar</w:t>
      </w:r>
      <w:proofErr w:type="spellEnd"/>
      <w:r w:rsidRPr="00FA73D1">
        <w:rPr>
          <w:rFonts w:ascii="Times New Roman" w:eastAsia="Times New Roman" w:hAnsi="Times New Roman"/>
          <w:sz w:val="24"/>
          <w:szCs w:val="24"/>
        </w:rPr>
        <w:t xml:space="preserve"> et al. (</w:t>
      </w:r>
      <w:hyperlink r:id="rId4" w:anchor="CR24" w:tooltip="View reference" w:history="1">
        <w:r w:rsidRPr="00FA73D1">
          <w:rPr>
            <w:rFonts w:ascii="Times New Roman" w:eastAsia="Times New Roman" w:hAnsi="Times New Roman"/>
            <w:sz w:val="24"/>
            <w:szCs w:val="24"/>
          </w:rPr>
          <w:t>2009</w:t>
        </w:r>
      </w:hyperlink>
      <w:r w:rsidRPr="00FA73D1">
        <w:rPr>
          <w:rFonts w:ascii="Times New Roman" w:eastAsia="Times New Roman" w:hAnsi="Times New Roman"/>
          <w:sz w:val="24"/>
          <w:szCs w:val="24"/>
        </w:rPr>
        <w:t>);</w:t>
      </w:r>
      <w:r w:rsidRPr="00FA73D1">
        <w:rPr>
          <w:rFonts w:ascii="Times New Roman" w:eastAsia="Calibri" w:hAnsi="Times New Roman"/>
          <w:sz w:val="24"/>
          <w:szCs w:val="24"/>
        </w:rPr>
        <w:t xml:space="preserve"> Hussain et al. </w:t>
      </w:r>
      <w:r w:rsidRPr="00B3760E">
        <w:rPr>
          <w:rFonts w:ascii="Times New Roman" w:eastAsia="Calibri" w:hAnsi="Times New Roman"/>
          <w:sz w:val="24"/>
          <w:szCs w:val="24"/>
        </w:rPr>
        <w:t>(</w:t>
      </w:r>
      <w:hyperlink r:id="rId5" w:anchor="CR27" w:tooltip="View reference" w:history="1">
        <w:r w:rsidRPr="00B3760E">
          <w:rPr>
            <w:rFonts w:ascii="Times New Roman" w:eastAsia="Calibri" w:hAnsi="Times New Roman"/>
            <w:sz w:val="24"/>
            <w:szCs w:val="24"/>
          </w:rPr>
          <w:t>2015</w:t>
        </w:r>
      </w:hyperlink>
      <w:r w:rsidRPr="00B3760E">
        <w:rPr>
          <w:rFonts w:ascii="Times New Roman" w:eastAsia="Calibri" w:hAnsi="Times New Roman"/>
          <w:sz w:val="24"/>
          <w:szCs w:val="24"/>
        </w:rPr>
        <w:t>)</w:t>
      </w:r>
    </w:p>
    <w:p w:rsidR="00C57DE0" w:rsidRDefault="00C57DE0" w:rsidP="00C57DE0">
      <w:pPr>
        <w:rPr>
          <w:rFonts w:ascii="Times New Roman" w:eastAsia="Times New Roman" w:hAnsi="Times New Roman"/>
          <w:sz w:val="24"/>
          <w:szCs w:val="24"/>
        </w:rPr>
      </w:pPr>
    </w:p>
    <w:p w:rsidR="00C57DE0" w:rsidRPr="00265BD7" w:rsidRDefault="00C57DE0" w:rsidP="00C57DE0">
      <w:pPr>
        <w:rPr>
          <w:rFonts w:ascii="Times New Roman" w:eastAsia="Times New Roman" w:hAnsi="Times New Roman"/>
          <w:sz w:val="24"/>
          <w:szCs w:val="24"/>
        </w:rPr>
        <w:sectPr w:rsidR="00C57DE0" w:rsidRPr="00265BD7" w:rsidSect="00D716E4">
          <w:pgSz w:w="16838" w:h="11906" w:orient="landscape"/>
          <w:pgMar w:top="1800" w:right="1440" w:bottom="1800" w:left="1440" w:header="708" w:footer="708" w:gutter="0"/>
          <w:cols w:space="708"/>
          <w:bidi/>
          <w:rtlGutter/>
          <w:docGrid w:linePitch="360"/>
        </w:sectPr>
      </w:pPr>
    </w:p>
    <w:p w:rsidR="00C57DE0" w:rsidRDefault="00C57DE0" w:rsidP="00C57DE0">
      <w:pPr>
        <w:rPr>
          <w:rFonts w:ascii="Times New Roman" w:eastAsia="Times New Roman" w:hAnsi="Times New Roman"/>
          <w:color w:val="000000"/>
          <w:sz w:val="24"/>
          <w:szCs w:val="24"/>
        </w:rPr>
        <w:sectPr w:rsidR="00C57DE0" w:rsidSect="00D716E4">
          <w:type w:val="evenPage"/>
          <w:pgSz w:w="16838" w:h="11906" w:orient="landscape"/>
          <w:pgMar w:top="1800" w:right="1440" w:bottom="1800" w:left="1440" w:header="708" w:footer="708" w:gutter="0"/>
          <w:cols w:space="708"/>
          <w:bidi/>
          <w:rtlGutter/>
          <w:docGrid w:linePitch="360"/>
        </w:sectPr>
      </w:pPr>
    </w:p>
    <w:p w:rsidR="00C57DE0" w:rsidRPr="00D967E5" w:rsidRDefault="00C57DE0" w:rsidP="00C57DE0">
      <w:pPr>
        <w:rPr>
          <w:rFonts w:ascii="Times New Roman" w:eastAsia="Times New Roman" w:hAnsi="Times New Roman"/>
          <w:sz w:val="24"/>
          <w:szCs w:val="24"/>
        </w:rPr>
      </w:pPr>
      <w:r w:rsidRPr="00D967E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Table S2.</w:t>
      </w:r>
      <w:r w:rsidRPr="00D967E5">
        <w:rPr>
          <w:rFonts w:ascii="Times New Roman" w:eastAsia="Times New Roman" w:hAnsi="Times New Roman"/>
          <w:sz w:val="24"/>
          <w:szCs w:val="24"/>
        </w:rPr>
        <w:t xml:space="preserve"> Parameters along with symbols and values used to estimate the</w:t>
      </w:r>
      <w:r>
        <w:rPr>
          <w:rFonts w:ascii="Times New Roman" w:eastAsia="Times New Roman" w:hAnsi="Times New Roman"/>
          <w:sz w:val="24"/>
          <w:szCs w:val="24"/>
        </w:rPr>
        <w:t xml:space="preserve"> health risk in urbanized city</w:t>
      </w:r>
      <w:r w:rsidRPr="00D967E5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8480" w:type="dxa"/>
        <w:tblLook w:val="04A0"/>
      </w:tblPr>
      <w:tblGrid>
        <w:gridCol w:w="1749"/>
        <w:gridCol w:w="987"/>
        <w:gridCol w:w="1815"/>
        <w:gridCol w:w="1806"/>
        <w:gridCol w:w="2123"/>
      </w:tblGrid>
      <w:tr w:rsidR="00C57DE0" w:rsidRPr="008B57CD" w:rsidTr="00DC073E">
        <w:trPr>
          <w:trHeight w:val="408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7DE0" w:rsidRPr="008B57CD" w:rsidRDefault="00C57DE0" w:rsidP="00DC07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7CD">
              <w:rPr>
                <w:rFonts w:ascii="Times New Roman" w:eastAsia="Times New Roman" w:hAnsi="Times New Roman"/>
                <w:sz w:val="24"/>
                <w:szCs w:val="24"/>
              </w:rPr>
              <w:t>Parameters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7DE0" w:rsidRPr="008B57CD" w:rsidRDefault="00C57DE0" w:rsidP="00DC07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7CD">
              <w:rPr>
                <w:rFonts w:ascii="Times New Roman" w:eastAsia="Times New Roman" w:hAnsi="Times New Roman"/>
                <w:sz w:val="24"/>
                <w:szCs w:val="24"/>
              </w:rPr>
              <w:t>Symbol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7DE0" w:rsidRPr="008B57CD" w:rsidRDefault="00C57DE0" w:rsidP="00DC07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7CD">
              <w:rPr>
                <w:rFonts w:ascii="Times New Roman" w:eastAsia="Times New Roman" w:hAnsi="Times New Roman"/>
                <w:sz w:val="24"/>
                <w:szCs w:val="24"/>
              </w:rPr>
              <w:t>Units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7DE0" w:rsidRPr="008B57CD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7CD">
              <w:rPr>
                <w:rFonts w:ascii="Times New Roman" w:eastAsia="Times New Roman" w:hAnsi="Times New Roman"/>
                <w:sz w:val="24"/>
                <w:szCs w:val="24"/>
              </w:rPr>
              <w:t>Values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7DE0" w:rsidRPr="008B57CD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7CD">
              <w:rPr>
                <w:rFonts w:ascii="Times New Roman" w:eastAsia="Times New Roman" w:hAnsi="Times New Roman"/>
                <w:sz w:val="24"/>
                <w:szCs w:val="24"/>
              </w:rPr>
              <w:t>References</w:t>
            </w:r>
          </w:p>
        </w:tc>
      </w:tr>
      <w:tr w:rsidR="00C57DE0" w:rsidRPr="008B57CD" w:rsidTr="00DC073E">
        <w:trPr>
          <w:trHeight w:val="612"/>
        </w:trPr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Average time cancer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ATc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Days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70 × 365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7DE0" w:rsidRPr="00530EA6" w:rsidRDefault="003013E2" w:rsidP="00C57DE0">
            <w:pPr>
              <w:ind w:firstLineChars="100" w:firstLine="21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anchor="RANGE!CR72" w:tooltip="View reference" w:history="1">
              <w:r w:rsidR="00C57DE0" w:rsidRPr="00530EA6">
                <w:rPr>
                  <w:rFonts w:ascii="Times New Roman" w:eastAsia="Times New Roman" w:hAnsi="Times New Roman"/>
                  <w:sz w:val="24"/>
                  <w:szCs w:val="24"/>
                </w:rPr>
                <w:t>USEPA (2002)</w:t>
              </w:r>
            </w:hyperlink>
          </w:p>
        </w:tc>
      </w:tr>
      <w:tr w:rsidR="00C57DE0" w:rsidRPr="008B57CD" w:rsidTr="00DC073E">
        <w:trPr>
          <w:trHeight w:val="612"/>
        </w:trPr>
        <w:tc>
          <w:tcPr>
            <w:tcW w:w="17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Average daily dose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(mg/kg)/day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57DE0" w:rsidRPr="008B57CD" w:rsidTr="00DC073E">
        <w:trPr>
          <w:trHeight w:val="612"/>
        </w:trPr>
        <w:tc>
          <w:tcPr>
            <w:tcW w:w="17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Average time non-cancer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ATnc</w:t>
            </w:r>
            <w:proofErr w:type="spellEnd"/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Days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30 × 365</w:t>
            </w:r>
          </w:p>
        </w:tc>
        <w:tc>
          <w:tcPr>
            <w:tcW w:w="20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3013E2" w:rsidP="00C57DE0">
            <w:pPr>
              <w:ind w:firstLineChars="100" w:firstLine="21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anchor="RANGE!CR72" w:tooltip="View reference" w:history="1">
              <w:r w:rsidR="00C57DE0" w:rsidRPr="00530EA6">
                <w:rPr>
                  <w:rFonts w:ascii="Times New Roman" w:eastAsia="Times New Roman" w:hAnsi="Times New Roman"/>
                  <w:sz w:val="24"/>
                  <w:szCs w:val="24"/>
                </w:rPr>
                <w:t>USEPA (2002)</w:t>
              </w:r>
            </w:hyperlink>
          </w:p>
        </w:tc>
      </w:tr>
      <w:tr w:rsidR="00C57DE0" w:rsidRPr="008B57CD" w:rsidTr="00DC073E">
        <w:trPr>
          <w:trHeight w:val="1224"/>
        </w:trPr>
        <w:tc>
          <w:tcPr>
            <w:tcW w:w="17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Body weight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BW</w:t>
            </w: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a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, 6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0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USEPA (2002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Askarova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and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Mussagaliyeva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(2014</w:t>
            </w:r>
          </w:p>
        </w:tc>
      </w:tr>
      <w:tr w:rsidR="00C57DE0" w:rsidRPr="008B57CD" w:rsidTr="00DC073E">
        <w:trPr>
          <w:trHeight w:val="288"/>
        </w:trPr>
        <w:tc>
          <w:tcPr>
            <w:tcW w:w="174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Carcinogenicity slope factor</w:t>
            </w:r>
          </w:p>
        </w:tc>
        <w:tc>
          <w:tcPr>
            <w:tcW w:w="99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SF</w:t>
            </w:r>
          </w:p>
        </w:tc>
        <w:tc>
          <w:tcPr>
            <w:tcW w:w="185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Per (mg/kg)/day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F5C6C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5F5C6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Inhalation SF</w:t>
            </w:r>
            <w:proofErr w:type="gramStart"/>
            <w:r w:rsidRPr="005F5C6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:  6.3</w:t>
            </w:r>
            <w:proofErr w:type="gramEnd"/>
            <w:r w:rsidRPr="005F5C6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(Cd), 0.84 (Ni), Pb (0.008)</w:t>
            </w:r>
          </w:p>
        </w:tc>
        <w:tc>
          <w:tcPr>
            <w:tcW w:w="206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C4634C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C4634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Ferreira-</w:t>
            </w:r>
            <w:proofErr w:type="spellStart"/>
            <w:r w:rsidRPr="00C4634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Baptista</w:t>
            </w:r>
            <w:proofErr w:type="spellEnd"/>
            <w:r w:rsidRPr="00C4634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and De Miguel,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(2005)</w:t>
            </w:r>
            <w:r w:rsidRPr="00C4634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Lu </w:t>
            </w:r>
            <w:r w:rsidRPr="008B57C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fr-FR"/>
              </w:rPr>
              <w:t>et al.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(2014),</w:t>
            </w:r>
            <w:r w:rsidRPr="00C4634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USDOE (2011)</w:t>
            </w:r>
          </w:p>
        </w:tc>
      </w:tr>
      <w:tr w:rsidR="00C57DE0" w:rsidRPr="008B57CD" w:rsidTr="00DC073E">
        <w:trPr>
          <w:trHeight w:val="816"/>
        </w:trPr>
        <w:tc>
          <w:tcPr>
            <w:tcW w:w="1749" w:type="dxa"/>
            <w:vMerge/>
            <w:tcBorders>
              <w:top w:val="nil"/>
            </w:tcBorders>
            <w:vAlign w:val="center"/>
            <w:hideMark/>
          </w:tcPr>
          <w:p w:rsidR="00C57DE0" w:rsidRPr="00C4634C" w:rsidRDefault="00C57DE0" w:rsidP="00DC07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vAlign w:val="center"/>
            <w:hideMark/>
          </w:tcPr>
          <w:p w:rsidR="00C57DE0" w:rsidRPr="00C4634C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  <w:vAlign w:val="center"/>
            <w:hideMark/>
          </w:tcPr>
          <w:p w:rsidR="00C57DE0" w:rsidRPr="00C4634C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Ingestion SF: 0.0085(</w:t>
            </w:r>
            <w:proofErr w:type="spellStart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Pb</w:t>
            </w:r>
            <w:proofErr w:type="spellEnd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3" w:type="dxa"/>
            <w:vMerge/>
            <w:tcBorders>
              <w:top w:val="nil"/>
            </w:tcBorders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7DE0" w:rsidRPr="008B57CD" w:rsidTr="00DC073E">
        <w:trPr>
          <w:trHeight w:val="612"/>
        </w:trPr>
        <w:tc>
          <w:tcPr>
            <w:tcW w:w="174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Chronic reference dose</w:t>
            </w:r>
          </w:p>
        </w:tc>
        <w:tc>
          <w:tcPr>
            <w:tcW w:w="99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RfD</w:t>
            </w:r>
            <w:proofErr w:type="spellEnd"/>
          </w:p>
        </w:tc>
        <w:tc>
          <w:tcPr>
            <w:tcW w:w="185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Per (mg/kg)/day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F5C6C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5F5C6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Oral </w:t>
            </w:r>
            <w:proofErr w:type="spellStart"/>
            <w:r w:rsidRPr="005F5C6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RfD</w:t>
            </w:r>
            <w:proofErr w:type="spellEnd"/>
            <w:proofErr w:type="gramStart"/>
            <w:r w:rsidRPr="005F5C6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:  0.001</w:t>
            </w:r>
            <w:proofErr w:type="gramEnd"/>
            <w:r w:rsidRPr="005F5C6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(Cu), 0.0003 (Mn), 0.003 (Pb), 0.024 (Cd), 0.0035 (Ni), 0.3 (Zn)</w:t>
            </w:r>
          </w:p>
        </w:tc>
        <w:tc>
          <w:tcPr>
            <w:tcW w:w="206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Askarova</w:t>
            </w:r>
            <w:proofErr w:type="spellEnd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Mussagaliyeva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 xml:space="preserve"> 2014), Ferreira-</w:t>
            </w:r>
            <w:proofErr w:type="spellStart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Baptista</w:t>
            </w:r>
            <w:proofErr w:type="spellEnd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 xml:space="preserve"> and De Miguel (2005)</w:t>
            </w:r>
          </w:p>
        </w:tc>
      </w:tr>
      <w:tr w:rsidR="00C57DE0" w:rsidRPr="000D40EA" w:rsidTr="00DC073E">
        <w:trPr>
          <w:trHeight w:val="1484"/>
        </w:trPr>
        <w:tc>
          <w:tcPr>
            <w:tcW w:w="1749" w:type="dxa"/>
            <w:vMerge/>
            <w:tcBorders>
              <w:top w:val="nil"/>
            </w:tcBorders>
            <w:vAlign w:val="center"/>
            <w:hideMark/>
          </w:tcPr>
          <w:p w:rsidR="00C57DE0" w:rsidRPr="00530EA6" w:rsidRDefault="00C57DE0" w:rsidP="00DC07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F5C6C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proofErr w:type="spellStart"/>
            <w:r w:rsidRPr="005F5C6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Dermal</w:t>
            </w:r>
            <w:proofErr w:type="spellEnd"/>
            <w:r w:rsidRPr="005F5C6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F5C6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RfD</w:t>
            </w:r>
            <w:proofErr w:type="spellEnd"/>
            <w:r w:rsidRPr="005F5C6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: 0.012 (Cu), 0.046 (Mn), 0.00005 (Pb), 0.046 (Mn), 0.00001 (Cd), 0.005 (Ni)</w:t>
            </w:r>
          </w:p>
        </w:tc>
        <w:tc>
          <w:tcPr>
            <w:tcW w:w="2063" w:type="dxa"/>
            <w:vMerge/>
            <w:tcBorders>
              <w:top w:val="nil"/>
            </w:tcBorders>
            <w:vAlign w:val="center"/>
            <w:hideMark/>
          </w:tcPr>
          <w:p w:rsidR="00C57DE0" w:rsidRPr="005F5C6C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</w:tr>
      <w:tr w:rsidR="00C57DE0" w:rsidRPr="000D40EA" w:rsidTr="00DC073E">
        <w:trPr>
          <w:trHeight w:val="287"/>
        </w:trPr>
        <w:tc>
          <w:tcPr>
            <w:tcW w:w="1749" w:type="dxa"/>
            <w:vMerge/>
            <w:tcBorders>
              <w:top w:val="nil"/>
            </w:tcBorders>
            <w:vAlign w:val="center"/>
            <w:hideMark/>
          </w:tcPr>
          <w:p w:rsidR="00C57DE0" w:rsidRPr="005F5C6C" w:rsidRDefault="00C57DE0" w:rsidP="00DC07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vAlign w:val="center"/>
            <w:hideMark/>
          </w:tcPr>
          <w:p w:rsidR="00C57DE0" w:rsidRPr="005F5C6C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  <w:vAlign w:val="center"/>
            <w:hideMark/>
          </w:tcPr>
          <w:p w:rsidR="00C57DE0" w:rsidRPr="005F5C6C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F5C6C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5F5C6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Inhalation RfD:0.04(Cu), 0.00005(Mn), 0.0035 (Pb), 0.00001(Cd), 0.00005 (Ni)</w:t>
            </w:r>
          </w:p>
        </w:tc>
        <w:tc>
          <w:tcPr>
            <w:tcW w:w="2063" w:type="dxa"/>
            <w:vMerge/>
            <w:tcBorders>
              <w:top w:val="nil"/>
            </w:tcBorders>
            <w:vAlign w:val="center"/>
            <w:hideMark/>
          </w:tcPr>
          <w:p w:rsidR="00C57DE0" w:rsidRPr="005F5C6C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</w:tr>
      <w:tr w:rsidR="00C57DE0" w:rsidRPr="008B57CD" w:rsidTr="00DC073E">
        <w:trPr>
          <w:trHeight w:val="612"/>
        </w:trPr>
        <w:tc>
          <w:tcPr>
            <w:tcW w:w="17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Concentration of soil heavy metals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mg kg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top w:val="nil"/>
            </w:tcBorders>
            <w:shd w:val="clear" w:color="auto" w:fill="auto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57DE0" w:rsidRPr="008B57CD" w:rsidTr="00DC073E">
        <w:trPr>
          <w:trHeight w:val="612"/>
        </w:trPr>
        <w:tc>
          <w:tcPr>
            <w:tcW w:w="17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Dermal absorption factor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ABS</w:t>
            </w: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Unit less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0.1 (Cd), 0.04 (Cr), 0.006 (</w:t>
            </w:r>
            <w:proofErr w:type="spellStart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Pb</w:t>
            </w:r>
            <w:proofErr w:type="spellEnd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), 0.02 (Zn),  0.001 (</w:t>
            </w:r>
            <w:proofErr w:type="spellStart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Mn</w:t>
            </w:r>
            <w:proofErr w:type="spellEnd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, Co)</w:t>
            </w:r>
          </w:p>
        </w:tc>
        <w:tc>
          <w:tcPr>
            <w:tcW w:w="20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 xml:space="preserve">HC (2004), Chen </w:t>
            </w:r>
            <w:r w:rsidRPr="008B57C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et al.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 xml:space="preserve"> (2015) and </w:t>
            </w:r>
            <w:proofErr w:type="spellStart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Kelepertzis</w:t>
            </w:r>
            <w:proofErr w:type="spellEnd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 xml:space="preserve"> (2014)</w:t>
            </w:r>
          </w:p>
        </w:tc>
      </w:tr>
      <w:tr w:rsidR="00C57DE0" w:rsidRPr="008B57CD" w:rsidTr="00DC073E">
        <w:trPr>
          <w:trHeight w:val="1440"/>
        </w:trPr>
        <w:tc>
          <w:tcPr>
            <w:tcW w:w="17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Exposed skin exposed surface area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5700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a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, 2800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0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3013E2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anchor="RANGE!CR16" w:tooltip="View reference" w:history="1">
              <w:r w:rsidR="00C57DE0" w:rsidRPr="00530EA6">
                <w:rPr>
                  <w:rFonts w:ascii="Times New Roman" w:eastAsia="Times New Roman" w:hAnsi="Times New Roman"/>
                  <w:sz w:val="24"/>
                  <w:szCs w:val="24"/>
                </w:rPr>
                <w:t>(</w:t>
              </w:r>
              <w:proofErr w:type="spellStart"/>
              <w:r w:rsidR="00C57DE0" w:rsidRPr="00530EA6">
                <w:rPr>
                  <w:rFonts w:ascii="Times New Roman" w:eastAsia="Times New Roman" w:hAnsi="Times New Roman"/>
                  <w:sz w:val="24"/>
                  <w:szCs w:val="24"/>
                </w:rPr>
                <w:t>Askarova</w:t>
              </w:r>
              <w:proofErr w:type="spellEnd"/>
              <w:r w:rsidR="00C57DE0" w:rsidRPr="00530EA6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and </w:t>
              </w:r>
              <w:proofErr w:type="spellStart"/>
              <w:r w:rsidR="00C57DE0" w:rsidRPr="00530EA6">
                <w:rPr>
                  <w:rFonts w:ascii="Times New Roman" w:eastAsia="Times New Roman" w:hAnsi="Times New Roman"/>
                  <w:sz w:val="24"/>
                  <w:szCs w:val="24"/>
                </w:rPr>
                <w:t>Mussagaliyeva</w:t>
              </w:r>
              <w:proofErr w:type="spellEnd"/>
              <w:r w:rsidR="00C57DE0" w:rsidRPr="00530EA6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2014)</w:t>
              </w:r>
            </w:hyperlink>
          </w:p>
        </w:tc>
      </w:tr>
      <w:tr w:rsidR="00C57DE0" w:rsidRPr="008B57CD" w:rsidTr="00DC073E">
        <w:trPr>
          <w:trHeight w:val="576"/>
        </w:trPr>
        <w:tc>
          <w:tcPr>
            <w:tcW w:w="17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Exposure duration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ED</w:t>
            </w: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a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, 6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0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3013E2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anchor="RANGE!CR72" w:tooltip="View reference" w:history="1">
              <w:r w:rsidR="00C57DE0" w:rsidRPr="00530EA6">
                <w:rPr>
                  <w:rFonts w:ascii="Times New Roman" w:eastAsia="Times New Roman" w:hAnsi="Times New Roman"/>
                  <w:sz w:val="24"/>
                  <w:szCs w:val="24"/>
                </w:rPr>
                <w:t>USEPA (2002)</w:t>
              </w:r>
            </w:hyperlink>
          </w:p>
        </w:tc>
      </w:tr>
      <w:tr w:rsidR="00C57DE0" w:rsidRPr="008B57CD" w:rsidTr="00DC073E">
        <w:trPr>
          <w:trHeight w:val="612"/>
        </w:trPr>
        <w:tc>
          <w:tcPr>
            <w:tcW w:w="17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Exposure frequency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EF</w:t>
            </w: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Day year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0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3013E2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anchor="RANGE!CR72" w:tooltip="View reference" w:history="1">
              <w:r w:rsidR="00C57DE0" w:rsidRPr="00530EA6">
                <w:rPr>
                  <w:rFonts w:ascii="Times New Roman" w:eastAsia="Times New Roman" w:hAnsi="Times New Roman"/>
                  <w:sz w:val="24"/>
                  <w:szCs w:val="24"/>
                </w:rPr>
                <w:t>USEPA (2002)</w:t>
              </w:r>
            </w:hyperlink>
          </w:p>
        </w:tc>
      </w:tr>
      <w:tr w:rsidR="00C57DE0" w:rsidRPr="008B57CD" w:rsidTr="00DC073E">
        <w:trPr>
          <w:trHeight w:val="576"/>
        </w:trPr>
        <w:tc>
          <w:tcPr>
            <w:tcW w:w="17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Ingestion rate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IngR</w:t>
            </w:r>
            <w:proofErr w:type="spellEnd"/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mg d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a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, 200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0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3013E2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anchor="RANGE!CR72" w:tooltip="View reference" w:history="1">
              <w:r w:rsidR="00C57DE0" w:rsidRPr="00530EA6">
                <w:rPr>
                  <w:rFonts w:ascii="Times New Roman" w:eastAsia="Times New Roman" w:hAnsi="Times New Roman"/>
                  <w:sz w:val="24"/>
                  <w:szCs w:val="24"/>
                </w:rPr>
                <w:t>USEPA (2002)</w:t>
              </w:r>
            </w:hyperlink>
          </w:p>
        </w:tc>
      </w:tr>
      <w:tr w:rsidR="00C57DE0" w:rsidRPr="008B57CD" w:rsidTr="00DC073E">
        <w:trPr>
          <w:trHeight w:val="816"/>
        </w:trPr>
        <w:tc>
          <w:tcPr>
            <w:tcW w:w="17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Inhalation rate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InhR</w:t>
            </w:r>
            <w:proofErr w:type="spellEnd"/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day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a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, 7.6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0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USEPA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 xml:space="preserve"> (2002), Zheng </w:t>
            </w:r>
            <w:r w:rsidRPr="008B57C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et al.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 xml:space="preserve"> (2010)</w:t>
            </w:r>
          </w:p>
        </w:tc>
      </w:tr>
      <w:tr w:rsidR="00C57DE0" w:rsidRPr="008B57CD" w:rsidTr="00DC073E">
        <w:trPr>
          <w:trHeight w:val="816"/>
        </w:trPr>
        <w:tc>
          <w:tcPr>
            <w:tcW w:w="174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Particular emission factor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PEF</w:t>
            </w:r>
          </w:p>
        </w:tc>
        <w:tc>
          <w:tcPr>
            <w:tcW w:w="185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8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1.36E−09</w:t>
            </w:r>
          </w:p>
        </w:tc>
        <w:tc>
          <w:tcPr>
            <w:tcW w:w="20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DE0" w:rsidRPr="00530EA6" w:rsidRDefault="003013E2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anchor="RANGE!CR72" w:tooltip="View reference" w:history="1">
              <w:r w:rsidR="00C57DE0" w:rsidRPr="00530EA6">
                <w:rPr>
                  <w:rFonts w:ascii="Times New Roman" w:eastAsia="Times New Roman" w:hAnsi="Times New Roman"/>
                  <w:sz w:val="24"/>
                  <w:szCs w:val="24"/>
                </w:rPr>
                <w:t>USEPA (2002)</w:t>
              </w:r>
            </w:hyperlink>
          </w:p>
        </w:tc>
      </w:tr>
      <w:tr w:rsidR="00C57DE0" w:rsidRPr="008B57CD" w:rsidTr="00DC073E">
        <w:trPr>
          <w:trHeight w:val="612"/>
        </w:trPr>
        <w:tc>
          <w:tcPr>
            <w:tcW w:w="174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Skin adherence factor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SAF</w:t>
            </w:r>
          </w:p>
        </w:tc>
        <w:tc>
          <w:tcPr>
            <w:tcW w:w="185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mg/cm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57DE0" w:rsidRPr="00530EA6" w:rsidRDefault="00C57DE0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a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</w:rPr>
              <w:t>, 0.2</w:t>
            </w:r>
            <w:r w:rsidRPr="00530EA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06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57DE0" w:rsidRPr="00530EA6" w:rsidRDefault="003013E2" w:rsidP="00DC07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anchor="RANGE!CR72" w:tooltip="View reference" w:history="1">
              <w:r w:rsidR="00C57DE0" w:rsidRPr="00530EA6">
                <w:rPr>
                  <w:rFonts w:ascii="Times New Roman" w:eastAsia="Times New Roman" w:hAnsi="Times New Roman"/>
                  <w:sz w:val="24"/>
                  <w:szCs w:val="24"/>
                </w:rPr>
                <w:t>USEPA (2002)</w:t>
              </w:r>
            </w:hyperlink>
          </w:p>
        </w:tc>
      </w:tr>
    </w:tbl>
    <w:p w:rsidR="00C57DE0" w:rsidRPr="00530EA6" w:rsidRDefault="00C57DE0" w:rsidP="00C57DE0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30EA6">
        <w:rPr>
          <w:rFonts w:ascii="Times New Roman" w:hAnsi="Times New Roman"/>
          <w:sz w:val="24"/>
          <w:szCs w:val="24"/>
          <w:vertAlign w:val="superscript"/>
        </w:rPr>
        <w:t>a</w:t>
      </w:r>
      <w:r w:rsidRPr="00530EA6">
        <w:rPr>
          <w:rFonts w:ascii="Times New Roman" w:hAnsi="Times New Roman"/>
          <w:sz w:val="24"/>
          <w:szCs w:val="24"/>
        </w:rPr>
        <w:t>Adult</w:t>
      </w:r>
      <w:proofErr w:type="spellEnd"/>
      <w:proofErr w:type="gramEnd"/>
      <w:r w:rsidRPr="00530EA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30EA6">
        <w:rPr>
          <w:rFonts w:ascii="Times New Roman" w:hAnsi="Times New Roman"/>
          <w:sz w:val="24"/>
          <w:szCs w:val="24"/>
          <w:vertAlign w:val="superscript"/>
        </w:rPr>
        <w:t>b</w:t>
      </w:r>
      <w:r w:rsidRPr="00530EA6">
        <w:rPr>
          <w:rFonts w:ascii="Times New Roman" w:hAnsi="Times New Roman"/>
          <w:sz w:val="24"/>
          <w:szCs w:val="24"/>
        </w:rPr>
        <w:t>Childern</w:t>
      </w:r>
      <w:proofErr w:type="spellEnd"/>
    </w:p>
    <w:p w:rsidR="00C57DE0" w:rsidRDefault="00C57DE0" w:rsidP="00C57DE0">
      <w:pPr>
        <w:ind w:right="240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jc w:val="center"/>
        <w:rPr>
          <w:rFonts w:ascii="Times New Roman" w:hAnsi="Times New Roman"/>
          <w:sz w:val="24"/>
          <w:szCs w:val="24"/>
        </w:rPr>
      </w:pPr>
    </w:p>
    <w:p w:rsidR="00C57DE0" w:rsidRDefault="00C57DE0" w:rsidP="00C57DE0">
      <w:pPr>
        <w:rPr>
          <w:rFonts w:ascii="Times New Roman" w:hAnsi="Times New Roman"/>
          <w:sz w:val="24"/>
          <w:szCs w:val="24"/>
        </w:rPr>
      </w:pPr>
    </w:p>
    <w:tbl>
      <w:tblPr>
        <w:tblStyle w:val="GridTable41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268"/>
        <w:gridCol w:w="1632"/>
        <w:gridCol w:w="1530"/>
        <w:gridCol w:w="1326"/>
        <w:gridCol w:w="2874"/>
      </w:tblGrid>
      <w:tr w:rsidR="00C57DE0" w:rsidRPr="000B30C6" w:rsidTr="00DC073E">
        <w:trPr>
          <w:cnfStyle w:val="100000000000"/>
          <w:trHeight w:val="205"/>
        </w:trPr>
        <w:tc>
          <w:tcPr>
            <w:cnfStyle w:val="001000000000"/>
            <w:tcW w:w="963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7DE0" w:rsidRPr="000B30C6" w:rsidRDefault="00C57DE0" w:rsidP="00DC073E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Table S3: </w:t>
            </w:r>
            <w:r w:rsidRPr="004F27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AQI criteria associated with PM concentration ranges</w:t>
            </w:r>
          </w:p>
        </w:tc>
      </w:tr>
      <w:tr w:rsidR="00C57DE0" w:rsidRPr="000B30C6" w:rsidTr="00DC073E">
        <w:trPr>
          <w:cnfStyle w:val="000000100000"/>
          <w:trHeight w:val="205"/>
        </w:trPr>
        <w:tc>
          <w:tcPr>
            <w:cnfStyle w:val="001000000000"/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DE0" w:rsidRPr="00265BD7" w:rsidRDefault="00C57DE0" w:rsidP="00DC073E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C57DE0" w:rsidRPr="00265BD7" w:rsidRDefault="00C57DE0" w:rsidP="00DC073E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5B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AQI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Concentration breakpoints of PM (µg m</w:t>
            </w:r>
            <w:r w:rsidRPr="000B30C6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0B30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AQI Category</w:t>
            </w:r>
          </w:p>
        </w:tc>
      </w:tr>
      <w:tr w:rsidR="00C57DE0" w:rsidRPr="000B30C6" w:rsidTr="00DC073E">
        <w:trPr>
          <w:trHeight w:val="205"/>
        </w:trPr>
        <w:tc>
          <w:tcPr>
            <w:cnfStyle w:val="001000000000"/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DE0" w:rsidRPr="00265BD7" w:rsidRDefault="00C57DE0" w:rsidP="00DC073E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PM 2.5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PM 10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TSP</w:t>
            </w:r>
          </w:p>
        </w:tc>
        <w:tc>
          <w:tcPr>
            <w:tcW w:w="287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DE0" w:rsidRPr="000B30C6" w:rsidTr="00DC073E">
        <w:trPr>
          <w:cnfStyle w:val="000000100000"/>
          <w:trHeight w:val="205"/>
        </w:trPr>
        <w:tc>
          <w:tcPr>
            <w:cnfStyle w:val="001000000000"/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7DE0" w:rsidRPr="00265BD7" w:rsidRDefault="00C57DE0" w:rsidP="00DC073E">
            <w:pPr>
              <w:tabs>
                <w:tab w:val="left" w:pos="1290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5B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0-50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0.0 – 12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0.0 – 54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0 – 104</w:t>
            </w: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</w:tr>
      <w:tr w:rsidR="00C57DE0" w:rsidRPr="000B30C6" w:rsidTr="00DC073E">
        <w:trPr>
          <w:trHeight w:val="179"/>
        </w:trPr>
        <w:tc>
          <w:tcPr>
            <w:cnfStyle w:val="001000000000"/>
            <w:tcW w:w="2268" w:type="dxa"/>
            <w:shd w:val="clear" w:color="auto" w:fill="FFFFFF" w:themeFill="background1"/>
          </w:tcPr>
          <w:p w:rsidR="00C57DE0" w:rsidRPr="00265BD7" w:rsidRDefault="00C57DE0" w:rsidP="00DC073E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5B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51-100</w:t>
            </w:r>
          </w:p>
        </w:tc>
        <w:tc>
          <w:tcPr>
            <w:tcW w:w="1632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12.1 – 35.4</w:t>
            </w:r>
          </w:p>
        </w:tc>
        <w:tc>
          <w:tcPr>
            <w:tcW w:w="1530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55 – 154</w:t>
            </w:r>
          </w:p>
        </w:tc>
        <w:tc>
          <w:tcPr>
            <w:tcW w:w="1326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105 – 264</w:t>
            </w:r>
          </w:p>
        </w:tc>
        <w:tc>
          <w:tcPr>
            <w:tcW w:w="2874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Marginal (moderate)</w:t>
            </w:r>
          </w:p>
        </w:tc>
      </w:tr>
      <w:tr w:rsidR="00C57DE0" w:rsidRPr="000B30C6" w:rsidTr="00DC073E">
        <w:trPr>
          <w:cnfStyle w:val="000000100000"/>
          <w:trHeight w:val="192"/>
        </w:trPr>
        <w:tc>
          <w:tcPr>
            <w:cnfStyle w:val="001000000000"/>
            <w:tcW w:w="2268" w:type="dxa"/>
            <w:shd w:val="clear" w:color="auto" w:fill="FFFFFF" w:themeFill="background1"/>
          </w:tcPr>
          <w:p w:rsidR="00C57DE0" w:rsidRPr="00265BD7" w:rsidRDefault="00C57DE0" w:rsidP="00DC073E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5B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101-150</w:t>
            </w:r>
          </w:p>
        </w:tc>
        <w:tc>
          <w:tcPr>
            <w:tcW w:w="1632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35.5 – 55.4</w:t>
            </w:r>
          </w:p>
        </w:tc>
        <w:tc>
          <w:tcPr>
            <w:tcW w:w="1530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155 – 254</w:t>
            </w:r>
          </w:p>
        </w:tc>
        <w:tc>
          <w:tcPr>
            <w:tcW w:w="1326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265 – 364</w:t>
            </w:r>
          </w:p>
        </w:tc>
        <w:tc>
          <w:tcPr>
            <w:tcW w:w="2874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Unhealthy for sensitive</w:t>
            </w:r>
          </w:p>
        </w:tc>
      </w:tr>
      <w:tr w:rsidR="00C57DE0" w:rsidRPr="000B30C6" w:rsidTr="00DC073E">
        <w:trPr>
          <w:trHeight w:val="205"/>
        </w:trPr>
        <w:tc>
          <w:tcPr>
            <w:cnfStyle w:val="001000000000"/>
            <w:tcW w:w="2268" w:type="dxa"/>
            <w:shd w:val="clear" w:color="auto" w:fill="FFFFFF" w:themeFill="background1"/>
          </w:tcPr>
          <w:p w:rsidR="00C57DE0" w:rsidRPr="00265BD7" w:rsidRDefault="00C57DE0" w:rsidP="00DC073E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5B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151-200</w:t>
            </w:r>
          </w:p>
        </w:tc>
        <w:tc>
          <w:tcPr>
            <w:tcW w:w="1632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55.5 – 150.4</w:t>
            </w:r>
          </w:p>
        </w:tc>
        <w:tc>
          <w:tcPr>
            <w:tcW w:w="1530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255 – 354</w:t>
            </w:r>
          </w:p>
        </w:tc>
        <w:tc>
          <w:tcPr>
            <w:tcW w:w="1326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365 – 464</w:t>
            </w:r>
          </w:p>
        </w:tc>
        <w:tc>
          <w:tcPr>
            <w:tcW w:w="2874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Poor (unhealthy)</w:t>
            </w:r>
          </w:p>
        </w:tc>
      </w:tr>
      <w:tr w:rsidR="00C57DE0" w:rsidRPr="000B30C6" w:rsidTr="00DC073E">
        <w:trPr>
          <w:cnfStyle w:val="000000100000"/>
          <w:trHeight w:val="179"/>
        </w:trPr>
        <w:tc>
          <w:tcPr>
            <w:cnfStyle w:val="001000000000"/>
            <w:tcW w:w="2268" w:type="dxa"/>
            <w:shd w:val="clear" w:color="auto" w:fill="FFFFFF" w:themeFill="background1"/>
          </w:tcPr>
          <w:p w:rsidR="00C57DE0" w:rsidRPr="00265BD7" w:rsidRDefault="00C57DE0" w:rsidP="00DC073E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5B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201-300</w:t>
            </w:r>
          </w:p>
        </w:tc>
        <w:tc>
          <w:tcPr>
            <w:tcW w:w="1632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150.5 – 250.4</w:t>
            </w:r>
          </w:p>
        </w:tc>
        <w:tc>
          <w:tcPr>
            <w:tcW w:w="1530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355 – 424</w:t>
            </w:r>
          </w:p>
        </w:tc>
        <w:tc>
          <w:tcPr>
            <w:tcW w:w="1326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465 – 524</w:t>
            </w:r>
          </w:p>
        </w:tc>
        <w:tc>
          <w:tcPr>
            <w:tcW w:w="2874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Very poor (very unhealthy)</w:t>
            </w:r>
          </w:p>
        </w:tc>
      </w:tr>
      <w:tr w:rsidR="00C57DE0" w:rsidRPr="000B30C6" w:rsidTr="00DC073E">
        <w:trPr>
          <w:trHeight w:val="205"/>
        </w:trPr>
        <w:tc>
          <w:tcPr>
            <w:cnfStyle w:val="001000000000"/>
            <w:tcW w:w="2268" w:type="dxa"/>
            <w:shd w:val="clear" w:color="auto" w:fill="FFFFFF" w:themeFill="background1"/>
          </w:tcPr>
          <w:p w:rsidR="00C57DE0" w:rsidRPr="00265BD7" w:rsidRDefault="00C57DE0" w:rsidP="00DC073E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5B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301-400</w:t>
            </w:r>
          </w:p>
        </w:tc>
        <w:tc>
          <w:tcPr>
            <w:tcW w:w="1632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250.5 – 350.4</w:t>
            </w:r>
          </w:p>
        </w:tc>
        <w:tc>
          <w:tcPr>
            <w:tcW w:w="1530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425 – 504</w:t>
            </w:r>
          </w:p>
        </w:tc>
        <w:tc>
          <w:tcPr>
            <w:tcW w:w="1326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525 – 604</w:t>
            </w:r>
          </w:p>
        </w:tc>
        <w:tc>
          <w:tcPr>
            <w:tcW w:w="2874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Hazardous</w:t>
            </w:r>
          </w:p>
        </w:tc>
      </w:tr>
      <w:tr w:rsidR="00C57DE0" w:rsidRPr="000B30C6" w:rsidTr="00DC073E">
        <w:trPr>
          <w:cnfStyle w:val="000000100000"/>
          <w:trHeight w:val="193"/>
        </w:trPr>
        <w:tc>
          <w:tcPr>
            <w:cnfStyle w:val="001000000000"/>
            <w:tcW w:w="2268" w:type="dxa"/>
            <w:shd w:val="clear" w:color="auto" w:fill="FFFFFF" w:themeFill="background1"/>
          </w:tcPr>
          <w:p w:rsidR="00C57DE0" w:rsidRPr="00265BD7" w:rsidRDefault="00C57DE0" w:rsidP="00DC073E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5B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401-500</w:t>
            </w:r>
          </w:p>
        </w:tc>
        <w:tc>
          <w:tcPr>
            <w:tcW w:w="1632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350.5 – 500</w:t>
            </w:r>
          </w:p>
        </w:tc>
        <w:tc>
          <w:tcPr>
            <w:tcW w:w="1530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505 – 604</w:t>
            </w:r>
          </w:p>
        </w:tc>
        <w:tc>
          <w:tcPr>
            <w:tcW w:w="1326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605 – 704</w:t>
            </w:r>
          </w:p>
        </w:tc>
        <w:tc>
          <w:tcPr>
            <w:tcW w:w="2874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Very Hazardous</w:t>
            </w:r>
          </w:p>
        </w:tc>
      </w:tr>
      <w:tr w:rsidR="00C57DE0" w:rsidRPr="000B30C6" w:rsidTr="00DC073E">
        <w:trPr>
          <w:trHeight w:val="205"/>
        </w:trPr>
        <w:tc>
          <w:tcPr>
            <w:cnfStyle w:val="001000000000"/>
            <w:tcW w:w="2268" w:type="dxa"/>
            <w:shd w:val="clear" w:color="auto" w:fill="FFFFFF" w:themeFill="background1"/>
          </w:tcPr>
          <w:p w:rsidR="00C57DE0" w:rsidRPr="00265BD7" w:rsidRDefault="00C57DE0" w:rsidP="00DC073E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5B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&gt;500</w:t>
            </w:r>
          </w:p>
        </w:tc>
        <w:tc>
          <w:tcPr>
            <w:tcW w:w="1632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&gt;500</w:t>
            </w:r>
          </w:p>
        </w:tc>
        <w:tc>
          <w:tcPr>
            <w:tcW w:w="1530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&gt;604</w:t>
            </w:r>
          </w:p>
        </w:tc>
        <w:tc>
          <w:tcPr>
            <w:tcW w:w="1326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&gt; 704</w:t>
            </w:r>
          </w:p>
        </w:tc>
        <w:tc>
          <w:tcPr>
            <w:tcW w:w="2874" w:type="dxa"/>
            <w:shd w:val="clear" w:color="auto" w:fill="FFFFFF" w:themeFill="background1"/>
          </w:tcPr>
          <w:p w:rsidR="00C57DE0" w:rsidRPr="000B30C6" w:rsidRDefault="00C57DE0" w:rsidP="00DC073E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Very Critical</w:t>
            </w:r>
          </w:p>
        </w:tc>
      </w:tr>
      <w:tr w:rsidR="00C57DE0" w:rsidRPr="000B30C6" w:rsidTr="00DC073E">
        <w:trPr>
          <w:cnfStyle w:val="000000100000"/>
          <w:trHeight w:val="226"/>
        </w:trPr>
        <w:tc>
          <w:tcPr>
            <w:cnfStyle w:val="001000000000"/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DE0" w:rsidRPr="00265BD7" w:rsidRDefault="00C57DE0" w:rsidP="00DC073E"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65B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US-EPA Standard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30C6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DE0" w:rsidRPr="000B30C6" w:rsidRDefault="00C57DE0" w:rsidP="00DC073E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DE0" w:rsidRDefault="00C57DE0" w:rsidP="00C57DE0">
      <w:pPr>
        <w:jc w:val="righ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US EPA</w:t>
      </w:r>
      <w:r w:rsidRPr="00265BD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(</w:t>
      </w:r>
      <w:r w:rsidRPr="00265BD7">
        <w:rPr>
          <w:rFonts w:ascii="Times New Roman" w:hAnsi="Times New Roman"/>
          <w:sz w:val="24"/>
          <w:szCs w:val="24"/>
          <w:lang w:val="fr-FR"/>
        </w:rPr>
        <w:t>2012</w:t>
      </w:r>
      <w:r>
        <w:rPr>
          <w:rFonts w:ascii="Times New Roman" w:hAnsi="Times New Roman"/>
          <w:sz w:val="24"/>
          <w:szCs w:val="24"/>
          <w:lang w:val="fr-FR"/>
        </w:rPr>
        <w:t xml:space="preserve">) ;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Gurjur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et al.</w:t>
      </w:r>
      <w:r>
        <w:rPr>
          <w:rFonts w:ascii="Times New Roman" w:hAnsi="Times New Roman"/>
          <w:sz w:val="24"/>
          <w:szCs w:val="24"/>
          <w:lang w:val="fr-FR"/>
        </w:rPr>
        <w:t xml:space="preserve"> (2008)</w:t>
      </w:r>
    </w:p>
    <w:p w:rsidR="0070081D" w:rsidRDefault="0070081D" w:rsidP="00C57DE0">
      <w:pPr>
        <w:jc w:val="right"/>
        <w:rPr>
          <w:rFonts w:ascii="Times New Roman" w:hAnsi="Times New Roman"/>
          <w:sz w:val="24"/>
          <w:szCs w:val="24"/>
          <w:lang w:val="fr-FR"/>
        </w:rPr>
      </w:pPr>
    </w:p>
    <w:p w:rsidR="0070081D" w:rsidRDefault="0070081D" w:rsidP="00C57DE0">
      <w:pPr>
        <w:jc w:val="right"/>
        <w:rPr>
          <w:rFonts w:ascii="Times New Roman" w:hAnsi="Times New Roman"/>
          <w:sz w:val="24"/>
          <w:szCs w:val="24"/>
          <w:lang w:val="fr-FR"/>
        </w:rPr>
      </w:pPr>
    </w:p>
    <w:p w:rsidR="0070081D" w:rsidRPr="00265BD7" w:rsidRDefault="0070081D" w:rsidP="00C57DE0">
      <w:pPr>
        <w:jc w:val="right"/>
        <w:rPr>
          <w:rFonts w:ascii="Times New Roman" w:hAnsi="Times New Roman"/>
          <w:sz w:val="24"/>
          <w:szCs w:val="24"/>
          <w:lang w:val="fr-FR"/>
        </w:rPr>
      </w:pPr>
    </w:p>
    <w:p w:rsidR="00C57DE0" w:rsidRPr="0070081D" w:rsidRDefault="0070081D" w:rsidP="00C57DE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0081D">
        <w:rPr>
          <w:rFonts w:ascii="Times New Roman" w:hAnsi="Times New Roman"/>
          <w:b/>
          <w:sz w:val="24"/>
          <w:szCs w:val="24"/>
        </w:rPr>
        <w:t>References</w:t>
      </w:r>
    </w:p>
    <w:p w:rsidR="0070081D" w:rsidRDefault="0070081D" w:rsidP="0070081D">
      <w:pPr>
        <w:shd w:val="clear" w:color="auto" w:fill="FFFFFF"/>
        <w:rPr>
          <w:rFonts w:eastAsia="Times New Roman"/>
          <w:color w:val="000000" w:themeColor="text1"/>
          <w:sz w:val="22"/>
        </w:rPr>
      </w:pPr>
      <w:proofErr w:type="spellStart"/>
      <w:proofErr w:type="gramStart"/>
      <w:r w:rsidRPr="003E0BA9">
        <w:rPr>
          <w:rFonts w:eastAsia="Times New Roman"/>
          <w:color w:val="000000" w:themeColor="text1"/>
          <w:sz w:val="22"/>
        </w:rPr>
        <w:t>Askarova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MA and </w:t>
      </w:r>
      <w:proofErr w:type="spellStart"/>
      <w:r w:rsidRPr="003E0BA9">
        <w:rPr>
          <w:rFonts w:eastAsia="Times New Roman"/>
          <w:color w:val="000000" w:themeColor="text1"/>
          <w:sz w:val="22"/>
        </w:rPr>
        <w:t>Mussagaliyeva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AN. 2014.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</w:t>
      </w:r>
      <w:proofErr w:type="gramStart"/>
      <w:r w:rsidRPr="003E0BA9">
        <w:rPr>
          <w:rFonts w:eastAsia="Times New Roman"/>
          <w:color w:val="000000" w:themeColor="text1"/>
          <w:sz w:val="22"/>
        </w:rPr>
        <w:t xml:space="preserve">The ecological situation in contaminated areas of oil and gas exploration in </w:t>
      </w:r>
      <w:proofErr w:type="spellStart"/>
      <w:r w:rsidRPr="003E0BA9">
        <w:rPr>
          <w:rFonts w:eastAsia="Times New Roman"/>
          <w:color w:val="000000" w:themeColor="text1"/>
          <w:sz w:val="22"/>
        </w:rPr>
        <w:t>Atyrau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Region.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</w:t>
      </w:r>
      <w:proofErr w:type="spellStart"/>
      <w:r w:rsidRPr="003E0BA9">
        <w:rPr>
          <w:rFonts w:eastAsia="Times New Roman"/>
          <w:color w:val="000000" w:themeColor="text1"/>
          <w:sz w:val="22"/>
        </w:rPr>
        <w:t>Procedia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Soc and </w:t>
      </w:r>
      <w:proofErr w:type="spellStart"/>
      <w:r w:rsidRPr="003E0BA9">
        <w:rPr>
          <w:rFonts w:eastAsia="Times New Roman"/>
          <w:color w:val="000000" w:themeColor="text1"/>
          <w:sz w:val="22"/>
        </w:rPr>
        <w:t>Behav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</w:t>
      </w:r>
      <w:proofErr w:type="spellStart"/>
      <w:r w:rsidRPr="003E0BA9">
        <w:rPr>
          <w:rFonts w:eastAsia="Times New Roman"/>
          <w:color w:val="000000" w:themeColor="text1"/>
          <w:sz w:val="22"/>
        </w:rPr>
        <w:t>Sci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120: 455–459. </w:t>
      </w:r>
    </w:p>
    <w:p w:rsidR="0070081D" w:rsidRDefault="0070081D" w:rsidP="0070081D">
      <w:pPr>
        <w:shd w:val="clear" w:color="auto" w:fill="FFFFFF"/>
        <w:rPr>
          <w:rFonts w:eastAsia="Times New Roman"/>
          <w:color w:val="000000" w:themeColor="text1"/>
          <w:sz w:val="22"/>
        </w:rPr>
      </w:pPr>
      <w:r w:rsidRPr="003E0BA9">
        <w:rPr>
          <w:rFonts w:eastAsia="Times New Roman"/>
          <w:color w:val="000000" w:themeColor="text1"/>
          <w:sz w:val="22"/>
        </w:rPr>
        <w:t xml:space="preserve">Chen H, </w:t>
      </w:r>
      <w:proofErr w:type="spellStart"/>
      <w:r w:rsidRPr="003E0BA9">
        <w:rPr>
          <w:rFonts w:eastAsia="Times New Roman"/>
          <w:color w:val="000000" w:themeColor="text1"/>
          <w:sz w:val="22"/>
        </w:rPr>
        <w:t>Teng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Y, Lu S, Wang Y, Wang J. 2015. Contamination features and health risk of soil heavy metals in China. </w:t>
      </w:r>
      <w:proofErr w:type="spellStart"/>
      <w:r w:rsidRPr="003E0BA9">
        <w:rPr>
          <w:rFonts w:eastAsia="Times New Roman"/>
          <w:color w:val="000000" w:themeColor="text1"/>
          <w:sz w:val="22"/>
        </w:rPr>
        <w:t>Sci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</w:t>
      </w:r>
      <w:proofErr w:type="spellStart"/>
      <w:r w:rsidRPr="003E0BA9">
        <w:rPr>
          <w:rFonts w:eastAsia="Times New Roman"/>
          <w:color w:val="000000" w:themeColor="text1"/>
          <w:sz w:val="22"/>
        </w:rPr>
        <w:t>Tota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Environ 512:143–153. </w:t>
      </w:r>
    </w:p>
    <w:p w:rsidR="0070081D" w:rsidRDefault="0070081D" w:rsidP="0070081D">
      <w:pPr>
        <w:shd w:val="clear" w:color="auto" w:fill="FFFFFF"/>
        <w:rPr>
          <w:rFonts w:eastAsia="Times New Roman"/>
          <w:color w:val="000000" w:themeColor="text1"/>
          <w:sz w:val="22"/>
        </w:rPr>
      </w:pPr>
      <w:r w:rsidRPr="003E0BA9">
        <w:rPr>
          <w:rFonts w:eastAsia="Times New Roman"/>
          <w:color w:val="000000" w:themeColor="text1"/>
          <w:sz w:val="22"/>
        </w:rPr>
        <w:t>Ferreira-</w:t>
      </w:r>
      <w:proofErr w:type="spellStart"/>
      <w:r w:rsidRPr="003E0BA9">
        <w:rPr>
          <w:rFonts w:eastAsia="Times New Roman"/>
          <w:color w:val="000000" w:themeColor="text1"/>
          <w:sz w:val="22"/>
        </w:rPr>
        <w:t>Baptista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L, De-Miguel E. 2005. Geochemistry and risk assessment of street dust in Luanda, Angola: a tropical urban environment. </w:t>
      </w:r>
      <w:proofErr w:type="spellStart"/>
      <w:r w:rsidRPr="003E0BA9">
        <w:rPr>
          <w:rFonts w:eastAsia="Times New Roman"/>
          <w:color w:val="000000" w:themeColor="text1"/>
          <w:sz w:val="22"/>
        </w:rPr>
        <w:t>Atmos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Environ. 39: 4501–4512</w:t>
      </w:r>
    </w:p>
    <w:p w:rsidR="0070081D" w:rsidRDefault="0070081D" w:rsidP="0070081D">
      <w:pPr>
        <w:shd w:val="clear" w:color="auto" w:fill="FFFFFF"/>
        <w:rPr>
          <w:rFonts w:eastAsia="Times New Roman"/>
          <w:color w:val="000000" w:themeColor="text1"/>
          <w:sz w:val="22"/>
        </w:rPr>
      </w:pPr>
      <w:proofErr w:type="spellStart"/>
      <w:proofErr w:type="gramStart"/>
      <w:r w:rsidRPr="003E0BA9">
        <w:rPr>
          <w:rFonts w:eastAsia="Times New Roman"/>
          <w:color w:val="000000" w:themeColor="text1"/>
          <w:sz w:val="22"/>
        </w:rPr>
        <w:t>Gurjar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BR, Butler TM, Lawrence MJ, </w:t>
      </w:r>
      <w:proofErr w:type="spellStart"/>
      <w:r w:rsidRPr="003E0BA9">
        <w:rPr>
          <w:rFonts w:eastAsia="Times New Roman"/>
          <w:color w:val="000000" w:themeColor="text1"/>
          <w:sz w:val="22"/>
        </w:rPr>
        <w:t>Lelieveld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J. 2008.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</w:t>
      </w:r>
      <w:proofErr w:type="gramStart"/>
      <w:r w:rsidRPr="003E0BA9">
        <w:rPr>
          <w:rFonts w:eastAsia="Times New Roman"/>
          <w:color w:val="000000" w:themeColor="text1"/>
          <w:sz w:val="22"/>
        </w:rPr>
        <w:t>Evaluation of emissions and air quality in megacities.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</w:t>
      </w:r>
      <w:proofErr w:type="spellStart"/>
      <w:r w:rsidRPr="003E0BA9">
        <w:rPr>
          <w:rFonts w:eastAsia="Times New Roman"/>
          <w:color w:val="000000" w:themeColor="text1"/>
          <w:sz w:val="22"/>
        </w:rPr>
        <w:t>Atmos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J 42:1593–1606. </w:t>
      </w:r>
    </w:p>
    <w:p w:rsidR="0070081D" w:rsidRDefault="0070081D" w:rsidP="0070081D">
      <w:pPr>
        <w:shd w:val="clear" w:color="auto" w:fill="FFFFFF"/>
        <w:rPr>
          <w:rFonts w:eastAsia="Times New Roman"/>
          <w:color w:val="000000" w:themeColor="text1"/>
          <w:sz w:val="22"/>
        </w:rPr>
      </w:pPr>
      <w:proofErr w:type="spellStart"/>
      <w:proofErr w:type="gramStart"/>
      <w:r w:rsidRPr="003E0BA9">
        <w:rPr>
          <w:rFonts w:eastAsia="Times New Roman"/>
          <w:color w:val="000000" w:themeColor="text1"/>
          <w:sz w:val="22"/>
        </w:rPr>
        <w:t>Harikumar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P, </w:t>
      </w:r>
      <w:proofErr w:type="spellStart"/>
      <w:r w:rsidRPr="003E0BA9">
        <w:rPr>
          <w:rFonts w:eastAsia="Times New Roman"/>
          <w:color w:val="000000" w:themeColor="text1"/>
          <w:sz w:val="22"/>
        </w:rPr>
        <w:t>Nasir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U and </w:t>
      </w:r>
      <w:proofErr w:type="spellStart"/>
      <w:r w:rsidRPr="003E0BA9">
        <w:rPr>
          <w:rFonts w:eastAsia="Times New Roman"/>
          <w:color w:val="000000" w:themeColor="text1"/>
          <w:sz w:val="22"/>
        </w:rPr>
        <w:t>Rahman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MM. 2009.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</w:t>
      </w:r>
      <w:proofErr w:type="gramStart"/>
      <w:r w:rsidRPr="003E0BA9">
        <w:rPr>
          <w:rFonts w:eastAsia="Times New Roman"/>
          <w:color w:val="000000" w:themeColor="text1"/>
          <w:sz w:val="22"/>
        </w:rPr>
        <w:t>Distribution of heavy metals in the core sediments of a tropical wetland system.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</w:t>
      </w:r>
      <w:proofErr w:type="spellStart"/>
      <w:r w:rsidRPr="003E0BA9">
        <w:rPr>
          <w:rFonts w:eastAsia="Times New Roman"/>
          <w:color w:val="000000" w:themeColor="text1"/>
          <w:sz w:val="22"/>
        </w:rPr>
        <w:t>Int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J Environ </w:t>
      </w:r>
      <w:proofErr w:type="spellStart"/>
      <w:r w:rsidRPr="003E0BA9">
        <w:rPr>
          <w:rFonts w:eastAsia="Times New Roman"/>
          <w:color w:val="000000" w:themeColor="text1"/>
          <w:sz w:val="22"/>
        </w:rPr>
        <w:t>Sci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</w:t>
      </w:r>
      <w:proofErr w:type="spellStart"/>
      <w:r w:rsidRPr="003E0BA9">
        <w:rPr>
          <w:rFonts w:eastAsia="Times New Roman"/>
          <w:color w:val="000000" w:themeColor="text1"/>
          <w:sz w:val="22"/>
        </w:rPr>
        <w:t>Technol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6(2): 225–232. </w:t>
      </w:r>
    </w:p>
    <w:p w:rsidR="0070081D" w:rsidRDefault="0070081D" w:rsidP="0070081D">
      <w:pPr>
        <w:shd w:val="clear" w:color="auto" w:fill="FFFFFF"/>
        <w:rPr>
          <w:rFonts w:eastAsia="Times New Roman"/>
          <w:color w:val="000000" w:themeColor="text1"/>
          <w:sz w:val="22"/>
        </w:rPr>
      </w:pPr>
      <w:proofErr w:type="gramStart"/>
      <w:r w:rsidRPr="003E0BA9">
        <w:rPr>
          <w:rFonts w:eastAsia="Times New Roman"/>
          <w:color w:val="000000" w:themeColor="text1"/>
          <w:sz w:val="22"/>
        </w:rPr>
        <w:t>HC.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2004. Federal contaminated site risk assessment in Canada-Part II: Health Canada toxicological reference values (TRVs) and chemical-specific factors. Ottawa, Canada: HC </w:t>
      </w:r>
      <w:proofErr w:type="spellStart"/>
      <w:r w:rsidRPr="003E0BA9">
        <w:rPr>
          <w:rFonts w:eastAsia="Times New Roman"/>
          <w:color w:val="000000" w:themeColor="text1"/>
          <w:sz w:val="22"/>
        </w:rPr>
        <w:t>Hussain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R, </w:t>
      </w:r>
      <w:proofErr w:type="spellStart"/>
      <w:r w:rsidRPr="003E0BA9">
        <w:rPr>
          <w:rFonts w:eastAsia="Times New Roman"/>
          <w:color w:val="000000" w:themeColor="text1"/>
          <w:sz w:val="22"/>
        </w:rPr>
        <w:t>Khattak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SA, Shah MT, Ali L. 2015. </w:t>
      </w:r>
      <w:proofErr w:type="spellStart"/>
      <w:r w:rsidRPr="003E0BA9">
        <w:rPr>
          <w:rFonts w:eastAsia="Times New Roman"/>
          <w:color w:val="000000" w:themeColor="text1"/>
          <w:sz w:val="22"/>
        </w:rPr>
        <w:t>Multistatistical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approaches for environmental geochemical assessment of pollutants in soils of </w:t>
      </w:r>
      <w:proofErr w:type="spellStart"/>
      <w:r w:rsidRPr="003E0BA9">
        <w:rPr>
          <w:rFonts w:eastAsia="Times New Roman"/>
          <w:color w:val="000000" w:themeColor="text1"/>
          <w:sz w:val="22"/>
        </w:rPr>
        <w:t>gadoonamazai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industrial estate, Pakistan. J Soils </w:t>
      </w:r>
      <w:proofErr w:type="spellStart"/>
      <w:r w:rsidRPr="003E0BA9">
        <w:rPr>
          <w:rFonts w:eastAsia="Times New Roman"/>
          <w:color w:val="000000" w:themeColor="text1"/>
          <w:sz w:val="22"/>
        </w:rPr>
        <w:t>Sedi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15(5): 1119-1129. </w:t>
      </w:r>
    </w:p>
    <w:p w:rsidR="0070081D" w:rsidRDefault="0070081D" w:rsidP="0070081D">
      <w:pPr>
        <w:shd w:val="clear" w:color="auto" w:fill="FFFFFF"/>
        <w:rPr>
          <w:rFonts w:eastAsia="Times New Roman"/>
          <w:color w:val="000000" w:themeColor="text1"/>
          <w:sz w:val="22"/>
        </w:rPr>
      </w:pPr>
      <w:proofErr w:type="spellStart"/>
      <w:r w:rsidRPr="003E0BA9">
        <w:rPr>
          <w:rFonts w:eastAsia="Times New Roman"/>
          <w:color w:val="000000" w:themeColor="text1"/>
          <w:sz w:val="22"/>
        </w:rPr>
        <w:t>Kelepertzis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E. 2014. </w:t>
      </w:r>
      <w:proofErr w:type="gramStart"/>
      <w:r w:rsidRPr="003E0BA9">
        <w:rPr>
          <w:rFonts w:eastAsia="Times New Roman"/>
          <w:color w:val="000000" w:themeColor="text1"/>
          <w:sz w:val="22"/>
        </w:rPr>
        <w:t xml:space="preserve">Investigating the sources and potential health risks of environmental contaminants in the soils and drinking waters from the rural clusters in </w:t>
      </w:r>
      <w:proofErr w:type="spellStart"/>
      <w:r w:rsidRPr="003E0BA9">
        <w:rPr>
          <w:rFonts w:eastAsia="Times New Roman"/>
          <w:color w:val="000000" w:themeColor="text1"/>
          <w:sz w:val="22"/>
        </w:rPr>
        <w:t>Thiva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area (Greece).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</w:t>
      </w:r>
      <w:proofErr w:type="spellStart"/>
      <w:r w:rsidRPr="003E0BA9">
        <w:rPr>
          <w:rFonts w:eastAsia="Times New Roman"/>
          <w:color w:val="000000" w:themeColor="text1"/>
          <w:sz w:val="22"/>
        </w:rPr>
        <w:t>Ecotox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Environ Safe 100: 258–265. </w:t>
      </w:r>
    </w:p>
    <w:p w:rsidR="0070081D" w:rsidRDefault="0070081D" w:rsidP="0070081D">
      <w:pPr>
        <w:shd w:val="clear" w:color="auto" w:fill="FFFFFF"/>
        <w:rPr>
          <w:rFonts w:eastAsia="Times New Roman"/>
          <w:color w:val="000000" w:themeColor="text1"/>
          <w:sz w:val="22"/>
        </w:rPr>
      </w:pPr>
      <w:proofErr w:type="gramStart"/>
      <w:r w:rsidRPr="003E0BA9">
        <w:rPr>
          <w:rFonts w:eastAsia="Times New Roman"/>
          <w:color w:val="000000" w:themeColor="text1"/>
          <w:sz w:val="22"/>
        </w:rPr>
        <w:t>Lu X, Zhang X, Li LY &amp; Chen H. 2014.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</w:t>
      </w:r>
      <w:proofErr w:type="gramStart"/>
      <w:r w:rsidRPr="003E0BA9">
        <w:rPr>
          <w:rFonts w:eastAsia="Times New Roman"/>
          <w:color w:val="000000" w:themeColor="text1"/>
          <w:sz w:val="22"/>
        </w:rPr>
        <w:t>Assessment of metals pollution and health risk in dust from nursery schools in Xi’an, China.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Environ Res, 128: 27–34. </w:t>
      </w:r>
    </w:p>
    <w:p w:rsidR="0070081D" w:rsidRDefault="0070081D" w:rsidP="0070081D">
      <w:pPr>
        <w:shd w:val="clear" w:color="auto" w:fill="FFFFFF"/>
        <w:rPr>
          <w:rFonts w:eastAsia="Times New Roman"/>
          <w:color w:val="000000" w:themeColor="text1"/>
          <w:sz w:val="22"/>
        </w:rPr>
      </w:pPr>
      <w:r w:rsidRPr="003E0BA9">
        <w:rPr>
          <w:rFonts w:eastAsia="Times New Roman"/>
          <w:color w:val="000000" w:themeColor="text1"/>
          <w:sz w:val="22"/>
        </w:rPr>
        <w:t xml:space="preserve">Martin </w:t>
      </w:r>
      <w:proofErr w:type="gramStart"/>
      <w:r w:rsidRPr="003E0BA9">
        <w:rPr>
          <w:rFonts w:eastAsia="Times New Roman"/>
          <w:color w:val="000000" w:themeColor="text1"/>
          <w:sz w:val="22"/>
        </w:rPr>
        <w:t>J,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and </w:t>
      </w:r>
      <w:proofErr w:type="spellStart"/>
      <w:r w:rsidRPr="003E0BA9">
        <w:rPr>
          <w:rFonts w:eastAsia="Times New Roman"/>
          <w:color w:val="000000" w:themeColor="text1"/>
          <w:sz w:val="22"/>
        </w:rPr>
        <w:t>Meybeck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M. 1979. </w:t>
      </w:r>
      <w:proofErr w:type="gramStart"/>
      <w:r w:rsidRPr="003E0BA9">
        <w:rPr>
          <w:rFonts w:eastAsia="Times New Roman"/>
          <w:color w:val="000000" w:themeColor="text1"/>
          <w:sz w:val="22"/>
        </w:rPr>
        <w:t>Elemental Mass-Balance of Material Carried by Major World R</w:t>
      </w:r>
      <w:r>
        <w:rPr>
          <w:rFonts w:eastAsia="Times New Roman"/>
          <w:color w:val="000000" w:themeColor="text1"/>
          <w:sz w:val="22"/>
        </w:rPr>
        <w:t>i</w:t>
      </w:r>
      <w:r w:rsidRPr="003E0BA9">
        <w:rPr>
          <w:rFonts w:eastAsia="Times New Roman"/>
          <w:color w:val="000000" w:themeColor="text1"/>
          <w:sz w:val="22"/>
        </w:rPr>
        <w:t>vers.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Marine </w:t>
      </w:r>
      <w:proofErr w:type="spellStart"/>
      <w:r w:rsidRPr="003E0BA9">
        <w:rPr>
          <w:rFonts w:eastAsia="Times New Roman"/>
          <w:color w:val="000000" w:themeColor="text1"/>
          <w:sz w:val="22"/>
        </w:rPr>
        <w:t>Chem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7(3):178-206. </w:t>
      </w:r>
      <w:proofErr w:type="gramStart"/>
      <w:r w:rsidRPr="003E0BA9">
        <w:rPr>
          <w:rFonts w:eastAsia="Times New Roman"/>
          <w:color w:val="000000" w:themeColor="text1"/>
          <w:sz w:val="22"/>
        </w:rPr>
        <w:t>doi: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10.1016/0304-4203(79)90039-2 </w:t>
      </w:r>
    </w:p>
    <w:p w:rsidR="0070081D" w:rsidRDefault="0070081D" w:rsidP="0070081D">
      <w:pPr>
        <w:shd w:val="clear" w:color="auto" w:fill="FFFFFF"/>
        <w:rPr>
          <w:rFonts w:eastAsia="Times New Roman"/>
          <w:color w:val="000000" w:themeColor="text1"/>
          <w:sz w:val="22"/>
        </w:rPr>
      </w:pPr>
      <w:r w:rsidRPr="003E0BA9">
        <w:rPr>
          <w:rFonts w:eastAsia="Times New Roman"/>
          <w:color w:val="000000" w:themeColor="text1"/>
          <w:sz w:val="22"/>
        </w:rPr>
        <w:t xml:space="preserve">Muller G, 1969. </w:t>
      </w:r>
      <w:proofErr w:type="gramStart"/>
      <w:r w:rsidRPr="003E0BA9">
        <w:rPr>
          <w:rFonts w:eastAsia="Times New Roman"/>
          <w:color w:val="000000" w:themeColor="text1"/>
          <w:sz w:val="22"/>
        </w:rPr>
        <w:t>Index of geo-accumulation in sediments of the Rhine River.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J </w:t>
      </w:r>
      <w:proofErr w:type="spellStart"/>
      <w:r w:rsidRPr="003E0BA9">
        <w:rPr>
          <w:rFonts w:eastAsia="Times New Roman"/>
          <w:color w:val="000000" w:themeColor="text1"/>
          <w:sz w:val="22"/>
        </w:rPr>
        <w:t>Geochem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Exp 2:108–118</w:t>
      </w:r>
    </w:p>
    <w:p w:rsidR="0070081D" w:rsidRDefault="0070081D" w:rsidP="0070081D">
      <w:pPr>
        <w:shd w:val="clear" w:color="auto" w:fill="FFFFFF"/>
        <w:rPr>
          <w:rFonts w:eastAsia="Times New Roman"/>
          <w:color w:val="000000" w:themeColor="text1"/>
          <w:sz w:val="22"/>
        </w:rPr>
      </w:pPr>
      <w:proofErr w:type="gramStart"/>
      <w:r w:rsidRPr="003E0BA9">
        <w:rPr>
          <w:rFonts w:eastAsia="Times New Roman"/>
          <w:color w:val="000000" w:themeColor="text1"/>
          <w:sz w:val="22"/>
        </w:rPr>
        <w:t>US EPA.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2012. Revised air quality standards for particle pollution and updates to the air quality index (AQI). </w:t>
      </w:r>
      <w:proofErr w:type="gramStart"/>
      <w:r w:rsidRPr="003E0BA9">
        <w:rPr>
          <w:rFonts w:eastAsia="Times New Roman"/>
          <w:color w:val="000000" w:themeColor="text1"/>
          <w:sz w:val="22"/>
        </w:rPr>
        <w:t>Office of air quality planning and standards, EPA 454/R99-010 USDOE .2011.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</w:t>
      </w:r>
      <w:proofErr w:type="gramStart"/>
      <w:r w:rsidRPr="003E0BA9">
        <w:rPr>
          <w:rFonts w:eastAsia="Times New Roman"/>
          <w:color w:val="000000" w:themeColor="text1"/>
          <w:sz w:val="22"/>
        </w:rPr>
        <w:t>The risk assessment information system (RAIS).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U.S. Oak: Department of Energy’s Oak Ridge Operations Office (ORO). </w:t>
      </w:r>
    </w:p>
    <w:p w:rsidR="0070081D" w:rsidRDefault="0070081D" w:rsidP="0070081D">
      <w:pPr>
        <w:shd w:val="clear" w:color="auto" w:fill="FFFFFF"/>
        <w:rPr>
          <w:rFonts w:eastAsia="Times New Roman"/>
          <w:color w:val="000000" w:themeColor="text1"/>
          <w:sz w:val="22"/>
        </w:rPr>
      </w:pPr>
      <w:proofErr w:type="gramStart"/>
      <w:r w:rsidRPr="003E0BA9">
        <w:rPr>
          <w:rFonts w:eastAsia="Times New Roman"/>
          <w:color w:val="000000" w:themeColor="text1"/>
          <w:sz w:val="22"/>
        </w:rPr>
        <w:t>USEPA.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2002. Supplemental Guidance for Developing Soil Screening Levels for Superfund Sites. U.S. Environmental Protection Agency, Office of Emergency and Remedial Response, Washington </w:t>
      </w:r>
    </w:p>
    <w:p w:rsidR="0070081D" w:rsidRPr="003E0BA9" w:rsidRDefault="0070081D" w:rsidP="0070081D">
      <w:pPr>
        <w:shd w:val="clear" w:color="auto" w:fill="FFFFFF"/>
        <w:rPr>
          <w:rFonts w:eastAsia="Times New Roman"/>
          <w:color w:val="000000" w:themeColor="text1"/>
          <w:sz w:val="22"/>
        </w:rPr>
      </w:pPr>
      <w:proofErr w:type="spellStart"/>
      <w:r w:rsidRPr="003E0BA9">
        <w:rPr>
          <w:rFonts w:eastAsia="Times New Roman"/>
          <w:color w:val="000000" w:themeColor="text1"/>
          <w:sz w:val="22"/>
        </w:rPr>
        <w:t>Zheng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N, Liu J, Wang Q, Liang Z. 2010. </w:t>
      </w:r>
      <w:proofErr w:type="gramStart"/>
      <w:r w:rsidRPr="003E0BA9">
        <w:rPr>
          <w:rFonts w:eastAsia="Times New Roman"/>
          <w:color w:val="000000" w:themeColor="text1"/>
          <w:sz w:val="22"/>
        </w:rPr>
        <w:t>Health risk assessment of heavy metal exposure to street dust in the zinc smelting district, Northeast of China.</w:t>
      </w:r>
      <w:proofErr w:type="gramEnd"/>
      <w:r w:rsidRPr="003E0BA9">
        <w:rPr>
          <w:rFonts w:eastAsia="Times New Roman"/>
          <w:color w:val="000000" w:themeColor="text1"/>
          <w:sz w:val="22"/>
        </w:rPr>
        <w:t xml:space="preserve"> </w:t>
      </w:r>
      <w:proofErr w:type="spellStart"/>
      <w:r w:rsidRPr="003E0BA9">
        <w:rPr>
          <w:rFonts w:eastAsia="Times New Roman"/>
          <w:color w:val="000000" w:themeColor="text1"/>
          <w:sz w:val="22"/>
        </w:rPr>
        <w:t>Sci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</w:t>
      </w:r>
      <w:proofErr w:type="spellStart"/>
      <w:r w:rsidRPr="003E0BA9">
        <w:rPr>
          <w:rFonts w:eastAsia="Times New Roman"/>
          <w:color w:val="000000" w:themeColor="text1"/>
          <w:sz w:val="22"/>
        </w:rPr>
        <w:t>Tota</w:t>
      </w:r>
      <w:proofErr w:type="spellEnd"/>
      <w:r w:rsidRPr="003E0BA9">
        <w:rPr>
          <w:rFonts w:eastAsia="Times New Roman"/>
          <w:color w:val="000000" w:themeColor="text1"/>
          <w:sz w:val="22"/>
        </w:rPr>
        <w:t xml:space="preserve"> Environ 408(4): 726–733.</w:t>
      </w:r>
    </w:p>
    <w:p w:rsidR="0070081D" w:rsidRDefault="0070081D" w:rsidP="00C57DE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081D" w:rsidRDefault="0070081D" w:rsidP="00C57DE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1359" w:rsidRDefault="00771359" w:rsidP="0077135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1359" w:rsidRDefault="00771359" w:rsidP="0077135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1359" w:rsidRDefault="00771359" w:rsidP="00F154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1359" w:rsidRPr="00330E6A" w:rsidRDefault="00771359" w:rsidP="00330E6A">
      <w:pPr>
        <w:jc w:val="right"/>
      </w:pPr>
    </w:p>
    <w:sectPr w:rsidR="00771359" w:rsidRPr="00330E6A" w:rsidSect="00FD7F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0E6A"/>
    <w:rsid w:val="00007E86"/>
    <w:rsid w:val="000D40EA"/>
    <w:rsid w:val="000E6366"/>
    <w:rsid w:val="001378B3"/>
    <w:rsid w:val="003013E2"/>
    <w:rsid w:val="00330E6A"/>
    <w:rsid w:val="003C3EA7"/>
    <w:rsid w:val="00677E38"/>
    <w:rsid w:val="006A0EBF"/>
    <w:rsid w:val="0070081D"/>
    <w:rsid w:val="007031D7"/>
    <w:rsid w:val="00771359"/>
    <w:rsid w:val="00B21671"/>
    <w:rsid w:val="00B95BBF"/>
    <w:rsid w:val="00C04D1D"/>
    <w:rsid w:val="00C57DE0"/>
    <w:rsid w:val="00F15423"/>
    <w:rsid w:val="00FD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59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1359"/>
    <w:rPr>
      <w:color w:val="0000FF"/>
      <w:u w:val="single"/>
    </w:rPr>
  </w:style>
  <w:style w:type="paragraph" w:customStyle="1" w:styleId="Default">
    <w:name w:val="Default"/>
    <w:rsid w:val="00F15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GridTable41">
    <w:name w:val="Grid Table 41"/>
    <w:basedOn w:val="TableNormal"/>
    <w:uiPriority w:val="49"/>
    <w:rsid w:val="00C57DE0"/>
    <w:pPr>
      <w:spacing w:after="0" w:line="240" w:lineRule="auto"/>
    </w:pPr>
    <w:rPr>
      <w:rFonts w:ascii="Calibri" w:eastAsia="等线" w:hAnsi="Calibri" w:cs="Arial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New%20project\Table1.xlsx" TargetMode="External"/><Relationship Id="rId13" Type="http://schemas.openxmlformats.org/officeDocument/2006/relationships/hyperlink" Target="file:///D:\New%20project\Table1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New%20project\Table1.xlsx" TargetMode="External"/><Relationship Id="rId12" Type="http://schemas.openxmlformats.org/officeDocument/2006/relationships/hyperlink" Target="file:///D:\New%20project\Table1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New%20project\Table1.xlsx" TargetMode="External"/><Relationship Id="rId11" Type="http://schemas.openxmlformats.org/officeDocument/2006/relationships/hyperlink" Target="file:///D:\New%20project\Table1.xlsx" TargetMode="External"/><Relationship Id="rId5" Type="http://schemas.openxmlformats.org/officeDocument/2006/relationships/hyperlink" Target="https://link.springer.com/article/10.1007%2Fs10653-018-0091-2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New%20project\Table1.xlsx" TargetMode="External"/><Relationship Id="rId4" Type="http://schemas.openxmlformats.org/officeDocument/2006/relationships/hyperlink" Target="https://link.springer.com/article/10.1007%2Fs10653-018-0091-2" TargetMode="External"/><Relationship Id="rId9" Type="http://schemas.openxmlformats.org/officeDocument/2006/relationships/hyperlink" Target="file:///D:\New%20project\Table1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Sipra</dc:creator>
  <cp:lastModifiedBy>Jothilakshmi.B</cp:lastModifiedBy>
  <cp:revision>7</cp:revision>
  <dcterms:created xsi:type="dcterms:W3CDTF">2019-03-11T14:06:00Z</dcterms:created>
  <dcterms:modified xsi:type="dcterms:W3CDTF">2019-05-08T10:53:00Z</dcterms:modified>
</cp:coreProperties>
</file>