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6B" w:rsidRDefault="00F91B6B">
      <w:pPr>
        <w:pStyle w:val="Articletitle"/>
        <w:spacing w:after="0" w:line="276" w:lineRule="auto"/>
      </w:pPr>
      <w:bookmarkStart w:id="0" w:name="_GoBack"/>
      <w:bookmarkEnd w:id="0"/>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F91B6B">
      <w:pPr>
        <w:pStyle w:val="Articletitle"/>
        <w:spacing w:after="0" w:line="276" w:lineRule="auto"/>
      </w:pPr>
    </w:p>
    <w:p w:rsidR="00F91B6B" w:rsidRDefault="00942B06">
      <w:pPr>
        <w:pStyle w:val="Articletitle"/>
        <w:spacing w:after="0" w:line="276" w:lineRule="auto"/>
      </w:pPr>
      <w:r>
        <w:t>Supplementary Materials:</w:t>
      </w:r>
    </w:p>
    <w:p w:rsidR="00357CE7" w:rsidRDefault="00357CE7" w:rsidP="00357CE7">
      <w:pPr>
        <w:pStyle w:val="Articletitle"/>
        <w:spacing w:after="0" w:line="276" w:lineRule="auto"/>
      </w:pPr>
      <w:r>
        <w:t xml:space="preserve">Key Beliefs and Attitudes for Sea Level Rise Policy </w:t>
      </w:r>
      <w:r w:rsidR="00282C6A">
        <w:t xml:space="preserve"> </w:t>
      </w:r>
      <w:r>
        <w:t xml:space="preserve">  </w:t>
      </w:r>
    </w:p>
    <w:p w:rsidR="00F91B6B" w:rsidRDefault="00942B06">
      <w:pPr>
        <w:rPr>
          <w:rFonts w:ascii="Calibri Light" w:hAnsi="Calibri Light"/>
          <w:color w:val="000000"/>
          <w:sz w:val="20"/>
          <w:szCs w:val="20"/>
        </w:rPr>
      </w:pPr>
      <w:r>
        <w:rPr>
          <w:rFonts w:ascii="Calibri Light" w:hAnsi="Calibri Light"/>
          <w:color w:val="000000"/>
          <w:sz w:val="20"/>
          <w:szCs w:val="20"/>
        </w:rPr>
        <w:t xml:space="preserve"> </w:t>
      </w: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282C6A" w:rsidRDefault="00282C6A">
      <w:pPr>
        <w:rPr>
          <w:rFonts w:ascii="Calibri Light" w:hAnsi="Calibri Light"/>
          <w:color w:val="000000"/>
          <w:sz w:val="20"/>
          <w:szCs w:val="20"/>
        </w:rPr>
      </w:pPr>
    </w:p>
    <w:p w:rsidR="002568E3" w:rsidRDefault="002568E3" w:rsidP="00256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p>
    <w:tbl>
      <w:tblPr>
        <w:tblStyle w:val="TableGrid"/>
        <w:tblpPr w:leftFromText="180" w:rightFromText="180" w:vertAnchor="text" w:tblpY="-11"/>
        <w:tblW w:w="0" w:type="auto"/>
        <w:tblLook w:val="04A0"/>
      </w:tblPr>
      <w:tblGrid>
        <w:gridCol w:w="9350"/>
      </w:tblGrid>
      <w:tr w:rsidR="00FA5170" w:rsidTr="00FA5170">
        <w:tc>
          <w:tcPr>
            <w:tcW w:w="9350" w:type="dxa"/>
          </w:tcPr>
          <w:p w:rsidR="00FA5170" w:rsidRPr="00E40003"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ourier New"/>
                <w:b/>
                <w:szCs w:val="20"/>
              </w:rPr>
            </w:pPr>
            <w:r>
              <w:rPr>
                <w:rFonts w:cs="Courier New"/>
                <w:b/>
                <w:szCs w:val="20"/>
              </w:rPr>
              <w:lastRenderedPageBreak/>
              <w:t>Box S</w:t>
            </w:r>
            <w:r w:rsidR="00731BD0">
              <w:rPr>
                <w:rFonts w:cs="Courier New"/>
                <w:b/>
                <w:szCs w:val="20"/>
              </w:rPr>
              <w:t>1</w:t>
            </w:r>
            <w:r>
              <w:rPr>
                <w:rFonts w:cs="Courier New"/>
                <w:b/>
                <w:szCs w:val="20"/>
              </w:rPr>
              <w:t xml:space="preserve">. </w:t>
            </w:r>
            <w:r w:rsidRPr="00282C6A">
              <w:rPr>
                <w:rFonts w:cs="Courier New"/>
                <w:szCs w:val="20"/>
              </w:rPr>
              <w:t>Sea level rise survey use by governments in the U.S. Mid-Atlantic</w:t>
            </w:r>
            <w:r w:rsidRPr="00E40003">
              <w:rPr>
                <w:rFonts w:cs="Courier New"/>
                <w:b/>
                <w:szCs w:val="20"/>
              </w:rPr>
              <w:br/>
            </w:r>
          </w:p>
          <w:p w:rsidR="00FA5170"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hd w:val="clear" w:color="auto" w:fill="FFFFFF"/>
              </w:rPr>
            </w:pPr>
            <w:r>
              <w:rPr>
                <w:rFonts w:cs="Courier New"/>
                <w:szCs w:val="20"/>
              </w:rPr>
              <w:tab/>
              <w:t xml:space="preserve">In </w:t>
            </w:r>
            <w:r w:rsidRPr="00AC605B">
              <w:rPr>
                <w:rFonts w:cs="Courier New"/>
                <w:b/>
                <w:szCs w:val="20"/>
              </w:rPr>
              <w:t>Hampton Roads</w:t>
            </w:r>
            <w:r>
              <w:rPr>
                <w:rFonts w:cs="Courier New"/>
                <w:szCs w:val="20"/>
              </w:rPr>
              <w:t xml:space="preserve">, </w:t>
            </w:r>
            <w:r w:rsidRPr="00AC605B">
              <w:rPr>
                <w:rFonts w:cs="Courier New"/>
                <w:b/>
                <w:szCs w:val="20"/>
              </w:rPr>
              <w:t>Virginia,</w:t>
            </w:r>
            <w:r>
              <w:rPr>
                <w:rFonts w:cs="Courier New"/>
                <w:szCs w:val="20"/>
              </w:rPr>
              <w:t xml:space="preserve"> public and private sources funded the research with the express intention of informing policy and management decisions at the local, regional, and state level. Findings from the 2016 </w:t>
            </w:r>
            <w:r>
              <w:rPr>
                <w:shd w:val="clear" w:color="auto" w:fill="FFFFFF"/>
              </w:rPr>
              <w:t>Hampton Roads Residents’ Perceptions of Sea L</w:t>
            </w:r>
            <w:r>
              <w:rPr>
                <w:color w:val="000000"/>
                <w:shd w:val="clear" w:color="auto" w:fill="FFFFFF"/>
              </w:rPr>
              <w:t xml:space="preserve">evel </w:t>
            </w:r>
            <w:r>
              <w:rPr>
                <w:shd w:val="clear" w:color="auto" w:fill="FFFFFF"/>
              </w:rPr>
              <w:t>Rise and Flooding A</w:t>
            </w:r>
            <w:r>
              <w:rPr>
                <w:color w:val="000000"/>
                <w:shd w:val="clear" w:color="auto" w:fill="FFFFFF"/>
              </w:rPr>
              <w:t xml:space="preserve">daptation Survey were shared with residents at presentations for civic league and homeowners’ associations, with local and regional policymakers through presentations to city government staff, and at a regional planning meeting.  </w:t>
            </w:r>
          </w:p>
          <w:p w:rsidR="00FA5170"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hd w:val="clear" w:color="auto" w:fill="FFFFFF"/>
              </w:rPr>
            </w:pPr>
            <w:r>
              <w:rPr>
                <w:color w:val="000000"/>
                <w:shd w:val="clear" w:color="auto" w:fill="FFFFFF"/>
              </w:rPr>
              <w:tab/>
              <w:t xml:space="preserve">The </w:t>
            </w:r>
            <w:r w:rsidRPr="00AC605B">
              <w:rPr>
                <w:b/>
                <w:color w:val="000000"/>
                <w:shd w:val="clear" w:color="auto" w:fill="FFFFFF"/>
              </w:rPr>
              <w:t>Anne Arundel County, Maryland</w:t>
            </w:r>
            <w:r>
              <w:rPr>
                <w:color w:val="000000"/>
                <w:shd w:val="clear" w:color="auto" w:fill="FFFFFF"/>
              </w:rPr>
              <w:t xml:space="preserve">, survey served as a component of a broader project that assessed the use of community outreach, deliberation, and localized SLR projections in local decision-making </w:t>
            </w:r>
            <w:r w:rsidR="004674DD">
              <w:rPr>
                <w:color w:val="000000"/>
                <w:shd w:val="clear" w:color="auto" w:fill="FFFFFF"/>
              </w:rPr>
              <w:fldChar w:fldCharType="begin"/>
            </w:r>
            <w:r>
              <w:rPr>
                <w:color w:val="000000"/>
                <w:shd w:val="clear" w:color="auto" w:fill="FFFFFF"/>
              </w:rPr>
              <w:instrText xml:space="preserve"> ADDIN ZOTERO_ITEM CSL_CITATION {"citationID":"9T3q1q6F","properties":{"formattedCitation":"(Akerlof 2012; Akerlof et al. 2016)","plainCitation":"(Akerlof 2012; Akerlof et al. 2016)","noteIndex":0},"citationItems":[{"id":2588,"uris":["http://zotero.org/users/45665/items/2Z9KZDWQ"],"uri":["http://zotero.org/users/45665/items/2Z9KZDWQ"],"itemData":{"id":2588,"type":"report","title":"Public opinion and policy preferences on coastal flooding and sea-level rise, Anne Arundel County, Maryland","publisher":"George Mason University","publisher-place":"Fairfax, VA","event-place":"Fairfax, VA","author":[{"family":"Akerlof","given":"Karen L."}],"issued":{"date-parts":[["2012"]]}}},{"id":14989,"uris":["http://zotero.org/groups/1600842/items/KSSGMX95"],"uri":["http://zotero.org/groups/1600842/items/KSSGMX95"],"itemData":{"id":14989,"type":"article-journal","title":"Risky business: Engaging the public on sea level rise and inundation","container-title":"Environmental Science &amp; Policy","page":"314-323","volume":"66","source":"ScienceDirect","abstract":"To examine whether U.S. public opinion may become as sharply polarized on adaptation responses as it has been on mitigation policies, we surveyed a sample of urban coastal residents in Maryland (n=378). We then tested the impact of a community deliberative event (n=40) with small-group sea level rise discussions as a depolarization strategy. Cultural worldviews which contribute to politically polarized beliefs about climate were predictive of perceptions of sea level rise risk. Living close to flooding hazards also significantly predicted respondents’ perceptions of household or neighborhood risks, but not of risks to the entire county. The event significantly increased topic knowledge among all participants and, among those with a worldview predisposing them to lower risk perceptions, significantly increased problem identification and concern about impacts. These results suggest small-group deliberation focused on local problem-solving may be an effective tool for reducing the polarizing effects of cultural worldviews on decision-making.","DOI":"10.1016/j.envsci.2016.07.002","ISSN":"1462-9011","shortTitle":"Risky business","journalAbbreviation":"Environmental Science &amp; Policy","author":[{"family":"Akerlof","given":"Karen L."},{"family":"Rowan","given":"Katherine E."},{"family":"La Porte","given":"Todd"},{"family":"Batten","given":"Brian K."},{"family":"Ernst","given":"Howard"},{"family":"Sklarew","given":"Dann M."}],"issued":{"date-parts":[["2016",12,1]]}}}],"schema":"https://github.com/citation-style-language/schema/raw/master/csl-citation.json"} </w:instrText>
            </w:r>
            <w:r w:rsidR="004674DD">
              <w:rPr>
                <w:color w:val="000000"/>
                <w:shd w:val="clear" w:color="auto" w:fill="FFFFFF"/>
              </w:rPr>
              <w:fldChar w:fldCharType="separate"/>
            </w:r>
            <w:r w:rsidRPr="008C4341">
              <w:t>(Akerlof et al. 2016)</w:t>
            </w:r>
            <w:r w:rsidR="004674DD">
              <w:rPr>
                <w:color w:val="000000"/>
                <w:shd w:val="clear" w:color="auto" w:fill="FFFFFF"/>
              </w:rPr>
              <w:fldChar w:fldCharType="end"/>
            </w:r>
            <w:r>
              <w:rPr>
                <w:color w:val="000000"/>
                <w:shd w:val="clear" w:color="auto" w:fill="FFFFFF"/>
              </w:rPr>
              <w:t xml:space="preserve">. </w:t>
            </w:r>
          </w:p>
          <w:p w:rsidR="00FA5170"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r>
              <w:rPr>
                <w:color w:val="000000"/>
                <w:shd w:val="clear" w:color="auto" w:fill="FFFFFF"/>
              </w:rPr>
              <w:tab/>
              <w:t xml:space="preserve">The </w:t>
            </w:r>
            <w:r w:rsidRPr="00AC605B">
              <w:rPr>
                <w:b/>
                <w:color w:val="000000"/>
                <w:shd w:val="clear" w:color="auto" w:fill="FFFFFF"/>
              </w:rPr>
              <w:t>Maryland</w:t>
            </w:r>
            <w:r>
              <w:rPr>
                <w:color w:val="000000"/>
                <w:shd w:val="clear" w:color="auto" w:fill="FFFFFF"/>
              </w:rPr>
              <w:t xml:space="preserve"> state survey was funded as a component of research products for the 2012-2016 Climate Communication Consortium of Maryland, which included state agencies, local governments, non-profits, and universities</w:t>
            </w:r>
            <w:r>
              <w:t xml:space="preserve"> </w:t>
            </w:r>
            <w:r w:rsidR="004674DD">
              <w:fldChar w:fldCharType="begin"/>
            </w:r>
            <w:r>
              <w:instrText xml:space="preserve"> ADDIN ZOTERO_ITEM CSL_CITATION {"citationID":"pZnJTjJ1","properties":{"formattedCitation":"(Akerlof and Maibach 2014)","plainCitation":"(Akerlof and Maibach 2014)","noteIndex":0},"citationItems":[{"id":13259,"uris":["http://zotero.org/groups/450172/items/VBARDR2J"],"uri":["http://zotero.org/groups/450172/items/VBARDR2J"],"itemData":{"id":13259,"type":"report","title":"Adapting to climate change &amp; sea level rise: A Maryland statewide survey, fall 2014","publisher":"Center for Climate Change Communication, George Mason University","publisher-place":"Fairfax, VA","event-place":"Fairfax, VA","URL":"http://www.climatemaryland.org/wp-content/uploads/2014/09/Sea-level-rise-and-adaptation-2014-091214.pdf","author":[{"family":"Akerlof","given":"Karen L."},{"family":"Maibach","given":"E. W."}],"issued":{"date-parts":[["2014"]]}}}],"schema":"https://github.com/citation-style-language/schema/raw/master/csl-citation.json"} </w:instrText>
            </w:r>
            <w:r w:rsidR="004674DD">
              <w:fldChar w:fldCharType="separate"/>
            </w:r>
            <w:r w:rsidRPr="00DC0EAA">
              <w:t>(Akerlof and Maibach 2014)</w:t>
            </w:r>
            <w:r w:rsidR="004674DD">
              <w:fldChar w:fldCharType="end"/>
            </w:r>
            <w:r>
              <w:rPr>
                <w:color w:val="000000"/>
                <w:shd w:val="clear" w:color="auto" w:fill="FFFFFF"/>
              </w:rPr>
              <w:t xml:space="preserve">. The 2014 SLR survey module was developed in collaboration with the state’s Department of Natural Resources. The survey methodology included regional sub-samples to detect geographic differences relevant to communication programs and strategies of local governments. </w:t>
            </w:r>
          </w:p>
          <w:p w:rsidR="00FA5170"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r>
              <w:rPr>
                <w:rFonts w:cs="Courier New"/>
                <w:szCs w:val="20"/>
              </w:rPr>
              <w:tab/>
              <w:t xml:space="preserve">The 2014 </w:t>
            </w:r>
            <w:r w:rsidRPr="00AC605B">
              <w:rPr>
                <w:rFonts w:cs="Courier New"/>
                <w:b/>
                <w:szCs w:val="20"/>
              </w:rPr>
              <w:t>Delaware</w:t>
            </w:r>
            <w:r>
              <w:rPr>
                <w:rFonts w:cs="Courier New"/>
                <w:szCs w:val="20"/>
              </w:rPr>
              <w:t xml:space="preserve"> survey was a re-deployment of one conducted in 2009 for the state and its Sea Grant program. Natural resource agency staff worked with an academic team and public opinion consultants to re-draft the survey to include questions relating to climate change. The intent of the collaborative study was to inform public policy with data on public opinion, but survey measures were also developed to inform state communication. For example, respondents were asked to self-identify as either “coastal” or “non-coastal” to assess differences in these audiences in knowledge and information needs.</w:t>
            </w:r>
          </w:p>
          <w:p w:rsidR="00FA5170" w:rsidRDefault="00FA5170"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p>
          <w:p w:rsidR="00FA5170" w:rsidRPr="00DC0EAA" w:rsidRDefault="004674DD" w:rsidP="00FA5170">
            <w:pPr>
              <w:pStyle w:val="Bibliography"/>
            </w:pPr>
            <w:r>
              <w:rPr>
                <w:rFonts w:cs="Courier New"/>
                <w:szCs w:val="20"/>
              </w:rPr>
              <w:fldChar w:fldCharType="begin"/>
            </w:r>
            <w:r w:rsidR="00FA5170">
              <w:rPr>
                <w:rFonts w:cs="Courier New"/>
                <w:szCs w:val="20"/>
              </w:rPr>
              <w:instrText xml:space="preserve"> ADDIN ZOTERO_BIBL {"uncited":[],"omitted":[],"custom":[]} CSL_BIBLIOGRAPHY </w:instrText>
            </w:r>
            <w:r>
              <w:rPr>
                <w:rFonts w:cs="Courier New"/>
                <w:szCs w:val="20"/>
              </w:rPr>
              <w:fldChar w:fldCharType="separate"/>
            </w:r>
            <w:r w:rsidR="00FA5170" w:rsidRPr="00DC0EAA">
              <w:t xml:space="preserve">.Akerlof, Karen L., and E. W. Maibach. 2014. “Adapting to Climate Change &amp; Sea Level Rise: A Maryland Statewide Survey, Fall 2014.” Fairfax, VA: Center for Climate Change Communication, George Mason University. </w:t>
            </w:r>
          </w:p>
          <w:p w:rsidR="00FA5170" w:rsidRPr="00DC0EAA" w:rsidRDefault="00FA5170" w:rsidP="00FA5170">
            <w:pPr>
              <w:pStyle w:val="Bibliography"/>
            </w:pPr>
            <w:r w:rsidRPr="00DC0EAA">
              <w:t xml:space="preserve">Akerlof, Karen L., Katherine E. Rowan, Todd La Porte, Brian K. Batten, Howard Ernst, and Dann M. Sklarew. 2016. “Risky Business: Engaging the Public on Sea Level Rise and Inundation.” </w:t>
            </w:r>
            <w:r w:rsidRPr="00DC0EAA">
              <w:rPr>
                <w:i/>
                <w:iCs/>
              </w:rPr>
              <w:t>Environmental Science &amp; Policy</w:t>
            </w:r>
            <w:r w:rsidRPr="00DC0EAA">
              <w:t xml:space="preserve"> 66 (December): 314–23. </w:t>
            </w:r>
            <w:r>
              <w:t xml:space="preserve"> </w:t>
            </w:r>
          </w:p>
          <w:p w:rsidR="00FA5170" w:rsidRPr="003061A1" w:rsidRDefault="004674DD" w:rsidP="00FA5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r>
              <w:rPr>
                <w:rFonts w:cs="Courier New"/>
                <w:szCs w:val="20"/>
              </w:rPr>
              <w:fldChar w:fldCharType="end"/>
            </w:r>
          </w:p>
        </w:tc>
      </w:tr>
    </w:tbl>
    <w:p w:rsidR="00AC605B" w:rsidRDefault="00AC605B" w:rsidP="00AC60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ourier New"/>
          <w:szCs w:val="20"/>
        </w:rPr>
      </w:pPr>
    </w:p>
    <w:p w:rsidR="00EE2D1A" w:rsidRDefault="00EE2D1A"/>
    <w:p w:rsidR="00282C6A" w:rsidRDefault="00282C6A"/>
    <w:p w:rsidR="00282C6A" w:rsidRDefault="00282C6A"/>
    <w:p w:rsidR="00282C6A" w:rsidRDefault="00282C6A"/>
    <w:p w:rsidR="00282C6A" w:rsidRDefault="00282C6A"/>
    <w:p w:rsidR="00282C6A" w:rsidRDefault="00282C6A"/>
    <w:p w:rsidR="00AC605B" w:rsidRDefault="00AC605B" w:rsidP="00AC605B"/>
    <w:tbl>
      <w:tblPr>
        <w:tblStyle w:val="TableGrid"/>
        <w:tblW w:w="0" w:type="auto"/>
        <w:tblLook w:val="04A0"/>
      </w:tblPr>
      <w:tblGrid>
        <w:gridCol w:w="9350"/>
      </w:tblGrid>
      <w:tr w:rsidR="00AC605B" w:rsidTr="00462B95">
        <w:tc>
          <w:tcPr>
            <w:tcW w:w="9350" w:type="dxa"/>
          </w:tcPr>
          <w:p w:rsidR="001200BB" w:rsidRDefault="001200BB" w:rsidP="00282C6A">
            <w:pPr>
              <w:spacing w:line="276" w:lineRule="auto"/>
              <w:ind w:hanging="18"/>
              <w:jc w:val="center"/>
              <w:rPr>
                <w:b/>
                <w:color w:val="222222"/>
                <w:spacing w:val="3"/>
                <w:shd w:val="clear" w:color="auto" w:fill="FFFFFF"/>
              </w:rPr>
            </w:pPr>
            <w:r w:rsidRPr="001200BB">
              <w:rPr>
                <w:b/>
              </w:rPr>
              <w:t>Box S</w:t>
            </w:r>
            <w:r w:rsidR="00731BD0">
              <w:rPr>
                <w:b/>
              </w:rPr>
              <w:t>2</w:t>
            </w:r>
            <w:r w:rsidRPr="001200BB">
              <w:rPr>
                <w:b/>
              </w:rPr>
              <w:t xml:space="preserve">. </w:t>
            </w:r>
            <w:r w:rsidRPr="00282C6A">
              <w:t>Missing data treatment and evaluation of sample bias</w:t>
            </w:r>
            <w:r w:rsidR="00282C6A">
              <w:rPr>
                <w:b/>
              </w:rPr>
              <w:br/>
            </w:r>
          </w:p>
          <w:p w:rsidR="00AC605B" w:rsidRPr="00282C6A" w:rsidRDefault="007C1A2B" w:rsidP="00282C6A">
            <w:pPr>
              <w:spacing w:line="240" w:lineRule="auto"/>
              <w:ind w:left="-18" w:firstLine="720"/>
              <w:rPr>
                <w:spacing w:val="3"/>
                <w:shd w:val="clear" w:color="auto" w:fill="FFFFFF"/>
              </w:rPr>
            </w:pPr>
            <w:r w:rsidRPr="00282C6A">
              <w:rPr>
                <w:b/>
                <w:spacing w:val="3"/>
                <w:shd w:val="clear" w:color="auto" w:fill="FFFFFF"/>
              </w:rPr>
              <w:lastRenderedPageBreak/>
              <w:t>M</w:t>
            </w:r>
            <w:r w:rsidR="00AC605B" w:rsidRPr="00282C6A">
              <w:rPr>
                <w:b/>
                <w:spacing w:val="3"/>
                <w:shd w:val="clear" w:color="auto" w:fill="FFFFFF"/>
              </w:rPr>
              <w:t>issing data</w:t>
            </w:r>
            <w:r w:rsidRPr="00282C6A">
              <w:rPr>
                <w:b/>
                <w:spacing w:val="3"/>
                <w:shd w:val="clear" w:color="auto" w:fill="FFFFFF"/>
              </w:rPr>
              <w:t xml:space="preserve"> </w:t>
            </w:r>
            <w:r w:rsidR="008C5153" w:rsidRPr="00282C6A">
              <w:rPr>
                <w:spacing w:val="3"/>
                <w:shd w:val="clear" w:color="auto" w:fill="FFFFFF"/>
              </w:rPr>
              <w:t>were found to affect less than four percent of the variables:</w:t>
            </w:r>
            <w:r w:rsidRPr="00282C6A">
              <w:rPr>
                <w:spacing w:val="3"/>
                <w:shd w:val="clear" w:color="auto" w:fill="FFFFFF"/>
              </w:rPr>
              <w:t xml:space="preserve"> sea level rise belief certaint</w:t>
            </w:r>
            <w:r w:rsidR="008C5153" w:rsidRPr="00282C6A">
              <w:rPr>
                <w:spacing w:val="3"/>
                <w:shd w:val="clear" w:color="auto" w:fill="FFFFFF"/>
              </w:rPr>
              <w:t xml:space="preserve">y, 1.15%; </w:t>
            </w:r>
            <w:r w:rsidRPr="00282C6A">
              <w:rPr>
                <w:spacing w:val="3"/>
                <w:shd w:val="clear" w:color="auto" w:fill="FFFFFF"/>
              </w:rPr>
              <w:t>issue prioritization</w:t>
            </w:r>
            <w:r w:rsidR="008C5153" w:rsidRPr="00282C6A">
              <w:rPr>
                <w:spacing w:val="3"/>
                <w:shd w:val="clear" w:color="auto" w:fill="FFFFFF"/>
              </w:rPr>
              <w:t>, 1.86%;</w:t>
            </w:r>
            <w:r w:rsidR="00AC605B" w:rsidRPr="00282C6A">
              <w:rPr>
                <w:spacing w:val="3"/>
                <w:shd w:val="clear" w:color="auto" w:fill="FFFFFF"/>
              </w:rPr>
              <w:t xml:space="preserve"> </w:t>
            </w:r>
            <w:r w:rsidR="0040061D" w:rsidRPr="00282C6A">
              <w:rPr>
                <w:spacing w:val="3"/>
                <w:shd w:val="clear" w:color="auto" w:fill="FFFFFF"/>
              </w:rPr>
              <w:t xml:space="preserve">and </w:t>
            </w:r>
            <w:r w:rsidRPr="00282C6A">
              <w:rPr>
                <w:spacing w:val="3"/>
                <w:shd w:val="clear" w:color="auto" w:fill="FFFFFF"/>
              </w:rPr>
              <w:t>attitude</w:t>
            </w:r>
            <w:r w:rsidR="00282C6A">
              <w:rPr>
                <w:spacing w:val="3"/>
                <w:shd w:val="clear" w:color="auto" w:fill="FFFFFF"/>
              </w:rPr>
              <w:t>s</w:t>
            </w:r>
            <w:r w:rsidRPr="00282C6A">
              <w:rPr>
                <w:spacing w:val="3"/>
                <w:shd w:val="clear" w:color="auto" w:fill="FFFFFF"/>
              </w:rPr>
              <w:t xml:space="preserve"> toward sea level rise policies</w:t>
            </w:r>
            <w:r w:rsidR="008C5153" w:rsidRPr="00282C6A">
              <w:rPr>
                <w:spacing w:val="3"/>
                <w:shd w:val="clear" w:color="auto" w:fill="FFFFFF"/>
              </w:rPr>
              <w:t>, between 3.0%–3.9%</w:t>
            </w:r>
            <w:r w:rsidR="00AC605B" w:rsidRPr="00282C6A">
              <w:rPr>
                <w:spacing w:val="3"/>
                <w:shd w:val="clear" w:color="auto" w:fill="FFFFFF"/>
              </w:rPr>
              <w:t xml:space="preserve">. </w:t>
            </w:r>
            <w:r w:rsidR="00EE57B3" w:rsidRPr="00282C6A">
              <w:rPr>
                <w:spacing w:val="3"/>
                <w:shd w:val="clear" w:color="auto" w:fill="FFFFFF"/>
              </w:rPr>
              <w:t>M</w:t>
            </w:r>
            <w:r w:rsidR="00AC605B" w:rsidRPr="00282C6A">
              <w:rPr>
                <w:spacing w:val="3"/>
                <w:shd w:val="clear" w:color="auto" w:fill="FFFFFF"/>
              </w:rPr>
              <w:t>issing survey data</w:t>
            </w:r>
            <w:r w:rsidRPr="00282C6A">
              <w:rPr>
                <w:spacing w:val="3"/>
                <w:shd w:val="clear" w:color="auto" w:fill="FFFFFF"/>
              </w:rPr>
              <w:t xml:space="preserve"> for these variables </w:t>
            </w:r>
            <w:r w:rsidR="00AC605B" w:rsidRPr="00282C6A">
              <w:rPr>
                <w:spacing w:val="3"/>
                <w:shd w:val="clear" w:color="auto" w:fill="FFFFFF"/>
              </w:rPr>
              <w:t xml:space="preserve">were substituted using hot deck imputation, a strategy for handling missing data that is widely employed by government statistics agencies, survey organizations, and academic researchers </w:t>
            </w:r>
            <w:r w:rsidR="004674DD" w:rsidRPr="00282C6A">
              <w:rPr>
                <w:spacing w:val="3"/>
                <w:shd w:val="clear" w:color="auto" w:fill="FFFFFF"/>
              </w:rPr>
              <w:fldChar w:fldCharType="begin"/>
            </w:r>
            <w:r w:rsidR="00AC605B" w:rsidRPr="00282C6A">
              <w:rPr>
                <w:spacing w:val="3"/>
                <w:shd w:val="clear" w:color="auto" w:fill="FFFFFF"/>
              </w:rPr>
              <w:instrText xml:space="preserve"> ADDIN ZOTERO_ITEM CSL_CITATION {"citationID":"pHfgwxwT","properties":{"formattedCitation":"(Andridge and Little 2010)","plainCitation":"(Andridge and Little 2010)","noteIndex":0},"citationItems":[{"id":2441,"uris":["http://zotero.org/users/45665/items/E72KIT6X"],"uri":["http://zotero.org/users/45665/items/E72KIT6X"],"itemData":{"id":2441,"type":"article-journal","title":"A review of hot deck imputation for survey non-response","container-title":"International Statistical Review","page":"40-64","volume":"78","issue":"1","source":"PubMed Central","abstract":"Hot deck imputation is a method for handling missing data in which each missing value is replaced with an observed response from a “similar” unit. Despite being used extensively in practice, the theory is not as well developed as that of other imputation methods. We have found that no consensus exists as to the best way to apply the hot deck and obtain inferences from the completed data set. Here we review different forms of the hot deck and existing research on its statistical properties. We describe applications of the hot deck currently in use, including the U.S. Census Bureau’s hot deck for the Current Population Survey (CPS). We also provide an extended example of variations of the hot deck applied to the third National Health and Nutrition Examination Survey (NHANES III). Some potential areas for future research are highlighted.","DOI":"10.1111/j.1751-5823.2010.00103.x","ISSN":"0306-7734","note":"PMID: 21743766\nPMCID: PMC3130338","journalAbbreviation":"Int Stat Rev","author":[{"family":"Andridge","given":"Rebecca R."},{"family":"Little","given":"Roderick J. A."}],"issued":{"date-parts":[["2010",4]]}}}],"schema":"https://github.com/citation-style-language/schema/raw/master/csl-citation.json"} </w:instrText>
            </w:r>
            <w:r w:rsidR="004674DD" w:rsidRPr="00282C6A">
              <w:rPr>
                <w:spacing w:val="3"/>
                <w:shd w:val="clear" w:color="auto" w:fill="FFFFFF"/>
              </w:rPr>
              <w:fldChar w:fldCharType="separate"/>
            </w:r>
            <w:r w:rsidR="00AC605B" w:rsidRPr="00282C6A">
              <w:t>(Andridge and Little 2010)</w:t>
            </w:r>
            <w:r w:rsidR="004674DD" w:rsidRPr="00282C6A">
              <w:rPr>
                <w:spacing w:val="3"/>
                <w:shd w:val="clear" w:color="auto" w:fill="FFFFFF"/>
              </w:rPr>
              <w:fldChar w:fldCharType="end"/>
            </w:r>
            <w:r w:rsidR="00AC605B" w:rsidRPr="00282C6A">
              <w:rPr>
                <w:spacing w:val="3"/>
                <w:shd w:val="clear" w:color="auto" w:fill="FFFFFF"/>
              </w:rPr>
              <w:t xml:space="preserve">. In hot deck imputation, respondents matched on a set of variables to the case with the missing value are randomly sorted; the missing value is replaced with that of the nearest </w:t>
            </w:r>
            <w:proofErr w:type="spellStart"/>
            <w:r w:rsidR="00AC605B" w:rsidRPr="00282C6A">
              <w:rPr>
                <w:spacing w:val="3"/>
                <w:shd w:val="clear" w:color="auto" w:fill="FFFFFF"/>
              </w:rPr>
              <w:t>neighbor</w:t>
            </w:r>
            <w:proofErr w:type="spellEnd"/>
            <w:r w:rsidR="00AC605B" w:rsidRPr="00282C6A">
              <w:rPr>
                <w:spacing w:val="3"/>
                <w:shd w:val="clear" w:color="auto" w:fill="FFFFFF"/>
              </w:rPr>
              <w:t xml:space="preserve"> </w:t>
            </w:r>
            <w:r w:rsidR="004674DD" w:rsidRPr="00282C6A">
              <w:rPr>
                <w:spacing w:val="3"/>
                <w:shd w:val="clear" w:color="auto" w:fill="FFFFFF"/>
              </w:rPr>
              <w:fldChar w:fldCharType="begin"/>
            </w:r>
            <w:r w:rsidR="00AC605B" w:rsidRPr="00282C6A">
              <w:rPr>
                <w:spacing w:val="3"/>
                <w:shd w:val="clear" w:color="auto" w:fill="FFFFFF"/>
              </w:rPr>
              <w:instrText xml:space="preserve"> ADDIN ZOTERO_ITEM CSL_CITATION {"citationID":"bdQsnONf","properties":{"formattedCitation":"(Myers 2011)","plainCitation":"(Myers 2011)","noteIndex":0},"citationItems":[{"id":14141,"uris":["http://zotero.org/groups/566040/items/6DH4MAEK"],"uri":["http://zotero.org/groups/566040/items/6DH4MAEK"],"itemData":{"id":14141,"type":"article-journal","title":"Goodbye, listwise deletion: Presenting hot deck imputation as an easy and effective tool for handling missing data","container-title":"Communication Methods and Measures","page":"297-310","volume":"5","issue":"4","source":"Taylor and Francis+NEJM","abstract":"Missing data are a ubiquitous problem in quantitative communication research, yet the missing data handling practices found in most published work in communication leave much room for improvement. In this article, problems with current practices are discussed and suggestions for improvement are offered. Finally, hot deck imputation is suggested as a practical solution to many missing data problems. A computational tool for SPSS (Statistical Package for the Social Sciences) is presented that will enable communication researchers to easily implement hot deck imputation in their own analyses.","DOI":"10.1080/19312458.2011.624490","ISSN":"1931-2458","shortTitle":"Goodbye, Listwise Deletion","author":[{"family":"Myers","given":"Teresa A."}],"issued":{"date-parts":[["2011",10,1]]}}}],"schema":"https://github.com/citation-style-language/schema/raw/master/csl-citation.json"} </w:instrText>
            </w:r>
            <w:r w:rsidR="004674DD" w:rsidRPr="00282C6A">
              <w:rPr>
                <w:spacing w:val="3"/>
                <w:shd w:val="clear" w:color="auto" w:fill="FFFFFF"/>
              </w:rPr>
              <w:fldChar w:fldCharType="separate"/>
            </w:r>
            <w:r w:rsidR="00AC605B" w:rsidRPr="00282C6A">
              <w:t>(Myers 2011)</w:t>
            </w:r>
            <w:r w:rsidR="004674DD" w:rsidRPr="00282C6A">
              <w:rPr>
                <w:spacing w:val="3"/>
                <w:shd w:val="clear" w:color="auto" w:fill="FFFFFF"/>
              </w:rPr>
              <w:fldChar w:fldCharType="end"/>
            </w:r>
            <w:r w:rsidR="00AC605B" w:rsidRPr="00282C6A">
              <w:rPr>
                <w:spacing w:val="3"/>
                <w:shd w:val="clear" w:color="auto" w:fill="FFFFFF"/>
              </w:rPr>
              <w:t xml:space="preserve">. This single imputation technique is distinct from multiple imputation </w:t>
            </w:r>
            <w:r w:rsidR="004674DD" w:rsidRPr="00282C6A">
              <w:rPr>
                <w:spacing w:val="3"/>
                <w:shd w:val="clear" w:color="auto" w:fill="FFFFFF"/>
              </w:rPr>
              <w:fldChar w:fldCharType="begin"/>
            </w:r>
            <w:r w:rsidR="00AC605B" w:rsidRPr="00282C6A">
              <w:rPr>
                <w:spacing w:val="3"/>
                <w:shd w:val="clear" w:color="auto" w:fill="FFFFFF"/>
              </w:rPr>
              <w:instrText xml:space="preserve"> ADDIN ZOTERO_ITEM CSL_CITATION {"citationID":"5xcuZdMn","properties":{"formattedCitation":"(Rubin 1996)","plainCitation":"(Rubin 1996)","noteIndex":0},"citationItems":[{"id":11254,"uris":["http://zotero.org/groups/244909/items/252GZXV4"],"uri":["http://zotero.org/groups/244909/items/252GZXV4"],"itemData":{"id":11254,"type":"article-journal","title":"Multiple imputation after 18+ years","container-title":"Journal of the American Statistical Association","page":"473-489","volume":"91","issue":"434","source":"Taylor and Francis+NEJM","abstract":"Multiple imputation was designed to handle the problem of missing data in public-use data bases where the data-base constructor and the ultimate user are distinct entities. The objective is valid frequency inference for ultimate users who in general have access only to complete-data software and possess limited knowledge of specific reasons and models for nonresponse. For this situation and objective, I believe that multiple imputation by the data-base constructor is the method of choice. This article first provides a description of the assumed context and objectives, and second, reviews the multiple imputation framework and its standard results. These preliminary discussions are especially important because some recent commentaries on multiple imputation have reflected either misunderstandings of the practical objectives of multiple imputation or misunderstandings of fundamental theoretical results. Then, criticisms of multiple imputation are considered, and, finally, comparisons are made to alternative strategies.","DOI":"10.1080/01621459.1996.10476908","ISSN":"0162-1459","author":[{"family":"Rubin","given":"Donald B."}],"issued":{"date-parts":[["1996",6,1]]}}}],"schema":"https://github.com/citation-style-language/schema/raw/master/csl-citation.json"} </w:instrText>
            </w:r>
            <w:r w:rsidR="004674DD" w:rsidRPr="00282C6A">
              <w:rPr>
                <w:spacing w:val="3"/>
                <w:shd w:val="clear" w:color="auto" w:fill="FFFFFF"/>
              </w:rPr>
              <w:fldChar w:fldCharType="separate"/>
            </w:r>
            <w:r w:rsidR="00AC605B" w:rsidRPr="00282C6A">
              <w:t>(Rubin 1996)</w:t>
            </w:r>
            <w:r w:rsidR="004674DD" w:rsidRPr="00282C6A">
              <w:rPr>
                <w:spacing w:val="3"/>
                <w:shd w:val="clear" w:color="auto" w:fill="FFFFFF"/>
              </w:rPr>
              <w:fldChar w:fldCharType="end"/>
            </w:r>
            <w:r w:rsidR="00AC605B" w:rsidRPr="00282C6A">
              <w:rPr>
                <w:spacing w:val="3"/>
                <w:shd w:val="clear" w:color="auto" w:fill="FFFFFF"/>
              </w:rPr>
              <w:t xml:space="preserve">. The matched variables were gender, age and education, for which there was no missing data but expected differences on attitudinal </w:t>
            </w:r>
            <w:r w:rsidR="008C5153" w:rsidRPr="00282C6A">
              <w:rPr>
                <w:spacing w:val="3"/>
                <w:shd w:val="clear" w:color="auto" w:fill="FFFFFF"/>
              </w:rPr>
              <w:t>and belief measures</w:t>
            </w:r>
            <w:r w:rsidR="00AC605B" w:rsidRPr="00282C6A">
              <w:rPr>
                <w:spacing w:val="3"/>
                <w:shd w:val="clear" w:color="auto" w:fill="FFFFFF"/>
              </w:rPr>
              <w:t>.</w:t>
            </w:r>
          </w:p>
          <w:p w:rsidR="00AC605B" w:rsidRPr="00282C6A" w:rsidRDefault="00AC605B" w:rsidP="00282C6A">
            <w:pPr>
              <w:spacing w:line="240" w:lineRule="auto"/>
              <w:ind w:firstLine="720"/>
              <w:rPr>
                <w:spacing w:val="3"/>
                <w:shd w:val="clear" w:color="auto" w:fill="FFFFFF"/>
              </w:rPr>
            </w:pPr>
            <w:r w:rsidRPr="00282C6A">
              <w:rPr>
                <w:b/>
                <w:spacing w:val="3"/>
                <w:shd w:val="clear" w:color="auto" w:fill="FFFFFF"/>
              </w:rPr>
              <w:t>Sample bias</w:t>
            </w:r>
            <w:r w:rsidRPr="00282C6A">
              <w:rPr>
                <w:spacing w:val="3"/>
                <w:shd w:val="clear" w:color="auto" w:fill="FFFFFF"/>
              </w:rPr>
              <w:t xml:space="preserve"> can be assessed by comparing sample characteristics to those of the population, testing for differences between early and late waves of responders and extrapolation of linear trends over time, and contrasting the characteristics of respondents to non-respondents on variables of research relevance. We performed two tests for bias. We compared the sample to known Census distributions for the state and Gallup reports of political ideology frequencies, and split 20% of the sample into early and late responders on the primary variable of interest</w:t>
            </w:r>
            <w:r w:rsidR="0040061D" w:rsidRPr="00282C6A">
              <w:rPr>
                <w:spacing w:val="3"/>
                <w:shd w:val="clear" w:color="auto" w:fill="FFFFFF"/>
              </w:rPr>
              <w:t>s</w:t>
            </w:r>
            <w:r w:rsidRPr="00282C6A">
              <w:rPr>
                <w:spacing w:val="3"/>
                <w:shd w:val="clear" w:color="auto" w:fill="FFFFFF"/>
              </w:rPr>
              <w:t>—</w:t>
            </w:r>
            <w:r w:rsidR="0040061D" w:rsidRPr="00282C6A">
              <w:rPr>
                <w:spacing w:val="3"/>
                <w:shd w:val="clear" w:color="auto" w:fill="FFFFFF"/>
              </w:rPr>
              <w:t>issue prioritization and attitude toward SLR policy</w:t>
            </w:r>
            <w:r w:rsidRPr="00282C6A">
              <w:rPr>
                <w:spacing w:val="3"/>
                <w:shd w:val="clear" w:color="auto" w:fill="FFFFFF"/>
              </w:rPr>
              <w:t>—to test for differences between the groups. We do not have data on non-respondents, but late survey responders can be assumed to resemble non-respondents and function as a proxy. Testing for mean differences between the first 10% of responders (</w:t>
            </w:r>
            <w:r w:rsidRPr="00282C6A">
              <w:rPr>
                <w:rStyle w:val="html-italic"/>
                <w:i/>
                <w:iCs/>
                <w:spacing w:val="3"/>
                <w:shd w:val="clear" w:color="auto" w:fill="FFFFFF"/>
              </w:rPr>
              <w:t>n</w:t>
            </w:r>
            <w:r w:rsidRPr="00282C6A">
              <w:rPr>
                <w:spacing w:val="3"/>
                <w:shd w:val="clear" w:color="auto" w:fill="FFFFFF"/>
              </w:rPr>
              <w:t> = 2</w:t>
            </w:r>
            <w:r w:rsidR="009A0724" w:rsidRPr="00282C6A">
              <w:rPr>
                <w:spacing w:val="3"/>
                <w:shd w:val="clear" w:color="auto" w:fill="FFFFFF"/>
              </w:rPr>
              <w:t>27</w:t>
            </w:r>
            <w:r w:rsidRPr="00282C6A">
              <w:rPr>
                <w:spacing w:val="3"/>
                <w:shd w:val="clear" w:color="auto" w:fill="FFFFFF"/>
              </w:rPr>
              <w:t>) and last 10% (</w:t>
            </w:r>
            <w:r w:rsidRPr="00282C6A">
              <w:rPr>
                <w:rStyle w:val="html-italic"/>
                <w:i/>
                <w:iCs/>
                <w:spacing w:val="3"/>
                <w:shd w:val="clear" w:color="auto" w:fill="FFFFFF"/>
              </w:rPr>
              <w:t>n</w:t>
            </w:r>
            <w:r w:rsidRPr="00282C6A">
              <w:rPr>
                <w:spacing w:val="3"/>
                <w:shd w:val="clear" w:color="auto" w:fill="FFFFFF"/>
              </w:rPr>
              <w:t> = 2</w:t>
            </w:r>
            <w:r w:rsidR="009A0724" w:rsidRPr="00282C6A">
              <w:rPr>
                <w:spacing w:val="3"/>
                <w:shd w:val="clear" w:color="auto" w:fill="FFFFFF"/>
              </w:rPr>
              <w:t>27</w:t>
            </w:r>
            <w:r w:rsidRPr="00282C6A">
              <w:rPr>
                <w:spacing w:val="3"/>
                <w:shd w:val="clear" w:color="auto" w:fill="FFFFFF"/>
              </w:rPr>
              <w:t>), we find no statistically significant difference in the variable</w:t>
            </w:r>
            <w:r w:rsidR="009A0724" w:rsidRPr="00282C6A">
              <w:rPr>
                <w:spacing w:val="3"/>
                <w:shd w:val="clear" w:color="auto" w:fill="FFFFFF"/>
              </w:rPr>
              <w:t>s</w:t>
            </w:r>
            <w:r w:rsidRPr="00282C6A">
              <w:rPr>
                <w:spacing w:val="3"/>
                <w:shd w:val="clear" w:color="auto" w:fill="FFFFFF"/>
              </w:rPr>
              <w:t xml:space="preserve"> (</w:t>
            </w:r>
            <w:r w:rsidR="00EC744D">
              <w:rPr>
                <w:spacing w:val="3"/>
                <w:shd w:val="clear" w:color="auto" w:fill="FFFFFF"/>
              </w:rPr>
              <w:t>z-scores, i</w:t>
            </w:r>
            <w:r w:rsidR="009A0724" w:rsidRPr="00282C6A">
              <w:rPr>
                <w:spacing w:val="3"/>
                <w:shd w:val="clear" w:color="auto" w:fill="FFFFFF"/>
              </w:rPr>
              <w:t xml:space="preserve">ssue prioritization, </w:t>
            </w:r>
            <w:r w:rsidRPr="00282C6A">
              <w:rPr>
                <w:rStyle w:val="html-italic"/>
                <w:i/>
                <w:iCs/>
                <w:spacing w:val="3"/>
                <w:shd w:val="clear" w:color="auto" w:fill="FFFFFF"/>
              </w:rPr>
              <w:t>M</w:t>
            </w:r>
            <w:r w:rsidRPr="00282C6A">
              <w:rPr>
                <w:spacing w:val="3"/>
                <w:shd w:val="clear" w:color="auto" w:fill="FFFFFF"/>
                <w:vertAlign w:val="subscript"/>
              </w:rPr>
              <w:t>first10%</w:t>
            </w:r>
            <w:r w:rsidRPr="00282C6A">
              <w:rPr>
                <w:spacing w:val="3"/>
                <w:shd w:val="clear" w:color="auto" w:fill="FFFFFF"/>
              </w:rPr>
              <w:t> = −0.</w:t>
            </w:r>
            <w:r w:rsidR="003061A1" w:rsidRPr="00282C6A">
              <w:rPr>
                <w:spacing w:val="3"/>
                <w:shd w:val="clear" w:color="auto" w:fill="FFFFFF"/>
              </w:rPr>
              <w:t>09</w:t>
            </w:r>
            <w:r w:rsidRPr="00282C6A">
              <w:rPr>
                <w:spacing w:val="3"/>
                <w:shd w:val="clear" w:color="auto" w:fill="FFFFFF"/>
              </w:rPr>
              <w:t>; </w:t>
            </w:r>
            <w:r w:rsidRPr="00282C6A">
              <w:rPr>
                <w:rStyle w:val="html-italic"/>
                <w:i/>
                <w:iCs/>
                <w:spacing w:val="3"/>
                <w:shd w:val="clear" w:color="auto" w:fill="FFFFFF"/>
              </w:rPr>
              <w:t>M</w:t>
            </w:r>
            <w:r w:rsidRPr="00282C6A">
              <w:rPr>
                <w:spacing w:val="3"/>
                <w:shd w:val="clear" w:color="auto" w:fill="FFFFFF"/>
                <w:vertAlign w:val="subscript"/>
              </w:rPr>
              <w:t>last10%</w:t>
            </w:r>
            <w:r w:rsidRPr="00282C6A">
              <w:rPr>
                <w:spacing w:val="3"/>
                <w:shd w:val="clear" w:color="auto" w:fill="FFFFFF"/>
              </w:rPr>
              <w:t> = 0.0</w:t>
            </w:r>
            <w:r w:rsidR="003061A1" w:rsidRPr="00282C6A">
              <w:rPr>
                <w:spacing w:val="3"/>
                <w:shd w:val="clear" w:color="auto" w:fill="FFFFFF"/>
              </w:rPr>
              <w:t>7</w:t>
            </w:r>
            <w:r w:rsidRPr="00282C6A">
              <w:rPr>
                <w:spacing w:val="3"/>
                <w:shd w:val="clear" w:color="auto" w:fill="FFFFFF"/>
              </w:rPr>
              <w:t>; </w:t>
            </w:r>
            <w:r w:rsidRPr="00282C6A">
              <w:rPr>
                <w:rStyle w:val="html-italic"/>
                <w:i/>
                <w:iCs/>
                <w:spacing w:val="3"/>
                <w:shd w:val="clear" w:color="auto" w:fill="FFFFFF"/>
              </w:rPr>
              <w:t>t</w:t>
            </w:r>
            <w:r w:rsidRPr="00282C6A">
              <w:rPr>
                <w:spacing w:val="3"/>
                <w:shd w:val="clear" w:color="auto" w:fill="FFFFFF"/>
              </w:rPr>
              <w:t>(4</w:t>
            </w:r>
            <w:r w:rsidR="003061A1" w:rsidRPr="00282C6A">
              <w:rPr>
                <w:spacing w:val="3"/>
                <w:shd w:val="clear" w:color="auto" w:fill="FFFFFF"/>
              </w:rPr>
              <w:t>44</w:t>
            </w:r>
            <w:r w:rsidRPr="00282C6A">
              <w:rPr>
                <w:spacing w:val="3"/>
                <w:shd w:val="clear" w:color="auto" w:fill="FFFFFF"/>
              </w:rPr>
              <w:t>) = −1.</w:t>
            </w:r>
            <w:r w:rsidR="003061A1" w:rsidRPr="00282C6A">
              <w:rPr>
                <w:spacing w:val="3"/>
                <w:shd w:val="clear" w:color="auto" w:fill="FFFFFF"/>
              </w:rPr>
              <w:t>76</w:t>
            </w:r>
            <w:r w:rsidRPr="00282C6A">
              <w:rPr>
                <w:spacing w:val="3"/>
                <w:shd w:val="clear" w:color="auto" w:fill="FFFFFF"/>
              </w:rPr>
              <w:t>, </w:t>
            </w:r>
            <w:r w:rsidRPr="00282C6A">
              <w:rPr>
                <w:rStyle w:val="html-italic"/>
                <w:i/>
                <w:iCs/>
                <w:spacing w:val="3"/>
                <w:shd w:val="clear" w:color="auto" w:fill="FFFFFF"/>
              </w:rPr>
              <w:t>p</w:t>
            </w:r>
            <w:r w:rsidRPr="00282C6A">
              <w:rPr>
                <w:spacing w:val="3"/>
                <w:shd w:val="clear" w:color="auto" w:fill="FFFFFF"/>
              </w:rPr>
              <w:t> = 0.</w:t>
            </w:r>
            <w:r w:rsidR="003061A1" w:rsidRPr="00282C6A">
              <w:rPr>
                <w:spacing w:val="3"/>
                <w:shd w:val="clear" w:color="auto" w:fill="FFFFFF"/>
              </w:rPr>
              <w:t>08</w:t>
            </w:r>
            <w:r w:rsidR="009A0724" w:rsidRPr="00282C6A">
              <w:rPr>
                <w:spacing w:val="3"/>
                <w:shd w:val="clear" w:color="auto" w:fill="FFFFFF"/>
              </w:rPr>
              <w:t xml:space="preserve">; SLR policy attitudes, </w:t>
            </w:r>
            <w:r w:rsidR="003061A1" w:rsidRPr="00282C6A">
              <w:rPr>
                <w:rStyle w:val="html-italic"/>
                <w:i/>
                <w:iCs/>
                <w:spacing w:val="3"/>
                <w:shd w:val="clear" w:color="auto" w:fill="FFFFFF"/>
              </w:rPr>
              <w:t>M</w:t>
            </w:r>
            <w:r w:rsidR="003061A1" w:rsidRPr="00282C6A">
              <w:rPr>
                <w:spacing w:val="3"/>
                <w:shd w:val="clear" w:color="auto" w:fill="FFFFFF"/>
                <w:vertAlign w:val="subscript"/>
              </w:rPr>
              <w:t>first10%</w:t>
            </w:r>
            <w:r w:rsidR="003061A1" w:rsidRPr="00282C6A">
              <w:rPr>
                <w:spacing w:val="3"/>
                <w:shd w:val="clear" w:color="auto" w:fill="FFFFFF"/>
              </w:rPr>
              <w:t> = 3.58; </w:t>
            </w:r>
            <w:r w:rsidR="003061A1" w:rsidRPr="00282C6A">
              <w:rPr>
                <w:rStyle w:val="html-italic"/>
                <w:i/>
                <w:iCs/>
                <w:spacing w:val="3"/>
                <w:shd w:val="clear" w:color="auto" w:fill="FFFFFF"/>
              </w:rPr>
              <w:t>M</w:t>
            </w:r>
            <w:r w:rsidR="003061A1" w:rsidRPr="00282C6A">
              <w:rPr>
                <w:spacing w:val="3"/>
                <w:shd w:val="clear" w:color="auto" w:fill="FFFFFF"/>
                <w:vertAlign w:val="subscript"/>
              </w:rPr>
              <w:t>last10%</w:t>
            </w:r>
            <w:r w:rsidR="003061A1" w:rsidRPr="00282C6A">
              <w:rPr>
                <w:spacing w:val="3"/>
                <w:shd w:val="clear" w:color="auto" w:fill="FFFFFF"/>
              </w:rPr>
              <w:t> = 3.71; </w:t>
            </w:r>
            <w:r w:rsidR="003061A1" w:rsidRPr="00282C6A">
              <w:rPr>
                <w:rStyle w:val="html-italic"/>
                <w:i/>
                <w:iCs/>
                <w:spacing w:val="3"/>
                <w:shd w:val="clear" w:color="auto" w:fill="FFFFFF"/>
              </w:rPr>
              <w:t>t</w:t>
            </w:r>
            <w:r w:rsidR="003061A1" w:rsidRPr="00282C6A">
              <w:rPr>
                <w:spacing w:val="3"/>
                <w:shd w:val="clear" w:color="auto" w:fill="FFFFFF"/>
              </w:rPr>
              <w:t>(452) = −1.71, </w:t>
            </w:r>
            <w:r w:rsidR="003061A1" w:rsidRPr="00282C6A">
              <w:rPr>
                <w:rStyle w:val="html-italic"/>
                <w:i/>
                <w:iCs/>
                <w:spacing w:val="3"/>
                <w:shd w:val="clear" w:color="auto" w:fill="FFFFFF"/>
              </w:rPr>
              <w:t>p</w:t>
            </w:r>
            <w:r w:rsidR="003061A1" w:rsidRPr="00282C6A">
              <w:rPr>
                <w:spacing w:val="3"/>
                <w:shd w:val="clear" w:color="auto" w:fill="FFFFFF"/>
              </w:rPr>
              <w:t> = 0.09)</w:t>
            </w:r>
            <w:r w:rsidRPr="00282C6A">
              <w:rPr>
                <w:spacing w:val="3"/>
                <w:shd w:val="clear" w:color="auto" w:fill="FFFFFF"/>
              </w:rPr>
              <w:t xml:space="preserve">. Compared to U.S. Census distributions for Maryland, the final sample is slightly older, more female, and better educated </w:t>
            </w:r>
            <w:r w:rsidR="0069037A" w:rsidRPr="00282C6A">
              <w:rPr>
                <w:spacing w:val="3"/>
                <w:shd w:val="clear" w:color="auto" w:fill="FFFFFF"/>
              </w:rPr>
              <w:t>(see table below)</w:t>
            </w:r>
            <w:r w:rsidRPr="00282C6A">
              <w:rPr>
                <w:spacing w:val="3"/>
                <w:shd w:val="clear" w:color="auto" w:fill="FFFFFF"/>
              </w:rPr>
              <w:t>. The differences in sample characteristics from the known population values suggest at possible bias in the regression estimates, but the finding that there appears to be insignificant differences between respondents and a proxy for non-respondents on the primary variable of interest implies that these are likely to be limited.</w:t>
            </w:r>
          </w:p>
          <w:p w:rsidR="00AC605B" w:rsidRDefault="00AC605B" w:rsidP="00462B95">
            <w:pPr>
              <w:pStyle w:val="Bibliography"/>
            </w:pPr>
          </w:p>
          <w:p w:rsidR="00AC605B" w:rsidRPr="00B70DB6" w:rsidRDefault="004674DD" w:rsidP="00462B95">
            <w:pPr>
              <w:pStyle w:val="Bibliography"/>
            </w:pPr>
            <w:r>
              <w:fldChar w:fldCharType="begin"/>
            </w:r>
            <w:r w:rsidR="00AC605B">
              <w:instrText xml:space="preserve"> ADDIN ZOTERO_BIBL {"uncited":[],"omitted":[],"custom":[]} CSL_BIBLIOGRAPHY </w:instrText>
            </w:r>
            <w:r>
              <w:fldChar w:fldCharType="separate"/>
            </w:r>
            <w:r w:rsidR="00AC605B" w:rsidRPr="00B70DB6">
              <w:t xml:space="preserve">Andridge, Rebecca R., and Roderick J. A. Little. 2010. “A Review of Hot Deck Imputation for Survey Non-Response.” </w:t>
            </w:r>
            <w:r w:rsidR="00AC605B" w:rsidRPr="00B70DB6">
              <w:rPr>
                <w:i/>
                <w:iCs/>
              </w:rPr>
              <w:t>International Statistical Review</w:t>
            </w:r>
            <w:r w:rsidR="00AC605B" w:rsidRPr="00B70DB6">
              <w:t xml:space="preserve"> 78 (1): 40–64. https://doi.org/10.1111/j.1751-5823.2010.00103.x.</w:t>
            </w:r>
          </w:p>
          <w:p w:rsidR="001200BB" w:rsidRDefault="00AC605B" w:rsidP="00282C6A">
            <w:pPr>
              <w:pStyle w:val="Bibliography"/>
            </w:pPr>
            <w:r w:rsidRPr="00B70DB6">
              <w:t xml:space="preserve">Myers, Teresa A. 2011. “Goodbye, Listwise Deletion: Presenting Hot Deck Imputation as an Easy and Effective Tool for Handling Missing Data.” </w:t>
            </w:r>
            <w:r w:rsidRPr="00B70DB6">
              <w:rPr>
                <w:i/>
                <w:iCs/>
              </w:rPr>
              <w:t>Communication Methods and Measures</w:t>
            </w:r>
            <w:r w:rsidRPr="00B70DB6">
              <w:t xml:space="preserve"> 5 (4): 297–310. https://doi.org/10.1080/19312458.2011.624490.</w:t>
            </w:r>
          </w:p>
          <w:p w:rsidR="00282C6A" w:rsidRPr="00750DC7" w:rsidRDefault="00AC605B" w:rsidP="00750DC7">
            <w:pPr>
              <w:pStyle w:val="Bibliography"/>
            </w:pPr>
            <w:r w:rsidRPr="00B70DB6">
              <w:t xml:space="preserve">Rubin, Donald B. 1996. “Multiple Imputation after 18+ Years.” </w:t>
            </w:r>
            <w:r w:rsidRPr="00B70DB6">
              <w:rPr>
                <w:i/>
                <w:iCs/>
              </w:rPr>
              <w:t>Journal of the American Statistical Association</w:t>
            </w:r>
            <w:r w:rsidRPr="00B70DB6">
              <w:t xml:space="preserve"> 91 (434): 473–89. https://doi.org/10.1080/01621459.1996.10476908.</w:t>
            </w:r>
          </w:p>
          <w:p w:rsidR="005E2456" w:rsidRDefault="004674DD" w:rsidP="009A0724">
            <w:pPr>
              <w:spacing w:line="240" w:lineRule="auto"/>
            </w:pPr>
            <w:r>
              <w:fldChar w:fldCharType="end"/>
            </w:r>
          </w:p>
          <w:p w:rsidR="00282C6A" w:rsidRPr="009A0724" w:rsidRDefault="00282C6A" w:rsidP="00750DC7">
            <w:pPr>
              <w:spacing w:line="240" w:lineRule="auto"/>
              <w:rPr>
                <w:i/>
              </w:rPr>
            </w:pPr>
          </w:p>
        </w:tc>
      </w:tr>
    </w:tbl>
    <w:p w:rsidR="00AC605B" w:rsidRDefault="00AC605B"/>
    <w:p w:rsidR="001200BB" w:rsidRDefault="001200BB"/>
    <w:p w:rsidR="00B8622E" w:rsidRDefault="00A47769">
      <w:r w:rsidRPr="00282C6A">
        <w:rPr>
          <w:b/>
        </w:rPr>
        <w:t>Table S</w:t>
      </w:r>
      <w:r w:rsidR="007C697A" w:rsidRPr="00282C6A">
        <w:rPr>
          <w:b/>
        </w:rPr>
        <w:t>1</w:t>
      </w:r>
      <w:r w:rsidRPr="00282C6A">
        <w:rPr>
          <w:b/>
        </w:rPr>
        <w:t>.</w:t>
      </w:r>
      <w:r w:rsidRPr="00462B95">
        <w:t xml:space="preserve"> </w:t>
      </w:r>
      <w:r w:rsidR="00A73F83">
        <w:t>Covariance matrix for the path analysis</w:t>
      </w:r>
    </w:p>
    <w:tbl>
      <w:tblPr>
        <w:tblW w:w="5000" w:type="pct"/>
        <w:tblBorders>
          <w:top w:val="single" w:sz="4" w:space="0" w:color="auto"/>
          <w:bottom w:val="single" w:sz="4" w:space="0" w:color="auto"/>
          <w:insideH w:val="single" w:sz="4" w:space="0" w:color="auto"/>
        </w:tblBorders>
        <w:tblLook w:val="04A0"/>
      </w:tblPr>
      <w:tblGrid>
        <w:gridCol w:w="2087"/>
        <w:gridCol w:w="1306"/>
        <w:gridCol w:w="1479"/>
        <w:gridCol w:w="123"/>
        <w:gridCol w:w="1607"/>
        <w:gridCol w:w="1605"/>
        <w:gridCol w:w="1369"/>
      </w:tblGrid>
      <w:tr w:rsidR="00E56607" w:rsidRPr="00E56607" w:rsidTr="00E56607">
        <w:trPr>
          <w:trHeight w:val="58"/>
        </w:trPr>
        <w:tc>
          <w:tcPr>
            <w:tcW w:w="1090" w:type="pct"/>
            <w:shd w:val="clear" w:color="auto" w:fill="auto"/>
            <w:vAlign w:val="bottom"/>
            <w:hideMark/>
          </w:tcPr>
          <w:p w:rsidR="00E56607" w:rsidRPr="00E56607" w:rsidRDefault="00E56607" w:rsidP="00E56607">
            <w:pPr>
              <w:spacing w:line="240" w:lineRule="auto"/>
              <w:rPr>
                <w:sz w:val="16"/>
                <w:szCs w:val="16"/>
                <w:lang w:val="en-US" w:eastAsia="en-US"/>
              </w:rPr>
            </w:pPr>
            <w:r w:rsidRPr="00E56607">
              <w:rPr>
                <w:sz w:val="16"/>
                <w:szCs w:val="16"/>
                <w:lang w:val="en-US" w:eastAsia="en-US"/>
              </w:rPr>
              <w:t> </w:t>
            </w:r>
          </w:p>
        </w:tc>
        <w:tc>
          <w:tcPr>
            <w:tcW w:w="682" w:type="pct"/>
            <w:shd w:val="clear" w:color="auto" w:fill="auto"/>
            <w:vAlign w:val="bottom"/>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Female</w:t>
            </w:r>
          </w:p>
        </w:tc>
        <w:tc>
          <w:tcPr>
            <w:tcW w:w="772" w:type="pct"/>
            <w:shd w:val="clear" w:color="auto" w:fill="auto"/>
            <w:vAlign w:val="bottom"/>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Age</w:t>
            </w:r>
          </w:p>
        </w:tc>
        <w:tc>
          <w:tcPr>
            <w:tcW w:w="903" w:type="pct"/>
            <w:gridSpan w:val="2"/>
            <w:shd w:val="clear" w:color="auto" w:fill="auto"/>
            <w:vAlign w:val="bottom"/>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Education</w:t>
            </w:r>
          </w:p>
        </w:tc>
        <w:tc>
          <w:tcPr>
            <w:tcW w:w="838" w:type="pct"/>
            <w:shd w:val="clear" w:color="auto" w:fill="auto"/>
            <w:vAlign w:val="bottom"/>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Income</w:t>
            </w:r>
          </w:p>
        </w:tc>
        <w:tc>
          <w:tcPr>
            <w:tcW w:w="716" w:type="pct"/>
            <w:shd w:val="clear" w:color="auto" w:fill="auto"/>
            <w:vAlign w:val="bottom"/>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Political ideology</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Female</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0.238936242</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-0.054969306</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-0.022996171</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-0.064144508</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0.061564515</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Age</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-0.054969306</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0.964289938</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-0.190206321</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-0.177056331</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-0.107525199</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lastRenderedPageBreak/>
              <w:t>Education</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-0.022996171</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-0.190206321</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1.021183769</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0.52628021</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0.237312083</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Income</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-0.064144508</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-0.177056331</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0.52628021</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1.015383133</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0.078636423</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Political ideology</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0.061564515</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-0.107525199</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0.237312083</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0.078636423</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0.962231462</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Attitudes-Consequences</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0.052049242</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-0.069630004</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0.111391074</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0.032681825</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0.183448501</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Belief certainty</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0.016279988</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-0.016087432</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0.1162102</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0.027030946</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0.233610161</w:t>
            </w:r>
          </w:p>
        </w:tc>
      </w:tr>
      <w:tr w:rsidR="00E56607" w:rsidRPr="00E56607" w:rsidTr="00E56607">
        <w:trPr>
          <w:trHeight w:val="81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Interaction (Consequences x certainty)</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-0.026479706</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0.056096347</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0.06639608</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0.022687825</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0.004021912</w:t>
            </w:r>
          </w:p>
        </w:tc>
      </w:tr>
      <w:tr w:rsidR="00E56607" w:rsidRPr="00E56607" w:rsidTr="00E56607">
        <w:trPr>
          <w:trHeight w:val="456"/>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Issue priority</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0.058320011</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0.016513077</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-0.033956079</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-0.080915564</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0.18265004</w:t>
            </w:r>
          </w:p>
        </w:tc>
      </w:tr>
      <w:tr w:rsidR="00E56607" w:rsidRPr="00E56607" w:rsidTr="00E56607">
        <w:trPr>
          <w:trHeight w:val="408"/>
        </w:trPr>
        <w:tc>
          <w:tcPr>
            <w:tcW w:w="1090" w:type="pct"/>
            <w:shd w:val="clear" w:color="auto" w:fill="auto"/>
            <w:vAlign w:val="center"/>
            <w:hideMark/>
          </w:tcPr>
          <w:p w:rsidR="00E56607" w:rsidRPr="00E56607" w:rsidRDefault="00E56607" w:rsidP="00E56607">
            <w:pPr>
              <w:spacing w:line="240" w:lineRule="auto"/>
              <w:jc w:val="center"/>
              <w:rPr>
                <w:b/>
                <w:sz w:val="16"/>
                <w:szCs w:val="16"/>
                <w:lang w:val="en-US" w:eastAsia="en-US"/>
              </w:rPr>
            </w:pPr>
            <w:r w:rsidRPr="00E56607">
              <w:rPr>
                <w:b/>
                <w:sz w:val="16"/>
                <w:szCs w:val="16"/>
                <w:lang w:val="en-US" w:eastAsia="en-US"/>
              </w:rPr>
              <w:t>Policy support</w:t>
            </w:r>
          </w:p>
        </w:tc>
        <w:tc>
          <w:tcPr>
            <w:tcW w:w="682"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0.075742095</w:t>
            </w:r>
          </w:p>
        </w:tc>
        <w:tc>
          <w:tcPr>
            <w:tcW w:w="836" w:type="pct"/>
            <w:gridSpan w:val="2"/>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0.013393705</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0.101224249</w:t>
            </w:r>
          </w:p>
        </w:tc>
        <w:tc>
          <w:tcPr>
            <w:tcW w:w="838"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0.010911939</w:t>
            </w:r>
          </w:p>
        </w:tc>
        <w:tc>
          <w:tcPr>
            <w:tcW w:w="716" w:type="pct"/>
            <w:shd w:val="clear" w:color="auto" w:fill="auto"/>
            <w:vAlign w:val="center"/>
            <w:hideMark/>
          </w:tcPr>
          <w:p w:rsidR="00E56607" w:rsidRPr="00E56607" w:rsidRDefault="00E56607" w:rsidP="00E56607">
            <w:pPr>
              <w:spacing w:line="240" w:lineRule="auto"/>
              <w:jc w:val="center"/>
              <w:rPr>
                <w:sz w:val="16"/>
                <w:szCs w:val="16"/>
                <w:lang w:val="en-US" w:eastAsia="en-US"/>
              </w:rPr>
            </w:pPr>
            <w:r w:rsidRPr="00E56607">
              <w:rPr>
                <w:sz w:val="16"/>
                <w:szCs w:val="16"/>
                <w:lang w:val="en-US" w:eastAsia="en-US"/>
              </w:rPr>
              <w:t>0.278424028</w:t>
            </w:r>
          </w:p>
        </w:tc>
      </w:tr>
    </w:tbl>
    <w:p w:rsidR="00B35722" w:rsidRPr="00E56607" w:rsidRDefault="00B35722">
      <w:pPr>
        <w:rPr>
          <w:sz w:val="16"/>
          <w:szCs w:val="16"/>
        </w:rPr>
      </w:pPr>
    </w:p>
    <w:tbl>
      <w:tblPr>
        <w:tblW w:w="5000" w:type="pct"/>
        <w:tblBorders>
          <w:top w:val="single" w:sz="4" w:space="0" w:color="auto"/>
          <w:bottom w:val="single" w:sz="4" w:space="0" w:color="auto"/>
          <w:insideH w:val="single" w:sz="4" w:space="0" w:color="auto"/>
        </w:tblBorders>
        <w:tblLook w:val="04A0"/>
      </w:tblPr>
      <w:tblGrid>
        <w:gridCol w:w="1851"/>
        <w:gridCol w:w="1853"/>
        <w:gridCol w:w="1397"/>
        <w:gridCol w:w="2005"/>
        <w:gridCol w:w="1237"/>
        <w:gridCol w:w="1233"/>
      </w:tblGrid>
      <w:tr w:rsidR="00E56607" w:rsidRPr="00E56607" w:rsidTr="00E56607">
        <w:trPr>
          <w:trHeight w:val="58"/>
        </w:trPr>
        <w:tc>
          <w:tcPr>
            <w:tcW w:w="966" w:type="pct"/>
            <w:shd w:val="clear" w:color="auto" w:fill="auto"/>
            <w:vAlign w:val="bottom"/>
            <w:hideMark/>
          </w:tcPr>
          <w:p w:rsidR="00E56607" w:rsidRPr="00E56607" w:rsidRDefault="00E56607" w:rsidP="00B36420">
            <w:pPr>
              <w:spacing w:line="240" w:lineRule="auto"/>
              <w:rPr>
                <w:sz w:val="16"/>
                <w:szCs w:val="16"/>
                <w:lang w:val="en-US" w:eastAsia="en-US"/>
              </w:rPr>
            </w:pPr>
            <w:r w:rsidRPr="00E56607">
              <w:rPr>
                <w:sz w:val="16"/>
                <w:szCs w:val="16"/>
                <w:lang w:val="en-US" w:eastAsia="en-US"/>
              </w:rPr>
              <w:t> </w:t>
            </w:r>
          </w:p>
        </w:tc>
        <w:tc>
          <w:tcPr>
            <w:tcW w:w="967" w:type="pct"/>
            <w:shd w:val="clear" w:color="auto" w:fill="auto"/>
            <w:vAlign w:val="bottom"/>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Attitudes-Consequences</w:t>
            </w:r>
          </w:p>
        </w:tc>
        <w:tc>
          <w:tcPr>
            <w:tcW w:w="729" w:type="pct"/>
            <w:shd w:val="clear" w:color="auto" w:fill="auto"/>
            <w:vAlign w:val="bottom"/>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Belief certainty</w:t>
            </w:r>
          </w:p>
        </w:tc>
        <w:tc>
          <w:tcPr>
            <w:tcW w:w="1047" w:type="pct"/>
            <w:shd w:val="clear" w:color="auto" w:fill="auto"/>
            <w:vAlign w:val="bottom"/>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Interaction (Consequences x certainty)</w:t>
            </w:r>
          </w:p>
        </w:tc>
        <w:tc>
          <w:tcPr>
            <w:tcW w:w="646" w:type="pct"/>
            <w:shd w:val="clear" w:color="auto" w:fill="auto"/>
            <w:vAlign w:val="bottom"/>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Issue priority</w:t>
            </w:r>
          </w:p>
        </w:tc>
        <w:tc>
          <w:tcPr>
            <w:tcW w:w="644" w:type="pct"/>
            <w:shd w:val="clear" w:color="auto" w:fill="auto"/>
            <w:vAlign w:val="bottom"/>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Policy support</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Female</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0.052049242</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0.016279988</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-0.026479706</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0.058320011</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0.075742095</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Age</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-0.069630004</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-0.016087432</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0.056096347</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0.016513077</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0.013393705</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Education</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0.111391074</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0.1162102</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0.06639608</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-0.033956079</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0.101224249</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Income</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0.032681825</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0.027030946</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0.022687825</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-0.080915564</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0.010911939</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Political ideology</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0.183448501</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0.233610161</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0.004021912</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0.18265004</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0.278424028</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Attitudes-Consequences</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0.996812845</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0.403935786</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-0.009097636</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0.323642283</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0.43009324</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Belief certainty</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0.403935786</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0.927931564</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0.040261118</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0.249838636</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0.336545739</w:t>
            </w:r>
          </w:p>
        </w:tc>
      </w:tr>
      <w:tr w:rsidR="00E56607" w:rsidRPr="00E56607" w:rsidTr="00E56607">
        <w:trPr>
          <w:trHeight w:val="81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Interaction (Consequences x certainty)</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-0.009097636</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0.040261118</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0.948390394</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-0.047665222</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-0.103843823</w:t>
            </w:r>
          </w:p>
        </w:tc>
      </w:tr>
      <w:tr w:rsidR="00E56607" w:rsidRPr="00E56607" w:rsidTr="00E56607">
        <w:trPr>
          <w:trHeight w:val="456"/>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Issue priority</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0.323642283</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0.249838636</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-0.047665222</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0.911757485</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0.436815559</w:t>
            </w:r>
          </w:p>
        </w:tc>
      </w:tr>
      <w:tr w:rsidR="00E56607" w:rsidRPr="00E56607" w:rsidTr="00E56607">
        <w:trPr>
          <w:trHeight w:val="408"/>
        </w:trPr>
        <w:tc>
          <w:tcPr>
            <w:tcW w:w="966" w:type="pct"/>
            <w:shd w:val="clear" w:color="auto" w:fill="auto"/>
            <w:vAlign w:val="center"/>
            <w:hideMark/>
          </w:tcPr>
          <w:p w:rsidR="00E56607" w:rsidRPr="00E56607" w:rsidRDefault="00E56607" w:rsidP="00B36420">
            <w:pPr>
              <w:spacing w:line="240" w:lineRule="auto"/>
              <w:jc w:val="center"/>
              <w:rPr>
                <w:b/>
                <w:sz w:val="16"/>
                <w:szCs w:val="16"/>
                <w:lang w:val="en-US" w:eastAsia="en-US"/>
              </w:rPr>
            </w:pPr>
            <w:r w:rsidRPr="00E56607">
              <w:rPr>
                <w:b/>
                <w:sz w:val="16"/>
                <w:szCs w:val="16"/>
                <w:lang w:val="en-US" w:eastAsia="en-US"/>
              </w:rPr>
              <w:t>Policy support</w:t>
            </w:r>
          </w:p>
        </w:tc>
        <w:tc>
          <w:tcPr>
            <w:tcW w:w="96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0.43009324</w:t>
            </w:r>
          </w:p>
        </w:tc>
        <w:tc>
          <w:tcPr>
            <w:tcW w:w="729"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0.336545739</w:t>
            </w:r>
          </w:p>
        </w:tc>
        <w:tc>
          <w:tcPr>
            <w:tcW w:w="1047"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-0.103843823</w:t>
            </w:r>
          </w:p>
        </w:tc>
        <w:tc>
          <w:tcPr>
            <w:tcW w:w="646"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0.436815559</w:t>
            </w:r>
          </w:p>
        </w:tc>
        <w:tc>
          <w:tcPr>
            <w:tcW w:w="644" w:type="pct"/>
            <w:shd w:val="clear" w:color="auto" w:fill="auto"/>
            <w:vAlign w:val="center"/>
            <w:hideMark/>
          </w:tcPr>
          <w:p w:rsidR="00E56607" w:rsidRPr="00E56607" w:rsidRDefault="00E56607" w:rsidP="00B36420">
            <w:pPr>
              <w:spacing w:line="240" w:lineRule="auto"/>
              <w:jc w:val="center"/>
              <w:rPr>
                <w:sz w:val="16"/>
                <w:szCs w:val="16"/>
                <w:lang w:val="en-US" w:eastAsia="en-US"/>
              </w:rPr>
            </w:pPr>
            <w:r w:rsidRPr="00E56607">
              <w:rPr>
                <w:sz w:val="16"/>
                <w:szCs w:val="16"/>
                <w:lang w:val="en-US" w:eastAsia="en-US"/>
              </w:rPr>
              <w:t>0.971221178</w:t>
            </w:r>
          </w:p>
        </w:tc>
      </w:tr>
    </w:tbl>
    <w:p w:rsidR="00E56607" w:rsidRDefault="00E56607">
      <w:r w:rsidRPr="00E56607">
        <w:rPr>
          <w:i/>
          <w:iCs/>
          <w:sz w:val="16"/>
          <w:szCs w:val="16"/>
          <w:lang w:val="en-US" w:eastAsia="en-US"/>
        </w:rPr>
        <w:t>n</w:t>
      </w:r>
      <w:r w:rsidRPr="00E56607">
        <w:rPr>
          <w:sz w:val="16"/>
          <w:szCs w:val="16"/>
          <w:lang w:val="en-US" w:eastAsia="en-US"/>
        </w:rPr>
        <w:t>=1891</w:t>
      </w:r>
    </w:p>
    <w:p w:rsidR="009E56BA" w:rsidRDefault="009E56BA"/>
    <w:p w:rsidR="00E40003" w:rsidRDefault="00E041EF">
      <w:r w:rsidRPr="00282C6A">
        <w:rPr>
          <w:b/>
        </w:rPr>
        <w:t>Table S2.</w:t>
      </w:r>
      <w:r>
        <w:t xml:space="preserve"> </w:t>
      </w:r>
      <w:r w:rsidR="00BA443A">
        <w:t>Coefficients and correlations</w:t>
      </w:r>
      <w:r>
        <w:t xml:space="preserve"> </w:t>
      </w:r>
      <w:r w:rsidR="00BA443A">
        <w:t>of</w:t>
      </w:r>
      <w:r>
        <w:t xml:space="preserve"> the path analysis model</w:t>
      </w:r>
    </w:p>
    <w:tbl>
      <w:tblPr>
        <w:tblW w:w="0" w:type="auto"/>
        <w:tblLayout w:type="fixed"/>
        <w:tblLook w:val="04A0"/>
      </w:tblPr>
      <w:tblGrid>
        <w:gridCol w:w="3705"/>
        <w:gridCol w:w="430"/>
        <w:gridCol w:w="2280"/>
        <w:gridCol w:w="1055"/>
        <w:gridCol w:w="1890"/>
      </w:tblGrid>
      <w:tr w:rsidR="00305C34" w:rsidRPr="00305C34" w:rsidTr="00305C34">
        <w:trPr>
          <w:trHeight w:val="312"/>
        </w:trPr>
        <w:tc>
          <w:tcPr>
            <w:tcW w:w="6415" w:type="dxa"/>
            <w:gridSpan w:val="3"/>
            <w:tcBorders>
              <w:top w:val="nil"/>
              <w:left w:val="nil"/>
              <w:bottom w:val="nil"/>
              <w:right w:val="nil"/>
            </w:tcBorders>
            <w:shd w:val="clear" w:color="auto" w:fill="auto"/>
            <w:noWrap/>
            <w:vAlign w:val="bottom"/>
            <w:hideMark/>
          </w:tcPr>
          <w:p w:rsidR="00305C34" w:rsidRPr="00305C34" w:rsidRDefault="00305C34" w:rsidP="00305C34">
            <w:pPr>
              <w:spacing w:line="240" w:lineRule="auto"/>
              <w:rPr>
                <w:color w:val="000000"/>
                <w:lang w:val="en-US" w:eastAsia="en-US"/>
              </w:rPr>
            </w:pPr>
            <w:r w:rsidRPr="00305C34">
              <w:rPr>
                <w:b/>
                <w:bCs/>
                <w:color w:val="000000"/>
                <w:lang w:val="en-US" w:eastAsia="en-US"/>
              </w:rPr>
              <w:t>Path analysis coefficients</w:t>
            </w:r>
            <w:r w:rsidRPr="00305C34">
              <w:rPr>
                <w:color w:val="000000"/>
                <w:lang w:val="en-US" w:eastAsia="en-US"/>
              </w:rPr>
              <w:t xml:space="preserve"> </w:t>
            </w:r>
            <w:r w:rsidRPr="00305C34">
              <w:rPr>
                <w:i/>
                <w:iCs/>
                <w:color w:val="000000"/>
                <w:lang w:val="en-US" w:eastAsia="en-US"/>
              </w:rPr>
              <w:t xml:space="preserve">(Standardized, </w:t>
            </w:r>
            <w:r>
              <w:rPr>
                <w:i/>
                <w:iCs/>
                <w:color w:val="000000"/>
                <w:lang w:val="en-US" w:eastAsia="en-US"/>
              </w:rPr>
              <w:t xml:space="preserve">except </w:t>
            </w:r>
            <w:r w:rsidRPr="00305C34">
              <w:rPr>
                <w:i/>
                <w:iCs/>
                <w:color w:val="000000"/>
                <w:lang w:val="en-US" w:eastAsia="en-US"/>
              </w:rPr>
              <w:t>gender)</w:t>
            </w:r>
          </w:p>
        </w:tc>
        <w:tc>
          <w:tcPr>
            <w:tcW w:w="1055" w:type="dxa"/>
            <w:tcBorders>
              <w:top w:val="nil"/>
              <w:left w:val="nil"/>
              <w:bottom w:val="nil"/>
              <w:right w:val="nil"/>
            </w:tcBorders>
            <w:shd w:val="clear" w:color="auto" w:fill="auto"/>
            <w:vAlign w:val="center"/>
            <w:hideMark/>
          </w:tcPr>
          <w:p w:rsidR="00305C34" w:rsidRPr="00305C34" w:rsidRDefault="00305C34" w:rsidP="00305C34">
            <w:pPr>
              <w:spacing w:line="240" w:lineRule="auto"/>
              <w:jc w:val="center"/>
              <w:rPr>
                <w:rFonts w:ascii="Calibri" w:hAnsi="Calibri" w:cs="Calibri"/>
                <w:color w:val="000000"/>
                <w:lang w:val="en-US" w:eastAsia="en-US"/>
              </w:rPr>
            </w:pPr>
            <w:r w:rsidRPr="00305C34">
              <w:rPr>
                <w:rFonts w:ascii="Calibri" w:hAnsi="Calibri" w:cs="Calibri"/>
                <w:color w:val="000000"/>
                <w:lang w:val="en-US" w:eastAsia="en-US"/>
              </w:rPr>
              <w:t>β</w:t>
            </w:r>
          </w:p>
        </w:tc>
        <w:tc>
          <w:tcPr>
            <w:tcW w:w="1890" w:type="dxa"/>
            <w:tcBorders>
              <w:top w:val="nil"/>
              <w:left w:val="nil"/>
              <w:bottom w:val="nil"/>
              <w:right w:val="nil"/>
            </w:tcBorders>
            <w:shd w:val="clear" w:color="auto" w:fill="auto"/>
            <w:noWrap/>
            <w:vAlign w:val="bottom"/>
            <w:hideMark/>
          </w:tcPr>
          <w:p w:rsidR="00305C34" w:rsidRPr="00305C34" w:rsidRDefault="00D94333" w:rsidP="00FA49AD">
            <w:pPr>
              <w:spacing w:line="240" w:lineRule="auto"/>
              <w:jc w:val="center"/>
              <w:rPr>
                <w:rFonts w:ascii="Calibri" w:hAnsi="Calibri" w:cs="Calibri"/>
                <w:color w:val="000000"/>
                <w:lang w:val="en-US" w:eastAsia="en-US"/>
              </w:rPr>
            </w:pPr>
            <w:r w:rsidRPr="00305C34">
              <w:rPr>
                <w:i/>
                <w:iCs/>
                <w:color w:val="000000"/>
                <w:lang w:val="en-US" w:eastAsia="en-US"/>
              </w:rPr>
              <w:t>p</w:t>
            </w:r>
          </w:p>
        </w:tc>
      </w:tr>
      <w:tr w:rsidR="00305C34" w:rsidRPr="00305C34" w:rsidTr="00E10692">
        <w:trPr>
          <w:trHeight w:val="312"/>
        </w:trPr>
        <w:tc>
          <w:tcPr>
            <w:tcW w:w="3705" w:type="dxa"/>
            <w:tcBorders>
              <w:top w:val="nil"/>
              <w:left w:val="nil"/>
              <w:bottom w:val="nil"/>
              <w:right w:val="nil"/>
            </w:tcBorders>
            <w:shd w:val="clear" w:color="auto" w:fill="auto"/>
            <w:noWrap/>
            <w:vAlign w:val="bottom"/>
            <w:hideMark/>
          </w:tcPr>
          <w:p w:rsidR="00305C34" w:rsidRPr="00305C34" w:rsidRDefault="00305C34" w:rsidP="00305C34">
            <w:pPr>
              <w:spacing w:line="240" w:lineRule="auto"/>
              <w:rPr>
                <w:color w:val="000000"/>
                <w:lang w:val="en-US" w:eastAsia="en-US"/>
              </w:rPr>
            </w:pPr>
            <w:r w:rsidRPr="00305C34">
              <w:rPr>
                <w:color w:val="000000"/>
                <w:lang w:val="en-US" w:eastAsia="en-US"/>
              </w:rPr>
              <w:t>Female</w:t>
            </w:r>
          </w:p>
        </w:tc>
        <w:tc>
          <w:tcPr>
            <w:tcW w:w="430" w:type="dxa"/>
            <w:tcBorders>
              <w:top w:val="single" w:sz="4" w:space="0" w:color="auto"/>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single" w:sz="4" w:space="0" w:color="auto"/>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Issue </w:t>
            </w:r>
            <w:r w:rsidR="00FA49AD">
              <w:rPr>
                <w:color w:val="000000"/>
                <w:lang w:val="en-US" w:eastAsia="en-US"/>
              </w:rPr>
              <w:t>priority</w:t>
            </w:r>
          </w:p>
        </w:tc>
        <w:tc>
          <w:tcPr>
            <w:tcW w:w="1055" w:type="dxa"/>
            <w:tcBorders>
              <w:top w:val="single" w:sz="4" w:space="0" w:color="auto"/>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w:t>
            </w:r>
            <w:r w:rsidR="00B03DE4">
              <w:rPr>
                <w:color w:val="000000"/>
                <w:lang w:val="en-US" w:eastAsia="en-US"/>
              </w:rPr>
              <w:t>06</w:t>
            </w:r>
          </w:p>
        </w:tc>
        <w:tc>
          <w:tcPr>
            <w:tcW w:w="1890" w:type="dxa"/>
            <w:tcBorders>
              <w:top w:val="single" w:sz="4" w:space="0" w:color="auto"/>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single" w:sz="4" w:space="0" w:color="auto"/>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Education</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Issue </w:t>
            </w:r>
            <w:r w:rsidR="00FA49AD">
              <w:rPr>
                <w:color w:val="000000"/>
                <w:lang w:val="en-US" w:eastAsia="en-US"/>
              </w:rPr>
              <w:t>priority</w:t>
            </w:r>
          </w:p>
        </w:tc>
        <w:tc>
          <w:tcPr>
            <w:tcW w:w="1055"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w:t>
            </w:r>
            <w:r w:rsidR="00B03DE4">
              <w:rPr>
                <w:color w:val="000000"/>
                <w:lang w:val="en-US" w:eastAsia="en-US"/>
              </w:rPr>
              <w:t>07</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B35722" w:rsidRPr="00305C34" w:rsidTr="00E10692">
        <w:trPr>
          <w:trHeight w:val="312"/>
        </w:trPr>
        <w:tc>
          <w:tcPr>
            <w:tcW w:w="3705" w:type="dxa"/>
            <w:tcBorders>
              <w:top w:val="single" w:sz="4" w:space="0" w:color="auto"/>
              <w:left w:val="nil"/>
              <w:bottom w:val="single" w:sz="4" w:space="0" w:color="auto"/>
              <w:right w:val="nil"/>
            </w:tcBorders>
            <w:shd w:val="clear" w:color="auto" w:fill="auto"/>
            <w:vAlign w:val="center"/>
          </w:tcPr>
          <w:p w:rsidR="00B35722" w:rsidRPr="00305C34" w:rsidRDefault="00B35722" w:rsidP="00B35722">
            <w:pPr>
              <w:spacing w:line="240" w:lineRule="auto"/>
              <w:rPr>
                <w:lang w:val="en-US" w:eastAsia="en-US"/>
              </w:rPr>
            </w:pPr>
            <w:r>
              <w:rPr>
                <w:lang w:val="en-US" w:eastAsia="en-US"/>
              </w:rPr>
              <w:t>Income</w:t>
            </w:r>
          </w:p>
        </w:tc>
        <w:tc>
          <w:tcPr>
            <w:tcW w:w="430" w:type="dxa"/>
            <w:tcBorders>
              <w:top w:val="nil"/>
              <w:left w:val="nil"/>
              <w:bottom w:val="single" w:sz="4" w:space="0" w:color="auto"/>
              <w:right w:val="nil"/>
            </w:tcBorders>
            <w:shd w:val="clear" w:color="auto" w:fill="auto"/>
            <w:noWrap/>
            <w:vAlign w:val="center"/>
          </w:tcPr>
          <w:p w:rsidR="00B35722" w:rsidRPr="00305C34" w:rsidRDefault="00B35722" w:rsidP="00B35722">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tcPr>
          <w:p w:rsidR="00B35722" w:rsidRPr="00305C34" w:rsidRDefault="00B35722" w:rsidP="00B35722">
            <w:pPr>
              <w:spacing w:line="240" w:lineRule="auto"/>
              <w:rPr>
                <w:color w:val="000000"/>
                <w:lang w:val="en-US" w:eastAsia="en-US"/>
              </w:rPr>
            </w:pPr>
            <w:r w:rsidRPr="00305C34">
              <w:rPr>
                <w:color w:val="000000"/>
                <w:lang w:val="en-US" w:eastAsia="en-US"/>
              </w:rPr>
              <w:t xml:space="preserve">Issue </w:t>
            </w:r>
            <w:r>
              <w:rPr>
                <w:color w:val="000000"/>
                <w:lang w:val="en-US" w:eastAsia="en-US"/>
              </w:rPr>
              <w:t>priority</w:t>
            </w:r>
          </w:p>
        </w:tc>
        <w:tc>
          <w:tcPr>
            <w:tcW w:w="1055" w:type="dxa"/>
            <w:tcBorders>
              <w:top w:val="nil"/>
              <w:left w:val="nil"/>
              <w:bottom w:val="single" w:sz="4" w:space="0" w:color="auto"/>
              <w:right w:val="nil"/>
            </w:tcBorders>
            <w:shd w:val="clear" w:color="auto" w:fill="auto"/>
            <w:noWrap/>
            <w:vAlign w:val="center"/>
          </w:tcPr>
          <w:p w:rsidR="00B35722" w:rsidRPr="00305C34" w:rsidRDefault="00B03DE4" w:rsidP="00B35722">
            <w:pPr>
              <w:spacing w:line="240" w:lineRule="auto"/>
              <w:jc w:val="center"/>
              <w:rPr>
                <w:color w:val="000000"/>
                <w:lang w:val="en-US" w:eastAsia="en-US"/>
              </w:rPr>
            </w:pPr>
            <w:r w:rsidRPr="00305C34">
              <w:rPr>
                <w:color w:val="000000"/>
                <w:lang w:val="en-US" w:eastAsia="en-US"/>
              </w:rPr>
              <w:t>-0.</w:t>
            </w:r>
            <w:r>
              <w:rPr>
                <w:color w:val="000000"/>
                <w:lang w:val="en-US" w:eastAsia="en-US"/>
              </w:rPr>
              <w:t>06</w:t>
            </w:r>
          </w:p>
        </w:tc>
        <w:tc>
          <w:tcPr>
            <w:tcW w:w="1890" w:type="dxa"/>
            <w:tcBorders>
              <w:top w:val="nil"/>
              <w:left w:val="nil"/>
              <w:bottom w:val="single" w:sz="4" w:space="0" w:color="auto"/>
              <w:right w:val="nil"/>
            </w:tcBorders>
            <w:shd w:val="clear" w:color="auto" w:fill="auto"/>
            <w:noWrap/>
            <w:vAlign w:val="center"/>
          </w:tcPr>
          <w:p w:rsidR="00B35722" w:rsidRDefault="00B03DE4" w:rsidP="00B35722">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lastRenderedPageBreak/>
              <w:t>Political ideology</w:t>
            </w:r>
            <w:r w:rsidRPr="00305C34">
              <w:rPr>
                <w:i/>
                <w:iCs/>
                <w:lang w:val="en-US" w:eastAsia="en-US"/>
              </w:rPr>
              <w:t xml:space="preserve"> </w:t>
            </w:r>
            <w:r w:rsidR="00FA49AD">
              <w:rPr>
                <w:i/>
                <w:iCs/>
                <w:lang w:val="en-US" w:eastAsia="en-US"/>
              </w:rPr>
              <w:t xml:space="preserve"> </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Issue </w:t>
            </w:r>
            <w:r w:rsidR="00FA49AD">
              <w:rPr>
                <w:color w:val="000000"/>
                <w:lang w:val="en-US" w:eastAsia="en-US"/>
              </w:rPr>
              <w:t>priority</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0.1</w:t>
            </w:r>
            <w:r w:rsidR="00203E38">
              <w:rPr>
                <w:color w:val="000000"/>
                <w:lang w:val="en-US" w:eastAsia="en-US"/>
              </w:rPr>
              <w:t>3</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Female</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Policy </w:t>
            </w:r>
            <w:r w:rsidR="00FA49AD">
              <w:rPr>
                <w:color w:val="000000"/>
                <w:lang w:val="en-US" w:eastAsia="en-US"/>
              </w:rPr>
              <w:t>support</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w:t>
            </w:r>
            <w:r w:rsidR="00B03DE4">
              <w:rPr>
                <w:color w:val="000000"/>
                <w:lang w:val="en-US" w:eastAsia="en-US"/>
              </w:rPr>
              <w:t>08</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Age</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Policy </w:t>
            </w:r>
            <w:r w:rsidR="00FA49AD">
              <w:rPr>
                <w:color w:val="000000"/>
                <w:lang w:val="en-US" w:eastAsia="en-US"/>
              </w:rPr>
              <w:t>support</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0.07</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Education</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Policy </w:t>
            </w:r>
            <w:r w:rsidR="00FA49AD">
              <w:rPr>
                <w:color w:val="000000"/>
                <w:lang w:val="en-US" w:eastAsia="en-US"/>
              </w:rPr>
              <w:t>support</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w:t>
            </w:r>
            <w:r w:rsidR="00B03DE4">
              <w:rPr>
                <w:color w:val="000000"/>
                <w:lang w:val="en-US" w:eastAsia="en-US"/>
              </w:rPr>
              <w:t>6</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Political ideology</w:t>
            </w:r>
          </w:p>
        </w:tc>
        <w:tc>
          <w:tcPr>
            <w:tcW w:w="430"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 xml:space="preserve">Policy </w:t>
            </w:r>
            <w:r w:rsidR="00FA49AD">
              <w:rPr>
                <w:color w:val="000000"/>
                <w:lang w:val="en-US" w:eastAsia="en-US"/>
              </w:rPr>
              <w:t>support</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0.1</w:t>
            </w:r>
            <w:r w:rsidR="00B03DE4">
              <w:rPr>
                <w:color w:val="000000"/>
                <w:lang w:val="en-US" w:eastAsia="en-US"/>
              </w:rPr>
              <w:t>3</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nil"/>
              <w:right w:val="nil"/>
            </w:tcBorders>
            <w:shd w:val="clear" w:color="auto" w:fill="auto"/>
            <w:vAlign w:val="center"/>
            <w:hideMark/>
          </w:tcPr>
          <w:p w:rsidR="00305C34" w:rsidRPr="00305C34" w:rsidRDefault="00305C34" w:rsidP="00305C34">
            <w:pPr>
              <w:spacing w:line="240" w:lineRule="auto"/>
              <w:rPr>
                <w:color w:val="000000"/>
                <w:lang w:val="en-US" w:eastAsia="en-US"/>
              </w:rPr>
            </w:pPr>
          </w:p>
        </w:tc>
        <w:tc>
          <w:tcPr>
            <w:tcW w:w="430" w:type="dxa"/>
            <w:tcBorders>
              <w:top w:val="nil"/>
              <w:left w:val="nil"/>
              <w:bottom w:val="nil"/>
              <w:right w:val="nil"/>
            </w:tcBorders>
            <w:shd w:val="clear" w:color="auto" w:fill="auto"/>
            <w:noWrap/>
            <w:vAlign w:val="center"/>
            <w:hideMark/>
          </w:tcPr>
          <w:p w:rsidR="00305C34" w:rsidRPr="00305C34" w:rsidRDefault="00305C34" w:rsidP="00305C34">
            <w:pPr>
              <w:spacing w:line="240" w:lineRule="auto"/>
              <w:rPr>
                <w:sz w:val="20"/>
                <w:szCs w:val="20"/>
                <w:lang w:val="en-US" w:eastAsia="en-US"/>
              </w:rPr>
            </w:pPr>
          </w:p>
        </w:tc>
        <w:tc>
          <w:tcPr>
            <w:tcW w:w="2280" w:type="dxa"/>
            <w:tcBorders>
              <w:top w:val="nil"/>
              <w:left w:val="nil"/>
              <w:bottom w:val="nil"/>
              <w:right w:val="nil"/>
            </w:tcBorders>
            <w:shd w:val="clear" w:color="auto" w:fill="auto"/>
            <w:vAlign w:val="center"/>
            <w:hideMark/>
          </w:tcPr>
          <w:p w:rsidR="00305C34" w:rsidRPr="00305C34" w:rsidRDefault="00305C34" w:rsidP="00305C34">
            <w:pPr>
              <w:spacing w:line="240" w:lineRule="auto"/>
              <w:jc w:val="center"/>
              <w:rPr>
                <w:sz w:val="20"/>
                <w:szCs w:val="20"/>
                <w:lang w:val="en-US" w:eastAsia="en-US"/>
              </w:rPr>
            </w:pPr>
          </w:p>
        </w:tc>
        <w:tc>
          <w:tcPr>
            <w:tcW w:w="1055" w:type="dxa"/>
            <w:tcBorders>
              <w:top w:val="nil"/>
              <w:left w:val="nil"/>
              <w:bottom w:val="nil"/>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 </w:t>
            </w:r>
          </w:p>
        </w:tc>
        <w:tc>
          <w:tcPr>
            <w:tcW w:w="1890" w:type="dxa"/>
            <w:tcBorders>
              <w:top w:val="nil"/>
              <w:left w:val="nil"/>
              <w:bottom w:val="nil"/>
              <w:right w:val="nil"/>
            </w:tcBorders>
            <w:shd w:val="clear" w:color="auto" w:fill="auto"/>
            <w:noWrap/>
            <w:vAlign w:val="center"/>
            <w:hideMark/>
          </w:tcPr>
          <w:p w:rsidR="00305C34" w:rsidRPr="00305C34" w:rsidRDefault="00305C34" w:rsidP="00FA49AD">
            <w:pPr>
              <w:spacing w:line="240" w:lineRule="auto"/>
              <w:jc w:val="center"/>
              <w:rPr>
                <w:color w:val="000000"/>
                <w:lang w:val="en-US" w:eastAsia="en-US"/>
              </w:rPr>
            </w:pPr>
          </w:p>
        </w:tc>
      </w:tr>
      <w:tr w:rsidR="00305C34" w:rsidRPr="00305C34" w:rsidTr="00E10692">
        <w:trPr>
          <w:trHeight w:val="312"/>
        </w:trPr>
        <w:tc>
          <w:tcPr>
            <w:tcW w:w="3705" w:type="dxa"/>
            <w:tcBorders>
              <w:top w:val="nil"/>
              <w:left w:val="nil"/>
              <w:bottom w:val="nil"/>
              <w:right w:val="nil"/>
            </w:tcBorders>
            <w:shd w:val="clear" w:color="auto" w:fill="auto"/>
            <w:vAlign w:val="center"/>
            <w:hideMark/>
          </w:tcPr>
          <w:p w:rsidR="00305C34" w:rsidRPr="00305C34" w:rsidRDefault="00305C34" w:rsidP="00305C34">
            <w:pPr>
              <w:spacing w:line="240" w:lineRule="auto"/>
              <w:rPr>
                <w:b/>
                <w:bCs/>
                <w:lang w:val="en-US" w:eastAsia="en-US"/>
              </w:rPr>
            </w:pPr>
            <w:r w:rsidRPr="00305C34">
              <w:rPr>
                <w:b/>
                <w:bCs/>
                <w:lang w:val="en-US" w:eastAsia="en-US"/>
              </w:rPr>
              <w:t>Correlations</w:t>
            </w:r>
          </w:p>
        </w:tc>
        <w:tc>
          <w:tcPr>
            <w:tcW w:w="430" w:type="dxa"/>
            <w:tcBorders>
              <w:top w:val="nil"/>
              <w:left w:val="nil"/>
              <w:bottom w:val="nil"/>
              <w:right w:val="nil"/>
            </w:tcBorders>
            <w:shd w:val="clear" w:color="auto" w:fill="auto"/>
            <w:noWrap/>
            <w:vAlign w:val="bottom"/>
            <w:hideMark/>
          </w:tcPr>
          <w:p w:rsidR="00305C34" w:rsidRPr="00305C34" w:rsidRDefault="00305C34" w:rsidP="00305C34">
            <w:pPr>
              <w:spacing w:line="240" w:lineRule="auto"/>
              <w:rPr>
                <w:b/>
                <w:bCs/>
                <w:lang w:val="en-US" w:eastAsia="en-US"/>
              </w:rPr>
            </w:pPr>
          </w:p>
        </w:tc>
        <w:tc>
          <w:tcPr>
            <w:tcW w:w="2280" w:type="dxa"/>
            <w:tcBorders>
              <w:top w:val="nil"/>
              <w:left w:val="nil"/>
              <w:bottom w:val="nil"/>
              <w:right w:val="nil"/>
            </w:tcBorders>
            <w:shd w:val="clear" w:color="auto" w:fill="auto"/>
            <w:noWrap/>
            <w:vAlign w:val="bottom"/>
            <w:hideMark/>
          </w:tcPr>
          <w:p w:rsidR="00305C34" w:rsidRPr="00305C34" w:rsidRDefault="00305C34" w:rsidP="00305C34">
            <w:pPr>
              <w:spacing w:line="240" w:lineRule="auto"/>
              <w:jc w:val="center"/>
              <w:rPr>
                <w:sz w:val="20"/>
                <w:szCs w:val="20"/>
                <w:lang w:val="en-US" w:eastAsia="en-US"/>
              </w:rPr>
            </w:pP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i/>
                <w:iCs/>
                <w:color w:val="000000"/>
                <w:lang w:val="en-US" w:eastAsia="en-US"/>
              </w:rPr>
            </w:pPr>
            <w:r w:rsidRPr="00305C34">
              <w:rPr>
                <w:i/>
                <w:iCs/>
                <w:color w:val="000000"/>
                <w:lang w:val="en-US" w:eastAsia="en-US"/>
              </w:rPr>
              <w:t>r</w:t>
            </w:r>
          </w:p>
        </w:tc>
        <w:tc>
          <w:tcPr>
            <w:tcW w:w="1890" w:type="dxa"/>
            <w:tcBorders>
              <w:top w:val="nil"/>
              <w:left w:val="nil"/>
              <w:bottom w:val="nil"/>
              <w:right w:val="nil"/>
            </w:tcBorders>
            <w:shd w:val="clear" w:color="auto" w:fill="auto"/>
            <w:noWrap/>
            <w:vAlign w:val="center"/>
            <w:hideMark/>
          </w:tcPr>
          <w:p w:rsidR="00305C34" w:rsidRPr="00305C34" w:rsidRDefault="00305C34" w:rsidP="00FA49AD">
            <w:pPr>
              <w:spacing w:line="240" w:lineRule="auto"/>
              <w:jc w:val="center"/>
              <w:rPr>
                <w:color w:val="000000"/>
                <w:lang w:val="en-US" w:eastAsia="en-US"/>
              </w:rPr>
            </w:pPr>
          </w:p>
        </w:tc>
      </w:tr>
      <w:tr w:rsidR="00305C34" w:rsidRPr="00305C34" w:rsidTr="00E10692">
        <w:trPr>
          <w:trHeight w:val="312"/>
        </w:trPr>
        <w:tc>
          <w:tcPr>
            <w:tcW w:w="3705" w:type="dxa"/>
            <w:tcBorders>
              <w:top w:val="single" w:sz="4" w:space="0" w:color="auto"/>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SLR belief certainty</w:t>
            </w:r>
          </w:p>
        </w:tc>
        <w:tc>
          <w:tcPr>
            <w:tcW w:w="430" w:type="dxa"/>
            <w:tcBorders>
              <w:top w:val="single" w:sz="4" w:space="0" w:color="auto"/>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single" w:sz="4" w:space="0" w:color="auto"/>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Education</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0.10</w:t>
            </w:r>
          </w:p>
        </w:tc>
        <w:tc>
          <w:tcPr>
            <w:tcW w:w="1890" w:type="dxa"/>
            <w:tcBorders>
              <w:top w:val="single" w:sz="4" w:space="0" w:color="auto"/>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SLR belief certainty</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Political ideology</w:t>
            </w:r>
            <w:r w:rsidRPr="00305C34">
              <w:rPr>
                <w:i/>
                <w:iCs/>
                <w:lang w:val="en-US" w:eastAsia="en-US"/>
              </w:rPr>
              <w:t xml:space="preserve"> </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0.24</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Attitude toward consequences</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Female</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0.09</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Attitude toward consequences</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Age</w:t>
            </w:r>
          </w:p>
        </w:tc>
        <w:tc>
          <w:tcPr>
            <w:tcW w:w="1055"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w:t>
            </w:r>
            <w:r w:rsidR="000001DF">
              <w:rPr>
                <w:color w:val="000000"/>
                <w:lang w:val="en-US" w:eastAsia="en-US"/>
              </w:rPr>
              <w:t>6</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E10692"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Attitude toward consequences</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Education</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w:t>
            </w:r>
            <w:r w:rsidR="00B03DE4">
              <w:rPr>
                <w:color w:val="000000"/>
                <w:lang w:val="en-US" w:eastAsia="en-US"/>
              </w:rPr>
              <w:t>9</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E10692"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Attitude toward consequences</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Political ideology</w:t>
            </w:r>
            <w:r w:rsidRPr="00305C34">
              <w:rPr>
                <w:i/>
                <w:iCs/>
                <w:lang w:val="en-US" w:eastAsia="en-US"/>
              </w:rPr>
              <w:t xml:space="preserve"> </w:t>
            </w:r>
          </w:p>
        </w:tc>
        <w:tc>
          <w:tcPr>
            <w:tcW w:w="105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w:t>
            </w:r>
            <w:r w:rsidR="000001DF">
              <w:rPr>
                <w:color w:val="000000"/>
                <w:lang w:val="en-US" w:eastAsia="en-US"/>
              </w:rPr>
              <w:t>18</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FA49AD" w:rsidP="00FA49AD">
            <w:pPr>
              <w:spacing w:line="240" w:lineRule="auto"/>
              <w:jc w:val="center"/>
              <w:rPr>
                <w:color w:val="000000"/>
                <w:lang w:val="en-US" w:eastAsia="en-US"/>
              </w:rPr>
            </w:pPr>
            <w:r>
              <w:rPr>
                <w:color w:val="000000"/>
                <w:lang w:val="en-US" w:eastAsia="en-US"/>
              </w:rPr>
              <w:t>***</w:t>
            </w:r>
          </w:p>
        </w:tc>
      </w:tr>
      <w:tr w:rsidR="00305C34" w:rsidRPr="00305C34" w:rsidTr="00E10692">
        <w:trPr>
          <w:trHeight w:val="624"/>
        </w:trPr>
        <w:tc>
          <w:tcPr>
            <w:tcW w:w="3705"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color w:val="000000"/>
                <w:lang w:val="en-US" w:eastAsia="en-US"/>
              </w:rPr>
            </w:pPr>
            <w:r w:rsidRPr="00305C34">
              <w:rPr>
                <w:color w:val="000000"/>
                <w:lang w:val="en-US" w:eastAsia="en-US"/>
              </w:rPr>
              <w:t>SLR belief certainty X Attitude toward consequences</w:t>
            </w:r>
          </w:p>
        </w:tc>
        <w:tc>
          <w:tcPr>
            <w:tcW w:w="430" w:type="dxa"/>
            <w:tcBorders>
              <w:top w:val="nil"/>
              <w:left w:val="nil"/>
              <w:bottom w:val="single" w:sz="4" w:space="0" w:color="auto"/>
              <w:right w:val="nil"/>
            </w:tcBorders>
            <w:shd w:val="clear" w:color="auto" w:fill="auto"/>
            <w:noWrap/>
            <w:vAlign w:val="bottom"/>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 </w:t>
            </w:r>
          </w:p>
        </w:tc>
        <w:tc>
          <w:tcPr>
            <w:tcW w:w="2280" w:type="dxa"/>
            <w:tcBorders>
              <w:top w:val="nil"/>
              <w:left w:val="nil"/>
              <w:bottom w:val="single" w:sz="4" w:space="0" w:color="auto"/>
              <w:right w:val="nil"/>
            </w:tcBorders>
            <w:shd w:val="clear" w:color="auto" w:fill="auto"/>
            <w:vAlign w:val="center"/>
            <w:hideMark/>
          </w:tcPr>
          <w:p w:rsidR="00305C34" w:rsidRPr="00305C34" w:rsidRDefault="00305C34" w:rsidP="00305C34">
            <w:pPr>
              <w:spacing w:line="240" w:lineRule="auto"/>
              <w:rPr>
                <w:lang w:val="en-US" w:eastAsia="en-US"/>
              </w:rPr>
            </w:pPr>
            <w:r w:rsidRPr="00305C34">
              <w:rPr>
                <w:lang w:val="en-US" w:eastAsia="en-US"/>
              </w:rPr>
              <w:t>Gender</w:t>
            </w:r>
          </w:p>
        </w:tc>
        <w:tc>
          <w:tcPr>
            <w:tcW w:w="1055" w:type="dxa"/>
            <w:tcBorders>
              <w:top w:val="nil"/>
              <w:left w:val="nil"/>
              <w:bottom w:val="single" w:sz="4" w:space="0" w:color="auto"/>
              <w:right w:val="nil"/>
            </w:tcBorders>
            <w:shd w:val="clear" w:color="auto" w:fill="auto"/>
            <w:noWrap/>
            <w:vAlign w:val="center"/>
            <w:hideMark/>
          </w:tcPr>
          <w:p w:rsidR="00305C34" w:rsidRPr="00305C34" w:rsidRDefault="00305C34" w:rsidP="00305C34">
            <w:pPr>
              <w:spacing w:line="240" w:lineRule="auto"/>
              <w:jc w:val="center"/>
              <w:rPr>
                <w:color w:val="000000"/>
                <w:lang w:val="en-US" w:eastAsia="en-US"/>
              </w:rPr>
            </w:pPr>
            <w:r w:rsidRPr="00305C34">
              <w:rPr>
                <w:color w:val="000000"/>
                <w:lang w:val="en-US" w:eastAsia="en-US"/>
              </w:rPr>
              <w:t>-0.0</w:t>
            </w:r>
            <w:r w:rsidR="000001DF">
              <w:rPr>
                <w:color w:val="000000"/>
                <w:lang w:val="en-US" w:eastAsia="en-US"/>
              </w:rPr>
              <w:t>5</w:t>
            </w:r>
          </w:p>
        </w:tc>
        <w:tc>
          <w:tcPr>
            <w:tcW w:w="1890" w:type="dxa"/>
            <w:tcBorders>
              <w:top w:val="nil"/>
              <w:left w:val="nil"/>
              <w:bottom w:val="single" w:sz="4" w:space="0" w:color="auto"/>
              <w:right w:val="nil"/>
            </w:tcBorders>
            <w:shd w:val="clear" w:color="auto" w:fill="auto"/>
            <w:noWrap/>
            <w:vAlign w:val="center"/>
            <w:hideMark/>
          </w:tcPr>
          <w:p w:rsidR="00305C34" w:rsidRPr="00305C34" w:rsidRDefault="00E10692" w:rsidP="00FA49AD">
            <w:pPr>
              <w:spacing w:line="240" w:lineRule="auto"/>
              <w:jc w:val="center"/>
              <w:rPr>
                <w:color w:val="000000"/>
                <w:lang w:val="en-US" w:eastAsia="en-US"/>
              </w:rPr>
            </w:pPr>
            <w:r>
              <w:rPr>
                <w:color w:val="000000"/>
                <w:lang w:val="en-US" w:eastAsia="en-US"/>
              </w:rPr>
              <w:t>*</w:t>
            </w:r>
          </w:p>
        </w:tc>
      </w:tr>
      <w:tr w:rsidR="000001DF" w:rsidRPr="00305C34" w:rsidTr="00E10692">
        <w:trPr>
          <w:trHeight w:val="624"/>
        </w:trPr>
        <w:tc>
          <w:tcPr>
            <w:tcW w:w="3705" w:type="dxa"/>
            <w:tcBorders>
              <w:top w:val="nil"/>
              <w:left w:val="nil"/>
              <w:bottom w:val="single" w:sz="4" w:space="0" w:color="auto"/>
              <w:right w:val="nil"/>
            </w:tcBorders>
            <w:shd w:val="clear" w:color="auto" w:fill="auto"/>
            <w:vAlign w:val="center"/>
          </w:tcPr>
          <w:p w:rsidR="000001DF" w:rsidRPr="00305C34" w:rsidRDefault="000001DF" w:rsidP="000001DF">
            <w:pPr>
              <w:spacing w:line="240" w:lineRule="auto"/>
              <w:rPr>
                <w:color w:val="000000"/>
                <w:lang w:val="en-US" w:eastAsia="en-US"/>
              </w:rPr>
            </w:pPr>
            <w:r w:rsidRPr="00305C34">
              <w:rPr>
                <w:color w:val="000000"/>
                <w:lang w:val="en-US" w:eastAsia="en-US"/>
              </w:rPr>
              <w:t>SLR belief certainty X Attitude toward consequences</w:t>
            </w:r>
          </w:p>
        </w:tc>
        <w:tc>
          <w:tcPr>
            <w:tcW w:w="430" w:type="dxa"/>
            <w:tcBorders>
              <w:top w:val="nil"/>
              <w:left w:val="nil"/>
              <w:bottom w:val="single" w:sz="4" w:space="0" w:color="auto"/>
              <w:right w:val="nil"/>
            </w:tcBorders>
            <w:shd w:val="clear" w:color="auto" w:fill="auto"/>
            <w:noWrap/>
            <w:vAlign w:val="bottom"/>
          </w:tcPr>
          <w:p w:rsidR="000001DF" w:rsidRPr="00305C34" w:rsidRDefault="000001DF" w:rsidP="000001DF">
            <w:pPr>
              <w:spacing w:line="240" w:lineRule="auto"/>
              <w:jc w:val="center"/>
              <w:rPr>
                <w:color w:val="000000"/>
                <w:lang w:val="en-US" w:eastAsia="en-US"/>
              </w:rPr>
            </w:pPr>
            <w:r w:rsidRPr="00305C34">
              <w:rPr>
                <w:color w:val="000000"/>
                <w:lang w:val="en-US" w:eastAsia="en-US"/>
              </w:rPr>
              <w:t> </w:t>
            </w:r>
          </w:p>
        </w:tc>
        <w:tc>
          <w:tcPr>
            <w:tcW w:w="2280" w:type="dxa"/>
            <w:tcBorders>
              <w:top w:val="nil"/>
              <w:left w:val="nil"/>
              <w:bottom w:val="single" w:sz="4" w:space="0" w:color="auto"/>
              <w:right w:val="nil"/>
            </w:tcBorders>
            <w:shd w:val="clear" w:color="auto" w:fill="auto"/>
            <w:vAlign w:val="center"/>
          </w:tcPr>
          <w:p w:rsidR="000001DF" w:rsidRPr="00305C34" w:rsidRDefault="000001DF" w:rsidP="000001DF">
            <w:pPr>
              <w:spacing w:line="240" w:lineRule="auto"/>
              <w:rPr>
                <w:lang w:val="en-US" w:eastAsia="en-US"/>
              </w:rPr>
            </w:pPr>
            <w:r>
              <w:rPr>
                <w:lang w:val="en-US" w:eastAsia="en-US"/>
              </w:rPr>
              <w:t>Age</w:t>
            </w:r>
          </w:p>
        </w:tc>
        <w:tc>
          <w:tcPr>
            <w:tcW w:w="1055" w:type="dxa"/>
            <w:tcBorders>
              <w:top w:val="nil"/>
              <w:left w:val="nil"/>
              <w:bottom w:val="single" w:sz="4" w:space="0" w:color="auto"/>
              <w:right w:val="nil"/>
            </w:tcBorders>
            <w:shd w:val="clear" w:color="auto" w:fill="auto"/>
            <w:vAlign w:val="center"/>
          </w:tcPr>
          <w:p w:rsidR="000001DF" w:rsidRPr="00305C34" w:rsidRDefault="000001DF" w:rsidP="000001DF">
            <w:pPr>
              <w:spacing w:line="240" w:lineRule="auto"/>
              <w:jc w:val="center"/>
              <w:rPr>
                <w:color w:val="000000"/>
                <w:lang w:val="en-US" w:eastAsia="en-US"/>
              </w:rPr>
            </w:pPr>
            <w:r w:rsidRPr="00305C34">
              <w:rPr>
                <w:color w:val="000000"/>
                <w:lang w:val="en-US" w:eastAsia="en-US"/>
              </w:rPr>
              <w:t>0.0</w:t>
            </w:r>
            <w:r>
              <w:rPr>
                <w:color w:val="000000"/>
                <w:lang w:val="en-US" w:eastAsia="en-US"/>
              </w:rPr>
              <w:t>6</w:t>
            </w:r>
          </w:p>
        </w:tc>
        <w:tc>
          <w:tcPr>
            <w:tcW w:w="1890" w:type="dxa"/>
            <w:tcBorders>
              <w:top w:val="nil"/>
              <w:left w:val="nil"/>
              <w:bottom w:val="single" w:sz="4" w:space="0" w:color="auto"/>
              <w:right w:val="nil"/>
            </w:tcBorders>
            <w:shd w:val="clear" w:color="auto" w:fill="auto"/>
            <w:noWrap/>
            <w:vAlign w:val="center"/>
          </w:tcPr>
          <w:p w:rsidR="000001DF" w:rsidRPr="00305C34" w:rsidRDefault="00E10692"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624"/>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SLR belief certainty X Attitude toward consequences</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 </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lang w:val="en-US" w:eastAsia="en-US"/>
              </w:rPr>
            </w:pPr>
            <w:r w:rsidRPr="00305C34">
              <w:rPr>
                <w:lang w:val="en-US" w:eastAsia="en-US"/>
              </w:rPr>
              <w:t>Education</w:t>
            </w:r>
          </w:p>
        </w:tc>
        <w:tc>
          <w:tcPr>
            <w:tcW w:w="105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0.0</w:t>
            </w:r>
            <w:r>
              <w:rPr>
                <w:color w:val="000000"/>
                <w:lang w:val="en-US" w:eastAsia="en-US"/>
              </w:rPr>
              <w:t>5</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E10692"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lang w:val="en-US" w:eastAsia="en-US"/>
              </w:rPr>
            </w:pPr>
            <w:r w:rsidRPr="00305C34">
              <w:rPr>
                <w:lang w:val="en-US" w:eastAsia="en-US"/>
              </w:rPr>
              <w:t>Political ideology</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Female</w:t>
            </w:r>
          </w:p>
        </w:tc>
        <w:tc>
          <w:tcPr>
            <w:tcW w:w="105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0.12</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lang w:val="en-US" w:eastAsia="en-US"/>
              </w:rPr>
            </w:pPr>
            <w:r w:rsidRPr="00305C34">
              <w:rPr>
                <w:lang w:val="en-US" w:eastAsia="en-US"/>
              </w:rPr>
              <w:t>Political ideology</w:t>
            </w:r>
            <w:r w:rsidRPr="00305C34">
              <w:rPr>
                <w:i/>
                <w:iCs/>
                <w:lang w:val="en-US" w:eastAsia="en-US"/>
              </w:rPr>
              <w:t xml:space="preserve"> </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Age</w:t>
            </w:r>
          </w:p>
        </w:tc>
        <w:tc>
          <w:tcPr>
            <w:tcW w:w="1055"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w:t>
            </w:r>
            <w:r>
              <w:rPr>
                <w:color w:val="000000"/>
                <w:lang w:val="en-US" w:eastAsia="en-US"/>
              </w:rPr>
              <w:t>1</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lang w:val="en-US" w:eastAsia="en-US"/>
              </w:rPr>
            </w:pPr>
            <w:r w:rsidRPr="00305C34">
              <w:rPr>
                <w:lang w:val="en-US" w:eastAsia="en-US"/>
              </w:rPr>
              <w:t>Political ideology</w:t>
            </w:r>
            <w:r w:rsidRPr="00305C34">
              <w:rPr>
                <w:i/>
                <w:iCs/>
                <w:lang w:val="en-US" w:eastAsia="en-US"/>
              </w:rPr>
              <w:t xml:space="preserve"> </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Education</w:t>
            </w:r>
          </w:p>
        </w:tc>
        <w:tc>
          <w:tcPr>
            <w:tcW w:w="105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0.24</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lang w:val="en-US" w:eastAsia="en-US"/>
              </w:rPr>
            </w:pPr>
            <w:r w:rsidRPr="00305C34">
              <w:rPr>
                <w:lang w:val="en-US" w:eastAsia="en-US"/>
              </w:rPr>
              <w:t>Political ideology</w:t>
            </w:r>
            <w:r w:rsidRPr="00305C34">
              <w:rPr>
                <w:i/>
                <w:iCs/>
                <w:lang w:val="en-US" w:eastAsia="en-US"/>
              </w:rPr>
              <w:t xml:space="preserve"> </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Income</w:t>
            </w:r>
          </w:p>
        </w:tc>
        <w:tc>
          <w:tcPr>
            <w:tcW w:w="105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0.0</w:t>
            </w:r>
            <w:r>
              <w:rPr>
                <w:color w:val="000000"/>
                <w:lang w:val="en-US" w:eastAsia="en-US"/>
              </w:rPr>
              <w:t>7</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Female</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Age</w:t>
            </w:r>
          </w:p>
        </w:tc>
        <w:tc>
          <w:tcPr>
            <w:tcW w:w="1055"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w:t>
            </w:r>
            <w:r>
              <w:rPr>
                <w:color w:val="000000"/>
                <w:lang w:val="en-US" w:eastAsia="en-US"/>
              </w:rPr>
              <w:t>1</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tcPr>
          <w:p w:rsidR="000001DF" w:rsidRPr="00305C34" w:rsidRDefault="000001DF" w:rsidP="000001DF">
            <w:pPr>
              <w:spacing w:line="240" w:lineRule="auto"/>
              <w:rPr>
                <w:color w:val="000000"/>
                <w:lang w:val="en-US" w:eastAsia="en-US"/>
              </w:rPr>
            </w:pPr>
            <w:r w:rsidRPr="00305C34">
              <w:rPr>
                <w:color w:val="000000"/>
                <w:lang w:val="en-US" w:eastAsia="en-US"/>
              </w:rPr>
              <w:t>Female</w:t>
            </w:r>
          </w:p>
        </w:tc>
        <w:tc>
          <w:tcPr>
            <w:tcW w:w="430" w:type="dxa"/>
            <w:tcBorders>
              <w:top w:val="nil"/>
              <w:left w:val="nil"/>
              <w:bottom w:val="single" w:sz="4" w:space="0" w:color="auto"/>
              <w:right w:val="nil"/>
            </w:tcBorders>
            <w:shd w:val="clear" w:color="auto" w:fill="auto"/>
            <w:noWrap/>
            <w:vAlign w:val="bottom"/>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tcPr>
          <w:p w:rsidR="000001DF" w:rsidRPr="00305C34" w:rsidRDefault="000001DF" w:rsidP="000001DF">
            <w:pPr>
              <w:spacing w:line="240" w:lineRule="auto"/>
              <w:rPr>
                <w:color w:val="000000"/>
                <w:lang w:val="en-US" w:eastAsia="en-US"/>
              </w:rPr>
            </w:pPr>
            <w:r>
              <w:rPr>
                <w:color w:val="000000"/>
                <w:lang w:val="en-US" w:eastAsia="en-US"/>
              </w:rPr>
              <w:t>Education</w:t>
            </w:r>
          </w:p>
        </w:tc>
        <w:tc>
          <w:tcPr>
            <w:tcW w:w="1055" w:type="dxa"/>
            <w:tcBorders>
              <w:top w:val="nil"/>
              <w:left w:val="nil"/>
              <w:bottom w:val="single" w:sz="4" w:space="0" w:color="auto"/>
              <w:right w:val="nil"/>
            </w:tcBorders>
            <w:shd w:val="clear" w:color="auto" w:fill="auto"/>
            <w:noWrap/>
            <w:vAlign w:val="center"/>
          </w:tcPr>
          <w:p w:rsidR="000001DF" w:rsidRPr="00305C34" w:rsidRDefault="000001DF" w:rsidP="000001DF">
            <w:pPr>
              <w:spacing w:line="240" w:lineRule="auto"/>
              <w:jc w:val="center"/>
              <w:rPr>
                <w:color w:val="000000"/>
                <w:lang w:val="en-US" w:eastAsia="en-US"/>
              </w:rPr>
            </w:pPr>
            <w:r w:rsidRPr="00305C34">
              <w:rPr>
                <w:color w:val="000000"/>
                <w:lang w:val="en-US" w:eastAsia="en-US"/>
              </w:rPr>
              <w:t>-0.0</w:t>
            </w:r>
            <w:r>
              <w:rPr>
                <w:color w:val="000000"/>
                <w:lang w:val="en-US" w:eastAsia="en-US"/>
              </w:rPr>
              <w:t>5</w:t>
            </w:r>
          </w:p>
        </w:tc>
        <w:tc>
          <w:tcPr>
            <w:tcW w:w="1890" w:type="dxa"/>
            <w:tcBorders>
              <w:top w:val="nil"/>
              <w:left w:val="nil"/>
              <w:bottom w:val="single" w:sz="4" w:space="0" w:color="auto"/>
              <w:right w:val="nil"/>
            </w:tcBorders>
            <w:shd w:val="clear" w:color="auto" w:fill="auto"/>
            <w:noWrap/>
            <w:vAlign w:val="center"/>
          </w:tcPr>
          <w:p w:rsidR="000001DF" w:rsidRDefault="00E10692"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Female</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Income</w:t>
            </w:r>
          </w:p>
        </w:tc>
        <w:tc>
          <w:tcPr>
            <w:tcW w:w="1055"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w:t>
            </w:r>
            <w:r>
              <w:rPr>
                <w:color w:val="000000"/>
                <w:lang w:val="en-US" w:eastAsia="en-US"/>
              </w:rPr>
              <w:t>3</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Age</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Education</w:t>
            </w:r>
          </w:p>
        </w:tc>
        <w:tc>
          <w:tcPr>
            <w:tcW w:w="1055"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w:t>
            </w:r>
            <w:r>
              <w:rPr>
                <w:color w:val="000000"/>
                <w:lang w:val="en-US" w:eastAsia="en-US"/>
              </w:rPr>
              <w:t>9</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Age</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nil"/>
              <w:left w:val="nil"/>
              <w:bottom w:val="nil"/>
              <w:right w:val="nil"/>
            </w:tcBorders>
            <w:shd w:val="clear" w:color="auto" w:fill="auto"/>
            <w:noWrap/>
            <w:vAlign w:val="bottom"/>
            <w:hideMark/>
          </w:tcPr>
          <w:p w:rsidR="000001DF" w:rsidRPr="00305C34" w:rsidRDefault="000001DF" w:rsidP="000001DF">
            <w:pPr>
              <w:spacing w:line="240" w:lineRule="auto"/>
              <w:rPr>
                <w:lang w:val="en-US" w:eastAsia="en-US"/>
              </w:rPr>
            </w:pPr>
            <w:r w:rsidRPr="00305C34">
              <w:rPr>
                <w:lang w:val="en-US" w:eastAsia="en-US"/>
              </w:rPr>
              <w:t>Income</w:t>
            </w:r>
          </w:p>
        </w:tc>
        <w:tc>
          <w:tcPr>
            <w:tcW w:w="1055"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-0.18</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r w:rsidR="000001DF" w:rsidRPr="00305C34" w:rsidTr="00E10692">
        <w:trPr>
          <w:trHeight w:val="312"/>
        </w:trPr>
        <w:tc>
          <w:tcPr>
            <w:tcW w:w="370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Education</w:t>
            </w:r>
          </w:p>
        </w:tc>
        <w:tc>
          <w:tcPr>
            <w:tcW w:w="430" w:type="dxa"/>
            <w:tcBorders>
              <w:top w:val="nil"/>
              <w:left w:val="nil"/>
              <w:bottom w:val="single" w:sz="4" w:space="0" w:color="auto"/>
              <w:right w:val="nil"/>
            </w:tcBorders>
            <w:shd w:val="clear" w:color="auto" w:fill="auto"/>
            <w:noWrap/>
            <w:vAlign w:val="bottom"/>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w:t>
            </w:r>
          </w:p>
        </w:tc>
        <w:tc>
          <w:tcPr>
            <w:tcW w:w="2280" w:type="dxa"/>
            <w:tcBorders>
              <w:top w:val="single" w:sz="4" w:space="0" w:color="auto"/>
              <w:left w:val="nil"/>
              <w:bottom w:val="single" w:sz="4" w:space="0" w:color="auto"/>
              <w:right w:val="nil"/>
            </w:tcBorders>
            <w:shd w:val="clear" w:color="auto" w:fill="auto"/>
            <w:vAlign w:val="center"/>
            <w:hideMark/>
          </w:tcPr>
          <w:p w:rsidR="000001DF" w:rsidRPr="00305C34" w:rsidRDefault="000001DF" w:rsidP="000001DF">
            <w:pPr>
              <w:spacing w:line="240" w:lineRule="auto"/>
              <w:rPr>
                <w:color w:val="000000"/>
                <w:lang w:val="en-US" w:eastAsia="en-US"/>
              </w:rPr>
            </w:pPr>
            <w:r w:rsidRPr="00305C34">
              <w:rPr>
                <w:color w:val="000000"/>
                <w:lang w:val="en-US" w:eastAsia="en-US"/>
              </w:rPr>
              <w:t>Income</w:t>
            </w:r>
          </w:p>
        </w:tc>
        <w:tc>
          <w:tcPr>
            <w:tcW w:w="1055" w:type="dxa"/>
            <w:tcBorders>
              <w:top w:val="nil"/>
              <w:left w:val="nil"/>
              <w:bottom w:val="single" w:sz="4" w:space="0" w:color="auto"/>
              <w:right w:val="nil"/>
            </w:tcBorders>
            <w:shd w:val="clear" w:color="auto" w:fill="auto"/>
            <w:vAlign w:val="center"/>
            <w:hideMark/>
          </w:tcPr>
          <w:p w:rsidR="000001DF" w:rsidRPr="00305C34" w:rsidRDefault="000001DF" w:rsidP="000001DF">
            <w:pPr>
              <w:spacing w:line="240" w:lineRule="auto"/>
              <w:jc w:val="center"/>
              <w:rPr>
                <w:color w:val="000000"/>
                <w:lang w:val="en-US" w:eastAsia="en-US"/>
              </w:rPr>
            </w:pPr>
            <w:r w:rsidRPr="00305C34">
              <w:rPr>
                <w:color w:val="000000"/>
                <w:lang w:val="en-US" w:eastAsia="en-US"/>
              </w:rPr>
              <w:t>0.5</w:t>
            </w:r>
            <w:r>
              <w:rPr>
                <w:color w:val="000000"/>
                <w:lang w:val="en-US" w:eastAsia="en-US"/>
              </w:rPr>
              <w:t>1</w:t>
            </w:r>
          </w:p>
        </w:tc>
        <w:tc>
          <w:tcPr>
            <w:tcW w:w="1890" w:type="dxa"/>
            <w:tcBorders>
              <w:top w:val="nil"/>
              <w:left w:val="nil"/>
              <w:bottom w:val="single" w:sz="4" w:space="0" w:color="auto"/>
              <w:right w:val="nil"/>
            </w:tcBorders>
            <w:shd w:val="clear" w:color="auto" w:fill="auto"/>
            <w:noWrap/>
            <w:vAlign w:val="center"/>
            <w:hideMark/>
          </w:tcPr>
          <w:p w:rsidR="000001DF" w:rsidRPr="00305C34" w:rsidRDefault="000001DF" w:rsidP="000001DF">
            <w:pPr>
              <w:spacing w:line="240" w:lineRule="auto"/>
              <w:jc w:val="center"/>
              <w:rPr>
                <w:color w:val="000000"/>
                <w:lang w:val="en-US" w:eastAsia="en-US"/>
              </w:rPr>
            </w:pPr>
            <w:r>
              <w:rPr>
                <w:color w:val="000000"/>
                <w:lang w:val="en-US" w:eastAsia="en-US"/>
              </w:rPr>
              <w:t>***</w:t>
            </w:r>
          </w:p>
        </w:tc>
      </w:tr>
    </w:tbl>
    <w:p w:rsidR="006C28E8" w:rsidRDefault="00E73D2A">
      <w:pPr>
        <w:spacing w:line="240" w:lineRule="auto"/>
      </w:pPr>
      <w:r>
        <w:rPr>
          <w:color w:val="000000"/>
          <w:lang w:val="en-US" w:eastAsia="en-US"/>
        </w:rPr>
        <w:t>***</w:t>
      </w:r>
      <w:r w:rsidRPr="00E73D2A">
        <w:rPr>
          <w:i/>
          <w:color w:val="000000"/>
          <w:lang w:val="en-US" w:eastAsia="en-US"/>
        </w:rPr>
        <w:t xml:space="preserve">p </w:t>
      </w:r>
      <w:r>
        <w:rPr>
          <w:color w:val="000000"/>
          <w:lang w:val="en-US" w:eastAsia="en-US"/>
        </w:rPr>
        <w:t>&lt; .001; **</w:t>
      </w:r>
      <w:r w:rsidRPr="00E73D2A">
        <w:rPr>
          <w:i/>
          <w:color w:val="000000"/>
          <w:lang w:val="en-US" w:eastAsia="en-US"/>
        </w:rPr>
        <w:t xml:space="preserve">p </w:t>
      </w:r>
      <w:r>
        <w:rPr>
          <w:color w:val="000000"/>
          <w:lang w:val="en-US" w:eastAsia="en-US"/>
        </w:rPr>
        <w:t>&lt;.01; *</w:t>
      </w:r>
      <w:r w:rsidRPr="00E73D2A">
        <w:rPr>
          <w:i/>
          <w:color w:val="000000"/>
          <w:lang w:val="en-US" w:eastAsia="en-US"/>
        </w:rPr>
        <w:t xml:space="preserve">p </w:t>
      </w:r>
      <w:r>
        <w:rPr>
          <w:color w:val="000000"/>
          <w:lang w:val="en-US" w:eastAsia="en-US"/>
        </w:rPr>
        <w:t xml:space="preserve">&lt;.05 </w:t>
      </w:r>
    </w:p>
    <w:p w:rsidR="001200BB" w:rsidRDefault="001200BB">
      <w:pPr>
        <w:spacing w:line="240" w:lineRule="auto"/>
      </w:pPr>
    </w:p>
    <w:p w:rsidR="00E73D2A" w:rsidRDefault="00E73D2A">
      <w:pPr>
        <w:spacing w:line="240" w:lineRule="auto"/>
      </w:pPr>
    </w:p>
    <w:p w:rsidR="001200BB" w:rsidRDefault="001200BB">
      <w:pPr>
        <w:spacing w:line="240" w:lineRule="auto"/>
      </w:pPr>
    </w:p>
    <w:p w:rsidR="00ED31A9" w:rsidRDefault="00ED31A9">
      <w:pPr>
        <w:spacing w:line="240" w:lineRule="auto"/>
      </w:pPr>
    </w:p>
    <w:p w:rsidR="00ED31A9" w:rsidRDefault="00ED31A9">
      <w:pPr>
        <w:spacing w:line="240" w:lineRule="auto"/>
      </w:pPr>
    </w:p>
    <w:p w:rsidR="00F91B6B" w:rsidRDefault="00942B06">
      <w:pPr>
        <w:spacing w:line="240" w:lineRule="auto"/>
      </w:pPr>
      <w:r w:rsidRPr="00282C6A">
        <w:rPr>
          <w:b/>
        </w:rPr>
        <w:t>Table S</w:t>
      </w:r>
      <w:r w:rsidR="007C697A" w:rsidRPr="00282C6A">
        <w:rPr>
          <w:b/>
        </w:rPr>
        <w:t>3</w:t>
      </w:r>
      <w:r w:rsidRPr="00282C6A">
        <w:rPr>
          <w:b/>
        </w:rPr>
        <w:t>.</w:t>
      </w:r>
      <w:r>
        <w:t xml:space="preserve"> Comparison of Hampton Roads 2016 survey demographics to Census statistics: </w:t>
      </w:r>
      <w:proofErr w:type="spellStart"/>
      <w:r>
        <w:t>Sociodemographics</w:t>
      </w:r>
      <w:proofErr w:type="spellEnd"/>
      <w:r>
        <w:br/>
      </w:r>
    </w:p>
    <w:tbl>
      <w:tblPr>
        <w:tblW w:w="5000" w:type="pct"/>
        <w:tblLook w:val="04A0"/>
      </w:tblPr>
      <w:tblGrid>
        <w:gridCol w:w="2394"/>
        <w:gridCol w:w="2394"/>
        <w:gridCol w:w="2394"/>
        <w:gridCol w:w="2394"/>
      </w:tblGrid>
      <w:tr w:rsidR="00F91B6B">
        <w:trPr>
          <w:trHeight w:val="138"/>
        </w:trPr>
        <w:tc>
          <w:tcPr>
            <w:tcW w:w="1250" w:type="pct"/>
            <w:tcBorders>
              <w:top w:val="nil"/>
              <w:left w:val="nil"/>
              <w:bottom w:val="nil"/>
              <w:right w:val="nil"/>
            </w:tcBorders>
            <w:shd w:val="clear" w:color="auto" w:fill="auto"/>
            <w:vAlign w:val="bottom"/>
            <w:hideMark/>
          </w:tcPr>
          <w:p w:rsidR="00F91B6B" w:rsidRDefault="00F91B6B">
            <w:pPr>
              <w:spacing w:line="240" w:lineRule="auto"/>
              <w:rPr>
                <w:sz w:val="20"/>
                <w:szCs w:val="20"/>
                <w:lang w:val="en-US" w:eastAsia="en-US"/>
              </w:rPr>
            </w:pPr>
          </w:p>
        </w:tc>
        <w:tc>
          <w:tcPr>
            <w:tcW w:w="1250" w:type="pct"/>
            <w:tcBorders>
              <w:top w:val="nil"/>
              <w:left w:val="nil"/>
              <w:bottom w:val="nil"/>
              <w:right w:val="nil"/>
            </w:tcBorders>
            <w:shd w:val="clear" w:color="auto" w:fill="auto"/>
            <w:vAlign w:val="bottom"/>
            <w:hideMark/>
          </w:tcPr>
          <w:p w:rsidR="00F91B6B" w:rsidRDefault="00942B06">
            <w:pPr>
              <w:spacing w:line="240" w:lineRule="auto"/>
              <w:jc w:val="center"/>
              <w:rPr>
                <w:b/>
                <w:bCs/>
                <w:color w:val="000000"/>
                <w:lang w:val="en-US" w:eastAsia="en-US"/>
              </w:rPr>
            </w:pPr>
            <w:r>
              <w:rPr>
                <w:b/>
                <w:bCs/>
                <w:color w:val="000000"/>
                <w:lang w:eastAsia="en-US"/>
              </w:rPr>
              <w:t>Census 2010</w:t>
            </w:r>
          </w:p>
        </w:tc>
        <w:tc>
          <w:tcPr>
            <w:tcW w:w="1250" w:type="pct"/>
            <w:tcBorders>
              <w:top w:val="nil"/>
              <w:left w:val="nil"/>
              <w:bottom w:val="nil"/>
              <w:right w:val="nil"/>
            </w:tcBorders>
            <w:shd w:val="clear" w:color="auto" w:fill="auto"/>
            <w:vAlign w:val="bottom"/>
            <w:hideMark/>
          </w:tcPr>
          <w:p w:rsidR="00F91B6B" w:rsidRDefault="00942B06">
            <w:pPr>
              <w:spacing w:line="240" w:lineRule="auto"/>
              <w:jc w:val="center"/>
              <w:rPr>
                <w:b/>
                <w:bCs/>
                <w:color w:val="000000"/>
                <w:lang w:val="en-US" w:eastAsia="en-US"/>
              </w:rPr>
            </w:pPr>
            <w:r>
              <w:rPr>
                <w:b/>
                <w:bCs/>
                <w:color w:val="000000"/>
                <w:lang w:eastAsia="en-US"/>
              </w:rPr>
              <w:t xml:space="preserve">2016 </w:t>
            </w:r>
            <w:r>
              <w:rPr>
                <w:b/>
                <w:bCs/>
                <w:color w:val="000000"/>
                <w:lang w:eastAsia="en-US"/>
              </w:rPr>
              <w:br/>
              <w:t>Hampton Roads Adaptation Survey</w:t>
            </w:r>
          </w:p>
        </w:tc>
        <w:tc>
          <w:tcPr>
            <w:tcW w:w="1250" w:type="pct"/>
            <w:tcBorders>
              <w:top w:val="nil"/>
              <w:left w:val="nil"/>
              <w:bottom w:val="nil"/>
              <w:right w:val="nil"/>
            </w:tcBorders>
            <w:shd w:val="clear" w:color="auto" w:fill="auto"/>
            <w:noWrap/>
            <w:vAlign w:val="bottom"/>
            <w:hideMark/>
          </w:tcPr>
          <w:p w:rsidR="00F91B6B" w:rsidRDefault="00942B06">
            <w:pPr>
              <w:spacing w:line="240" w:lineRule="auto"/>
              <w:jc w:val="center"/>
              <w:rPr>
                <w:rFonts w:ascii="Arial" w:hAnsi="Arial" w:cs="Arial"/>
                <w:color w:val="000000"/>
                <w:lang w:val="en-US" w:eastAsia="en-US"/>
              </w:rPr>
            </w:pPr>
            <w:r>
              <w:rPr>
                <w:rFonts w:ascii="Arial" w:hAnsi="Arial" w:cs="Arial"/>
                <w:color w:val="000000"/>
                <w:lang w:val="en-US" w:eastAsia="en-US"/>
              </w:rPr>
              <w:t>∆</w:t>
            </w:r>
          </w:p>
        </w:tc>
      </w:tr>
      <w:tr w:rsidR="00F91B6B">
        <w:trPr>
          <w:trHeight w:val="78"/>
        </w:trPr>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rPr>
                <w:b/>
                <w:bCs/>
                <w:color w:val="000000"/>
                <w:lang w:val="en-US" w:eastAsia="en-US"/>
              </w:rPr>
            </w:pPr>
            <w:r>
              <w:rPr>
                <w:b/>
                <w:bCs/>
                <w:color w:val="000000"/>
                <w:lang w:val="en-US" w:eastAsia="en-US"/>
              </w:rPr>
              <w:t>Gender</w:t>
            </w:r>
          </w:p>
        </w:tc>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val="en-US" w:eastAsia="en-US"/>
              </w:rPr>
              <w:t> </w:t>
            </w:r>
          </w:p>
        </w:tc>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val="en-US" w:eastAsia="en-US"/>
              </w:rPr>
              <w:t> </w:t>
            </w:r>
          </w:p>
        </w:tc>
        <w:tc>
          <w:tcPr>
            <w:tcW w:w="1250" w:type="pct"/>
            <w:tcBorders>
              <w:top w:val="single" w:sz="4" w:space="0" w:color="auto"/>
              <w:left w:val="nil"/>
              <w:bottom w:val="single" w:sz="4" w:space="0" w:color="auto"/>
              <w:right w:val="nil"/>
            </w:tcBorders>
            <w:shd w:val="clear" w:color="auto" w:fill="auto"/>
            <w:noWrap/>
            <w:vAlign w:val="center"/>
            <w:hideMark/>
          </w:tcPr>
          <w:p w:rsidR="00F91B6B" w:rsidRDefault="00942B06">
            <w:pPr>
              <w:spacing w:line="240" w:lineRule="auto"/>
              <w:jc w:val="center"/>
              <w:rPr>
                <w:rFonts w:ascii="Arial" w:hAnsi="Arial" w:cs="Arial"/>
                <w:color w:val="000000"/>
                <w:lang w:val="en-US" w:eastAsia="en-US"/>
              </w:rPr>
            </w:pPr>
            <w:r>
              <w:rPr>
                <w:rFonts w:ascii="Arial" w:hAnsi="Arial" w:cs="Arial"/>
                <w:color w:val="000000"/>
                <w:lang w:val="en-US" w:eastAsia="en-US"/>
              </w:rPr>
              <w:t> </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lastRenderedPageBreak/>
              <w:t>Male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49%</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38%</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11%</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Female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51%</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62%</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-11%</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b/>
                <w:bCs/>
                <w:color w:val="000000"/>
                <w:lang w:val="en-US" w:eastAsia="en-US"/>
              </w:rPr>
            </w:pPr>
            <w:r>
              <w:rPr>
                <w:b/>
                <w:bCs/>
                <w:color w:val="000000"/>
                <w:lang w:val="en-US" w:eastAsia="en-US"/>
              </w:rPr>
              <w:t>Age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val="en-US" w:eastAsia="en-US"/>
              </w:rPr>
              <w:t xml:space="preserve"> </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val="en-US" w:eastAsia="en-US"/>
              </w:rPr>
              <w:t xml:space="preserve"> </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 xml:space="preserve"> </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Under 24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15%</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18%</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-3%</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25 to 34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19%</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19%</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35 to 44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17%</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16%</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45 to 54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20%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3%</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55 to 64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15%</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-3%</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65 and over</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15%</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13%</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2%</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b/>
                <w:bCs/>
                <w:color w:val="000000"/>
                <w:lang w:val="en-US" w:eastAsia="en-US"/>
              </w:rPr>
            </w:pPr>
            <w:r>
              <w:rPr>
                <w:b/>
                <w:bCs/>
                <w:color w:val="000000"/>
                <w:lang w:eastAsia="en-US"/>
              </w:rPr>
              <w:t>Race and ethnicity</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eastAsia="en-US"/>
              </w:rPr>
              <w:t xml:space="preserve"> </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eastAsia="en-US"/>
              </w:rPr>
              <w:t xml:space="preserve"> </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 xml:space="preserve"> </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White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60%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69%</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-9%</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Black, African American</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31%</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15%</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American Indian, Alaskan Native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0%</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Asian</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5%</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-2%</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Native Hawaiian, Pacific Islander</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Hispanic</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11%</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8%</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3%</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b/>
                <w:bCs/>
                <w:color w:val="000000"/>
                <w:lang w:val="en-US" w:eastAsia="en-US"/>
              </w:rPr>
            </w:pPr>
            <w:r>
              <w:rPr>
                <w:b/>
                <w:bCs/>
                <w:color w:val="000000"/>
                <w:lang w:eastAsia="en-US"/>
              </w:rPr>
              <w:t xml:space="preserve">Household income </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eastAsia="en-US"/>
              </w:rPr>
              <w:t xml:space="preserve"> </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b/>
                <w:bCs/>
                <w:color w:val="000000"/>
                <w:lang w:val="en-US" w:eastAsia="en-US"/>
              </w:rPr>
            </w:pPr>
            <w:r>
              <w:rPr>
                <w:b/>
                <w:bCs/>
                <w:color w:val="000000"/>
                <w:lang w:eastAsia="en-US"/>
              </w:rPr>
              <w:t xml:space="preserve"> </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 xml:space="preserve"> </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Less than $15,000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9%</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$15,000 to $50,000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33%</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23%</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10%</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$50,000 to $75,000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21%</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$75,000 to $100,000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13%</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$100,000 to $150,000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18%</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$150,000 to $200,000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5%</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-2%</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eastAsia="en-US"/>
              </w:rPr>
              <w:t>More than $200,000</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eastAsia="en-US"/>
              </w:rPr>
              <w:t>4%</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0%</w:t>
            </w:r>
          </w:p>
        </w:tc>
      </w:tr>
    </w:tbl>
    <w:p w:rsidR="00F91B6B" w:rsidRDefault="00F91B6B">
      <w:pPr>
        <w:spacing w:line="240" w:lineRule="auto"/>
      </w:pPr>
    </w:p>
    <w:p w:rsidR="00F91B6B" w:rsidRDefault="00F91B6B">
      <w:pPr>
        <w:spacing w:line="240" w:lineRule="auto"/>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942B06">
      <w:pPr>
        <w:spacing w:line="240" w:lineRule="auto"/>
      </w:pPr>
      <w:r w:rsidRPr="00282C6A">
        <w:rPr>
          <w:b/>
        </w:rPr>
        <w:t>Table S</w:t>
      </w:r>
      <w:r w:rsidR="007C697A" w:rsidRPr="00282C6A">
        <w:rPr>
          <w:b/>
        </w:rPr>
        <w:t>4</w:t>
      </w:r>
      <w:r w:rsidRPr="00282C6A">
        <w:rPr>
          <w:b/>
        </w:rPr>
        <w:t>.</w:t>
      </w:r>
      <w:r>
        <w:t xml:space="preserve"> Comparison of Hampton Roads 2016 survey demographics to Census statistics: Regional distribution</w:t>
      </w:r>
    </w:p>
    <w:p w:rsidR="00F91B6B" w:rsidRDefault="00F91B6B">
      <w:pPr>
        <w:spacing w:line="240" w:lineRule="auto"/>
      </w:pPr>
    </w:p>
    <w:tbl>
      <w:tblPr>
        <w:tblW w:w="5000" w:type="pct"/>
        <w:tblLook w:val="04A0"/>
      </w:tblPr>
      <w:tblGrid>
        <w:gridCol w:w="2394"/>
        <w:gridCol w:w="2394"/>
        <w:gridCol w:w="2394"/>
        <w:gridCol w:w="2394"/>
      </w:tblGrid>
      <w:tr w:rsidR="00F91B6B">
        <w:trPr>
          <w:trHeight w:val="88"/>
        </w:trPr>
        <w:tc>
          <w:tcPr>
            <w:tcW w:w="1250" w:type="pct"/>
            <w:tcBorders>
              <w:top w:val="nil"/>
              <w:left w:val="nil"/>
              <w:bottom w:val="nil"/>
              <w:right w:val="nil"/>
            </w:tcBorders>
            <w:shd w:val="clear" w:color="auto" w:fill="auto"/>
            <w:vAlign w:val="center"/>
            <w:hideMark/>
          </w:tcPr>
          <w:p w:rsidR="00F91B6B" w:rsidRDefault="00F91B6B">
            <w:pPr>
              <w:spacing w:line="240" w:lineRule="auto"/>
              <w:rPr>
                <w:sz w:val="20"/>
                <w:szCs w:val="20"/>
                <w:lang w:val="en-US" w:eastAsia="en-US"/>
              </w:rPr>
            </w:pPr>
          </w:p>
        </w:tc>
        <w:tc>
          <w:tcPr>
            <w:tcW w:w="1250" w:type="pct"/>
            <w:tcBorders>
              <w:top w:val="nil"/>
              <w:left w:val="nil"/>
              <w:bottom w:val="nil"/>
              <w:right w:val="nil"/>
            </w:tcBorders>
            <w:shd w:val="clear" w:color="auto" w:fill="auto"/>
            <w:vAlign w:val="bottom"/>
            <w:hideMark/>
          </w:tcPr>
          <w:p w:rsidR="00F91B6B" w:rsidRDefault="00942B06">
            <w:pPr>
              <w:spacing w:line="240" w:lineRule="auto"/>
              <w:jc w:val="center"/>
              <w:rPr>
                <w:b/>
                <w:bCs/>
                <w:color w:val="000000"/>
                <w:lang w:val="en-US" w:eastAsia="en-US"/>
              </w:rPr>
            </w:pPr>
            <w:r>
              <w:rPr>
                <w:b/>
                <w:bCs/>
                <w:color w:val="000000"/>
                <w:lang w:eastAsia="en-US"/>
              </w:rPr>
              <w:t>Census 2010</w:t>
            </w:r>
          </w:p>
        </w:tc>
        <w:tc>
          <w:tcPr>
            <w:tcW w:w="1250" w:type="pct"/>
            <w:tcBorders>
              <w:top w:val="nil"/>
              <w:left w:val="nil"/>
              <w:bottom w:val="nil"/>
              <w:right w:val="nil"/>
            </w:tcBorders>
            <w:shd w:val="clear" w:color="auto" w:fill="auto"/>
            <w:vAlign w:val="bottom"/>
            <w:hideMark/>
          </w:tcPr>
          <w:p w:rsidR="00F91B6B" w:rsidRDefault="00942B06">
            <w:pPr>
              <w:spacing w:line="240" w:lineRule="auto"/>
              <w:jc w:val="center"/>
              <w:rPr>
                <w:b/>
                <w:bCs/>
                <w:color w:val="000000"/>
                <w:lang w:eastAsia="en-US"/>
              </w:rPr>
            </w:pPr>
            <w:r>
              <w:rPr>
                <w:b/>
                <w:bCs/>
                <w:color w:val="000000"/>
                <w:lang w:eastAsia="en-US"/>
              </w:rPr>
              <w:t xml:space="preserve">2016 </w:t>
            </w:r>
          </w:p>
          <w:p w:rsidR="00F91B6B" w:rsidRDefault="00942B06">
            <w:pPr>
              <w:spacing w:line="240" w:lineRule="auto"/>
              <w:jc w:val="center"/>
              <w:rPr>
                <w:b/>
                <w:bCs/>
                <w:color w:val="000000"/>
                <w:lang w:val="en-US" w:eastAsia="en-US"/>
              </w:rPr>
            </w:pPr>
            <w:r>
              <w:rPr>
                <w:b/>
                <w:bCs/>
                <w:color w:val="000000"/>
                <w:lang w:eastAsia="en-US"/>
              </w:rPr>
              <w:t>Hampton Roads Adaptation Survey</w:t>
            </w:r>
          </w:p>
        </w:tc>
        <w:tc>
          <w:tcPr>
            <w:tcW w:w="1250" w:type="pct"/>
            <w:tcBorders>
              <w:top w:val="nil"/>
              <w:left w:val="nil"/>
              <w:bottom w:val="nil"/>
              <w:right w:val="nil"/>
            </w:tcBorders>
            <w:shd w:val="clear" w:color="auto" w:fill="auto"/>
            <w:noWrap/>
            <w:vAlign w:val="bottom"/>
            <w:hideMark/>
          </w:tcPr>
          <w:p w:rsidR="00F91B6B" w:rsidRDefault="00942B06">
            <w:pPr>
              <w:spacing w:line="240" w:lineRule="auto"/>
              <w:jc w:val="center"/>
              <w:rPr>
                <w:rFonts w:ascii="Arial" w:hAnsi="Arial" w:cs="Arial"/>
                <w:color w:val="000000"/>
                <w:lang w:val="en-US" w:eastAsia="en-US"/>
              </w:rPr>
            </w:pPr>
            <w:r>
              <w:rPr>
                <w:rFonts w:ascii="Arial" w:hAnsi="Arial" w:cs="Arial"/>
                <w:color w:val="000000"/>
                <w:lang w:val="en-US" w:eastAsia="en-US"/>
              </w:rPr>
              <w:t>∆</w:t>
            </w:r>
          </w:p>
        </w:tc>
      </w:tr>
      <w:tr w:rsidR="00F91B6B">
        <w:trPr>
          <w:trHeight w:val="78"/>
        </w:trPr>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Virginia Beach</w:t>
            </w:r>
          </w:p>
        </w:tc>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26%</w:t>
            </w:r>
          </w:p>
        </w:tc>
        <w:tc>
          <w:tcPr>
            <w:tcW w:w="1250" w:type="pct"/>
            <w:tcBorders>
              <w:top w:val="single" w:sz="4" w:space="0" w:color="auto"/>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22%</w:t>
            </w:r>
          </w:p>
        </w:tc>
        <w:tc>
          <w:tcPr>
            <w:tcW w:w="1250" w:type="pct"/>
            <w:tcBorders>
              <w:top w:val="single" w:sz="4" w:space="0" w:color="auto"/>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lastRenderedPageBreak/>
              <w:t>Norfolk</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14%</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38%</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-24%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Chesapeake</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13%</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9%</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4%</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Portsmouth</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6%</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7%</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w:t>
            </w:r>
          </w:p>
        </w:tc>
      </w:tr>
      <w:tr w:rsidR="00F91B6B">
        <w:trPr>
          <w:trHeight w:val="312"/>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Suffolk</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5%</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3%</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2%</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Newport News</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11%</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6%</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5%</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Hampton</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8%</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12%</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-3%</w:t>
            </w:r>
          </w:p>
        </w:tc>
      </w:tr>
      <w:tr w:rsidR="00F91B6B">
        <w:trPr>
          <w:trHeight w:val="78"/>
        </w:trPr>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rPr>
                <w:color w:val="000000"/>
                <w:lang w:val="en-US" w:eastAsia="en-US"/>
              </w:rPr>
            </w:pPr>
            <w:r>
              <w:rPr>
                <w:color w:val="000000"/>
                <w:lang w:val="en-US" w:eastAsia="en-US"/>
              </w:rPr>
              <w:t>Other</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16%</w:t>
            </w:r>
          </w:p>
        </w:tc>
        <w:tc>
          <w:tcPr>
            <w:tcW w:w="1250" w:type="pct"/>
            <w:tcBorders>
              <w:top w:val="nil"/>
              <w:left w:val="nil"/>
              <w:bottom w:val="single" w:sz="4" w:space="0" w:color="auto"/>
              <w:right w:val="nil"/>
            </w:tcBorders>
            <w:shd w:val="clear" w:color="auto" w:fill="auto"/>
            <w:vAlign w:val="center"/>
            <w:hideMark/>
          </w:tcPr>
          <w:p w:rsidR="00F91B6B" w:rsidRDefault="00942B06">
            <w:pPr>
              <w:spacing w:line="240" w:lineRule="auto"/>
              <w:jc w:val="center"/>
              <w:rPr>
                <w:color w:val="000000"/>
                <w:lang w:val="en-US" w:eastAsia="en-US"/>
              </w:rPr>
            </w:pPr>
            <w:r>
              <w:rPr>
                <w:color w:val="000000"/>
                <w:lang w:val="en-US" w:eastAsia="en-US"/>
              </w:rPr>
              <w:t>3%</w:t>
            </w:r>
          </w:p>
        </w:tc>
        <w:tc>
          <w:tcPr>
            <w:tcW w:w="1250" w:type="pct"/>
            <w:tcBorders>
              <w:top w:val="nil"/>
              <w:left w:val="nil"/>
              <w:bottom w:val="single" w:sz="4" w:space="0" w:color="auto"/>
              <w:right w:val="nil"/>
            </w:tcBorders>
            <w:shd w:val="clear" w:color="auto" w:fill="auto"/>
            <w:noWrap/>
            <w:vAlign w:val="center"/>
            <w:hideMark/>
          </w:tcPr>
          <w:p w:rsidR="00F91B6B" w:rsidRDefault="00942B06">
            <w:pPr>
              <w:spacing w:line="240" w:lineRule="auto"/>
              <w:jc w:val="center"/>
              <w:rPr>
                <w:color w:val="000000"/>
                <w:lang w:val="en-US" w:eastAsia="en-US"/>
              </w:rPr>
            </w:pPr>
            <w:r>
              <w:rPr>
                <w:color w:val="000000"/>
                <w:lang w:val="en-US" w:eastAsia="en-US"/>
              </w:rPr>
              <w:t>13%</w:t>
            </w:r>
          </w:p>
        </w:tc>
      </w:tr>
    </w:tbl>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rPr>
          <w:rFonts w:ascii="Calibri Light" w:hAnsi="Calibri Light"/>
          <w:color w:val="000000"/>
          <w:sz w:val="20"/>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b/>
          <w:i/>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ourier New"/>
          <w:szCs w:val="20"/>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F91B6B" w:rsidRDefault="00F91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F91B6B" w:rsidRDefault="00F91B6B"/>
    <w:sectPr w:rsidR="00F91B6B" w:rsidSect="004674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46" w:rsidRDefault="00296E46">
      <w:pPr>
        <w:spacing w:line="240" w:lineRule="auto"/>
      </w:pPr>
      <w:r>
        <w:separator/>
      </w:r>
    </w:p>
  </w:endnote>
  <w:endnote w:type="continuationSeparator" w:id="0">
    <w:p w:rsidR="00296E46" w:rsidRDefault="00296E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43001"/>
      <w:docPartObj>
        <w:docPartGallery w:val="Page Numbers (Bottom of Page)"/>
        <w:docPartUnique/>
      </w:docPartObj>
    </w:sdtPr>
    <w:sdtEndPr>
      <w:rPr>
        <w:noProof/>
      </w:rPr>
    </w:sdtEndPr>
    <w:sdtContent>
      <w:p w:rsidR="00FA409F" w:rsidRDefault="004674DD">
        <w:pPr>
          <w:pStyle w:val="Footer"/>
          <w:jc w:val="center"/>
        </w:pPr>
        <w:r>
          <w:fldChar w:fldCharType="begin"/>
        </w:r>
        <w:r w:rsidR="00FA409F">
          <w:instrText xml:space="preserve"> PAGE   \* MERGEFORMAT </w:instrText>
        </w:r>
        <w:r>
          <w:fldChar w:fldCharType="separate"/>
        </w:r>
        <w:r w:rsidR="00A51FCA">
          <w:rPr>
            <w:noProof/>
          </w:rPr>
          <w:t>2</w:t>
        </w:r>
        <w:r>
          <w:rPr>
            <w:noProof/>
          </w:rPr>
          <w:fldChar w:fldCharType="end"/>
        </w:r>
      </w:p>
    </w:sdtContent>
  </w:sdt>
  <w:p w:rsidR="00FA409F" w:rsidRDefault="00FA4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46" w:rsidRDefault="00296E46">
      <w:pPr>
        <w:spacing w:line="240" w:lineRule="auto"/>
      </w:pPr>
      <w:r>
        <w:separator/>
      </w:r>
    </w:p>
  </w:footnote>
  <w:footnote w:type="continuationSeparator" w:id="0">
    <w:p w:rsidR="00296E46" w:rsidRDefault="00296E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9F" w:rsidRPr="00EC4E35" w:rsidRDefault="00FA409F" w:rsidP="003B6B31">
    <w:pPr>
      <w:pStyle w:val="Header"/>
      <w:rPr>
        <w:caps/>
      </w:rPr>
    </w:pPr>
    <w:r w:rsidRPr="00EC4E35">
      <w:rPr>
        <w:caps/>
      </w:rPr>
      <w:t>Key Beliefs and Attitudes for Sea Level Rise</w:t>
    </w:r>
    <w:r>
      <w:rPr>
        <w:caps/>
      </w:rPr>
      <w:t xml:space="preserve">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1F01"/>
    <w:multiLevelType w:val="hybridMultilevel"/>
    <w:tmpl w:val="071282F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C4EAD"/>
    <w:multiLevelType w:val="hybridMultilevel"/>
    <w:tmpl w:val="35FC530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C7749"/>
    <w:multiLevelType w:val="hybridMultilevel"/>
    <w:tmpl w:val="2FAA164C"/>
    <w:lvl w:ilvl="0" w:tplc="104EC7B6">
      <w:start w:val="1"/>
      <w:numFmt w:val="decimal"/>
      <w:lvlText w:val="%1."/>
      <w:lvlJc w:val="left"/>
      <w:pPr>
        <w:ind w:left="720" w:hanging="360"/>
      </w:pPr>
      <w:rPr>
        <w:rFonts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91B6B"/>
    <w:rsid w:val="000001DF"/>
    <w:rsid w:val="0002565F"/>
    <w:rsid w:val="00037A16"/>
    <w:rsid w:val="00083109"/>
    <w:rsid w:val="000A1132"/>
    <w:rsid w:val="000F7CAC"/>
    <w:rsid w:val="00100349"/>
    <w:rsid w:val="00105B1E"/>
    <w:rsid w:val="001200BB"/>
    <w:rsid w:val="00134A4B"/>
    <w:rsid w:val="00155C97"/>
    <w:rsid w:val="00196D2B"/>
    <w:rsid w:val="00203E38"/>
    <w:rsid w:val="0021357B"/>
    <w:rsid w:val="002568E3"/>
    <w:rsid w:val="00282C6A"/>
    <w:rsid w:val="00296E46"/>
    <w:rsid w:val="002A51DF"/>
    <w:rsid w:val="002B64FF"/>
    <w:rsid w:val="002D1579"/>
    <w:rsid w:val="00305C34"/>
    <w:rsid w:val="003061A1"/>
    <w:rsid w:val="00357CE7"/>
    <w:rsid w:val="00361004"/>
    <w:rsid w:val="003B6B31"/>
    <w:rsid w:val="003E7CBC"/>
    <w:rsid w:val="0040061D"/>
    <w:rsid w:val="00462B95"/>
    <w:rsid w:val="004674DD"/>
    <w:rsid w:val="00467F1A"/>
    <w:rsid w:val="0050562C"/>
    <w:rsid w:val="00507F1B"/>
    <w:rsid w:val="005566EB"/>
    <w:rsid w:val="005E2456"/>
    <w:rsid w:val="005F4414"/>
    <w:rsid w:val="005F7B3F"/>
    <w:rsid w:val="006066E8"/>
    <w:rsid w:val="00632E8F"/>
    <w:rsid w:val="0063376F"/>
    <w:rsid w:val="006449F2"/>
    <w:rsid w:val="0069037A"/>
    <w:rsid w:val="006C28E8"/>
    <w:rsid w:val="00731BD0"/>
    <w:rsid w:val="00732693"/>
    <w:rsid w:val="00750DC7"/>
    <w:rsid w:val="007A5EE0"/>
    <w:rsid w:val="007C1A2B"/>
    <w:rsid w:val="007C697A"/>
    <w:rsid w:val="007E11BD"/>
    <w:rsid w:val="00804DC6"/>
    <w:rsid w:val="008C4341"/>
    <w:rsid w:val="008C5153"/>
    <w:rsid w:val="00942B06"/>
    <w:rsid w:val="00971E79"/>
    <w:rsid w:val="009A0724"/>
    <w:rsid w:val="009A65B2"/>
    <w:rsid w:val="009E56BA"/>
    <w:rsid w:val="00A32509"/>
    <w:rsid w:val="00A47769"/>
    <w:rsid w:val="00A51FCA"/>
    <w:rsid w:val="00A73F83"/>
    <w:rsid w:val="00AC605B"/>
    <w:rsid w:val="00AD465C"/>
    <w:rsid w:val="00AE2046"/>
    <w:rsid w:val="00B03DE4"/>
    <w:rsid w:val="00B10C58"/>
    <w:rsid w:val="00B35722"/>
    <w:rsid w:val="00B36420"/>
    <w:rsid w:val="00B8622E"/>
    <w:rsid w:val="00BA443A"/>
    <w:rsid w:val="00BF3DE3"/>
    <w:rsid w:val="00C9182A"/>
    <w:rsid w:val="00CD0B77"/>
    <w:rsid w:val="00D1523E"/>
    <w:rsid w:val="00D361D6"/>
    <w:rsid w:val="00D749C0"/>
    <w:rsid w:val="00D94333"/>
    <w:rsid w:val="00DC2A8E"/>
    <w:rsid w:val="00DE6ACE"/>
    <w:rsid w:val="00E041EF"/>
    <w:rsid w:val="00E10692"/>
    <w:rsid w:val="00E40003"/>
    <w:rsid w:val="00E45F5B"/>
    <w:rsid w:val="00E56607"/>
    <w:rsid w:val="00E73D2A"/>
    <w:rsid w:val="00E97CB9"/>
    <w:rsid w:val="00EC446C"/>
    <w:rsid w:val="00EC4E35"/>
    <w:rsid w:val="00EC744D"/>
    <w:rsid w:val="00ED1D59"/>
    <w:rsid w:val="00ED31A9"/>
    <w:rsid w:val="00EE2D1A"/>
    <w:rsid w:val="00EE57B3"/>
    <w:rsid w:val="00F14B3E"/>
    <w:rsid w:val="00F54261"/>
    <w:rsid w:val="00F91B6B"/>
    <w:rsid w:val="00FA409F"/>
    <w:rsid w:val="00FA49AD"/>
    <w:rsid w:val="00FA5170"/>
    <w:rsid w:val="00FA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DD"/>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4674DD"/>
    <w:pPr>
      <w:spacing w:after="120" w:line="360" w:lineRule="auto"/>
    </w:pPr>
    <w:rPr>
      <w:b/>
      <w:sz w:val="28"/>
    </w:rPr>
  </w:style>
  <w:style w:type="paragraph" w:styleId="ListParagraph">
    <w:name w:val="List Paragraph"/>
    <w:basedOn w:val="Normal"/>
    <w:uiPriority w:val="34"/>
    <w:qFormat/>
    <w:rsid w:val="004674DD"/>
    <w:pPr>
      <w:ind w:left="720"/>
      <w:contextualSpacing/>
    </w:pPr>
  </w:style>
  <w:style w:type="paragraph" w:styleId="Header">
    <w:name w:val="header"/>
    <w:basedOn w:val="Normal"/>
    <w:link w:val="HeaderChar"/>
    <w:uiPriority w:val="99"/>
    <w:unhideWhenUsed/>
    <w:rsid w:val="004674DD"/>
    <w:pPr>
      <w:tabs>
        <w:tab w:val="center" w:pos="4680"/>
        <w:tab w:val="right" w:pos="9360"/>
      </w:tabs>
      <w:spacing w:line="240" w:lineRule="auto"/>
    </w:pPr>
  </w:style>
  <w:style w:type="character" w:customStyle="1" w:styleId="HeaderChar">
    <w:name w:val="Header Char"/>
    <w:basedOn w:val="DefaultParagraphFont"/>
    <w:link w:val="Header"/>
    <w:uiPriority w:val="99"/>
    <w:rsid w:val="004674D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674DD"/>
    <w:pPr>
      <w:tabs>
        <w:tab w:val="center" w:pos="4680"/>
        <w:tab w:val="right" w:pos="9360"/>
      </w:tabs>
      <w:spacing w:line="240" w:lineRule="auto"/>
    </w:pPr>
  </w:style>
  <w:style w:type="character" w:customStyle="1" w:styleId="FooterChar">
    <w:name w:val="Footer Char"/>
    <w:basedOn w:val="DefaultParagraphFont"/>
    <w:link w:val="Footer"/>
    <w:uiPriority w:val="99"/>
    <w:rsid w:val="004674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674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DD"/>
    <w:rPr>
      <w:rFonts w:ascii="Segoe UI" w:eastAsia="Times New Roman" w:hAnsi="Segoe UI" w:cs="Segoe UI"/>
      <w:sz w:val="18"/>
      <w:szCs w:val="18"/>
      <w:lang w:val="en-GB" w:eastAsia="en-GB"/>
    </w:rPr>
  </w:style>
  <w:style w:type="table" w:styleId="TableGrid">
    <w:name w:val="Table Grid"/>
    <w:basedOn w:val="TableNormal"/>
    <w:uiPriority w:val="39"/>
    <w:rsid w:val="0046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446C"/>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8C4341"/>
    <w:pPr>
      <w:spacing w:line="240" w:lineRule="auto"/>
      <w:ind w:left="720" w:hanging="720"/>
    </w:pPr>
  </w:style>
  <w:style w:type="character" w:styleId="Hyperlink">
    <w:name w:val="Hyperlink"/>
    <w:basedOn w:val="DefaultParagraphFont"/>
    <w:unhideWhenUsed/>
    <w:rsid w:val="00EE2D1A"/>
    <w:rPr>
      <w:color w:val="0563C1" w:themeColor="hyperlink"/>
      <w:u w:val="single"/>
    </w:rPr>
  </w:style>
  <w:style w:type="character" w:customStyle="1" w:styleId="html-italic">
    <w:name w:val="html-italic"/>
    <w:basedOn w:val="DefaultParagraphFont"/>
    <w:rsid w:val="00EE2D1A"/>
  </w:style>
  <w:style w:type="character" w:customStyle="1" w:styleId="UnresolvedMention">
    <w:name w:val="Unresolved Mention"/>
    <w:basedOn w:val="DefaultParagraphFont"/>
    <w:uiPriority w:val="99"/>
    <w:semiHidden/>
    <w:unhideWhenUsed/>
    <w:rsid w:val="00282C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206381">
      <w:bodyDiv w:val="1"/>
      <w:marLeft w:val="0"/>
      <w:marRight w:val="0"/>
      <w:marTop w:val="0"/>
      <w:marBottom w:val="0"/>
      <w:divBdr>
        <w:top w:val="none" w:sz="0" w:space="0" w:color="auto"/>
        <w:left w:val="none" w:sz="0" w:space="0" w:color="auto"/>
        <w:bottom w:val="none" w:sz="0" w:space="0" w:color="auto"/>
        <w:right w:val="none" w:sz="0" w:space="0" w:color="auto"/>
      </w:divBdr>
    </w:div>
    <w:div w:id="96338498">
      <w:bodyDiv w:val="1"/>
      <w:marLeft w:val="0"/>
      <w:marRight w:val="0"/>
      <w:marTop w:val="0"/>
      <w:marBottom w:val="0"/>
      <w:divBdr>
        <w:top w:val="none" w:sz="0" w:space="0" w:color="auto"/>
        <w:left w:val="none" w:sz="0" w:space="0" w:color="auto"/>
        <w:bottom w:val="none" w:sz="0" w:space="0" w:color="auto"/>
        <w:right w:val="none" w:sz="0" w:space="0" w:color="auto"/>
      </w:divBdr>
    </w:div>
    <w:div w:id="132253726">
      <w:bodyDiv w:val="1"/>
      <w:marLeft w:val="0"/>
      <w:marRight w:val="0"/>
      <w:marTop w:val="0"/>
      <w:marBottom w:val="0"/>
      <w:divBdr>
        <w:top w:val="none" w:sz="0" w:space="0" w:color="auto"/>
        <w:left w:val="none" w:sz="0" w:space="0" w:color="auto"/>
        <w:bottom w:val="none" w:sz="0" w:space="0" w:color="auto"/>
        <w:right w:val="none" w:sz="0" w:space="0" w:color="auto"/>
      </w:divBdr>
    </w:div>
    <w:div w:id="240871583">
      <w:bodyDiv w:val="1"/>
      <w:marLeft w:val="0"/>
      <w:marRight w:val="0"/>
      <w:marTop w:val="0"/>
      <w:marBottom w:val="0"/>
      <w:divBdr>
        <w:top w:val="none" w:sz="0" w:space="0" w:color="auto"/>
        <w:left w:val="none" w:sz="0" w:space="0" w:color="auto"/>
        <w:bottom w:val="none" w:sz="0" w:space="0" w:color="auto"/>
        <w:right w:val="none" w:sz="0" w:space="0" w:color="auto"/>
      </w:divBdr>
    </w:div>
    <w:div w:id="269552629">
      <w:bodyDiv w:val="1"/>
      <w:marLeft w:val="0"/>
      <w:marRight w:val="0"/>
      <w:marTop w:val="0"/>
      <w:marBottom w:val="0"/>
      <w:divBdr>
        <w:top w:val="none" w:sz="0" w:space="0" w:color="auto"/>
        <w:left w:val="none" w:sz="0" w:space="0" w:color="auto"/>
        <w:bottom w:val="none" w:sz="0" w:space="0" w:color="auto"/>
        <w:right w:val="none" w:sz="0" w:space="0" w:color="auto"/>
      </w:divBdr>
    </w:div>
    <w:div w:id="317148412">
      <w:bodyDiv w:val="1"/>
      <w:marLeft w:val="0"/>
      <w:marRight w:val="0"/>
      <w:marTop w:val="0"/>
      <w:marBottom w:val="0"/>
      <w:divBdr>
        <w:top w:val="none" w:sz="0" w:space="0" w:color="auto"/>
        <w:left w:val="none" w:sz="0" w:space="0" w:color="auto"/>
        <w:bottom w:val="none" w:sz="0" w:space="0" w:color="auto"/>
        <w:right w:val="none" w:sz="0" w:space="0" w:color="auto"/>
      </w:divBdr>
    </w:div>
    <w:div w:id="321855200">
      <w:bodyDiv w:val="1"/>
      <w:marLeft w:val="0"/>
      <w:marRight w:val="0"/>
      <w:marTop w:val="0"/>
      <w:marBottom w:val="0"/>
      <w:divBdr>
        <w:top w:val="none" w:sz="0" w:space="0" w:color="auto"/>
        <w:left w:val="none" w:sz="0" w:space="0" w:color="auto"/>
        <w:bottom w:val="none" w:sz="0" w:space="0" w:color="auto"/>
        <w:right w:val="none" w:sz="0" w:space="0" w:color="auto"/>
      </w:divBdr>
    </w:div>
    <w:div w:id="389546879">
      <w:bodyDiv w:val="1"/>
      <w:marLeft w:val="0"/>
      <w:marRight w:val="0"/>
      <w:marTop w:val="0"/>
      <w:marBottom w:val="0"/>
      <w:divBdr>
        <w:top w:val="none" w:sz="0" w:space="0" w:color="auto"/>
        <w:left w:val="none" w:sz="0" w:space="0" w:color="auto"/>
        <w:bottom w:val="none" w:sz="0" w:space="0" w:color="auto"/>
        <w:right w:val="none" w:sz="0" w:space="0" w:color="auto"/>
      </w:divBdr>
    </w:div>
    <w:div w:id="531386726">
      <w:bodyDiv w:val="1"/>
      <w:marLeft w:val="0"/>
      <w:marRight w:val="0"/>
      <w:marTop w:val="0"/>
      <w:marBottom w:val="0"/>
      <w:divBdr>
        <w:top w:val="none" w:sz="0" w:space="0" w:color="auto"/>
        <w:left w:val="none" w:sz="0" w:space="0" w:color="auto"/>
        <w:bottom w:val="none" w:sz="0" w:space="0" w:color="auto"/>
        <w:right w:val="none" w:sz="0" w:space="0" w:color="auto"/>
      </w:divBdr>
    </w:div>
    <w:div w:id="547380944">
      <w:bodyDiv w:val="1"/>
      <w:marLeft w:val="0"/>
      <w:marRight w:val="0"/>
      <w:marTop w:val="0"/>
      <w:marBottom w:val="0"/>
      <w:divBdr>
        <w:top w:val="none" w:sz="0" w:space="0" w:color="auto"/>
        <w:left w:val="none" w:sz="0" w:space="0" w:color="auto"/>
        <w:bottom w:val="none" w:sz="0" w:space="0" w:color="auto"/>
        <w:right w:val="none" w:sz="0" w:space="0" w:color="auto"/>
      </w:divBdr>
    </w:div>
    <w:div w:id="697122355">
      <w:bodyDiv w:val="1"/>
      <w:marLeft w:val="0"/>
      <w:marRight w:val="0"/>
      <w:marTop w:val="0"/>
      <w:marBottom w:val="0"/>
      <w:divBdr>
        <w:top w:val="none" w:sz="0" w:space="0" w:color="auto"/>
        <w:left w:val="none" w:sz="0" w:space="0" w:color="auto"/>
        <w:bottom w:val="none" w:sz="0" w:space="0" w:color="auto"/>
        <w:right w:val="none" w:sz="0" w:space="0" w:color="auto"/>
      </w:divBdr>
    </w:div>
    <w:div w:id="751704231">
      <w:bodyDiv w:val="1"/>
      <w:marLeft w:val="0"/>
      <w:marRight w:val="0"/>
      <w:marTop w:val="0"/>
      <w:marBottom w:val="0"/>
      <w:divBdr>
        <w:top w:val="none" w:sz="0" w:space="0" w:color="auto"/>
        <w:left w:val="none" w:sz="0" w:space="0" w:color="auto"/>
        <w:bottom w:val="none" w:sz="0" w:space="0" w:color="auto"/>
        <w:right w:val="none" w:sz="0" w:space="0" w:color="auto"/>
      </w:divBdr>
    </w:div>
    <w:div w:id="913048517">
      <w:bodyDiv w:val="1"/>
      <w:marLeft w:val="0"/>
      <w:marRight w:val="0"/>
      <w:marTop w:val="0"/>
      <w:marBottom w:val="0"/>
      <w:divBdr>
        <w:top w:val="none" w:sz="0" w:space="0" w:color="auto"/>
        <w:left w:val="none" w:sz="0" w:space="0" w:color="auto"/>
        <w:bottom w:val="none" w:sz="0" w:space="0" w:color="auto"/>
        <w:right w:val="none" w:sz="0" w:space="0" w:color="auto"/>
      </w:divBdr>
    </w:div>
    <w:div w:id="983507547">
      <w:bodyDiv w:val="1"/>
      <w:marLeft w:val="0"/>
      <w:marRight w:val="0"/>
      <w:marTop w:val="0"/>
      <w:marBottom w:val="0"/>
      <w:divBdr>
        <w:top w:val="none" w:sz="0" w:space="0" w:color="auto"/>
        <w:left w:val="none" w:sz="0" w:space="0" w:color="auto"/>
        <w:bottom w:val="none" w:sz="0" w:space="0" w:color="auto"/>
        <w:right w:val="none" w:sz="0" w:space="0" w:color="auto"/>
      </w:divBdr>
    </w:div>
    <w:div w:id="1007908814">
      <w:bodyDiv w:val="1"/>
      <w:marLeft w:val="0"/>
      <w:marRight w:val="0"/>
      <w:marTop w:val="0"/>
      <w:marBottom w:val="0"/>
      <w:divBdr>
        <w:top w:val="none" w:sz="0" w:space="0" w:color="auto"/>
        <w:left w:val="none" w:sz="0" w:space="0" w:color="auto"/>
        <w:bottom w:val="none" w:sz="0" w:space="0" w:color="auto"/>
        <w:right w:val="none" w:sz="0" w:space="0" w:color="auto"/>
      </w:divBdr>
    </w:div>
    <w:div w:id="1027365804">
      <w:bodyDiv w:val="1"/>
      <w:marLeft w:val="0"/>
      <w:marRight w:val="0"/>
      <w:marTop w:val="0"/>
      <w:marBottom w:val="0"/>
      <w:divBdr>
        <w:top w:val="none" w:sz="0" w:space="0" w:color="auto"/>
        <w:left w:val="none" w:sz="0" w:space="0" w:color="auto"/>
        <w:bottom w:val="none" w:sz="0" w:space="0" w:color="auto"/>
        <w:right w:val="none" w:sz="0" w:space="0" w:color="auto"/>
      </w:divBdr>
    </w:div>
    <w:div w:id="1214584508">
      <w:bodyDiv w:val="1"/>
      <w:marLeft w:val="0"/>
      <w:marRight w:val="0"/>
      <w:marTop w:val="0"/>
      <w:marBottom w:val="0"/>
      <w:divBdr>
        <w:top w:val="none" w:sz="0" w:space="0" w:color="auto"/>
        <w:left w:val="none" w:sz="0" w:space="0" w:color="auto"/>
        <w:bottom w:val="none" w:sz="0" w:space="0" w:color="auto"/>
        <w:right w:val="none" w:sz="0" w:space="0" w:color="auto"/>
      </w:divBdr>
    </w:div>
    <w:div w:id="1457288030">
      <w:bodyDiv w:val="1"/>
      <w:marLeft w:val="0"/>
      <w:marRight w:val="0"/>
      <w:marTop w:val="0"/>
      <w:marBottom w:val="0"/>
      <w:divBdr>
        <w:top w:val="none" w:sz="0" w:space="0" w:color="auto"/>
        <w:left w:val="none" w:sz="0" w:space="0" w:color="auto"/>
        <w:bottom w:val="none" w:sz="0" w:space="0" w:color="auto"/>
        <w:right w:val="none" w:sz="0" w:space="0" w:color="auto"/>
      </w:divBdr>
    </w:div>
    <w:div w:id="1580794099">
      <w:bodyDiv w:val="1"/>
      <w:marLeft w:val="0"/>
      <w:marRight w:val="0"/>
      <w:marTop w:val="0"/>
      <w:marBottom w:val="0"/>
      <w:divBdr>
        <w:top w:val="none" w:sz="0" w:space="0" w:color="auto"/>
        <w:left w:val="none" w:sz="0" w:space="0" w:color="auto"/>
        <w:bottom w:val="none" w:sz="0" w:space="0" w:color="auto"/>
        <w:right w:val="none" w:sz="0" w:space="0" w:color="auto"/>
      </w:divBdr>
    </w:div>
    <w:div w:id="1704674508">
      <w:bodyDiv w:val="1"/>
      <w:marLeft w:val="0"/>
      <w:marRight w:val="0"/>
      <w:marTop w:val="0"/>
      <w:marBottom w:val="0"/>
      <w:divBdr>
        <w:top w:val="none" w:sz="0" w:space="0" w:color="auto"/>
        <w:left w:val="none" w:sz="0" w:space="0" w:color="auto"/>
        <w:bottom w:val="none" w:sz="0" w:space="0" w:color="auto"/>
        <w:right w:val="none" w:sz="0" w:space="0" w:color="auto"/>
      </w:divBdr>
    </w:div>
    <w:div w:id="1717972275">
      <w:bodyDiv w:val="1"/>
      <w:marLeft w:val="0"/>
      <w:marRight w:val="0"/>
      <w:marTop w:val="0"/>
      <w:marBottom w:val="0"/>
      <w:divBdr>
        <w:top w:val="none" w:sz="0" w:space="0" w:color="auto"/>
        <w:left w:val="none" w:sz="0" w:space="0" w:color="auto"/>
        <w:bottom w:val="none" w:sz="0" w:space="0" w:color="auto"/>
        <w:right w:val="none" w:sz="0" w:space="0" w:color="auto"/>
      </w:divBdr>
    </w:div>
    <w:div w:id="1871869597">
      <w:bodyDiv w:val="1"/>
      <w:marLeft w:val="0"/>
      <w:marRight w:val="0"/>
      <w:marTop w:val="0"/>
      <w:marBottom w:val="0"/>
      <w:divBdr>
        <w:top w:val="none" w:sz="0" w:space="0" w:color="auto"/>
        <w:left w:val="none" w:sz="0" w:space="0" w:color="auto"/>
        <w:bottom w:val="none" w:sz="0" w:space="0" w:color="auto"/>
        <w:right w:val="none" w:sz="0" w:space="0" w:color="auto"/>
      </w:divBdr>
    </w:div>
    <w:div w:id="1883127410">
      <w:bodyDiv w:val="1"/>
      <w:marLeft w:val="0"/>
      <w:marRight w:val="0"/>
      <w:marTop w:val="0"/>
      <w:marBottom w:val="0"/>
      <w:divBdr>
        <w:top w:val="none" w:sz="0" w:space="0" w:color="auto"/>
        <w:left w:val="none" w:sz="0" w:space="0" w:color="auto"/>
        <w:bottom w:val="none" w:sz="0" w:space="0" w:color="auto"/>
        <w:right w:val="none" w:sz="0" w:space="0" w:color="auto"/>
      </w:divBdr>
    </w:div>
    <w:div w:id="1911304528">
      <w:bodyDiv w:val="1"/>
      <w:marLeft w:val="0"/>
      <w:marRight w:val="0"/>
      <w:marTop w:val="0"/>
      <w:marBottom w:val="0"/>
      <w:divBdr>
        <w:top w:val="none" w:sz="0" w:space="0" w:color="auto"/>
        <w:left w:val="none" w:sz="0" w:space="0" w:color="auto"/>
        <w:bottom w:val="none" w:sz="0" w:space="0" w:color="auto"/>
        <w:right w:val="none" w:sz="0" w:space="0" w:color="auto"/>
      </w:divBdr>
    </w:div>
    <w:div w:id="1974747503">
      <w:bodyDiv w:val="1"/>
      <w:marLeft w:val="0"/>
      <w:marRight w:val="0"/>
      <w:marTop w:val="0"/>
      <w:marBottom w:val="0"/>
      <w:divBdr>
        <w:top w:val="none" w:sz="0" w:space="0" w:color="auto"/>
        <w:left w:val="none" w:sz="0" w:space="0" w:color="auto"/>
        <w:bottom w:val="none" w:sz="0" w:space="0" w:color="auto"/>
        <w:right w:val="none" w:sz="0" w:space="0" w:color="auto"/>
      </w:divBdr>
    </w:div>
    <w:div w:id="1989285315">
      <w:bodyDiv w:val="1"/>
      <w:marLeft w:val="0"/>
      <w:marRight w:val="0"/>
      <w:marTop w:val="0"/>
      <w:marBottom w:val="0"/>
      <w:divBdr>
        <w:top w:val="none" w:sz="0" w:space="0" w:color="auto"/>
        <w:left w:val="none" w:sz="0" w:space="0" w:color="auto"/>
        <w:bottom w:val="none" w:sz="0" w:space="0" w:color="auto"/>
        <w:right w:val="none" w:sz="0" w:space="0" w:color="auto"/>
      </w:divBdr>
    </w:div>
    <w:div w:id="1997108079">
      <w:bodyDiv w:val="1"/>
      <w:marLeft w:val="0"/>
      <w:marRight w:val="0"/>
      <w:marTop w:val="0"/>
      <w:marBottom w:val="0"/>
      <w:divBdr>
        <w:top w:val="none" w:sz="0" w:space="0" w:color="auto"/>
        <w:left w:val="none" w:sz="0" w:space="0" w:color="auto"/>
        <w:bottom w:val="none" w:sz="0" w:space="0" w:color="auto"/>
        <w:right w:val="none" w:sz="0" w:space="0" w:color="auto"/>
      </w:divBdr>
    </w:div>
    <w:div w:id="20284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F413-3DD4-4B5D-8FDC-4792B922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2019-05-24T09:55:00Z</dcterms:created>
  <dcterms:modified xsi:type="dcterms:W3CDTF">2019-05-24T09:55:00Z</dcterms:modified>
</cp:coreProperties>
</file>