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823" w:rsidRPr="007B3604" w:rsidRDefault="00470823" w:rsidP="00470823">
      <w:pPr>
        <w:spacing w:line="480" w:lineRule="auto"/>
        <w:rPr>
          <w:rFonts w:ascii="Arial" w:hAnsi="Arial"/>
          <w:sz w:val="22"/>
          <w:szCs w:val="22"/>
        </w:rPr>
      </w:pPr>
      <w:r w:rsidRPr="00587CEA">
        <w:rPr>
          <w:rFonts w:ascii="Arial" w:hAnsi="Arial" w:cs="Arial"/>
          <w:b/>
          <w:sz w:val="22"/>
          <w:szCs w:val="22"/>
        </w:rPr>
        <w:t xml:space="preserve">Supplemental </w:t>
      </w:r>
      <w:r>
        <w:rPr>
          <w:rFonts w:ascii="Arial" w:hAnsi="Arial" w:cs="Arial"/>
          <w:b/>
          <w:sz w:val="22"/>
          <w:szCs w:val="22"/>
        </w:rPr>
        <w:t>Figure Legends</w:t>
      </w:r>
    </w:p>
    <w:p w:rsidR="00470823" w:rsidRPr="00C86DB1" w:rsidRDefault="00470823" w:rsidP="00470823">
      <w:pPr>
        <w:spacing w:line="480" w:lineRule="auto"/>
        <w:rPr>
          <w:rFonts w:ascii="Arial" w:hAnsi="Arial" w:cs="Arial"/>
          <w:szCs w:val="24"/>
        </w:rPr>
      </w:pPr>
      <w:r w:rsidRPr="00C86DB1">
        <w:rPr>
          <w:rFonts w:ascii="Arial" w:hAnsi="Arial" w:cs="Arial"/>
          <w:b/>
          <w:szCs w:val="24"/>
        </w:rPr>
        <w:t>Figure S1.</w:t>
      </w:r>
      <w:r>
        <w:rPr>
          <w:rFonts w:ascii="Arial" w:hAnsi="Arial" w:cs="Arial"/>
          <w:szCs w:val="24"/>
        </w:rPr>
        <w:t xml:space="preserve"> Screening mouse embryonic stem cells for positive recombination at the </w:t>
      </w:r>
      <w:r>
        <w:rPr>
          <w:rFonts w:ascii="Arial" w:hAnsi="Arial" w:cs="Arial"/>
          <w:i/>
          <w:szCs w:val="24"/>
        </w:rPr>
        <w:t>Rosa26</w:t>
      </w:r>
      <w:r>
        <w:rPr>
          <w:rFonts w:ascii="Arial" w:hAnsi="Arial" w:cs="Arial"/>
          <w:szCs w:val="24"/>
        </w:rPr>
        <w:t xml:space="preserve"> locus. </w:t>
      </w:r>
      <w:r>
        <w:rPr>
          <w:rFonts w:ascii="Arial" w:hAnsi="Arial" w:cs="Arial"/>
          <w:b/>
          <w:szCs w:val="24"/>
        </w:rPr>
        <w:t>A.</w:t>
      </w:r>
      <w:r>
        <w:rPr>
          <w:rFonts w:ascii="Arial" w:hAnsi="Arial" w:cs="Arial"/>
          <w:szCs w:val="24"/>
        </w:rPr>
        <w:t xml:space="preserve"> Schematic illustrating PCR screening strategy for identifying mouse ES cell clones positive for homologous recombination. Primers A (5’-</w:t>
      </w:r>
      <w:r w:rsidRPr="004B6FD4">
        <w:rPr>
          <w:rFonts w:ascii="Arial" w:hAnsi="Arial" w:cs="Arial"/>
          <w:szCs w:val="24"/>
        </w:rPr>
        <w:t>CGCCTAAAGAAGAGGCTGTG</w:t>
      </w:r>
      <w:r>
        <w:rPr>
          <w:rFonts w:ascii="Arial" w:hAnsi="Arial" w:cs="Arial"/>
          <w:szCs w:val="24"/>
        </w:rPr>
        <w:t>-3’) and B (5’-</w:t>
      </w:r>
      <w:r w:rsidRPr="00C86DB1">
        <w:rPr>
          <w:rFonts w:ascii="Arial" w:hAnsi="Arial" w:cs="Arial"/>
          <w:caps/>
          <w:szCs w:val="24"/>
        </w:rPr>
        <w:t>gtctcacagaacggctccac</w:t>
      </w:r>
      <w:r>
        <w:rPr>
          <w:rFonts w:ascii="Arial" w:hAnsi="Arial" w:cs="Arial"/>
          <w:szCs w:val="24"/>
        </w:rPr>
        <w:t xml:space="preserve">-3’) generate an amplicon of ~150 </w:t>
      </w:r>
      <w:proofErr w:type="spellStart"/>
      <w:r>
        <w:rPr>
          <w:rFonts w:ascii="Arial" w:hAnsi="Arial" w:cs="Arial"/>
          <w:szCs w:val="24"/>
        </w:rPr>
        <w:t>bp</w:t>
      </w:r>
      <w:proofErr w:type="spellEnd"/>
      <w:r>
        <w:rPr>
          <w:rFonts w:ascii="Arial" w:hAnsi="Arial" w:cs="Arial"/>
          <w:szCs w:val="24"/>
        </w:rPr>
        <w:t xml:space="preserve"> with the uncombined, WT </w:t>
      </w:r>
      <w:r w:rsidRPr="00C86DB1">
        <w:rPr>
          <w:rFonts w:ascii="Arial" w:hAnsi="Arial" w:cs="Arial"/>
          <w:i/>
          <w:szCs w:val="24"/>
        </w:rPr>
        <w:t>Rosa26</w:t>
      </w:r>
      <w:r>
        <w:rPr>
          <w:rFonts w:ascii="Arial" w:hAnsi="Arial" w:cs="Arial"/>
          <w:szCs w:val="24"/>
        </w:rPr>
        <w:t xml:space="preserve"> locus. Primers A and C (5’-</w:t>
      </w:r>
      <w:r w:rsidRPr="00C86DB1">
        <w:rPr>
          <w:rFonts w:ascii="Arial" w:hAnsi="Arial" w:cs="Arial"/>
          <w:caps/>
          <w:szCs w:val="24"/>
        </w:rPr>
        <w:t>gagatcctgccccggcactt</w:t>
      </w:r>
      <w:r>
        <w:rPr>
          <w:rFonts w:ascii="Arial" w:hAnsi="Arial" w:cs="Arial"/>
          <w:szCs w:val="24"/>
        </w:rPr>
        <w:t xml:space="preserve">-3’) generate an amplicon of ~2200 </w:t>
      </w:r>
      <w:proofErr w:type="spellStart"/>
      <w:r>
        <w:rPr>
          <w:rFonts w:ascii="Arial" w:hAnsi="Arial" w:cs="Arial"/>
          <w:szCs w:val="24"/>
        </w:rPr>
        <w:t>bp</w:t>
      </w:r>
      <w:proofErr w:type="spellEnd"/>
      <w:r>
        <w:rPr>
          <w:rFonts w:ascii="Arial" w:hAnsi="Arial" w:cs="Arial"/>
          <w:szCs w:val="24"/>
        </w:rPr>
        <w:t xml:space="preserve"> unique to the targeted (recombined) </w:t>
      </w:r>
      <w:r>
        <w:rPr>
          <w:rFonts w:ascii="Arial" w:hAnsi="Arial" w:cs="Arial"/>
          <w:i/>
          <w:szCs w:val="24"/>
        </w:rPr>
        <w:t>Rosa26</w:t>
      </w:r>
      <w:r>
        <w:rPr>
          <w:rFonts w:ascii="Arial" w:hAnsi="Arial" w:cs="Arial"/>
          <w:szCs w:val="24"/>
        </w:rPr>
        <w:t xml:space="preserve"> locus. Primer A hybridizes to the </w:t>
      </w:r>
      <w:r>
        <w:rPr>
          <w:rFonts w:ascii="Arial" w:hAnsi="Arial" w:cs="Arial"/>
          <w:i/>
          <w:szCs w:val="24"/>
        </w:rPr>
        <w:t>Rosa26</w:t>
      </w:r>
      <w:r>
        <w:rPr>
          <w:rFonts w:ascii="Arial" w:hAnsi="Arial" w:cs="Arial"/>
          <w:szCs w:val="24"/>
        </w:rPr>
        <w:t xml:space="preserve"> locus outside and exclusive of the 5’ targeting arm on the pROSA26PAm1 targeting vector. Primer C hybridizes to the PKG-Neo resistance marker. Therefore, a ~2200 </w:t>
      </w:r>
      <w:proofErr w:type="spellStart"/>
      <w:r>
        <w:rPr>
          <w:rFonts w:ascii="Arial" w:hAnsi="Arial" w:cs="Arial"/>
          <w:szCs w:val="24"/>
        </w:rPr>
        <w:t>bp</w:t>
      </w:r>
      <w:proofErr w:type="spellEnd"/>
      <w:r>
        <w:rPr>
          <w:rFonts w:ascii="Arial" w:hAnsi="Arial" w:cs="Arial"/>
          <w:szCs w:val="24"/>
        </w:rPr>
        <w:t xml:space="preserve"> amplicon will only be produced with successful targeting of the LSL-Kif2b construct specifically to the </w:t>
      </w:r>
      <w:r w:rsidRPr="00C86DB1">
        <w:rPr>
          <w:rFonts w:ascii="Arial" w:hAnsi="Arial" w:cs="Arial"/>
          <w:i/>
          <w:szCs w:val="24"/>
        </w:rPr>
        <w:t>Rosa26</w:t>
      </w:r>
      <w:r>
        <w:rPr>
          <w:rFonts w:ascii="Arial" w:hAnsi="Arial" w:cs="Arial"/>
          <w:szCs w:val="24"/>
        </w:rPr>
        <w:t xml:space="preserve"> locus and not elsewhere in the mouse genome. </w:t>
      </w:r>
      <w:r>
        <w:rPr>
          <w:rFonts w:ascii="Arial" w:hAnsi="Arial" w:cs="Arial"/>
          <w:b/>
          <w:szCs w:val="24"/>
        </w:rPr>
        <w:t>B.</w:t>
      </w:r>
      <w:r>
        <w:rPr>
          <w:rFonts w:ascii="Arial" w:hAnsi="Arial" w:cs="Arial"/>
          <w:szCs w:val="24"/>
        </w:rPr>
        <w:t xml:space="preserve"> Results from PCR screening of several ES cell colonies </w:t>
      </w:r>
      <w:proofErr w:type="spellStart"/>
      <w:r>
        <w:rPr>
          <w:rFonts w:ascii="Arial" w:hAnsi="Arial" w:cs="Arial"/>
          <w:szCs w:val="24"/>
        </w:rPr>
        <w:t>electroporated</w:t>
      </w:r>
      <w:proofErr w:type="spellEnd"/>
      <w:r>
        <w:rPr>
          <w:rFonts w:ascii="Arial" w:hAnsi="Arial" w:cs="Arial"/>
          <w:szCs w:val="24"/>
        </w:rPr>
        <w:t xml:space="preserve"> with the linearized </w:t>
      </w:r>
      <w:r w:rsidRPr="00030BB3">
        <w:rPr>
          <w:rFonts w:ascii="Arial" w:hAnsi="Arial" w:cs="Arial"/>
          <w:szCs w:val="24"/>
        </w:rPr>
        <w:t>Rosa26-LSL-Kif2b-6xHis-IRES-eGFP targeting vector</w:t>
      </w:r>
      <w:r>
        <w:rPr>
          <w:rFonts w:ascii="Arial" w:hAnsi="Arial" w:cs="Arial"/>
          <w:szCs w:val="24"/>
        </w:rPr>
        <w:t xml:space="preserve"> (see materials and methods). 13 out of 192 ES cell clones screened are shown.</w:t>
      </w:r>
    </w:p>
    <w:p w:rsidR="00470823" w:rsidRPr="00C86DB1" w:rsidRDefault="00470823" w:rsidP="00470823">
      <w:pPr>
        <w:spacing w:line="480" w:lineRule="auto"/>
        <w:rPr>
          <w:rFonts w:ascii="Arial" w:hAnsi="Arial" w:cs="Arial"/>
          <w:szCs w:val="24"/>
        </w:rPr>
      </w:pPr>
    </w:p>
    <w:p w:rsidR="00470823" w:rsidRPr="00C86DB1" w:rsidRDefault="00470823" w:rsidP="00470823">
      <w:pPr>
        <w:spacing w:line="480" w:lineRule="auto"/>
        <w:rPr>
          <w:rFonts w:ascii="Arial" w:hAnsi="Arial" w:cs="Arial"/>
          <w:szCs w:val="24"/>
        </w:rPr>
      </w:pPr>
      <w:r w:rsidRPr="00C86DB1">
        <w:rPr>
          <w:rFonts w:ascii="Arial" w:hAnsi="Arial" w:cs="Arial"/>
          <w:b/>
          <w:szCs w:val="24"/>
        </w:rPr>
        <w:t>Figure S2.</w:t>
      </w:r>
      <w:r>
        <w:rPr>
          <w:rFonts w:ascii="Arial" w:hAnsi="Arial" w:cs="Arial"/>
          <w:szCs w:val="24"/>
        </w:rPr>
        <w:t xml:space="preserve"> Expression of transgenic human Kif2b in mice. </w:t>
      </w:r>
      <w:r>
        <w:rPr>
          <w:rFonts w:ascii="Arial" w:hAnsi="Arial" w:cs="Arial"/>
          <w:b/>
          <w:szCs w:val="24"/>
        </w:rPr>
        <w:t>A.</w:t>
      </w:r>
      <w:r>
        <w:rPr>
          <w:rFonts w:ascii="Arial" w:hAnsi="Arial" w:cs="Arial"/>
          <w:szCs w:val="24"/>
        </w:rPr>
        <w:t xml:space="preserve"> Genotyping PCR using genomic DNA extracted from 3 F1 progeny resulting from crossing </w:t>
      </w:r>
      <w:r>
        <w:rPr>
          <w:rFonts w:ascii="Arial" w:hAnsi="Arial" w:cs="Arial"/>
          <w:i/>
          <w:szCs w:val="24"/>
        </w:rPr>
        <w:t>R26</w:t>
      </w:r>
      <w:r>
        <w:rPr>
          <w:rFonts w:ascii="Arial" w:hAnsi="Arial" w:cs="Arial"/>
          <w:i/>
          <w:szCs w:val="24"/>
          <w:vertAlign w:val="superscript"/>
        </w:rPr>
        <w:t>LSL-Kif2b/Kif2b</w:t>
      </w:r>
      <w:r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szCs w:val="24"/>
        </w:rPr>
        <w:t>mice to mice carrying the ubiquitously expressed CMV-</w:t>
      </w:r>
      <w:proofErr w:type="spellStart"/>
      <w:r>
        <w:rPr>
          <w:rFonts w:ascii="Arial" w:hAnsi="Arial" w:cs="Arial"/>
          <w:szCs w:val="24"/>
        </w:rPr>
        <w:t>Cre</w:t>
      </w:r>
      <w:proofErr w:type="spellEnd"/>
      <w:r>
        <w:rPr>
          <w:rFonts w:ascii="Arial" w:hAnsi="Arial" w:cs="Arial"/>
          <w:szCs w:val="24"/>
        </w:rPr>
        <w:t xml:space="preserve"> transgene. PCR reactions with primers 1 &amp; 4 (left) reveal efficient excision of the 3X STOP cassette in all mice. See main text Figure 1 for hybridization site details on primers 1, 2, 3 &amp; 4. </w:t>
      </w:r>
      <w:proofErr w:type="spellStart"/>
      <w:r>
        <w:rPr>
          <w:rFonts w:ascii="Arial" w:hAnsi="Arial" w:cs="Arial"/>
          <w:szCs w:val="24"/>
        </w:rPr>
        <w:t>Cre</w:t>
      </w:r>
      <w:proofErr w:type="spellEnd"/>
      <w:r>
        <w:rPr>
          <w:rFonts w:ascii="Arial" w:hAnsi="Arial" w:cs="Arial"/>
          <w:szCs w:val="24"/>
        </w:rPr>
        <w:t xml:space="preserve"> primers (right) produce an amplicon of 100 </w:t>
      </w:r>
      <w:proofErr w:type="spellStart"/>
      <w:r>
        <w:rPr>
          <w:rFonts w:ascii="Arial" w:hAnsi="Arial" w:cs="Arial"/>
          <w:szCs w:val="24"/>
        </w:rPr>
        <w:t>bp</w:t>
      </w:r>
      <w:proofErr w:type="spellEnd"/>
      <w:r>
        <w:rPr>
          <w:rFonts w:ascii="Arial" w:hAnsi="Arial" w:cs="Arial"/>
          <w:szCs w:val="24"/>
        </w:rPr>
        <w:t xml:space="preserve"> in the when transgenic </w:t>
      </w:r>
      <w:proofErr w:type="spellStart"/>
      <w:r>
        <w:rPr>
          <w:rFonts w:ascii="Arial" w:hAnsi="Arial" w:cs="Arial"/>
          <w:szCs w:val="24"/>
        </w:rPr>
        <w:t>Cre</w:t>
      </w:r>
      <w:proofErr w:type="spellEnd"/>
      <w:r>
        <w:rPr>
          <w:rFonts w:ascii="Arial" w:hAnsi="Arial" w:cs="Arial"/>
          <w:szCs w:val="24"/>
        </w:rPr>
        <w:t xml:space="preserve"> is present (</w:t>
      </w:r>
      <w:proofErr w:type="spellStart"/>
      <w:r>
        <w:rPr>
          <w:rFonts w:ascii="Arial" w:hAnsi="Arial" w:cs="Arial"/>
          <w:szCs w:val="24"/>
        </w:rPr>
        <w:t>CreF</w:t>
      </w:r>
      <w:proofErr w:type="spellEnd"/>
      <w:r>
        <w:rPr>
          <w:rFonts w:ascii="Arial" w:hAnsi="Arial" w:cs="Arial"/>
          <w:szCs w:val="24"/>
        </w:rPr>
        <w:t>: 5’-</w:t>
      </w:r>
      <w:r w:rsidRPr="004B6FD4">
        <w:rPr>
          <w:rFonts w:ascii="Arial" w:hAnsi="Arial" w:cs="Arial"/>
          <w:szCs w:val="24"/>
        </w:rPr>
        <w:t>GCGGTCTGGCAGTAAAAACTATC</w:t>
      </w:r>
      <w:r>
        <w:rPr>
          <w:rFonts w:ascii="Arial" w:hAnsi="Arial" w:cs="Arial"/>
          <w:szCs w:val="24"/>
        </w:rPr>
        <w:t xml:space="preserve">-3’, </w:t>
      </w:r>
      <w:proofErr w:type="spellStart"/>
      <w:r>
        <w:rPr>
          <w:rFonts w:ascii="Arial" w:hAnsi="Arial" w:cs="Arial"/>
          <w:szCs w:val="24"/>
        </w:rPr>
        <w:t>CreR</w:t>
      </w:r>
      <w:proofErr w:type="spellEnd"/>
      <w:r>
        <w:rPr>
          <w:rFonts w:ascii="Arial" w:hAnsi="Arial" w:cs="Arial"/>
          <w:szCs w:val="24"/>
        </w:rPr>
        <w:t>: 5’-</w:t>
      </w:r>
      <w:r w:rsidRPr="004B6FD4">
        <w:rPr>
          <w:rFonts w:ascii="Arial" w:hAnsi="Arial" w:cs="Arial"/>
          <w:szCs w:val="24"/>
        </w:rPr>
        <w:t>GTGAAACAGCATTGCTGTCACTT</w:t>
      </w:r>
      <w:r>
        <w:rPr>
          <w:rFonts w:ascii="Arial" w:hAnsi="Arial" w:cs="Arial"/>
          <w:szCs w:val="24"/>
        </w:rPr>
        <w:t xml:space="preserve">-3’). </w:t>
      </w:r>
      <w:r>
        <w:rPr>
          <w:rFonts w:ascii="Arial" w:hAnsi="Arial" w:cs="Arial"/>
          <w:b/>
          <w:szCs w:val="24"/>
        </w:rPr>
        <w:t xml:space="preserve">B. </w:t>
      </w:r>
      <w:r w:rsidRPr="00A94CF8">
        <w:rPr>
          <w:rFonts w:ascii="Arial" w:hAnsi="Arial" w:cs="Arial"/>
          <w:szCs w:val="24"/>
        </w:rPr>
        <w:t>Immunoblots of</w:t>
      </w:r>
      <w:r>
        <w:rPr>
          <w:rFonts w:ascii="Arial" w:hAnsi="Arial" w:cs="Arial"/>
          <w:szCs w:val="24"/>
        </w:rPr>
        <w:t xml:space="preserve"> homogenized lung and spleen tissue from</w:t>
      </w:r>
      <w:r w:rsidRPr="00A94CF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control (</w:t>
      </w:r>
      <w:r>
        <w:rPr>
          <w:rFonts w:ascii="Arial" w:hAnsi="Arial" w:cs="Arial"/>
          <w:i/>
          <w:szCs w:val="24"/>
        </w:rPr>
        <w:t>R26</w:t>
      </w:r>
      <w:r>
        <w:rPr>
          <w:rFonts w:ascii="Arial" w:hAnsi="Arial" w:cs="Arial"/>
          <w:szCs w:val="24"/>
          <w:vertAlign w:val="superscript"/>
        </w:rPr>
        <w:t>+/+</w:t>
      </w:r>
      <w:r>
        <w:rPr>
          <w:rFonts w:ascii="Arial" w:hAnsi="Arial" w:cs="Arial"/>
          <w:szCs w:val="24"/>
        </w:rPr>
        <w:t xml:space="preserve">) mice and mice expressing transgenic human </w:t>
      </w:r>
      <w:r>
        <w:rPr>
          <w:rFonts w:ascii="Arial" w:hAnsi="Arial" w:cs="Arial"/>
          <w:szCs w:val="24"/>
        </w:rPr>
        <w:lastRenderedPageBreak/>
        <w:t>Kif2b (</w:t>
      </w:r>
      <w:r>
        <w:rPr>
          <w:rFonts w:ascii="Arial" w:hAnsi="Arial" w:cs="Arial"/>
          <w:i/>
          <w:szCs w:val="24"/>
        </w:rPr>
        <w:t>R26</w:t>
      </w:r>
      <w:r>
        <w:rPr>
          <w:rFonts w:ascii="Arial" w:hAnsi="Arial" w:cs="Arial"/>
          <w:szCs w:val="24"/>
          <w:vertAlign w:val="superscript"/>
        </w:rPr>
        <w:t>Kif2b/+</w:t>
      </w:r>
      <w:r>
        <w:rPr>
          <w:rFonts w:ascii="Arial" w:hAnsi="Arial" w:cs="Arial"/>
          <w:szCs w:val="24"/>
        </w:rPr>
        <w:t xml:space="preserve">) using an anti-Kif2b antibody. </w:t>
      </w:r>
      <w:r w:rsidRPr="00A94CF8">
        <w:rPr>
          <w:rFonts w:ascii="Arial" w:hAnsi="Arial" w:cs="Arial"/>
          <w:szCs w:val="24"/>
        </w:rPr>
        <w:t>Anti-Tubulin (DM1α) antibody was used as a loading control.</w:t>
      </w:r>
      <w:r w:rsidRPr="00976C9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Each lane represents an individual mouse from the indicated genotype</w:t>
      </w:r>
      <w:r w:rsidRPr="00A94CF8">
        <w:rPr>
          <w:rFonts w:ascii="Arial" w:hAnsi="Arial" w:cs="Arial"/>
          <w:szCs w:val="24"/>
        </w:rPr>
        <w:t>.</w:t>
      </w:r>
    </w:p>
    <w:p w:rsidR="00470823" w:rsidRDefault="00470823" w:rsidP="00470823">
      <w:pPr>
        <w:spacing w:line="480" w:lineRule="auto"/>
        <w:rPr>
          <w:rFonts w:ascii="Arial" w:hAnsi="Arial" w:cs="Calibri"/>
          <w:b/>
          <w:szCs w:val="24"/>
        </w:rPr>
      </w:pPr>
    </w:p>
    <w:p w:rsidR="00470823" w:rsidRPr="00C86DB1" w:rsidRDefault="00470823" w:rsidP="00470823">
      <w:pPr>
        <w:spacing w:line="480" w:lineRule="auto"/>
        <w:rPr>
          <w:rFonts w:ascii="Arial" w:hAnsi="Arial" w:cs="Arial"/>
          <w:szCs w:val="24"/>
        </w:rPr>
      </w:pPr>
      <w:r w:rsidRPr="00C86DB1">
        <w:rPr>
          <w:rFonts w:ascii="Arial" w:hAnsi="Arial" w:cs="Calibri"/>
          <w:b/>
          <w:szCs w:val="24"/>
        </w:rPr>
        <w:t>Figure S3.</w:t>
      </w:r>
      <w:r>
        <w:rPr>
          <w:rFonts w:ascii="Arial" w:hAnsi="Arial" w:cs="Arial"/>
          <w:szCs w:val="24"/>
        </w:rPr>
        <w:t xml:space="preserve"> Characterization of </w:t>
      </w:r>
      <w:r>
        <w:rPr>
          <w:rFonts w:ascii="Arial" w:hAnsi="Arial" w:cs="Arial"/>
          <w:i/>
          <w:szCs w:val="24"/>
        </w:rPr>
        <w:t>R26</w:t>
      </w:r>
      <w:r>
        <w:rPr>
          <w:rFonts w:ascii="Arial" w:hAnsi="Arial" w:cs="Arial"/>
          <w:szCs w:val="24"/>
          <w:vertAlign w:val="superscript"/>
        </w:rPr>
        <w:t>Kif2b</w:t>
      </w:r>
      <w:r>
        <w:rPr>
          <w:rFonts w:ascii="Arial" w:hAnsi="Arial" w:cs="Arial"/>
          <w:szCs w:val="24"/>
        </w:rPr>
        <w:t xml:space="preserve">; </w:t>
      </w:r>
      <w:r>
        <w:rPr>
          <w:rFonts w:ascii="Arial" w:hAnsi="Arial" w:cs="Arial"/>
          <w:i/>
          <w:szCs w:val="24"/>
        </w:rPr>
        <w:t>K-Ras</w:t>
      </w:r>
      <w:r>
        <w:rPr>
          <w:rFonts w:ascii="Arial" w:hAnsi="Arial" w:cs="Arial"/>
          <w:szCs w:val="24"/>
          <w:vertAlign w:val="superscript"/>
        </w:rPr>
        <w:t>G12D</w:t>
      </w:r>
      <w:r>
        <w:rPr>
          <w:rFonts w:ascii="Arial" w:hAnsi="Arial" w:cs="Arial"/>
          <w:szCs w:val="24"/>
        </w:rPr>
        <w:t xml:space="preserve"> MEFs. </w:t>
      </w:r>
      <w:r>
        <w:rPr>
          <w:rFonts w:ascii="Arial" w:hAnsi="Arial" w:cs="Arial"/>
          <w:b/>
          <w:szCs w:val="24"/>
        </w:rPr>
        <w:t>A.</w:t>
      </w:r>
      <w:r>
        <w:rPr>
          <w:rFonts w:ascii="Arial" w:hAnsi="Arial" w:cs="Arial"/>
          <w:szCs w:val="24"/>
        </w:rPr>
        <w:t xml:space="preserve"> Genotyping PCR using genomic DNA from 11 individual embryos used to generate MEF lines expressing transgenic human Kif2b in combination with mutant G12D K-</w:t>
      </w:r>
      <w:proofErr w:type="spellStart"/>
      <w:r>
        <w:rPr>
          <w:rFonts w:ascii="Arial" w:hAnsi="Arial" w:cs="Arial"/>
          <w:szCs w:val="24"/>
        </w:rPr>
        <w:t>Ras</w:t>
      </w:r>
      <w:proofErr w:type="spellEnd"/>
      <w:r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b/>
          <w:szCs w:val="24"/>
        </w:rPr>
        <w:t xml:space="preserve">B. </w:t>
      </w:r>
      <w:r>
        <w:rPr>
          <w:rFonts w:ascii="Arial" w:hAnsi="Arial" w:cs="Arial"/>
          <w:szCs w:val="24"/>
        </w:rPr>
        <w:t xml:space="preserve"> </w:t>
      </w:r>
      <w:r w:rsidRPr="00A94CF8">
        <w:rPr>
          <w:rFonts w:ascii="Arial" w:hAnsi="Arial" w:cs="Arial"/>
          <w:szCs w:val="24"/>
        </w:rPr>
        <w:t>Immunoblots of</w:t>
      </w:r>
      <w:r>
        <w:rPr>
          <w:rFonts w:ascii="Arial" w:hAnsi="Arial" w:cs="Arial"/>
          <w:szCs w:val="24"/>
        </w:rPr>
        <w:t xml:space="preserve"> MEFs with the indicated genotypes using an anti-Kif2b antibody. </w:t>
      </w:r>
      <w:r w:rsidRPr="00A94CF8">
        <w:rPr>
          <w:rFonts w:ascii="Arial" w:hAnsi="Arial" w:cs="Arial"/>
          <w:szCs w:val="24"/>
        </w:rPr>
        <w:t>Anti-Tubulin (DM1α) antibody was used as a loading control.</w:t>
      </w:r>
      <w:r w:rsidRPr="00976C9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Each lane represents an individual MEF line</w:t>
      </w:r>
      <w:r w:rsidRPr="00A94CF8">
        <w:rPr>
          <w:rFonts w:ascii="Arial" w:hAnsi="Arial" w:cs="Arial"/>
          <w:szCs w:val="24"/>
        </w:rPr>
        <w:t>.</w:t>
      </w:r>
    </w:p>
    <w:p w:rsidR="00070DC1" w:rsidRDefault="00070DC1">
      <w:bookmarkStart w:id="0" w:name="_GoBack"/>
      <w:bookmarkEnd w:id="0"/>
    </w:p>
    <w:sectPr w:rsidR="00070D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23"/>
    <w:rsid w:val="00070DC1"/>
    <w:rsid w:val="00461333"/>
    <w:rsid w:val="00470823"/>
    <w:rsid w:val="00523B2A"/>
    <w:rsid w:val="006078DD"/>
    <w:rsid w:val="0075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A66B5-4ADF-421A-BC12-3888F8AB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23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 Thangaraj, Integra-PDY, IN</dc:creator>
  <cp:keywords/>
  <dc:description/>
  <cp:lastModifiedBy>Usha Thangaraj, Integra-PDY, IN</cp:lastModifiedBy>
  <cp:revision>1</cp:revision>
  <dcterms:created xsi:type="dcterms:W3CDTF">2019-06-07T13:19:00Z</dcterms:created>
  <dcterms:modified xsi:type="dcterms:W3CDTF">2019-06-07T13:19:00Z</dcterms:modified>
</cp:coreProperties>
</file>