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91" w:rsidRPr="00106957" w:rsidRDefault="00061191" w:rsidP="009F1350">
      <w:pPr>
        <w:spacing w:line="480" w:lineRule="auto"/>
        <w:jc w:val="center"/>
        <w:rPr>
          <w:rFonts w:ascii="Times New Roman" w:hAnsi="Times New Roman" w:cs="Times New Roman"/>
          <w:b/>
          <w:sz w:val="32"/>
          <w:szCs w:val="32"/>
          <w:lang w:val="en-GB"/>
        </w:rPr>
      </w:pPr>
      <w:r w:rsidRPr="00106957">
        <w:rPr>
          <w:rFonts w:ascii="Times New Roman" w:hAnsi="Times New Roman" w:cs="Times New Roman"/>
          <w:b/>
          <w:sz w:val="32"/>
          <w:szCs w:val="32"/>
          <w:lang w:val="en-GB"/>
        </w:rPr>
        <w:t>Who Refers Most? Institutional Ince</w:t>
      </w:r>
      <w:r w:rsidR="005D186D" w:rsidRPr="00106957">
        <w:rPr>
          <w:rFonts w:ascii="Times New Roman" w:hAnsi="Times New Roman" w:cs="Times New Roman"/>
          <w:b/>
          <w:sz w:val="32"/>
          <w:szCs w:val="32"/>
          <w:lang w:val="en-GB"/>
        </w:rPr>
        <w:t>ntives and Judicial Participation in the Preliminary Ruling System</w:t>
      </w:r>
    </w:p>
    <w:p w:rsidR="00061191" w:rsidRPr="00DC6BEE" w:rsidRDefault="0065028A" w:rsidP="009F1350">
      <w:pPr>
        <w:spacing w:after="0" w:line="480" w:lineRule="auto"/>
        <w:jc w:val="center"/>
        <w:rPr>
          <w:rFonts w:ascii="Times New Roman" w:hAnsi="Times New Roman" w:cs="Times New Roman"/>
          <w:lang w:val="es-ES"/>
        </w:rPr>
      </w:pPr>
      <w:r w:rsidRPr="00EA6CAF">
        <w:rPr>
          <w:rFonts w:ascii="Times New Roman" w:hAnsi="Times New Roman" w:cs="Times New Roman"/>
          <w:lang w:val="es-ES"/>
        </w:rPr>
        <w:t>Arthur Dyevre</w:t>
      </w:r>
      <w:r w:rsidRPr="00BC392F">
        <w:rPr>
          <w:rStyle w:val="FootnoteReference"/>
        </w:rPr>
        <w:footnoteReference w:id="1"/>
      </w:r>
      <w:r w:rsidRPr="00EA6CAF">
        <w:rPr>
          <w:rFonts w:ascii="Times New Roman" w:hAnsi="Times New Roman" w:cs="Times New Roman"/>
          <w:lang w:val="es-ES"/>
        </w:rPr>
        <w:t>, Monika Glavina</w:t>
      </w:r>
      <w:r w:rsidRPr="00BC392F">
        <w:rPr>
          <w:rStyle w:val="FootnoteReference"/>
        </w:rPr>
        <w:footnoteReference w:id="2"/>
      </w:r>
      <w:r>
        <w:rPr>
          <w:rFonts w:ascii="Times New Roman" w:hAnsi="Times New Roman" w:cs="Times New Roman"/>
          <w:lang w:val="es-ES"/>
        </w:rPr>
        <w:t>,</w:t>
      </w:r>
      <w:r w:rsidRPr="00EA6CAF">
        <w:rPr>
          <w:rFonts w:ascii="Times New Roman" w:hAnsi="Times New Roman" w:cs="Times New Roman"/>
          <w:lang w:val="es-ES"/>
        </w:rPr>
        <w:t xml:space="preserve"> </w:t>
      </w:r>
      <w:r>
        <w:rPr>
          <w:rFonts w:ascii="Times New Roman" w:hAnsi="Times New Roman" w:cs="Times New Roman"/>
          <w:lang w:val="es-ES"/>
        </w:rPr>
        <w:t>Angelina Atanasova</w:t>
      </w:r>
      <w:r w:rsidRPr="00BC392F">
        <w:rPr>
          <w:rStyle w:val="FootnoteReference"/>
        </w:rPr>
        <w:footnoteReference w:id="3"/>
      </w:r>
    </w:p>
    <w:p w:rsidR="00D162EC" w:rsidRDefault="00D162EC" w:rsidP="00D162EC">
      <w:pPr>
        <w:rPr>
          <w:lang w:val="en-GB"/>
        </w:rPr>
      </w:pPr>
    </w:p>
    <w:p w:rsidR="00F465E2" w:rsidRDefault="009F1350" w:rsidP="00F465E2">
      <w:pPr>
        <w:spacing w:line="480" w:lineRule="auto"/>
        <w:jc w:val="both"/>
        <w:rPr>
          <w:rFonts w:ascii="Times New Roman" w:eastAsia="Calibri" w:hAnsi="Times New Roman" w:cs="Times New Roman"/>
          <w:b/>
          <w:sz w:val="32"/>
          <w:lang w:val="en-GB"/>
        </w:rPr>
      </w:pPr>
      <w:r>
        <w:rPr>
          <w:rFonts w:ascii="Times New Roman" w:eastAsia="Calibri" w:hAnsi="Times New Roman" w:cs="Times New Roman"/>
          <w:b/>
          <w:sz w:val="32"/>
          <w:lang w:val="en-GB"/>
        </w:rPr>
        <w:t xml:space="preserve">ONLINE </w:t>
      </w:r>
      <w:r w:rsidR="00EE4907" w:rsidRPr="00106957">
        <w:rPr>
          <w:rFonts w:ascii="Times New Roman" w:eastAsia="Calibri" w:hAnsi="Times New Roman" w:cs="Times New Roman"/>
          <w:b/>
          <w:sz w:val="32"/>
          <w:lang w:val="en-GB"/>
        </w:rPr>
        <w:t xml:space="preserve">APPENDIX </w:t>
      </w:r>
    </w:p>
    <w:p w:rsidR="00F465E2" w:rsidRPr="004113A7" w:rsidRDefault="00C12990" w:rsidP="00F465E2">
      <w:pPr>
        <w:pStyle w:val="ListParagraph"/>
        <w:numPr>
          <w:ilvl w:val="0"/>
          <w:numId w:val="6"/>
        </w:numPr>
        <w:spacing w:line="480" w:lineRule="auto"/>
        <w:jc w:val="both"/>
        <w:rPr>
          <w:rFonts w:ascii="Times New Roman" w:eastAsia="Calibri" w:hAnsi="Times New Roman" w:cs="Times New Roman"/>
          <w:b/>
          <w:sz w:val="24"/>
          <w:lang w:val="en-GB"/>
        </w:rPr>
      </w:pPr>
      <w:r>
        <w:rPr>
          <w:rFonts w:ascii="Times New Roman" w:eastAsia="Calibri" w:hAnsi="Times New Roman" w:cs="Times New Roman"/>
          <w:b/>
          <w:sz w:val="24"/>
          <w:lang w:val="en-GB"/>
        </w:rPr>
        <w:t>Workload</w:t>
      </w:r>
      <w:bookmarkStart w:id="0" w:name="_GoBack"/>
      <w:bookmarkEnd w:id="0"/>
    </w:p>
    <w:p w:rsidR="00F465E2" w:rsidRPr="00520FCF" w:rsidRDefault="00F465E2" w:rsidP="00F465E2">
      <w:pPr>
        <w:spacing w:line="360" w:lineRule="auto"/>
        <w:jc w:val="both"/>
        <w:rPr>
          <w:rFonts w:ascii="Times New Roman" w:hAnsi="Times New Roman" w:cs="Times New Roman"/>
          <w:lang w:val="en-GB"/>
        </w:rPr>
      </w:pPr>
      <w:r w:rsidRPr="00520FCF">
        <w:rPr>
          <w:rFonts w:ascii="Times New Roman" w:hAnsi="Times New Roman" w:cs="Times New Roman"/>
          <w:lang w:val="en-GB"/>
        </w:rPr>
        <w:t xml:space="preserve">Figure 1A plots </w:t>
      </w:r>
      <w:r w:rsidR="00F77151">
        <w:rPr>
          <w:rFonts w:ascii="Times New Roman" w:hAnsi="Times New Roman" w:cs="Times New Roman"/>
          <w:lang w:val="en-GB"/>
        </w:rPr>
        <w:t xml:space="preserve">the </w:t>
      </w:r>
      <w:r w:rsidRPr="00520FCF">
        <w:rPr>
          <w:rFonts w:ascii="Times New Roman" w:hAnsi="Times New Roman" w:cs="Times New Roman"/>
          <w:lang w:val="en-GB"/>
        </w:rPr>
        <w:t xml:space="preserve">average number of cases </w:t>
      </w:r>
      <w:r w:rsidR="00F77151">
        <w:rPr>
          <w:rFonts w:ascii="Times New Roman" w:hAnsi="Times New Roman" w:cs="Times New Roman"/>
          <w:lang w:val="en-GB"/>
        </w:rPr>
        <w:t xml:space="preserve">(civil cases) </w:t>
      </w:r>
      <w:r w:rsidRPr="00520FCF">
        <w:rPr>
          <w:rFonts w:ascii="Times New Roman" w:hAnsi="Times New Roman" w:cs="Times New Roman"/>
          <w:lang w:val="en-GB"/>
        </w:rPr>
        <w:t xml:space="preserve">per judge by tier </w:t>
      </w:r>
      <w:r w:rsidR="00F77151">
        <w:rPr>
          <w:rFonts w:ascii="Times New Roman" w:hAnsi="Times New Roman" w:cs="Times New Roman"/>
          <w:lang w:val="en-GB"/>
        </w:rPr>
        <w:t xml:space="preserve">of courts for the </w:t>
      </w:r>
      <w:r w:rsidR="00520FCF" w:rsidRPr="00520FCF">
        <w:rPr>
          <w:rFonts w:ascii="Times New Roman" w:hAnsi="Times New Roman" w:cs="Times New Roman"/>
          <w:lang w:val="en-GB"/>
        </w:rPr>
        <w:t>three waves of CEPEJ reporting (2010, 2012, 2014).</w:t>
      </w:r>
    </w:p>
    <w:p w:rsidR="00F465E2" w:rsidRDefault="00F465E2" w:rsidP="00D162EC">
      <w:pPr>
        <w:spacing w:line="360" w:lineRule="auto"/>
        <w:jc w:val="center"/>
        <w:rPr>
          <w:rFonts w:ascii="Times New Roman" w:eastAsia="Calibri" w:hAnsi="Times New Roman" w:cs="Times New Roman"/>
          <w:b/>
          <w:sz w:val="32"/>
          <w:lang w:val="en-GB"/>
        </w:rPr>
      </w:pPr>
      <w:r w:rsidRPr="00106957">
        <w:rPr>
          <w:rFonts w:ascii="Times New Roman" w:hAnsi="Times New Roman" w:cs="Times New Roman"/>
          <w:noProof/>
          <w:lang w:val="en-NZ" w:eastAsia="en-NZ"/>
        </w:rPr>
        <w:drawing>
          <wp:inline distT="0" distB="0" distL="0" distR="0">
            <wp:extent cx="5560828" cy="404801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plo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64190" cy="4050461"/>
                    </a:xfrm>
                    <a:prstGeom prst="rect">
                      <a:avLst/>
                    </a:prstGeom>
                  </pic:spPr>
                </pic:pic>
              </a:graphicData>
            </a:graphic>
          </wp:inline>
        </w:drawing>
      </w:r>
    </w:p>
    <w:p w:rsidR="00F465E2" w:rsidRPr="00520FCF" w:rsidRDefault="00F465E2" w:rsidP="00520FCF">
      <w:pPr>
        <w:pStyle w:val="Caption"/>
        <w:spacing w:line="480" w:lineRule="auto"/>
        <w:ind w:left="720"/>
        <w:jc w:val="center"/>
        <w:rPr>
          <w:rFonts w:ascii="Times New Roman" w:hAnsi="Times New Roman" w:cs="Times New Roman"/>
          <w:b/>
          <w:i w:val="0"/>
          <w:noProof/>
          <w:sz w:val="24"/>
          <w:szCs w:val="22"/>
          <w:lang w:val="en-GB"/>
        </w:rPr>
      </w:pPr>
      <w:r w:rsidRPr="00106957">
        <w:rPr>
          <w:rFonts w:ascii="Times New Roman" w:hAnsi="Times New Roman" w:cs="Times New Roman"/>
          <w:b/>
          <w:i w:val="0"/>
          <w:sz w:val="24"/>
          <w:szCs w:val="22"/>
          <w:lang w:val="en-GB"/>
        </w:rPr>
        <w:t>Figure 1A.</w:t>
      </w:r>
      <w:r>
        <w:rPr>
          <w:rFonts w:ascii="Times New Roman" w:hAnsi="Times New Roman" w:cs="Times New Roman"/>
          <w:b/>
          <w:i w:val="0"/>
          <w:noProof/>
          <w:sz w:val="24"/>
          <w:szCs w:val="22"/>
          <w:lang w:val="en-GB"/>
        </w:rPr>
        <w:t xml:space="preserve"> Workload per court level,</w:t>
      </w:r>
      <w:r w:rsidRPr="00106957">
        <w:rPr>
          <w:rFonts w:ascii="Times New Roman" w:hAnsi="Times New Roman" w:cs="Times New Roman"/>
          <w:b/>
          <w:i w:val="0"/>
          <w:noProof/>
          <w:sz w:val="24"/>
          <w:szCs w:val="22"/>
          <w:lang w:val="en-GB"/>
        </w:rPr>
        <w:t xml:space="preserve"> </w:t>
      </w:r>
      <w:r w:rsidR="00F77151">
        <w:rPr>
          <w:rFonts w:ascii="Times New Roman" w:hAnsi="Times New Roman" w:cs="Times New Roman"/>
          <w:b/>
          <w:i w:val="0"/>
          <w:noProof/>
          <w:sz w:val="24"/>
          <w:szCs w:val="22"/>
          <w:lang w:val="en-GB"/>
        </w:rPr>
        <w:t xml:space="preserve">civil cases, 2010, 2012 and </w:t>
      </w:r>
      <w:r>
        <w:rPr>
          <w:rFonts w:ascii="Times New Roman" w:hAnsi="Times New Roman" w:cs="Times New Roman"/>
          <w:b/>
          <w:i w:val="0"/>
          <w:noProof/>
          <w:sz w:val="24"/>
          <w:szCs w:val="22"/>
          <w:lang w:val="en-GB"/>
        </w:rPr>
        <w:t>2014</w:t>
      </w:r>
    </w:p>
    <w:p w:rsidR="00F77151" w:rsidRDefault="00F77151" w:rsidP="00F77151">
      <w:pPr>
        <w:pStyle w:val="ListParagraph"/>
        <w:spacing w:after="0" w:line="480" w:lineRule="auto"/>
        <w:rPr>
          <w:rFonts w:ascii="Times New Roman" w:hAnsi="Times New Roman" w:cs="Times New Roman"/>
          <w:b/>
          <w:lang w:val="en-GB"/>
        </w:rPr>
      </w:pPr>
    </w:p>
    <w:p w:rsidR="00F77151" w:rsidRDefault="00F77151" w:rsidP="00F77151">
      <w:pPr>
        <w:pStyle w:val="ListParagraph"/>
        <w:spacing w:after="0" w:line="480" w:lineRule="auto"/>
        <w:rPr>
          <w:rFonts w:ascii="Times New Roman" w:hAnsi="Times New Roman" w:cs="Times New Roman"/>
          <w:b/>
          <w:lang w:val="en-GB"/>
        </w:rPr>
      </w:pPr>
    </w:p>
    <w:p w:rsidR="00F77151" w:rsidRPr="00D162EC" w:rsidRDefault="00F77151" w:rsidP="00F77151">
      <w:pPr>
        <w:pStyle w:val="ListParagraph"/>
        <w:numPr>
          <w:ilvl w:val="0"/>
          <w:numId w:val="6"/>
        </w:numPr>
        <w:spacing w:after="0" w:line="480" w:lineRule="auto"/>
        <w:rPr>
          <w:rFonts w:ascii="Times New Roman" w:hAnsi="Times New Roman" w:cs="Times New Roman"/>
          <w:b/>
          <w:lang w:val="en-GB"/>
        </w:rPr>
      </w:pPr>
      <w:r w:rsidRPr="00D162EC">
        <w:rPr>
          <w:rFonts w:ascii="Times New Roman" w:hAnsi="Times New Roman" w:cs="Times New Roman"/>
          <w:b/>
          <w:lang w:val="en-GB"/>
        </w:rPr>
        <w:t>Referral activity by court level</w:t>
      </w:r>
    </w:p>
    <w:p w:rsidR="00D162EC" w:rsidRPr="00D162EC" w:rsidRDefault="00D162EC" w:rsidP="00D162EC"/>
    <w:p w:rsidR="004113A7" w:rsidRPr="004113A7" w:rsidRDefault="004113A7" w:rsidP="004113A7">
      <w:pPr>
        <w:spacing w:after="0" w:line="480" w:lineRule="auto"/>
        <w:rPr>
          <w:rFonts w:ascii="Times New Roman" w:hAnsi="Times New Roman" w:cs="Times New Roman"/>
          <w:lang w:val="en-GB"/>
        </w:rPr>
      </w:pPr>
      <w:r>
        <w:rPr>
          <w:rFonts w:ascii="Times New Roman" w:hAnsi="Times New Roman" w:cs="Times New Roman"/>
          <w:lang w:val="en-GB"/>
        </w:rPr>
        <w:t>Figure 1</w:t>
      </w:r>
      <w:r w:rsidR="00F77151">
        <w:rPr>
          <w:rFonts w:ascii="Times New Roman" w:hAnsi="Times New Roman" w:cs="Times New Roman"/>
          <w:lang w:val="en-GB"/>
        </w:rPr>
        <w:t>B</w:t>
      </w:r>
      <w:r>
        <w:rPr>
          <w:rFonts w:ascii="Times New Roman" w:hAnsi="Times New Roman" w:cs="Times New Roman"/>
          <w:lang w:val="en-GB"/>
        </w:rPr>
        <w:t xml:space="preserve"> plots the number of referrals by court type for all 28 EU member states. </w:t>
      </w:r>
    </w:p>
    <w:p w:rsidR="00520FCF" w:rsidRPr="00520FCF" w:rsidRDefault="00520FCF" w:rsidP="00520FCF">
      <w:pPr>
        <w:spacing w:after="0" w:line="480" w:lineRule="auto"/>
        <w:jc w:val="center"/>
        <w:rPr>
          <w:rFonts w:ascii="Times New Roman" w:hAnsi="Times New Roman" w:cs="Times New Roman"/>
          <w:lang w:val="en-GB"/>
        </w:rPr>
      </w:pPr>
      <w:r w:rsidRPr="00520FCF">
        <w:rPr>
          <w:rFonts w:ascii="Times New Roman" w:hAnsi="Times New Roman" w:cs="Times New Roman"/>
          <w:noProof/>
          <w:lang w:val="en-NZ" w:eastAsia="en-NZ"/>
        </w:rPr>
        <w:drawing>
          <wp:inline distT="0" distB="0" distL="0" distR="0">
            <wp:extent cx="4903047" cy="356190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mes_Series_Leve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09509" cy="3566601"/>
                    </a:xfrm>
                    <a:prstGeom prst="rect">
                      <a:avLst/>
                    </a:prstGeom>
                  </pic:spPr>
                </pic:pic>
              </a:graphicData>
            </a:graphic>
          </wp:inline>
        </w:drawing>
      </w:r>
    </w:p>
    <w:p w:rsidR="00EE4907" w:rsidRPr="00520FCF" w:rsidRDefault="007C629B" w:rsidP="00520FCF">
      <w:pPr>
        <w:spacing w:after="0" w:line="480" w:lineRule="auto"/>
        <w:jc w:val="center"/>
        <w:rPr>
          <w:rFonts w:ascii="Times New Roman" w:hAnsi="Times New Roman" w:cs="Times New Roman"/>
        </w:rPr>
      </w:pPr>
      <w:r>
        <w:rPr>
          <w:rFonts w:ascii="Times New Roman" w:hAnsi="Times New Roman" w:cs="Times New Roman"/>
          <w:b/>
          <w:noProof/>
          <w:color w:val="1F4E79" w:themeColor="accent1" w:themeShade="80"/>
          <w:sz w:val="24"/>
          <w:lang w:val="en-GB"/>
        </w:rPr>
        <w:t>Figure 1</w:t>
      </w:r>
      <w:r w:rsidR="00F77151">
        <w:rPr>
          <w:rFonts w:ascii="Times New Roman" w:hAnsi="Times New Roman" w:cs="Times New Roman"/>
          <w:b/>
          <w:noProof/>
          <w:color w:val="1F4E79" w:themeColor="accent1" w:themeShade="80"/>
          <w:sz w:val="24"/>
          <w:lang w:val="en-GB"/>
        </w:rPr>
        <w:t>B</w:t>
      </w:r>
      <w:r w:rsidR="00520FCF" w:rsidRPr="00520FCF">
        <w:rPr>
          <w:rFonts w:ascii="Times New Roman" w:hAnsi="Times New Roman" w:cs="Times New Roman"/>
          <w:b/>
          <w:noProof/>
          <w:color w:val="1F4E79" w:themeColor="accent1" w:themeShade="80"/>
          <w:sz w:val="24"/>
          <w:lang w:val="en-GB"/>
        </w:rPr>
        <w:t>. Referral activity by court level, 1961-2017</w:t>
      </w:r>
    </w:p>
    <w:p w:rsidR="00F77151" w:rsidRPr="004113A7" w:rsidRDefault="00F77151" w:rsidP="00F77151">
      <w:pPr>
        <w:spacing w:after="0" w:line="480" w:lineRule="auto"/>
        <w:rPr>
          <w:rFonts w:ascii="Times New Roman" w:hAnsi="Times New Roman" w:cs="Times New Roman"/>
          <w:lang w:val="en-GB"/>
        </w:rPr>
      </w:pPr>
      <w:r w:rsidRPr="004113A7">
        <w:rPr>
          <w:rFonts w:ascii="Times New Roman" w:hAnsi="Times New Roman" w:cs="Times New Roman"/>
          <w:lang w:val="en-GB"/>
        </w:rPr>
        <w:t xml:space="preserve">Table 1B </w:t>
      </w:r>
      <w:r>
        <w:rPr>
          <w:rFonts w:ascii="Times New Roman" w:hAnsi="Times New Roman" w:cs="Times New Roman"/>
          <w:lang w:val="en-GB"/>
        </w:rPr>
        <w:t xml:space="preserve">lists the most referring courts. </w:t>
      </w:r>
    </w:p>
    <w:tbl>
      <w:tblPr>
        <w:tblStyle w:val="PlainTable5"/>
        <w:tblW w:w="0" w:type="auto"/>
        <w:tblLook w:val="04A0"/>
      </w:tblPr>
      <w:tblGrid>
        <w:gridCol w:w="4590"/>
        <w:gridCol w:w="1530"/>
        <w:gridCol w:w="2952"/>
      </w:tblGrid>
      <w:tr w:rsidR="00F77151" w:rsidRPr="00106957" w:rsidTr="00736B5E">
        <w:trPr>
          <w:cnfStyle w:val="100000000000"/>
          <w:trHeight w:val="80"/>
        </w:trPr>
        <w:tc>
          <w:tcPr>
            <w:cnfStyle w:val="001000000100"/>
            <w:tcW w:w="4590" w:type="dxa"/>
          </w:tcPr>
          <w:p w:rsidR="00F77151" w:rsidRPr="00106957" w:rsidRDefault="00F77151" w:rsidP="00736B5E">
            <w:pPr>
              <w:spacing w:line="276" w:lineRule="auto"/>
              <w:jc w:val="center"/>
              <w:rPr>
                <w:rFonts w:ascii="Times New Roman" w:hAnsi="Times New Roman" w:cs="Times New Roman"/>
                <w:sz w:val="20"/>
                <w:szCs w:val="20"/>
                <w:lang w:val="en-GB"/>
              </w:rPr>
            </w:pPr>
            <w:r w:rsidRPr="00106957">
              <w:rPr>
                <w:rFonts w:ascii="Times New Roman" w:hAnsi="Times New Roman" w:cs="Times New Roman"/>
                <w:sz w:val="20"/>
                <w:szCs w:val="20"/>
                <w:lang w:val="en-GB"/>
              </w:rPr>
              <w:t>Court name</w:t>
            </w:r>
          </w:p>
        </w:tc>
        <w:tc>
          <w:tcPr>
            <w:tcW w:w="1530" w:type="dxa"/>
          </w:tcPr>
          <w:p w:rsidR="00F77151" w:rsidRPr="00106957" w:rsidRDefault="00F77151" w:rsidP="00736B5E">
            <w:pPr>
              <w:spacing w:line="276" w:lineRule="auto"/>
              <w:jc w:val="center"/>
              <w:cnfStyle w:val="100000000000"/>
              <w:rPr>
                <w:rFonts w:ascii="Times New Roman" w:hAnsi="Times New Roman" w:cs="Times New Roman"/>
                <w:sz w:val="20"/>
                <w:szCs w:val="20"/>
                <w:lang w:val="en-GB"/>
              </w:rPr>
            </w:pPr>
            <w:r w:rsidRPr="00106957">
              <w:rPr>
                <w:rFonts w:ascii="Times New Roman" w:hAnsi="Times New Roman" w:cs="Times New Roman"/>
                <w:sz w:val="20"/>
                <w:szCs w:val="20"/>
                <w:lang w:val="en-GB"/>
              </w:rPr>
              <w:t>No. of referrals</w:t>
            </w:r>
          </w:p>
        </w:tc>
        <w:tc>
          <w:tcPr>
            <w:tcW w:w="2952" w:type="dxa"/>
          </w:tcPr>
          <w:p w:rsidR="00F77151" w:rsidRPr="00106957" w:rsidRDefault="00F77151" w:rsidP="00736B5E">
            <w:pPr>
              <w:spacing w:line="276" w:lineRule="auto"/>
              <w:jc w:val="center"/>
              <w:cnfStyle w:val="100000000000"/>
              <w:rPr>
                <w:rFonts w:ascii="Times New Roman" w:hAnsi="Times New Roman" w:cs="Times New Roman"/>
                <w:sz w:val="20"/>
                <w:szCs w:val="20"/>
                <w:lang w:val="en-GB"/>
              </w:rPr>
            </w:pPr>
            <w:r w:rsidRPr="00106957">
              <w:rPr>
                <w:rFonts w:ascii="Times New Roman" w:hAnsi="Times New Roman" w:cs="Times New Roman"/>
                <w:sz w:val="20"/>
                <w:szCs w:val="20"/>
                <w:lang w:val="en-GB"/>
              </w:rPr>
              <w:t>Proportion of country’s referrals</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en-GB"/>
              </w:rPr>
            </w:pPr>
            <w:r w:rsidRPr="00106957">
              <w:rPr>
                <w:rFonts w:ascii="Times New Roman" w:hAnsi="Times New Roman" w:cs="Times New Roman"/>
                <w:i w:val="0"/>
                <w:sz w:val="20"/>
                <w:szCs w:val="20"/>
                <w:lang w:val="en-GB"/>
              </w:rPr>
              <w:t>Bundesfinanzhof (Germany)*</w:t>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299</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14.2%</w:t>
            </w:r>
          </w:p>
        </w:tc>
      </w:tr>
      <w:tr w:rsidR="00F77151" w:rsidRPr="00106957" w:rsidTr="00736B5E">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nl-BE"/>
              </w:rPr>
            </w:pPr>
            <w:r w:rsidRPr="00106957">
              <w:rPr>
                <w:rFonts w:ascii="Times New Roman" w:hAnsi="Times New Roman" w:cs="Times New Roman"/>
                <w:i w:val="0"/>
                <w:sz w:val="20"/>
                <w:szCs w:val="20"/>
                <w:lang w:val="nl-BE"/>
              </w:rPr>
              <w:t>Hoge Raad der Nederlanden (Netherlands)*</w:t>
            </w:r>
          </w:p>
        </w:tc>
        <w:tc>
          <w:tcPr>
            <w:tcW w:w="1530"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266</w:t>
            </w:r>
          </w:p>
        </w:tc>
        <w:tc>
          <w:tcPr>
            <w:tcW w:w="2952"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29.1%</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sz w:val="20"/>
                <w:szCs w:val="20"/>
                <w:lang w:val="en-GB"/>
              </w:rPr>
            </w:pPr>
            <w:r w:rsidRPr="00106957">
              <w:rPr>
                <w:rFonts w:ascii="Times New Roman" w:hAnsi="Times New Roman" w:cs="Times New Roman"/>
                <w:i w:val="0"/>
                <w:sz w:val="20"/>
                <w:szCs w:val="20"/>
                <w:lang w:val="en-GB"/>
              </w:rPr>
              <w:t>Cour de Cassation (France)*</w:t>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229</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31.5%</w:t>
            </w:r>
          </w:p>
        </w:tc>
      </w:tr>
      <w:tr w:rsidR="00F77151" w:rsidRPr="00106957" w:rsidTr="00736B5E">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en-GB"/>
              </w:rPr>
            </w:pPr>
            <w:r w:rsidRPr="00106957">
              <w:rPr>
                <w:rFonts w:ascii="Times New Roman" w:hAnsi="Times New Roman" w:cs="Times New Roman"/>
                <w:i w:val="0"/>
                <w:sz w:val="20"/>
                <w:szCs w:val="20"/>
                <w:lang w:val="en-GB"/>
              </w:rPr>
              <w:t>Bundesgerichtshof (Germany)*</w:t>
            </w:r>
          </w:p>
        </w:tc>
        <w:tc>
          <w:tcPr>
            <w:tcW w:w="1530"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210</w:t>
            </w:r>
          </w:p>
        </w:tc>
        <w:tc>
          <w:tcPr>
            <w:tcW w:w="2952"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10%</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en-GB"/>
              </w:rPr>
            </w:pPr>
            <w:r w:rsidRPr="00106957">
              <w:rPr>
                <w:rFonts w:ascii="Times New Roman" w:hAnsi="Times New Roman" w:cs="Times New Roman"/>
                <w:i w:val="0"/>
                <w:sz w:val="20"/>
                <w:szCs w:val="20"/>
                <w:lang w:val="en-GB"/>
              </w:rPr>
              <w:t>High Court of Justice of England &amp; Wales</w:t>
            </w:r>
            <w:r w:rsidRPr="00BC392F">
              <w:rPr>
                <w:rStyle w:val="FootnoteReference"/>
              </w:rPr>
              <w:footnoteReference w:id="4"/>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202</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30.3%</w:t>
            </w:r>
          </w:p>
        </w:tc>
      </w:tr>
      <w:tr w:rsidR="00F77151" w:rsidRPr="00106957" w:rsidTr="00736B5E">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en-GB"/>
              </w:rPr>
            </w:pPr>
            <w:r w:rsidRPr="00106957">
              <w:rPr>
                <w:rFonts w:ascii="Times New Roman" w:hAnsi="Times New Roman" w:cs="Times New Roman"/>
                <w:i w:val="0"/>
                <w:sz w:val="20"/>
                <w:szCs w:val="20"/>
                <w:lang w:val="en-GB"/>
              </w:rPr>
              <w:t>Finanzgericht Hamburg (Germany)</w:t>
            </w:r>
          </w:p>
        </w:tc>
        <w:tc>
          <w:tcPr>
            <w:tcW w:w="1530"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159</w:t>
            </w:r>
          </w:p>
        </w:tc>
        <w:tc>
          <w:tcPr>
            <w:tcW w:w="2952"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7.6%</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nl-BE"/>
              </w:rPr>
            </w:pPr>
            <w:r w:rsidRPr="00106957">
              <w:rPr>
                <w:rFonts w:ascii="Times New Roman" w:hAnsi="Times New Roman" w:cs="Times New Roman"/>
                <w:i w:val="0"/>
                <w:sz w:val="20"/>
                <w:szCs w:val="20"/>
                <w:lang w:val="nl-BE"/>
              </w:rPr>
              <w:t>College van Beroep voor het Bedrijfsleven (Netherlands)*</w:t>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135</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14.8%</w:t>
            </w:r>
          </w:p>
        </w:tc>
      </w:tr>
      <w:tr w:rsidR="00F77151" w:rsidRPr="00106957" w:rsidTr="00736B5E">
        <w:tc>
          <w:tcPr>
            <w:cnfStyle w:val="001000000000"/>
            <w:tcW w:w="4590" w:type="dxa"/>
          </w:tcPr>
          <w:p w:rsidR="00F77151" w:rsidRPr="00106957" w:rsidRDefault="00F77151" w:rsidP="00736B5E">
            <w:pPr>
              <w:spacing w:line="276" w:lineRule="auto"/>
              <w:jc w:val="center"/>
              <w:rPr>
                <w:rFonts w:ascii="Times New Roman" w:hAnsi="Times New Roman" w:cs="Times New Roman"/>
                <w:sz w:val="20"/>
                <w:szCs w:val="20"/>
                <w:lang w:val="nl-BE"/>
              </w:rPr>
            </w:pPr>
            <w:r w:rsidRPr="00106957">
              <w:rPr>
                <w:rFonts w:ascii="Times New Roman" w:hAnsi="Times New Roman" w:cs="Times New Roman"/>
                <w:i w:val="0"/>
                <w:sz w:val="20"/>
                <w:szCs w:val="20"/>
                <w:lang w:val="en-GB"/>
              </w:rPr>
              <w:t>Oberster Gerichtshof (Austria)*</w:t>
            </w:r>
          </w:p>
        </w:tc>
        <w:tc>
          <w:tcPr>
            <w:tcW w:w="1530"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128</w:t>
            </w:r>
          </w:p>
        </w:tc>
        <w:tc>
          <w:tcPr>
            <w:tcW w:w="2952"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28%</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sz w:val="20"/>
                <w:szCs w:val="20"/>
                <w:lang w:val="en-GB"/>
              </w:rPr>
            </w:pPr>
            <w:r w:rsidRPr="00106957">
              <w:rPr>
                <w:rFonts w:ascii="Times New Roman" w:hAnsi="Times New Roman" w:cs="Times New Roman"/>
                <w:i w:val="0"/>
                <w:sz w:val="20"/>
                <w:szCs w:val="20"/>
                <w:lang w:val="en-GB"/>
              </w:rPr>
              <w:t>Consiglio di Stato (Italy)*</w:t>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125</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13.7%</w:t>
            </w:r>
          </w:p>
        </w:tc>
      </w:tr>
      <w:tr w:rsidR="00F77151" w:rsidRPr="00106957" w:rsidTr="00736B5E">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en-GB"/>
              </w:rPr>
            </w:pPr>
            <w:r w:rsidRPr="00106957">
              <w:rPr>
                <w:rFonts w:ascii="Times New Roman" w:hAnsi="Times New Roman" w:cs="Times New Roman"/>
                <w:i w:val="0"/>
                <w:sz w:val="20"/>
                <w:szCs w:val="20"/>
                <w:lang w:val="en-GB"/>
              </w:rPr>
              <w:t>Bundesverwaltungsgericht (Germany)*</w:t>
            </w:r>
          </w:p>
        </w:tc>
        <w:tc>
          <w:tcPr>
            <w:tcW w:w="1530"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112</w:t>
            </w:r>
          </w:p>
        </w:tc>
        <w:tc>
          <w:tcPr>
            <w:tcW w:w="2952"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5.3%</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i w:val="0"/>
                <w:sz w:val="20"/>
                <w:szCs w:val="20"/>
                <w:lang w:val="en-GB"/>
              </w:rPr>
            </w:pPr>
            <w:r w:rsidRPr="00106957">
              <w:rPr>
                <w:rFonts w:ascii="Times New Roman" w:hAnsi="Times New Roman" w:cs="Times New Roman"/>
                <w:i w:val="0"/>
                <w:sz w:val="20"/>
                <w:szCs w:val="20"/>
                <w:lang w:val="en-GB"/>
              </w:rPr>
              <w:t>Verwaltungsgerichtshof (Austria)*</w:t>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106</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23.2%</w:t>
            </w:r>
          </w:p>
        </w:tc>
      </w:tr>
      <w:tr w:rsidR="00F77151" w:rsidRPr="00106957" w:rsidTr="00736B5E">
        <w:tc>
          <w:tcPr>
            <w:cnfStyle w:val="001000000000"/>
            <w:tcW w:w="4590" w:type="dxa"/>
          </w:tcPr>
          <w:p w:rsidR="00F77151" w:rsidRPr="00106957" w:rsidRDefault="00F77151" w:rsidP="00736B5E">
            <w:pPr>
              <w:spacing w:line="276" w:lineRule="auto"/>
              <w:jc w:val="center"/>
              <w:rPr>
                <w:rFonts w:ascii="Times New Roman" w:hAnsi="Times New Roman" w:cs="Times New Roman"/>
                <w:b/>
                <w:i w:val="0"/>
                <w:sz w:val="20"/>
                <w:szCs w:val="20"/>
                <w:lang w:val="en-GB"/>
              </w:rPr>
            </w:pPr>
            <w:r w:rsidRPr="00106957">
              <w:rPr>
                <w:rFonts w:ascii="Times New Roman" w:hAnsi="Times New Roman" w:cs="Times New Roman"/>
                <w:i w:val="0"/>
                <w:sz w:val="20"/>
                <w:szCs w:val="20"/>
                <w:lang w:val="en-GB"/>
              </w:rPr>
              <w:t>Raad van State (Netherlands)*</w:t>
            </w:r>
          </w:p>
        </w:tc>
        <w:tc>
          <w:tcPr>
            <w:tcW w:w="1530"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100</w:t>
            </w:r>
          </w:p>
        </w:tc>
        <w:tc>
          <w:tcPr>
            <w:tcW w:w="2952" w:type="dxa"/>
          </w:tcPr>
          <w:p w:rsidR="00F77151" w:rsidRPr="00106957" w:rsidRDefault="00F77151" w:rsidP="00736B5E">
            <w:pPr>
              <w:spacing w:line="276" w:lineRule="auto"/>
              <w:jc w:val="center"/>
              <w:cnfStyle w:val="000000000000"/>
              <w:rPr>
                <w:rFonts w:ascii="Times New Roman" w:hAnsi="Times New Roman" w:cs="Times New Roman"/>
                <w:sz w:val="20"/>
                <w:szCs w:val="20"/>
                <w:lang w:val="en-GB"/>
              </w:rPr>
            </w:pPr>
            <w:r w:rsidRPr="00106957">
              <w:rPr>
                <w:rFonts w:ascii="Times New Roman" w:hAnsi="Times New Roman" w:cs="Times New Roman"/>
                <w:sz w:val="20"/>
                <w:szCs w:val="20"/>
                <w:lang w:val="en-GB"/>
              </w:rPr>
              <w:t>11%</w:t>
            </w:r>
          </w:p>
        </w:tc>
      </w:tr>
      <w:tr w:rsidR="00F77151" w:rsidRPr="00106957" w:rsidTr="00736B5E">
        <w:trPr>
          <w:cnfStyle w:val="000000100000"/>
        </w:trPr>
        <w:tc>
          <w:tcPr>
            <w:cnfStyle w:val="001000000000"/>
            <w:tcW w:w="4590" w:type="dxa"/>
          </w:tcPr>
          <w:p w:rsidR="00F77151" w:rsidRPr="00106957" w:rsidRDefault="00F77151" w:rsidP="00736B5E">
            <w:pPr>
              <w:spacing w:line="276" w:lineRule="auto"/>
              <w:jc w:val="center"/>
              <w:rPr>
                <w:rFonts w:ascii="Times New Roman" w:hAnsi="Times New Roman" w:cs="Times New Roman"/>
                <w:i w:val="0"/>
                <w:sz w:val="20"/>
                <w:szCs w:val="20"/>
                <w:lang w:val="en-GB"/>
              </w:rPr>
            </w:pPr>
            <w:r w:rsidRPr="00106957">
              <w:rPr>
                <w:rFonts w:ascii="Times New Roman" w:hAnsi="Times New Roman" w:cs="Times New Roman"/>
                <w:i w:val="0"/>
                <w:sz w:val="20"/>
                <w:szCs w:val="20"/>
                <w:lang w:val="en-GB"/>
              </w:rPr>
              <w:t>Tribunal Supremo (Spain)*</w:t>
            </w:r>
          </w:p>
        </w:tc>
        <w:tc>
          <w:tcPr>
            <w:tcW w:w="1530"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94</w:t>
            </w:r>
          </w:p>
        </w:tc>
        <w:tc>
          <w:tcPr>
            <w:tcW w:w="2952" w:type="dxa"/>
          </w:tcPr>
          <w:p w:rsidR="00F77151" w:rsidRPr="00106957" w:rsidRDefault="00F77151" w:rsidP="00736B5E">
            <w:pPr>
              <w:spacing w:line="276" w:lineRule="auto"/>
              <w:jc w:val="center"/>
              <w:cnfStyle w:val="000000100000"/>
              <w:rPr>
                <w:rFonts w:ascii="Times New Roman" w:hAnsi="Times New Roman" w:cs="Times New Roman"/>
                <w:sz w:val="20"/>
                <w:szCs w:val="20"/>
                <w:lang w:val="en-GB"/>
              </w:rPr>
            </w:pPr>
            <w:r w:rsidRPr="00106957">
              <w:rPr>
                <w:rFonts w:ascii="Times New Roman" w:hAnsi="Times New Roman" w:cs="Times New Roman"/>
                <w:sz w:val="20"/>
                <w:szCs w:val="20"/>
                <w:lang w:val="en-GB"/>
              </w:rPr>
              <w:t>51.6%</w:t>
            </w:r>
          </w:p>
        </w:tc>
      </w:tr>
    </w:tbl>
    <w:p w:rsidR="00F77151" w:rsidRDefault="00F77151" w:rsidP="00F77151">
      <w:pPr>
        <w:pStyle w:val="Caption"/>
        <w:spacing w:after="0" w:line="480" w:lineRule="auto"/>
        <w:jc w:val="center"/>
        <w:rPr>
          <w:rFonts w:ascii="Times New Roman" w:hAnsi="Times New Roman" w:cs="Times New Roman"/>
          <w:b/>
          <w:i w:val="0"/>
          <w:sz w:val="22"/>
          <w:szCs w:val="24"/>
        </w:rPr>
      </w:pPr>
    </w:p>
    <w:p w:rsidR="00F77151" w:rsidRDefault="00F77151" w:rsidP="00F77151">
      <w:pPr>
        <w:pStyle w:val="Caption"/>
        <w:spacing w:after="0" w:line="480" w:lineRule="auto"/>
        <w:jc w:val="center"/>
        <w:rPr>
          <w:rFonts w:ascii="Times New Roman" w:hAnsi="Times New Roman" w:cs="Times New Roman"/>
          <w:b/>
          <w:i w:val="0"/>
          <w:sz w:val="22"/>
          <w:szCs w:val="24"/>
        </w:rPr>
      </w:pPr>
      <w:r w:rsidRPr="00EE09A6">
        <w:rPr>
          <w:rFonts w:ascii="Times New Roman" w:hAnsi="Times New Roman" w:cs="Times New Roman"/>
          <w:b/>
          <w:i w:val="0"/>
          <w:sz w:val="22"/>
          <w:szCs w:val="24"/>
        </w:rPr>
        <w:lastRenderedPageBreak/>
        <w:t>Table 1</w:t>
      </w:r>
      <w:r>
        <w:rPr>
          <w:rFonts w:ascii="Times New Roman" w:hAnsi="Times New Roman" w:cs="Times New Roman"/>
          <w:b/>
          <w:i w:val="0"/>
          <w:sz w:val="22"/>
          <w:szCs w:val="24"/>
        </w:rPr>
        <w:t>B</w:t>
      </w:r>
      <w:r w:rsidRPr="00EE09A6">
        <w:rPr>
          <w:rFonts w:ascii="Times New Roman" w:hAnsi="Times New Roman" w:cs="Times New Roman"/>
          <w:b/>
          <w:i w:val="0"/>
          <w:sz w:val="22"/>
          <w:szCs w:val="24"/>
        </w:rPr>
        <w:t>. Most referring cou</w:t>
      </w:r>
      <w:r>
        <w:rPr>
          <w:rFonts w:ascii="Times New Roman" w:hAnsi="Times New Roman" w:cs="Times New Roman"/>
          <w:b/>
          <w:i w:val="0"/>
          <w:sz w:val="22"/>
          <w:szCs w:val="24"/>
        </w:rPr>
        <w:t>rts, 1961-2014. ‘*’ denotes peak</w:t>
      </w:r>
      <w:r w:rsidRPr="00EE09A6">
        <w:rPr>
          <w:rFonts w:ascii="Times New Roman" w:hAnsi="Times New Roman" w:cs="Times New Roman"/>
          <w:b/>
          <w:i w:val="0"/>
          <w:sz w:val="22"/>
          <w:szCs w:val="24"/>
        </w:rPr>
        <w:t xml:space="preserve"> courts.</w:t>
      </w:r>
    </w:p>
    <w:p w:rsidR="00520FCF" w:rsidRPr="00106957" w:rsidRDefault="00520FCF" w:rsidP="009F1350">
      <w:pPr>
        <w:spacing w:after="0" w:line="480" w:lineRule="auto"/>
        <w:jc w:val="both"/>
        <w:rPr>
          <w:rFonts w:ascii="Times New Roman" w:hAnsi="Times New Roman" w:cs="Times New Roman"/>
          <w:lang w:val="en-GB"/>
        </w:rPr>
      </w:pPr>
    </w:p>
    <w:p w:rsidR="00EE4907" w:rsidRPr="00106957" w:rsidRDefault="00EE4907" w:rsidP="00F465E2">
      <w:pPr>
        <w:pStyle w:val="ListParagraph"/>
        <w:numPr>
          <w:ilvl w:val="0"/>
          <w:numId w:val="6"/>
        </w:numPr>
        <w:spacing w:line="480" w:lineRule="auto"/>
        <w:jc w:val="both"/>
        <w:rPr>
          <w:rFonts w:ascii="Times New Roman" w:eastAsia="Calibri" w:hAnsi="Times New Roman" w:cs="Times New Roman"/>
          <w:b/>
          <w:lang w:val="en-GB"/>
        </w:rPr>
      </w:pPr>
      <w:r w:rsidRPr="00106957">
        <w:rPr>
          <w:rFonts w:ascii="Times New Roman" w:eastAsia="Calibri" w:hAnsi="Times New Roman" w:cs="Times New Roman"/>
          <w:b/>
          <w:lang w:val="en-GB"/>
        </w:rPr>
        <w:t>Referral Rates by Subject Matter Jurisdiction</w:t>
      </w:r>
    </w:p>
    <w:p w:rsidR="00F11F5F" w:rsidRPr="009F1350" w:rsidRDefault="00F405FF" w:rsidP="009F1350">
      <w:pPr>
        <w:spacing w:line="480" w:lineRule="auto"/>
        <w:jc w:val="both"/>
        <w:rPr>
          <w:rFonts w:ascii="Times New Roman" w:eastAsia="Calibri" w:hAnsi="Times New Roman" w:cs="Times New Roman"/>
          <w:lang w:val="en-GB"/>
        </w:rPr>
      </w:pPr>
      <w:r w:rsidRPr="00106957">
        <w:rPr>
          <w:rFonts w:ascii="Times New Roman" w:eastAsia="Calibri" w:hAnsi="Times New Roman" w:cs="Times New Roman"/>
          <w:lang w:val="en-GB"/>
        </w:rPr>
        <w:t>Because subject matter authority varies considerably in how it is delineated across countries, the data was coded</w:t>
      </w:r>
      <w:r w:rsidR="00F11F5F" w:rsidRPr="00106957">
        <w:rPr>
          <w:rFonts w:ascii="Times New Roman" w:eastAsia="Calibri" w:hAnsi="Times New Roman" w:cs="Times New Roman"/>
          <w:lang w:val="en-GB"/>
        </w:rPr>
        <w:t xml:space="preserve"> using a coding protocol with 17</w:t>
      </w:r>
      <w:r w:rsidRPr="00106957">
        <w:rPr>
          <w:rFonts w:ascii="Times New Roman" w:eastAsia="Calibri" w:hAnsi="Times New Roman" w:cs="Times New Roman"/>
          <w:lang w:val="en-GB"/>
        </w:rPr>
        <w:t xml:space="preserve"> categories designed to capture as many</w:t>
      </w:r>
      <w:r w:rsidR="00DF19BA" w:rsidRPr="00106957">
        <w:rPr>
          <w:rFonts w:ascii="Times New Roman" w:eastAsia="Calibri" w:hAnsi="Times New Roman" w:cs="Times New Roman"/>
          <w:lang w:val="en-GB"/>
        </w:rPr>
        <w:t xml:space="preserve"> nuances as possible. The subject matter definitions and corresponding codes are displayed in Table 1</w:t>
      </w:r>
      <w:r w:rsidR="00F77151">
        <w:rPr>
          <w:rFonts w:ascii="Times New Roman" w:eastAsia="Calibri" w:hAnsi="Times New Roman" w:cs="Times New Roman"/>
          <w:lang w:val="en-GB"/>
        </w:rPr>
        <w:t>C</w:t>
      </w:r>
      <w:r w:rsidR="00DF19BA" w:rsidRPr="00106957">
        <w:rPr>
          <w:rFonts w:ascii="Times New Roman" w:eastAsia="Calibri" w:hAnsi="Times New Roman" w:cs="Times New Roman"/>
          <w:lang w:val="en-GB"/>
        </w:rPr>
        <w:t xml:space="preserve">. </w:t>
      </w:r>
      <w:r w:rsidR="00F11F5F" w:rsidRPr="00106957">
        <w:rPr>
          <w:rFonts w:ascii="Times New Roman" w:eastAsia="Calibri" w:hAnsi="Times New Roman" w:cs="Times New Roman"/>
          <w:lang w:val="en-GB"/>
        </w:rPr>
        <w:t>These codes were then merged to obtain the more general categories used in the analysis below.</w:t>
      </w:r>
    </w:p>
    <w:tbl>
      <w:tblPr>
        <w:tblStyle w:val="PlainTable1"/>
        <w:tblW w:w="7770" w:type="dxa"/>
        <w:jc w:val="center"/>
        <w:tblLayout w:type="fixed"/>
        <w:tblLook w:val="04A0"/>
      </w:tblPr>
      <w:tblGrid>
        <w:gridCol w:w="7061"/>
        <w:gridCol w:w="709"/>
      </w:tblGrid>
      <w:tr w:rsidR="00DF19BA" w:rsidRPr="009F1350" w:rsidTr="00DF19BA">
        <w:trPr>
          <w:cnfStyle w:val="1000000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lang w:val="en-GB"/>
              </w:rPr>
              <w:t>Subject matter</w:t>
            </w:r>
          </w:p>
        </w:tc>
        <w:tc>
          <w:tcPr>
            <w:tcW w:w="709" w:type="dxa"/>
          </w:tcPr>
          <w:p w:rsidR="00DF19BA" w:rsidRPr="009F1350" w:rsidRDefault="00DF19BA" w:rsidP="009F1350">
            <w:pPr>
              <w:spacing w:line="480" w:lineRule="auto"/>
              <w:ind w:right="-720"/>
              <w:cnfStyle w:val="100000000000"/>
              <w:rPr>
                <w:rFonts w:ascii="Times New Roman" w:hAnsi="Times New Roman" w:cs="Times New Roman"/>
                <w:lang w:val="en-GB"/>
              </w:rPr>
            </w:pPr>
            <w:r w:rsidRPr="009F1350">
              <w:rPr>
                <w:rFonts w:ascii="Times New Roman" w:hAnsi="Times New Roman" w:cs="Times New Roman"/>
                <w:lang w:val="en-GB"/>
              </w:rPr>
              <w:t>Code</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Civil/criminal</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1</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Administrative</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2</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Courts dealing with constitutional matters</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3</w:t>
            </w:r>
          </w:p>
        </w:tc>
      </w:tr>
      <w:tr w:rsidR="00DF19BA" w:rsidRPr="009F1350" w:rsidTr="00DF19BA">
        <w:trPr>
          <w:jc w:val="center"/>
        </w:trPr>
        <w:tc>
          <w:tcPr>
            <w:cnfStyle w:val="001000000000"/>
            <w:tcW w:w="7061" w:type="dxa"/>
          </w:tcPr>
          <w:p w:rsidR="00DF19BA" w:rsidRPr="009F1350" w:rsidRDefault="00F11F5F"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Finance</w:t>
            </w:r>
            <w:r w:rsidR="00601516" w:rsidRPr="009F1350">
              <w:rPr>
                <w:rFonts w:ascii="Times New Roman" w:hAnsi="Times New Roman" w:cs="Times New Roman"/>
                <w:b w:val="0"/>
                <w:lang w:val="en-GB"/>
              </w:rPr>
              <w:t>/tax</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4</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Social</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6</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Labour</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7</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Social/Labour</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8</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Commerce</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9</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Arbitration tribunal/court</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10</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 xml:space="preserve">Intellectual property (patents, trademarks, copyrights, personal data) </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11</w:t>
            </w:r>
          </w:p>
        </w:tc>
      </w:tr>
      <w:tr w:rsidR="00DF19BA" w:rsidRPr="009F1350" w:rsidTr="00DF19BA">
        <w:trPr>
          <w:cnfStyle w:val="000000100000"/>
          <w:jc w:val="center"/>
        </w:trPr>
        <w:tc>
          <w:tcPr>
            <w:cnfStyle w:val="001000000000"/>
            <w:tcW w:w="7061" w:type="dxa"/>
          </w:tcPr>
          <w:p w:rsidR="00DF19BA" w:rsidRPr="009F1350" w:rsidRDefault="00601516"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Specialised agencies and non-judicial bodies.</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12</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Civil/criminal/administrative</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13</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Civil/criminal/fiscal</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14</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Family law</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15</w:t>
            </w:r>
          </w:p>
        </w:tc>
      </w:tr>
      <w:tr w:rsidR="00DF19BA" w:rsidRPr="009F1350" w:rsidTr="00DF19BA">
        <w:trPr>
          <w:cnfStyle w:val="000000100000"/>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 xml:space="preserve">Civil/criminal/constitutional </w:t>
            </w:r>
          </w:p>
        </w:tc>
        <w:tc>
          <w:tcPr>
            <w:tcW w:w="709" w:type="dxa"/>
          </w:tcPr>
          <w:p w:rsidR="00DF19BA" w:rsidRPr="009F1350" w:rsidRDefault="00DF19BA" w:rsidP="009F1350">
            <w:pPr>
              <w:spacing w:line="480" w:lineRule="auto"/>
              <w:ind w:right="-720"/>
              <w:cnfStyle w:val="000000100000"/>
              <w:rPr>
                <w:rFonts w:ascii="Times New Roman" w:hAnsi="Times New Roman" w:cs="Times New Roman"/>
                <w:lang w:val="en-GB"/>
              </w:rPr>
            </w:pPr>
            <w:r w:rsidRPr="009F1350">
              <w:rPr>
                <w:rFonts w:ascii="Times New Roman" w:hAnsi="Times New Roman" w:cs="Times New Roman"/>
                <w:lang w:val="en-GB"/>
              </w:rPr>
              <w:t>16</w:t>
            </w:r>
          </w:p>
        </w:tc>
      </w:tr>
      <w:tr w:rsidR="00DF19BA" w:rsidRPr="009F1350" w:rsidTr="00DF19BA">
        <w:trPr>
          <w:jc w:val="center"/>
        </w:trPr>
        <w:tc>
          <w:tcPr>
            <w:cnfStyle w:val="001000000000"/>
            <w:tcW w:w="7061" w:type="dxa"/>
          </w:tcPr>
          <w:p w:rsidR="00DF19BA" w:rsidRPr="009F1350" w:rsidRDefault="00DF19BA" w:rsidP="009F1350">
            <w:pPr>
              <w:spacing w:line="480" w:lineRule="auto"/>
              <w:ind w:right="-720"/>
              <w:rPr>
                <w:rFonts w:ascii="Times New Roman" w:hAnsi="Times New Roman" w:cs="Times New Roman"/>
                <w:lang w:val="en-GB"/>
              </w:rPr>
            </w:pPr>
            <w:r w:rsidRPr="009F1350">
              <w:rPr>
                <w:rFonts w:ascii="Times New Roman" w:hAnsi="Times New Roman" w:cs="Times New Roman"/>
                <w:b w:val="0"/>
                <w:lang w:val="en-GB"/>
              </w:rPr>
              <w:t>Administrative/labour/social (only for Hungary)</w:t>
            </w:r>
          </w:p>
        </w:tc>
        <w:tc>
          <w:tcPr>
            <w:tcW w:w="709" w:type="dxa"/>
          </w:tcPr>
          <w:p w:rsidR="00DF19BA" w:rsidRPr="009F1350" w:rsidRDefault="00DF19BA" w:rsidP="009F1350">
            <w:pPr>
              <w:spacing w:line="480" w:lineRule="auto"/>
              <w:ind w:right="-720"/>
              <w:cnfStyle w:val="000000000000"/>
              <w:rPr>
                <w:rFonts w:ascii="Times New Roman" w:hAnsi="Times New Roman" w:cs="Times New Roman"/>
                <w:lang w:val="en-GB"/>
              </w:rPr>
            </w:pPr>
            <w:r w:rsidRPr="009F1350">
              <w:rPr>
                <w:rFonts w:ascii="Times New Roman" w:hAnsi="Times New Roman" w:cs="Times New Roman"/>
                <w:lang w:val="en-GB"/>
              </w:rPr>
              <w:t>17</w:t>
            </w:r>
          </w:p>
        </w:tc>
      </w:tr>
    </w:tbl>
    <w:p w:rsidR="00E279C6" w:rsidRPr="00F465E2" w:rsidRDefault="00DF19BA" w:rsidP="00F465E2">
      <w:pPr>
        <w:pStyle w:val="Caption"/>
        <w:spacing w:line="480" w:lineRule="auto"/>
        <w:jc w:val="center"/>
        <w:rPr>
          <w:rFonts w:ascii="Times New Roman" w:eastAsia="Calibri" w:hAnsi="Times New Roman" w:cs="Times New Roman"/>
          <w:b/>
          <w:i w:val="0"/>
          <w:sz w:val="24"/>
          <w:szCs w:val="24"/>
          <w:lang w:val="en-GB"/>
        </w:rPr>
      </w:pPr>
      <w:r w:rsidRPr="00F465E2">
        <w:rPr>
          <w:rFonts w:ascii="Times New Roman" w:hAnsi="Times New Roman" w:cs="Times New Roman"/>
          <w:b/>
          <w:i w:val="0"/>
          <w:sz w:val="24"/>
          <w:szCs w:val="24"/>
        </w:rPr>
        <w:t xml:space="preserve">Table </w:t>
      </w:r>
      <w:r w:rsidR="002917D9" w:rsidRPr="00F465E2">
        <w:rPr>
          <w:rFonts w:ascii="Times New Roman" w:hAnsi="Times New Roman" w:cs="Times New Roman"/>
          <w:b/>
          <w:i w:val="0"/>
          <w:sz w:val="24"/>
          <w:szCs w:val="24"/>
        </w:rPr>
        <w:fldChar w:fldCharType="begin"/>
      </w:r>
      <w:r w:rsidRPr="00F465E2">
        <w:rPr>
          <w:rFonts w:ascii="Times New Roman" w:hAnsi="Times New Roman" w:cs="Times New Roman"/>
          <w:b/>
          <w:i w:val="0"/>
          <w:sz w:val="24"/>
          <w:szCs w:val="24"/>
        </w:rPr>
        <w:instrText xml:space="preserve"> SEQ Table \* ARABIC </w:instrText>
      </w:r>
      <w:r w:rsidR="002917D9" w:rsidRPr="00F465E2">
        <w:rPr>
          <w:rFonts w:ascii="Times New Roman" w:hAnsi="Times New Roman" w:cs="Times New Roman"/>
          <w:b/>
          <w:i w:val="0"/>
          <w:sz w:val="24"/>
          <w:szCs w:val="24"/>
        </w:rPr>
        <w:fldChar w:fldCharType="separate"/>
      </w:r>
      <w:r w:rsidRPr="00F465E2">
        <w:rPr>
          <w:rFonts w:ascii="Times New Roman" w:hAnsi="Times New Roman" w:cs="Times New Roman"/>
          <w:b/>
          <w:i w:val="0"/>
          <w:noProof/>
          <w:sz w:val="24"/>
          <w:szCs w:val="24"/>
        </w:rPr>
        <w:t>1</w:t>
      </w:r>
      <w:r w:rsidR="002917D9" w:rsidRPr="00F465E2">
        <w:rPr>
          <w:rFonts w:ascii="Times New Roman" w:hAnsi="Times New Roman" w:cs="Times New Roman"/>
          <w:b/>
          <w:i w:val="0"/>
          <w:sz w:val="24"/>
          <w:szCs w:val="24"/>
        </w:rPr>
        <w:fldChar w:fldCharType="end"/>
      </w:r>
      <w:r w:rsidR="00F77151">
        <w:rPr>
          <w:rFonts w:ascii="Times New Roman" w:hAnsi="Times New Roman" w:cs="Times New Roman"/>
          <w:b/>
          <w:i w:val="0"/>
          <w:sz w:val="24"/>
          <w:szCs w:val="24"/>
        </w:rPr>
        <w:t>C</w:t>
      </w:r>
      <w:r w:rsidRPr="00F465E2">
        <w:rPr>
          <w:rFonts w:ascii="Times New Roman" w:hAnsi="Times New Roman" w:cs="Times New Roman"/>
          <w:b/>
          <w:i w:val="0"/>
          <w:sz w:val="24"/>
          <w:szCs w:val="24"/>
        </w:rPr>
        <w:t>. Coding scheme, subject matter jurisdiction.</w:t>
      </w:r>
    </w:p>
    <w:p w:rsidR="00EE4907" w:rsidRDefault="00EE4907" w:rsidP="009F1350">
      <w:pPr>
        <w:spacing w:line="480" w:lineRule="auto"/>
        <w:jc w:val="both"/>
        <w:rPr>
          <w:rFonts w:ascii="Times New Roman" w:eastAsia="Calibri" w:hAnsi="Times New Roman" w:cs="Times New Roman"/>
          <w:lang w:val="en-GB"/>
        </w:rPr>
      </w:pPr>
      <w:r w:rsidRPr="00106957">
        <w:rPr>
          <w:rFonts w:ascii="Times New Roman" w:eastAsia="Calibri" w:hAnsi="Times New Roman" w:cs="Times New Roman"/>
          <w:lang w:val="en-GB"/>
        </w:rPr>
        <w:lastRenderedPageBreak/>
        <w:t xml:space="preserve">We </w:t>
      </w:r>
      <w:r w:rsidR="00E279C6" w:rsidRPr="00106957">
        <w:rPr>
          <w:rFonts w:ascii="Times New Roman" w:eastAsia="Calibri" w:hAnsi="Times New Roman" w:cs="Times New Roman"/>
          <w:lang w:val="en-GB"/>
        </w:rPr>
        <w:t>first consider a five-category classification: (1) civil, (2) administrative, (3) constitutional, (4) non-judicial and (5) other. For this purp</w:t>
      </w:r>
      <w:r w:rsidR="00601516" w:rsidRPr="00106957">
        <w:rPr>
          <w:rFonts w:ascii="Times New Roman" w:eastAsia="Calibri" w:hAnsi="Times New Roman" w:cs="Times New Roman"/>
          <w:lang w:val="en-GB"/>
        </w:rPr>
        <w:t>ose we merge code 1, 6, 7, 8, 9, 13, 14 and 15</w:t>
      </w:r>
      <w:r w:rsidR="00E279C6" w:rsidRPr="00106957">
        <w:rPr>
          <w:rFonts w:ascii="Times New Roman" w:eastAsia="Calibri" w:hAnsi="Times New Roman" w:cs="Times New Roman"/>
          <w:lang w:val="en-GB"/>
        </w:rPr>
        <w:t xml:space="preserve"> to obtain the category “civil”</w:t>
      </w:r>
      <w:r w:rsidR="00601516" w:rsidRPr="00106957">
        <w:rPr>
          <w:rFonts w:ascii="Times New Roman" w:eastAsia="Calibri" w:hAnsi="Times New Roman" w:cs="Times New Roman"/>
          <w:lang w:val="en-GB"/>
        </w:rPr>
        <w:t>; code 2, 4, and 17 to obtain the category “administrative” and code 3 and 16 to obtain the category  “constitutional”</w:t>
      </w:r>
      <w:r w:rsidR="00205134" w:rsidRPr="00106957">
        <w:rPr>
          <w:rFonts w:ascii="Times New Roman" w:eastAsia="Calibri" w:hAnsi="Times New Roman" w:cs="Times New Roman"/>
          <w:lang w:val="en-GB"/>
        </w:rPr>
        <w:t xml:space="preserve">. Meanwhile, </w:t>
      </w:r>
      <w:r w:rsidR="00601516" w:rsidRPr="00106957">
        <w:rPr>
          <w:rFonts w:ascii="Times New Roman" w:eastAsia="Calibri" w:hAnsi="Times New Roman" w:cs="Times New Roman"/>
          <w:lang w:val="en-GB"/>
        </w:rPr>
        <w:t>“</w:t>
      </w:r>
      <w:r w:rsidR="00205134" w:rsidRPr="00106957">
        <w:rPr>
          <w:rFonts w:ascii="Times New Roman" w:eastAsia="Calibri" w:hAnsi="Times New Roman" w:cs="Times New Roman"/>
          <w:lang w:val="en-GB"/>
        </w:rPr>
        <w:t>o</w:t>
      </w:r>
      <w:r w:rsidR="00601516" w:rsidRPr="00106957">
        <w:rPr>
          <w:rFonts w:ascii="Times New Roman" w:eastAsia="Calibri" w:hAnsi="Times New Roman" w:cs="Times New Roman"/>
          <w:lang w:val="en-GB"/>
        </w:rPr>
        <w:t>ther”</w:t>
      </w:r>
      <w:r w:rsidR="00205134" w:rsidRPr="00106957">
        <w:rPr>
          <w:rFonts w:ascii="Times New Roman" w:eastAsia="Calibri" w:hAnsi="Times New Roman" w:cs="Times New Roman"/>
          <w:lang w:val="en-GB"/>
        </w:rPr>
        <w:t xml:space="preserve"> corresponds to c</w:t>
      </w:r>
      <w:r w:rsidR="00601516" w:rsidRPr="00106957">
        <w:rPr>
          <w:rFonts w:ascii="Times New Roman" w:eastAsia="Calibri" w:hAnsi="Times New Roman" w:cs="Times New Roman"/>
          <w:lang w:val="en-GB"/>
        </w:rPr>
        <w:t>ode 10 a</w:t>
      </w:r>
      <w:r w:rsidR="00205134" w:rsidRPr="00106957">
        <w:rPr>
          <w:rFonts w:ascii="Times New Roman" w:eastAsia="Calibri" w:hAnsi="Times New Roman" w:cs="Times New Roman"/>
          <w:lang w:val="en-GB"/>
        </w:rPr>
        <w:t xml:space="preserve">nd 11 and “non-judicial” to code 12. Applying this classification, </w:t>
      </w:r>
      <w:r w:rsidRPr="00106957">
        <w:rPr>
          <w:rFonts w:ascii="Times New Roman" w:eastAsia="Calibri" w:hAnsi="Times New Roman" w:cs="Times New Roman"/>
          <w:lang w:val="en-GB"/>
        </w:rPr>
        <w:t xml:space="preserve">Article 267 </w:t>
      </w:r>
      <w:r w:rsidR="00205134" w:rsidRPr="00106957">
        <w:rPr>
          <w:rFonts w:ascii="Times New Roman" w:eastAsia="Calibri" w:hAnsi="Times New Roman" w:cs="Times New Roman"/>
          <w:lang w:val="en-GB"/>
        </w:rPr>
        <w:t>use appears to differ</w:t>
      </w:r>
      <w:r w:rsidRPr="00106957">
        <w:rPr>
          <w:rFonts w:ascii="Times New Roman" w:eastAsia="Calibri" w:hAnsi="Times New Roman" w:cs="Times New Roman"/>
          <w:lang w:val="en-GB"/>
        </w:rPr>
        <w:t xml:space="preserve"> according to the courts’ subject matter jurisdiction. On the face of things, it looks as if Figure 1B is suggesting that civil courts make more frequent referrals than administrative ones. But this, presumably, is simply an artefact of civil courts processing a larger caseload.</w:t>
      </w:r>
      <w:r w:rsidRPr="00BC392F">
        <w:rPr>
          <w:rStyle w:val="FootnoteReference"/>
        </w:rPr>
        <w:footnoteReference w:id="5"/>
      </w:r>
      <w:r w:rsidR="00205134" w:rsidRPr="00106957">
        <w:rPr>
          <w:rFonts w:ascii="Times New Roman" w:eastAsia="Calibri" w:hAnsi="Times New Roman" w:cs="Times New Roman"/>
          <w:lang w:val="en-GB"/>
        </w:rPr>
        <w:t xml:space="preserve"> M</w:t>
      </w:r>
      <w:r w:rsidRPr="00106957">
        <w:rPr>
          <w:rFonts w:ascii="Times New Roman" w:eastAsia="Calibri" w:hAnsi="Times New Roman" w:cs="Times New Roman"/>
          <w:lang w:val="en-GB"/>
        </w:rPr>
        <w:t xml:space="preserve">ore significant </w:t>
      </w:r>
      <w:r w:rsidR="00205134" w:rsidRPr="00106957">
        <w:rPr>
          <w:rFonts w:ascii="Times New Roman" w:eastAsia="Calibri" w:hAnsi="Times New Roman" w:cs="Times New Roman"/>
          <w:lang w:val="en-GB"/>
        </w:rPr>
        <w:t xml:space="preserve">probably </w:t>
      </w:r>
      <w:r w:rsidRPr="00106957">
        <w:rPr>
          <w:rFonts w:ascii="Times New Roman" w:eastAsia="Calibri" w:hAnsi="Times New Roman" w:cs="Times New Roman"/>
          <w:lang w:val="en-GB"/>
        </w:rPr>
        <w:t>is the differential between civil and administrative, on the one hand and the three remaining categories (constitutional, other and non-judicial), on the other.</w:t>
      </w:r>
    </w:p>
    <w:p w:rsidR="00C35E86" w:rsidRPr="00106957" w:rsidRDefault="00C35E86" w:rsidP="00C35E86">
      <w:pPr>
        <w:spacing w:line="480" w:lineRule="auto"/>
        <w:jc w:val="both"/>
        <w:rPr>
          <w:rFonts w:ascii="Times New Roman" w:hAnsi="Times New Roman" w:cs="Times New Roman"/>
          <w:lang w:val="en-GB"/>
        </w:rPr>
      </w:pPr>
      <w:r w:rsidRPr="00106957">
        <w:rPr>
          <w:rFonts w:ascii="Times New Roman" w:hAnsi="Times New Roman" w:cs="Times New Roman"/>
          <w:lang w:val="en-GB"/>
        </w:rPr>
        <w:t>Figure 1</w:t>
      </w:r>
      <w:r w:rsidR="00F77151">
        <w:rPr>
          <w:rFonts w:ascii="Times New Roman" w:hAnsi="Times New Roman" w:cs="Times New Roman"/>
          <w:lang w:val="en-GB"/>
        </w:rPr>
        <w:t>C</w:t>
      </w:r>
      <w:r w:rsidRPr="00106957">
        <w:rPr>
          <w:rFonts w:ascii="Times New Roman" w:hAnsi="Times New Roman" w:cs="Times New Roman"/>
          <w:lang w:val="en-GB"/>
        </w:rPr>
        <w:t xml:space="preserve"> plots referrals from constitutional tribunals.</w:t>
      </w:r>
    </w:p>
    <w:p w:rsidR="00C35E86" w:rsidRPr="00F465E2" w:rsidRDefault="00C35E86" w:rsidP="00C35E86">
      <w:pPr>
        <w:spacing w:after="0" w:line="480" w:lineRule="auto"/>
        <w:ind w:left="708" w:firstLine="720"/>
        <w:rPr>
          <w:rFonts w:ascii="Times New Roman" w:hAnsi="Times New Roman" w:cs="Times New Roman"/>
          <w:lang w:val="en-GB"/>
        </w:rPr>
      </w:pPr>
      <w:r w:rsidRPr="00106957">
        <w:rPr>
          <w:rFonts w:ascii="Times New Roman" w:hAnsi="Times New Roman" w:cs="Times New Roman"/>
          <w:noProof/>
          <w:lang w:val="en-NZ" w:eastAsia="en-NZ"/>
        </w:rPr>
        <w:drawing>
          <wp:inline distT="0" distB="0" distL="0" distR="0">
            <wp:extent cx="4263656" cy="305960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titutional_courts_ts.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7957" cy="3105742"/>
                    </a:xfrm>
                    <a:prstGeom prst="rect">
                      <a:avLst/>
                    </a:prstGeom>
                  </pic:spPr>
                </pic:pic>
              </a:graphicData>
            </a:graphic>
          </wp:inline>
        </w:drawing>
      </w:r>
    </w:p>
    <w:p w:rsidR="00C35E86" w:rsidRDefault="00C35E86" w:rsidP="00C35E86">
      <w:pPr>
        <w:pStyle w:val="Caption"/>
        <w:spacing w:line="480" w:lineRule="auto"/>
        <w:ind w:left="720"/>
        <w:jc w:val="center"/>
        <w:rPr>
          <w:rFonts w:ascii="Times New Roman" w:hAnsi="Times New Roman" w:cs="Times New Roman"/>
          <w:b/>
          <w:i w:val="0"/>
          <w:noProof/>
          <w:sz w:val="24"/>
          <w:szCs w:val="22"/>
          <w:lang w:val="en-GB"/>
        </w:rPr>
      </w:pPr>
      <w:r w:rsidRPr="00106957">
        <w:rPr>
          <w:rFonts w:ascii="Times New Roman" w:hAnsi="Times New Roman" w:cs="Times New Roman"/>
          <w:b/>
          <w:i w:val="0"/>
          <w:sz w:val="24"/>
          <w:szCs w:val="22"/>
          <w:lang w:val="en-GB"/>
        </w:rPr>
        <w:t>F</w:t>
      </w:r>
      <w:r>
        <w:rPr>
          <w:rFonts w:ascii="Times New Roman" w:hAnsi="Times New Roman" w:cs="Times New Roman"/>
          <w:b/>
          <w:i w:val="0"/>
          <w:sz w:val="24"/>
          <w:szCs w:val="22"/>
          <w:lang w:val="en-GB"/>
        </w:rPr>
        <w:t>igure 1</w:t>
      </w:r>
      <w:r w:rsidR="00F77151">
        <w:rPr>
          <w:rFonts w:ascii="Times New Roman" w:hAnsi="Times New Roman" w:cs="Times New Roman"/>
          <w:b/>
          <w:i w:val="0"/>
          <w:sz w:val="24"/>
          <w:szCs w:val="22"/>
          <w:lang w:val="en-GB"/>
        </w:rPr>
        <w:t>C</w:t>
      </w:r>
      <w:r w:rsidRPr="00106957">
        <w:rPr>
          <w:rFonts w:ascii="Times New Roman" w:hAnsi="Times New Roman" w:cs="Times New Roman"/>
          <w:b/>
          <w:i w:val="0"/>
          <w:sz w:val="24"/>
          <w:szCs w:val="22"/>
          <w:lang w:val="en-GB"/>
        </w:rPr>
        <w:t>.</w:t>
      </w:r>
      <w:r w:rsidRPr="00106957">
        <w:rPr>
          <w:rFonts w:ascii="Times New Roman" w:hAnsi="Times New Roman" w:cs="Times New Roman"/>
          <w:b/>
          <w:i w:val="0"/>
          <w:noProof/>
          <w:sz w:val="24"/>
          <w:szCs w:val="22"/>
          <w:lang w:val="en-GB"/>
        </w:rPr>
        <w:t xml:space="preserve"> Referral activity, constitutional courts, 1961-2017</w:t>
      </w:r>
    </w:p>
    <w:p w:rsidR="00C35E86" w:rsidRPr="00106957" w:rsidRDefault="00C35E86" w:rsidP="009F1350">
      <w:pPr>
        <w:spacing w:line="48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Figure </w:t>
      </w:r>
      <w:r w:rsidR="00F77151">
        <w:rPr>
          <w:rFonts w:ascii="Times New Roman" w:eastAsia="Calibri" w:hAnsi="Times New Roman" w:cs="Times New Roman"/>
          <w:lang w:val="en-GB"/>
        </w:rPr>
        <w:t>2C</w:t>
      </w:r>
      <w:r>
        <w:rPr>
          <w:rFonts w:ascii="Times New Roman" w:eastAsia="Calibri" w:hAnsi="Times New Roman" w:cs="Times New Roman"/>
          <w:lang w:val="en-GB"/>
        </w:rPr>
        <w:t xml:space="preserve"> plots the number of referrals by subject matter jurisdiction.</w:t>
      </w:r>
    </w:p>
    <w:p w:rsidR="00EE4907" w:rsidRPr="00106957" w:rsidRDefault="00EE4907" w:rsidP="009F1350">
      <w:pPr>
        <w:keepNext/>
        <w:spacing w:after="0" w:line="480" w:lineRule="auto"/>
        <w:jc w:val="center"/>
        <w:rPr>
          <w:rFonts w:ascii="Times New Roman" w:eastAsia="Calibri" w:hAnsi="Times New Roman" w:cs="Times New Roman"/>
          <w:lang w:val="en-GB"/>
        </w:rPr>
      </w:pPr>
      <w:r w:rsidRPr="00106957">
        <w:rPr>
          <w:rFonts w:ascii="Times New Roman" w:eastAsia="Calibri" w:hAnsi="Times New Roman" w:cs="Times New Roman"/>
          <w:noProof/>
          <w:lang w:val="en-NZ" w:eastAsia="en-NZ"/>
        </w:rPr>
        <w:lastRenderedPageBreak/>
        <w:drawing>
          <wp:inline distT="0" distB="0" distL="0" distR="0">
            <wp:extent cx="5315298" cy="384098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pe_of the court new 3.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9613" cy="3844101"/>
                    </a:xfrm>
                    <a:prstGeom prst="rect">
                      <a:avLst/>
                    </a:prstGeom>
                  </pic:spPr>
                </pic:pic>
              </a:graphicData>
            </a:graphic>
          </wp:inline>
        </w:drawing>
      </w:r>
    </w:p>
    <w:p w:rsidR="00EE4907" w:rsidRPr="00106957" w:rsidRDefault="00C35E86" w:rsidP="009F1350">
      <w:pPr>
        <w:spacing w:after="0" w:line="480" w:lineRule="auto"/>
        <w:jc w:val="center"/>
        <w:rPr>
          <w:rFonts w:ascii="Times New Roman" w:eastAsia="Calibri" w:hAnsi="Times New Roman" w:cs="Times New Roman"/>
          <w:b/>
          <w:iCs/>
          <w:color w:val="44546A" w:themeColor="text2"/>
          <w:sz w:val="24"/>
          <w:szCs w:val="24"/>
          <w:lang w:val="en-GB"/>
        </w:rPr>
      </w:pPr>
      <w:r>
        <w:rPr>
          <w:rFonts w:ascii="Times New Roman" w:eastAsia="Calibri" w:hAnsi="Times New Roman" w:cs="Times New Roman"/>
          <w:b/>
          <w:iCs/>
          <w:color w:val="44546A" w:themeColor="text2"/>
          <w:sz w:val="24"/>
          <w:szCs w:val="24"/>
          <w:lang w:val="en-GB"/>
        </w:rPr>
        <w:t>Figure 2</w:t>
      </w:r>
      <w:r w:rsidR="00A04656">
        <w:rPr>
          <w:rFonts w:ascii="Times New Roman" w:eastAsia="Calibri" w:hAnsi="Times New Roman" w:cs="Times New Roman"/>
          <w:b/>
          <w:iCs/>
          <w:color w:val="44546A" w:themeColor="text2"/>
          <w:sz w:val="24"/>
          <w:szCs w:val="24"/>
          <w:lang w:val="en-GB"/>
        </w:rPr>
        <w:t>C</w:t>
      </w:r>
      <w:r w:rsidR="00EE4907" w:rsidRPr="00106957">
        <w:rPr>
          <w:rFonts w:ascii="Times New Roman" w:eastAsia="Calibri" w:hAnsi="Times New Roman" w:cs="Times New Roman"/>
          <w:b/>
          <w:iCs/>
          <w:color w:val="44546A" w:themeColor="text2"/>
          <w:sz w:val="24"/>
          <w:szCs w:val="24"/>
          <w:lang w:val="en-GB"/>
        </w:rPr>
        <w:t>. Referral rates by subjec</w:t>
      </w:r>
      <w:r w:rsidR="000F599A" w:rsidRPr="00106957">
        <w:rPr>
          <w:rFonts w:ascii="Times New Roman" w:eastAsia="Calibri" w:hAnsi="Times New Roman" w:cs="Times New Roman"/>
          <w:b/>
          <w:iCs/>
          <w:color w:val="44546A" w:themeColor="text2"/>
          <w:sz w:val="24"/>
          <w:szCs w:val="24"/>
          <w:lang w:val="en-GB"/>
        </w:rPr>
        <w:t>t matter jurisdiction, 1961-2017</w:t>
      </w:r>
    </w:p>
    <w:p w:rsidR="009A1FE0" w:rsidRPr="00106957" w:rsidRDefault="00EE4907" w:rsidP="00D162EC">
      <w:pPr>
        <w:spacing w:line="480" w:lineRule="auto"/>
        <w:jc w:val="both"/>
        <w:rPr>
          <w:rFonts w:ascii="Times New Roman" w:eastAsia="Calibri" w:hAnsi="Times New Roman" w:cs="Times New Roman"/>
          <w:lang w:val="en-GB"/>
        </w:rPr>
      </w:pPr>
      <w:r w:rsidRPr="00106957">
        <w:rPr>
          <w:rFonts w:ascii="Times New Roman" w:eastAsia="Calibri" w:hAnsi="Times New Roman" w:cs="Times New Roman"/>
          <w:lang w:val="en-GB"/>
        </w:rPr>
        <w:t>How does the picture look like across membe</w:t>
      </w:r>
      <w:r w:rsidR="005566DD" w:rsidRPr="00106957">
        <w:rPr>
          <w:rFonts w:ascii="Times New Roman" w:eastAsia="Calibri" w:hAnsi="Times New Roman" w:cs="Times New Roman"/>
          <w:lang w:val="en-GB"/>
        </w:rPr>
        <w:t>r states? From the data visualis</w:t>
      </w:r>
      <w:r w:rsidR="00C35E86">
        <w:rPr>
          <w:rFonts w:ascii="Times New Roman" w:eastAsia="Calibri" w:hAnsi="Times New Roman" w:cs="Times New Roman"/>
          <w:lang w:val="en-GB"/>
        </w:rPr>
        <w:t xml:space="preserve">ation in Figure </w:t>
      </w:r>
      <w:r w:rsidR="00A04656">
        <w:rPr>
          <w:rFonts w:ascii="Times New Roman" w:eastAsia="Calibri" w:hAnsi="Times New Roman" w:cs="Times New Roman"/>
          <w:lang w:val="en-GB"/>
        </w:rPr>
        <w:t>3C</w:t>
      </w:r>
      <w:r w:rsidRPr="00106957">
        <w:rPr>
          <w:rFonts w:ascii="Times New Roman" w:eastAsia="Calibri" w:hAnsi="Times New Roman" w:cs="Times New Roman"/>
          <w:lang w:val="en-GB"/>
        </w:rPr>
        <w:t xml:space="preserve"> we see that civil courts come out on top of the referral league tables in nearly every member state. Noteworthy are the dynamics observed in founding member states like France and Italy, where administrative courts initially lagged behind in referral activity but have been catching up on civil</w:t>
      </w:r>
      <w:r w:rsidR="005566DD" w:rsidRPr="00106957">
        <w:rPr>
          <w:rFonts w:ascii="Times New Roman" w:eastAsia="Calibri" w:hAnsi="Times New Roman" w:cs="Times New Roman"/>
          <w:lang w:val="en-GB"/>
        </w:rPr>
        <w:t xml:space="preserve"> ones. The evolution characteris</w:t>
      </w:r>
      <w:r w:rsidRPr="00106957">
        <w:rPr>
          <w:rFonts w:ascii="Times New Roman" w:eastAsia="Calibri" w:hAnsi="Times New Roman" w:cs="Times New Roman"/>
          <w:lang w:val="en-GB"/>
        </w:rPr>
        <w:t xml:space="preserve">ing the referral behaviour of French administrative judges is, plausibly, a consequence of the jurisprudential U-turn taken by the </w:t>
      </w:r>
      <w:r w:rsidRPr="00106957">
        <w:rPr>
          <w:rFonts w:ascii="Times New Roman" w:eastAsia="Calibri" w:hAnsi="Times New Roman" w:cs="Times New Roman"/>
          <w:i/>
          <w:lang w:val="en-GB"/>
        </w:rPr>
        <w:t>Conseil d’État</w:t>
      </w:r>
      <w:r w:rsidRPr="00106957">
        <w:rPr>
          <w:rFonts w:ascii="Times New Roman" w:eastAsia="Calibri" w:hAnsi="Times New Roman" w:cs="Times New Roman"/>
          <w:lang w:val="en-GB"/>
        </w:rPr>
        <w:t xml:space="preserve"> in the late 1980s, when it put an end to its protracted tug-of-war with the Court of Justice and finally embraced European integration (Alter 2001, 145). In other member states with high referral rates, such as Austria and the Netherlands, civil and administrative courts have been virtually tied since these countries became part of the EU.</w:t>
      </w:r>
    </w:p>
    <w:p w:rsidR="00D162EC" w:rsidRDefault="00EE4907" w:rsidP="00D162EC">
      <w:pPr>
        <w:spacing w:line="480" w:lineRule="auto"/>
        <w:ind w:firstLine="708"/>
        <w:jc w:val="both"/>
        <w:rPr>
          <w:rFonts w:ascii="Times New Roman" w:eastAsia="Calibri" w:hAnsi="Times New Roman" w:cs="Times New Roman"/>
          <w:lang w:val="en-GB"/>
        </w:rPr>
      </w:pPr>
      <w:r w:rsidRPr="00106957">
        <w:rPr>
          <w:rFonts w:ascii="Times New Roman" w:eastAsia="Calibri" w:hAnsi="Times New Roman" w:cs="Times New Roman"/>
          <w:lang w:val="en-GB"/>
        </w:rPr>
        <w:t xml:space="preserve">At first sight, German administrative courts, with referral rates consistently higher than civil courts, look exceptionally active. Yet this is largely </w:t>
      </w:r>
      <w:r w:rsidR="005566DD" w:rsidRPr="00106957">
        <w:rPr>
          <w:rFonts w:ascii="Times New Roman" w:eastAsia="Calibri" w:hAnsi="Times New Roman" w:cs="Times New Roman"/>
          <w:lang w:val="en-GB"/>
        </w:rPr>
        <w:t>an artefact of our operationalis</w:t>
      </w:r>
      <w:r w:rsidRPr="00106957">
        <w:rPr>
          <w:rFonts w:ascii="Times New Roman" w:eastAsia="Calibri" w:hAnsi="Times New Roman" w:cs="Times New Roman"/>
          <w:lang w:val="en-GB"/>
        </w:rPr>
        <w:t xml:space="preserve">ation of the category “administrative” courts. Unlike judiciaries in Belgium, the Netherlands, France, Italy, or Sweden—which are essentially structured around two judicial hierarchies, administrative and civil—the German court system comprises </w:t>
      </w:r>
      <w:r w:rsidR="005566DD" w:rsidRPr="00106957">
        <w:rPr>
          <w:rFonts w:ascii="Times New Roman" w:eastAsia="Calibri" w:hAnsi="Times New Roman" w:cs="Times New Roman"/>
          <w:lang w:val="en-GB"/>
        </w:rPr>
        <w:t xml:space="preserve">of </w:t>
      </w:r>
      <w:r w:rsidRPr="00106957">
        <w:rPr>
          <w:rFonts w:ascii="Times New Roman" w:eastAsia="Calibri" w:hAnsi="Times New Roman" w:cs="Times New Roman"/>
          <w:lang w:val="en-GB"/>
        </w:rPr>
        <w:t>five hierarchies—civil, administrative, labour, social and tax—</w:t>
      </w:r>
      <w:r w:rsidRPr="00106957">
        <w:rPr>
          <w:rFonts w:ascii="Times New Roman" w:eastAsia="Calibri" w:hAnsi="Times New Roman" w:cs="Times New Roman"/>
          <w:lang w:val="en-GB"/>
        </w:rPr>
        <w:lastRenderedPageBreak/>
        <w:t xml:space="preserve">each overseen by its own supreme court. Of these five hierarchies, the one formed by tax courts accounts for a very substantive chunk of the references submitted by German courts. So including tax courts in the </w:t>
      </w:r>
      <w:r w:rsidR="00D162EC" w:rsidRPr="00106957">
        <w:rPr>
          <w:rFonts w:ascii="Times New Roman" w:eastAsia="Calibri" w:hAnsi="Times New Roman" w:cs="Times New Roman"/>
          <w:noProof/>
          <w:lang w:val="en-NZ" w:eastAsia="en-NZ"/>
        </w:rPr>
        <w:drawing>
          <wp:anchor distT="0" distB="0" distL="114300" distR="114300" simplePos="0" relativeHeight="251658240" behindDoc="0" locked="0" layoutInCell="1" allowOverlap="1">
            <wp:simplePos x="0" y="0"/>
            <wp:positionH relativeFrom="column">
              <wp:posOffset>46178</wp:posOffset>
            </wp:positionH>
            <wp:positionV relativeFrom="paragraph">
              <wp:posOffset>1386205</wp:posOffset>
            </wp:positionV>
            <wp:extent cx="5760720" cy="4129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risdiction_five_m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129405"/>
                    </a:xfrm>
                    <a:prstGeom prst="rect">
                      <a:avLst/>
                    </a:prstGeom>
                  </pic:spPr>
                </pic:pic>
              </a:graphicData>
            </a:graphic>
          </wp:anchor>
        </w:drawing>
      </w:r>
      <w:r w:rsidRPr="00106957">
        <w:rPr>
          <w:rFonts w:ascii="Times New Roman" w:eastAsia="Calibri" w:hAnsi="Times New Roman" w:cs="Times New Roman"/>
          <w:lang w:val="en-GB"/>
        </w:rPr>
        <w:t>administrative category meant it would automatically inflate referral rates for this category.</w:t>
      </w:r>
    </w:p>
    <w:p w:rsidR="00D162EC" w:rsidRDefault="00A04656" w:rsidP="00D162EC">
      <w:pPr>
        <w:keepNext/>
        <w:spacing w:before="240" w:line="480" w:lineRule="auto"/>
        <w:jc w:val="center"/>
        <w:rPr>
          <w:rFonts w:ascii="Times New Roman" w:eastAsia="Calibri" w:hAnsi="Times New Roman" w:cs="Times New Roman"/>
          <w:b/>
          <w:iCs/>
          <w:color w:val="44546A" w:themeColor="text2"/>
          <w:sz w:val="24"/>
          <w:szCs w:val="24"/>
          <w:lang w:val="en-GB"/>
        </w:rPr>
      </w:pPr>
      <w:r>
        <w:rPr>
          <w:rFonts w:ascii="Times New Roman" w:eastAsia="Calibri" w:hAnsi="Times New Roman" w:cs="Times New Roman"/>
          <w:b/>
          <w:iCs/>
          <w:color w:val="44546A" w:themeColor="text2"/>
          <w:sz w:val="24"/>
          <w:szCs w:val="24"/>
          <w:lang w:val="en-GB"/>
        </w:rPr>
        <w:lastRenderedPageBreak/>
        <w:t>Figure 3C</w:t>
      </w:r>
      <w:r w:rsidR="00D162EC" w:rsidRPr="00106957">
        <w:rPr>
          <w:rFonts w:ascii="Times New Roman" w:eastAsia="Calibri" w:hAnsi="Times New Roman" w:cs="Times New Roman"/>
          <w:b/>
          <w:iCs/>
          <w:color w:val="44546A" w:themeColor="text2"/>
          <w:sz w:val="24"/>
          <w:szCs w:val="24"/>
          <w:lang w:val="en-GB"/>
        </w:rPr>
        <w:t>. Referral rates by subject matter jurisdiction and member state, 1961-2017</w:t>
      </w:r>
    </w:p>
    <w:p w:rsidR="00D162EC" w:rsidRDefault="00D162EC" w:rsidP="00D162EC">
      <w:pPr>
        <w:keepNext/>
        <w:spacing w:line="480" w:lineRule="auto"/>
        <w:jc w:val="both"/>
        <w:rPr>
          <w:rFonts w:ascii="Times New Roman" w:eastAsia="Calibri" w:hAnsi="Times New Roman" w:cs="Times New Roman"/>
          <w:lang w:val="en-GB"/>
        </w:rPr>
      </w:pPr>
    </w:p>
    <w:p w:rsidR="00D162EC" w:rsidRPr="005566DD" w:rsidRDefault="00D162EC" w:rsidP="00D162EC">
      <w:pPr>
        <w:keepNext/>
        <w:spacing w:line="480" w:lineRule="auto"/>
        <w:jc w:val="both"/>
        <w:rPr>
          <w:rFonts w:ascii="Times New Roman" w:eastAsia="Calibri" w:hAnsi="Times New Roman" w:cs="Times New Roman"/>
          <w:lang w:val="en-GB"/>
        </w:rPr>
      </w:pPr>
      <w:r w:rsidRPr="00106957">
        <w:rPr>
          <w:rFonts w:ascii="Times New Roman" w:eastAsia="Calibri" w:hAnsi="Times New Roman" w:cs="Times New Roman"/>
          <w:lang w:val="en-GB"/>
        </w:rPr>
        <w:t>An alternative classification we also consider distinguishes “generalist” and “specialised” courts. We take the category “generalist” to encompass code 1, 2, 3, 13, 14, 15, 16 and 17 and “specialist” all the other codes except 10 and 12—the latter forming the category “other”. This classification clearly puts the g</w:t>
      </w:r>
      <w:r>
        <w:rPr>
          <w:rFonts w:ascii="Times New Roman" w:eastAsia="Calibri" w:hAnsi="Times New Roman" w:cs="Times New Roman"/>
          <w:lang w:val="en-GB"/>
        </w:rPr>
        <w:t>eneralist ju</w:t>
      </w:r>
      <w:r w:rsidR="00A04656">
        <w:rPr>
          <w:rFonts w:ascii="Times New Roman" w:eastAsia="Calibri" w:hAnsi="Times New Roman" w:cs="Times New Roman"/>
          <w:lang w:val="en-GB"/>
        </w:rPr>
        <w:t>dges ahead (Figure 4C</w:t>
      </w:r>
      <w:r w:rsidRPr="00106957">
        <w:rPr>
          <w:rFonts w:ascii="Times New Roman" w:eastAsia="Calibri" w:hAnsi="Times New Roman" w:cs="Times New Roman"/>
          <w:lang w:val="en-GB"/>
        </w:rPr>
        <w:t>). What is more, the gap between the two groups has grown considerably over time. Only in Germany do specialised courts come out on top, at least until around 201</w:t>
      </w:r>
      <w:r w:rsidR="00A04656">
        <w:rPr>
          <w:rFonts w:ascii="Times New Roman" w:eastAsia="Calibri" w:hAnsi="Times New Roman" w:cs="Times New Roman"/>
          <w:lang w:val="en-GB"/>
        </w:rPr>
        <w:t>0 (see Figure 5C</w:t>
      </w:r>
      <w:r w:rsidRPr="00106957">
        <w:rPr>
          <w:rFonts w:ascii="Times New Roman" w:eastAsia="Calibri" w:hAnsi="Times New Roman" w:cs="Times New Roman"/>
          <w:lang w:val="en-GB"/>
        </w:rPr>
        <w:t>). But that is because tax courts, this time, are included in this group.</w:t>
      </w:r>
    </w:p>
    <w:p w:rsidR="00D162EC" w:rsidRPr="00106957" w:rsidRDefault="00D162EC" w:rsidP="00D162EC">
      <w:pPr>
        <w:spacing w:line="480" w:lineRule="auto"/>
        <w:jc w:val="right"/>
        <w:rPr>
          <w:rFonts w:ascii="Times New Roman" w:eastAsia="Calibri" w:hAnsi="Times New Roman" w:cs="Times New Roman"/>
          <w:lang w:val="en-GB"/>
        </w:rPr>
      </w:pPr>
    </w:p>
    <w:p w:rsidR="00EE4907" w:rsidRPr="00106957" w:rsidRDefault="00EE4907" w:rsidP="007C629B">
      <w:pPr>
        <w:spacing w:after="0" w:line="480" w:lineRule="auto"/>
        <w:jc w:val="center"/>
        <w:rPr>
          <w:rFonts w:ascii="Times New Roman" w:eastAsia="Calibri" w:hAnsi="Times New Roman" w:cs="Times New Roman"/>
          <w:b/>
          <w:iCs/>
          <w:color w:val="44546A"/>
          <w:sz w:val="24"/>
          <w:szCs w:val="24"/>
          <w:lang w:val="en-GB"/>
        </w:rPr>
      </w:pPr>
      <w:r w:rsidRPr="00106957">
        <w:rPr>
          <w:rFonts w:ascii="Times New Roman" w:eastAsia="Calibri" w:hAnsi="Times New Roman" w:cs="Times New Roman"/>
          <w:b/>
          <w:iCs/>
          <w:noProof/>
          <w:color w:val="44546A"/>
          <w:sz w:val="24"/>
          <w:szCs w:val="24"/>
          <w:lang w:val="en-NZ" w:eastAsia="en-NZ"/>
        </w:rPr>
        <w:drawing>
          <wp:inline distT="0" distB="0" distL="0" distR="0">
            <wp:extent cx="4308422" cy="31248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ialized vs generalist new.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1721" cy="3127220"/>
                    </a:xfrm>
                    <a:prstGeom prst="rect">
                      <a:avLst/>
                    </a:prstGeom>
                  </pic:spPr>
                </pic:pic>
              </a:graphicData>
            </a:graphic>
          </wp:inline>
        </w:drawing>
      </w:r>
    </w:p>
    <w:p w:rsidR="00EE4907" w:rsidRPr="00106957" w:rsidRDefault="00C35E86" w:rsidP="007C629B">
      <w:pPr>
        <w:keepNext/>
        <w:spacing w:line="480" w:lineRule="auto"/>
        <w:jc w:val="center"/>
        <w:rPr>
          <w:rFonts w:ascii="Times New Roman" w:eastAsia="Calibri" w:hAnsi="Times New Roman" w:cs="Times New Roman"/>
          <w:color w:val="44546A" w:themeColor="text2"/>
          <w:lang w:val="en-GB"/>
        </w:rPr>
      </w:pPr>
      <w:r>
        <w:rPr>
          <w:rFonts w:ascii="Times New Roman" w:eastAsia="Calibri" w:hAnsi="Times New Roman" w:cs="Times New Roman"/>
          <w:b/>
          <w:iCs/>
          <w:color w:val="44546A" w:themeColor="text2"/>
          <w:sz w:val="24"/>
          <w:szCs w:val="24"/>
          <w:lang w:val="en-GB"/>
        </w:rPr>
        <w:lastRenderedPageBreak/>
        <w:t xml:space="preserve">Figure </w:t>
      </w:r>
      <w:r w:rsidR="00A04656">
        <w:rPr>
          <w:rFonts w:ascii="Times New Roman" w:eastAsia="Calibri" w:hAnsi="Times New Roman" w:cs="Times New Roman"/>
          <w:b/>
          <w:iCs/>
          <w:color w:val="44546A" w:themeColor="text2"/>
          <w:sz w:val="24"/>
          <w:szCs w:val="24"/>
          <w:lang w:val="en-GB"/>
        </w:rPr>
        <w:t>4C</w:t>
      </w:r>
      <w:r w:rsidR="00EE4907" w:rsidRPr="00106957">
        <w:rPr>
          <w:rFonts w:ascii="Times New Roman" w:eastAsia="Calibri" w:hAnsi="Times New Roman" w:cs="Times New Roman"/>
          <w:b/>
          <w:iCs/>
          <w:color w:val="44546A" w:themeColor="text2"/>
          <w:sz w:val="24"/>
          <w:szCs w:val="24"/>
          <w:lang w:val="en-GB"/>
        </w:rPr>
        <w:t xml:space="preserve">. References, by generalist </w:t>
      </w:r>
      <w:r w:rsidR="00875B08" w:rsidRPr="00106957">
        <w:rPr>
          <w:rFonts w:ascii="Times New Roman" w:eastAsia="Calibri" w:hAnsi="Times New Roman" w:cs="Times New Roman"/>
          <w:b/>
          <w:iCs/>
          <w:color w:val="44546A" w:themeColor="text2"/>
          <w:sz w:val="24"/>
          <w:szCs w:val="24"/>
          <w:lang w:val="en-GB"/>
        </w:rPr>
        <w:t>vs specialised courts, 1961-2017</w:t>
      </w:r>
    </w:p>
    <w:p w:rsidR="00EE4907" w:rsidRPr="005566DD" w:rsidRDefault="00EE4907" w:rsidP="009F1350">
      <w:pPr>
        <w:keepNext/>
        <w:spacing w:after="0" w:line="480" w:lineRule="auto"/>
        <w:jc w:val="center"/>
        <w:rPr>
          <w:rFonts w:ascii="Times New Roman" w:eastAsia="Calibri" w:hAnsi="Times New Roman" w:cs="Times New Roman"/>
          <w:lang w:val="en-GB"/>
        </w:rPr>
      </w:pPr>
      <w:r w:rsidRPr="005566DD">
        <w:rPr>
          <w:rFonts w:ascii="Times New Roman" w:eastAsia="Calibri" w:hAnsi="Times New Roman" w:cs="Times New Roman"/>
          <w:noProof/>
          <w:lang w:val="en-NZ" w:eastAsia="en-NZ"/>
        </w:rPr>
        <w:drawing>
          <wp:inline distT="0" distB="0" distL="0" distR="0">
            <wp:extent cx="4918735" cy="353874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plot_sp_ms.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8735" cy="3538746"/>
                    </a:xfrm>
                    <a:prstGeom prst="rect">
                      <a:avLst/>
                    </a:prstGeom>
                  </pic:spPr>
                </pic:pic>
              </a:graphicData>
            </a:graphic>
          </wp:inline>
        </w:drawing>
      </w:r>
    </w:p>
    <w:p w:rsidR="00EE4907" w:rsidRPr="005566DD" w:rsidRDefault="00C35E86" w:rsidP="009F1350">
      <w:pPr>
        <w:spacing w:after="200" w:line="480" w:lineRule="auto"/>
        <w:jc w:val="center"/>
        <w:rPr>
          <w:rFonts w:ascii="Times New Roman" w:eastAsia="Calibri" w:hAnsi="Times New Roman" w:cs="Times New Roman"/>
          <w:b/>
          <w:iCs/>
          <w:color w:val="44546A"/>
          <w:sz w:val="24"/>
          <w:szCs w:val="24"/>
          <w:lang w:val="en-GB"/>
        </w:rPr>
      </w:pPr>
      <w:r>
        <w:rPr>
          <w:rFonts w:ascii="Times New Roman" w:eastAsia="Calibri" w:hAnsi="Times New Roman" w:cs="Times New Roman"/>
          <w:b/>
          <w:iCs/>
          <w:color w:val="44546A"/>
          <w:sz w:val="24"/>
          <w:szCs w:val="24"/>
          <w:lang w:val="en-GB"/>
        </w:rPr>
        <w:t>Figure 5</w:t>
      </w:r>
      <w:r w:rsidR="00A04656">
        <w:rPr>
          <w:rFonts w:ascii="Times New Roman" w:eastAsia="Calibri" w:hAnsi="Times New Roman" w:cs="Times New Roman"/>
          <w:b/>
          <w:iCs/>
          <w:color w:val="44546A"/>
          <w:sz w:val="24"/>
          <w:szCs w:val="24"/>
          <w:lang w:val="en-GB"/>
        </w:rPr>
        <w:t>C</w:t>
      </w:r>
      <w:r w:rsidR="00875B08" w:rsidRPr="005566DD">
        <w:rPr>
          <w:rFonts w:ascii="Times New Roman" w:eastAsia="Calibri" w:hAnsi="Times New Roman" w:cs="Times New Roman"/>
          <w:b/>
          <w:iCs/>
          <w:color w:val="44546A"/>
          <w:sz w:val="24"/>
          <w:szCs w:val="24"/>
          <w:lang w:val="en-GB"/>
        </w:rPr>
        <w:t>. Specialised vs generalist courts by member s</w:t>
      </w:r>
      <w:r w:rsidR="00EE4907" w:rsidRPr="005566DD">
        <w:rPr>
          <w:rFonts w:ascii="Times New Roman" w:eastAsia="Calibri" w:hAnsi="Times New Roman" w:cs="Times New Roman"/>
          <w:b/>
          <w:iCs/>
          <w:color w:val="44546A"/>
          <w:sz w:val="24"/>
          <w:szCs w:val="24"/>
          <w:lang w:val="en-GB"/>
        </w:rPr>
        <w:t>tate,</w:t>
      </w:r>
      <w:r w:rsidR="00875B08" w:rsidRPr="005566DD">
        <w:rPr>
          <w:rFonts w:ascii="Times New Roman" w:eastAsia="Calibri" w:hAnsi="Times New Roman" w:cs="Times New Roman"/>
          <w:b/>
          <w:iCs/>
          <w:color w:val="44546A"/>
          <w:sz w:val="24"/>
          <w:szCs w:val="24"/>
          <w:lang w:val="en-GB"/>
        </w:rPr>
        <w:t xml:space="preserve"> 1961-2017</w:t>
      </w:r>
    </w:p>
    <w:p w:rsidR="00EE4907" w:rsidRDefault="00EE4907" w:rsidP="009F1350">
      <w:pPr>
        <w:spacing w:before="240" w:line="480" w:lineRule="auto"/>
        <w:jc w:val="both"/>
        <w:rPr>
          <w:rFonts w:ascii="Times New Roman" w:eastAsia="Calibri" w:hAnsi="Times New Roman" w:cs="Times New Roman"/>
          <w:lang w:val="en-GB"/>
        </w:rPr>
      </w:pPr>
      <w:r w:rsidRPr="005566DD">
        <w:rPr>
          <w:rFonts w:ascii="Times New Roman" w:eastAsia="Calibri" w:hAnsi="Times New Roman" w:cs="Times New Roman"/>
          <w:lang w:val="en-GB"/>
        </w:rPr>
        <w:t>While there are, admittedly, many ways to look at the data</w:t>
      </w:r>
      <w:r w:rsidR="00E42DBF">
        <w:rPr>
          <w:rFonts w:ascii="Times New Roman" w:eastAsia="Calibri" w:hAnsi="Times New Roman" w:cs="Times New Roman"/>
          <w:lang w:val="en-GB"/>
        </w:rPr>
        <w:t xml:space="preserve"> and to classify judicial bodies</w:t>
      </w:r>
      <w:r w:rsidRPr="005566DD">
        <w:rPr>
          <w:rFonts w:ascii="Times New Roman" w:eastAsia="Calibri" w:hAnsi="Times New Roman" w:cs="Times New Roman"/>
          <w:lang w:val="en-GB"/>
        </w:rPr>
        <w:t>, these patterns do not offer conclusive evidence for the claim that jurisdictional specialisation, or focus on commercial litigation correlates with higher referral propensity (Broberg and Fenger 2014a; De la Mare 1999) or that administrative courts are shunning Article 267 (Stone Sweet and Brunell 1998). Civil courts, it is true, tend to submit more than administrative ones. But the difference is not such that we can really say that it generally supports the view that administrative courts are reluctant to pass on questions to the Luxembourg Court or that administrative litigation is less conducive to this form of inter-judicial dialogue. These claims may well have been overdetermined by the situation that prevailed in some big member states prior to the 1990s (e.g. low referral rates for French and Italian administrative courts). In any case,</w:t>
      </w:r>
      <w:r w:rsidR="00EE09A6">
        <w:rPr>
          <w:rFonts w:ascii="Times New Roman" w:eastAsia="Calibri" w:hAnsi="Times New Roman" w:cs="Times New Roman"/>
          <w:lang w:val="en-GB"/>
        </w:rPr>
        <w:t xml:space="preserve"> they do not appear to generalis</w:t>
      </w:r>
      <w:r w:rsidRPr="005566DD">
        <w:rPr>
          <w:rFonts w:ascii="Times New Roman" w:eastAsia="Calibri" w:hAnsi="Times New Roman" w:cs="Times New Roman"/>
          <w:lang w:val="en-GB"/>
        </w:rPr>
        <w:t>e to a more comprehensive picture of referral dynamics.</w:t>
      </w:r>
    </w:p>
    <w:p w:rsidR="00052F99" w:rsidRDefault="00052F99" w:rsidP="009F1350">
      <w:pPr>
        <w:spacing w:before="240" w:line="480" w:lineRule="auto"/>
        <w:jc w:val="both"/>
        <w:rPr>
          <w:rFonts w:ascii="Times New Roman" w:eastAsia="Calibri" w:hAnsi="Times New Roman" w:cs="Times New Roman"/>
          <w:lang w:val="en-GB"/>
        </w:rPr>
      </w:pPr>
    </w:p>
    <w:p w:rsidR="00052F99" w:rsidRDefault="00052F99" w:rsidP="009F1350">
      <w:pPr>
        <w:spacing w:before="240" w:line="480" w:lineRule="auto"/>
        <w:jc w:val="both"/>
        <w:rPr>
          <w:rFonts w:ascii="Times New Roman" w:eastAsia="Calibri" w:hAnsi="Times New Roman" w:cs="Times New Roman"/>
          <w:lang w:val="en-GB"/>
        </w:rPr>
      </w:pPr>
    </w:p>
    <w:p w:rsidR="00052F99" w:rsidRDefault="00052F99" w:rsidP="009F1350">
      <w:pPr>
        <w:spacing w:before="240" w:line="480" w:lineRule="auto"/>
        <w:jc w:val="both"/>
        <w:rPr>
          <w:rFonts w:ascii="Times New Roman" w:eastAsia="Calibri" w:hAnsi="Times New Roman" w:cs="Times New Roman"/>
          <w:lang w:val="en-GB"/>
        </w:rPr>
      </w:pPr>
    </w:p>
    <w:p w:rsidR="00052F99" w:rsidRDefault="00052F99" w:rsidP="009F1350">
      <w:pPr>
        <w:spacing w:before="240" w:line="480" w:lineRule="auto"/>
        <w:jc w:val="both"/>
        <w:rPr>
          <w:rFonts w:ascii="Times New Roman" w:eastAsia="Calibri" w:hAnsi="Times New Roman" w:cs="Times New Roman"/>
          <w:lang w:val="en-GB"/>
        </w:rPr>
      </w:pPr>
    </w:p>
    <w:p w:rsidR="00052F99" w:rsidRDefault="00052F99" w:rsidP="009F1350">
      <w:pPr>
        <w:spacing w:before="240" w:line="480" w:lineRule="auto"/>
        <w:jc w:val="both"/>
        <w:rPr>
          <w:rFonts w:ascii="Times New Roman" w:eastAsia="Calibri" w:hAnsi="Times New Roman" w:cs="Times New Roman"/>
          <w:lang w:val="en-GB"/>
        </w:rPr>
      </w:pPr>
    </w:p>
    <w:p w:rsidR="00EE4907" w:rsidRPr="005566DD" w:rsidRDefault="00EE4907" w:rsidP="009F1350">
      <w:pPr>
        <w:spacing w:line="480" w:lineRule="auto"/>
        <w:rPr>
          <w:lang w:val="en-GB"/>
        </w:rPr>
      </w:pPr>
    </w:p>
    <w:sectPr w:rsidR="00EE4907" w:rsidRPr="005566DD" w:rsidSect="002917D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C8" w:rsidRDefault="001A6EC8" w:rsidP="00E0761D">
      <w:pPr>
        <w:spacing w:after="0" w:line="240" w:lineRule="auto"/>
      </w:pPr>
      <w:r>
        <w:separator/>
      </w:r>
    </w:p>
  </w:endnote>
  <w:endnote w:type="continuationSeparator" w:id="0">
    <w:p w:rsidR="001A6EC8" w:rsidRDefault="001A6EC8" w:rsidP="00E0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647991"/>
      <w:docPartObj>
        <w:docPartGallery w:val="Page Numbers (Bottom of Page)"/>
        <w:docPartUnique/>
      </w:docPartObj>
    </w:sdtPr>
    <w:sdtEndPr>
      <w:rPr>
        <w:noProof/>
      </w:rPr>
    </w:sdtEndPr>
    <w:sdtContent>
      <w:p w:rsidR="00233FB5" w:rsidRDefault="002917D9">
        <w:pPr>
          <w:pStyle w:val="Footer"/>
          <w:jc w:val="center"/>
        </w:pPr>
        <w:r>
          <w:fldChar w:fldCharType="begin"/>
        </w:r>
        <w:r w:rsidR="00233FB5">
          <w:instrText xml:space="preserve"> PAGE   \* MERGEFORMAT </w:instrText>
        </w:r>
        <w:r>
          <w:fldChar w:fldCharType="separate"/>
        </w:r>
        <w:r w:rsidR="00932F00">
          <w:rPr>
            <w:noProof/>
          </w:rPr>
          <w:t>9</w:t>
        </w:r>
        <w:r>
          <w:rPr>
            <w:noProof/>
          </w:rPr>
          <w:fldChar w:fldCharType="end"/>
        </w:r>
      </w:p>
    </w:sdtContent>
  </w:sdt>
  <w:p w:rsidR="00233FB5" w:rsidRDefault="00233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C8" w:rsidRDefault="001A6EC8" w:rsidP="00E0761D">
      <w:pPr>
        <w:spacing w:after="0" w:line="240" w:lineRule="auto"/>
      </w:pPr>
      <w:r>
        <w:separator/>
      </w:r>
    </w:p>
  </w:footnote>
  <w:footnote w:type="continuationSeparator" w:id="0">
    <w:p w:rsidR="001A6EC8" w:rsidRDefault="001A6EC8" w:rsidP="00E0761D">
      <w:pPr>
        <w:spacing w:after="0" w:line="240" w:lineRule="auto"/>
      </w:pPr>
      <w:r>
        <w:continuationSeparator/>
      </w:r>
    </w:p>
  </w:footnote>
  <w:footnote w:id="1">
    <w:p w:rsidR="00233FB5" w:rsidRPr="009F1350" w:rsidRDefault="00233FB5" w:rsidP="0065028A">
      <w:pPr>
        <w:pStyle w:val="FootnoteText"/>
        <w:jc w:val="both"/>
        <w:rPr>
          <w:rFonts w:ascii="Times New Roman" w:hAnsi="Times New Roman" w:cs="Times New Roman"/>
          <w:sz w:val="18"/>
          <w:szCs w:val="18"/>
        </w:rPr>
      </w:pPr>
      <w:r w:rsidRPr="009F1350">
        <w:rPr>
          <w:rStyle w:val="FootnoteReference"/>
          <w:rFonts w:ascii="Times New Roman" w:hAnsi="Times New Roman" w:cs="Times New Roman"/>
          <w:sz w:val="18"/>
          <w:szCs w:val="18"/>
        </w:rPr>
        <w:footnoteRef/>
      </w:r>
      <w:r w:rsidRPr="009F1350">
        <w:rPr>
          <w:rStyle w:val="FootnoteReference"/>
          <w:rFonts w:ascii="Times New Roman" w:hAnsi="Times New Roman" w:cs="Times New Roman"/>
          <w:sz w:val="18"/>
          <w:szCs w:val="18"/>
        </w:rPr>
        <w:footnoteRef/>
      </w:r>
      <w:r w:rsidRPr="009F1350">
        <w:rPr>
          <w:rFonts w:ascii="Times New Roman" w:hAnsi="Times New Roman" w:cs="Times New Roman"/>
          <w:sz w:val="18"/>
          <w:szCs w:val="18"/>
        </w:rPr>
        <w:t xml:space="preserve"> </w:t>
      </w:r>
      <w:r w:rsidRPr="009F1350">
        <w:rPr>
          <w:rFonts w:ascii="Times New Roman" w:hAnsi="Times New Roman" w:cs="Times New Roman"/>
          <w:i/>
          <w:sz w:val="18"/>
          <w:szCs w:val="18"/>
        </w:rPr>
        <w:t>Corresponding author:</w:t>
      </w:r>
      <w:r w:rsidRPr="009F1350">
        <w:rPr>
          <w:rFonts w:ascii="Times New Roman" w:hAnsi="Times New Roman" w:cs="Times New Roman"/>
          <w:sz w:val="18"/>
          <w:szCs w:val="18"/>
        </w:rPr>
        <w:t xml:space="preserve"> KU Leuven, Leuven, Bel</w:t>
      </w:r>
      <w:r w:rsidR="004A20EF">
        <w:rPr>
          <w:rFonts w:ascii="Times New Roman" w:hAnsi="Times New Roman" w:cs="Times New Roman"/>
          <w:sz w:val="18"/>
          <w:szCs w:val="18"/>
        </w:rPr>
        <w:t>gium; E-mail: arthur.dyevre@</w:t>
      </w:r>
      <w:r w:rsidRPr="009F1350">
        <w:rPr>
          <w:rFonts w:ascii="Times New Roman" w:hAnsi="Times New Roman" w:cs="Times New Roman"/>
          <w:sz w:val="18"/>
          <w:szCs w:val="18"/>
        </w:rPr>
        <w:t>kuleuven.be; Phone: +32 16325387</w:t>
      </w:r>
    </w:p>
  </w:footnote>
  <w:footnote w:id="2">
    <w:p w:rsidR="00233FB5" w:rsidRPr="009F1350" w:rsidRDefault="00233FB5" w:rsidP="0065028A">
      <w:pPr>
        <w:autoSpaceDE w:val="0"/>
        <w:autoSpaceDN w:val="0"/>
        <w:adjustRightInd w:val="0"/>
        <w:spacing w:after="0" w:line="240" w:lineRule="auto"/>
        <w:jc w:val="both"/>
        <w:rPr>
          <w:rFonts w:ascii="Times New Roman" w:hAnsi="Times New Roman" w:cs="Times New Roman"/>
          <w:sz w:val="18"/>
          <w:szCs w:val="18"/>
        </w:rPr>
      </w:pPr>
      <w:r w:rsidRPr="009F1350">
        <w:rPr>
          <w:rStyle w:val="FootnoteReference"/>
          <w:rFonts w:ascii="Times New Roman" w:hAnsi="Times New Roman" w:cs="Times New Roman"/>
          <w:sz w:val="18"/>
          <w:szCs w:val="18"/>
        </w:rPr>
        <w:footnoteRef/>
      </w:r>
      <w:r w:rsidR="004A20EF">
        <w:rPr>
          <w:rFonts w:ascii="Times New Roman" w:hAnsi="Times New Roman" w:cs="Times New Roman"/>
          <w:sz w:val="18"/>
          <w:szCs w:val="18"/>
        </w:rPr>
        <w:t xml:space="preserve"> KU Leuven. </w:t>
      </w:r>
      <w:r w:rsidRPr="009F1350">
        <w:rPr>
          <w:rFonts w:ascii="Times New Roman" w:hAnsi="Times New Roman" w:cs="Times New Roman"/>
          <w:sz w:val="18"/>
          <w:szCs w:val="18"/>
        </w:rPr>
        <w:t>E-mail: monika.glavina@kuleuven.be</w:t>
      </w:r>
    </w:p>
  </w:footnote>
  <w:footnote w:id="3">
    <w:p w:rsidR="00233FB5" w:rsidRPr="009F1350" w:rsidRDefault="00233FB5" w:rsidP="0065028A">
      <w:pPr>
        <w:autoSpaceDE w:val="0"/>
        <w:autoSpaceDN w:val="0"/>
        <w:adjustRightInd w:val="0"/>
        <w:spacing w:after="0" w:line="240" w:lineRule="auto"/>
        <w:jc w:val="both"/>
        <w:rPr>
          <w:rFonts w:ascii="Times New Roman" w:hAnsi="Times New Roman" w:cs="Times New Roman"/>
          <w:sz w:val="18"/>
          <w:szCs w:val="18"/>
        </w:rPr>
      </w:pPr>
      <w:r w:rsidRPr="009F1350">
        <w:rPr>
          <w:rStyle w:val="FootnoteReference"/>
          <w:rFonts w:ascii="Times New Roman" w:hAnsi="Times New Roman" w:cs="Times New Roman"/>
          <w:sz w:val="18"/>
          <w:szCs w:val="18"/>
        </w:rPr>
        <w:footnoteRef/>
      </w:r>
      <w:r w:rsidRPr="009F1350">
        <w:rPr>
          <w:rFonts w:ascii="Times New Roman" w:hAnsi="Times New Roman" w:cs="Times New Roman"/>
          <w:sz w:val="18"/>
          <w:szCs w:val="18"/>
        </w:rPr>
        <w:t xml:space="preserve"> KU Leuve</w:t>
      </w:r>
      <w:r w:rsidR="004A20EF">
        <w:rPr>
          <w:rFonts w:ascii="Times New Roman" w:hAnsi="Times New Roman" w:cs="Times New Roman"/>
          <w:sz w:val="18"/>
          <w:szCs w:val="18"/>
        </w:rPr>
        <w:t>n.</w:t>
      </w:r>
      <w:r w:rsidRPr="009F1350">
        <w:rPr>
          <w:rFonts w:ascii="Times New Roman" w:hAnsi="Times New Roman" w:cs="Times New Roman"/>
          <w:sz w:val="18"/>
          <w:szCs w:val="18"/>
        </w:rPr>
        <w:t xml:space="preserve"> E-mail: </w:t>
      </w:r>
      <w:r>
        <w:rPr>
          <w:rFonts w:ascii="Times New Roman" w:hAnsi="Times New Roman" w:cs="Times New Roman"/>
          <w:sz w:val="18"/>
          <w:szCs w:val="18"/>
        </w:rPr>
        <w:t>angelina.atanasova</w:t>
      </w:r>
      <w:r w:rsidRPr="009F1350">
        <w:rPr>
          <w:rFonts w:ascii="Times New Roman" w:hAnsi="Times New Roman" w:cs="Times New Roman"/>
          <w:sz w:val="18"/>
          <w:szCs w:val="18"/>
        </w:rPr>
        <w:t>@kuleuven.be</w:t>
      </w:r>
    </w:p>
  </w:footnote>
  <w:footnote w:id="4">
    <w:p w:rsidR="00F77151" w:rsidRPr="009F1350" w:rsidRDefault="00F77151" w:rsidP="00F77151">
      <w:pPr>
        <w:pStyle w:val="FootnoteText"/>
        <w:rPr>
          <w:rFonts w:ascii="Times New Roman" w:hAnsi="Times New Roman" w:cs="Times New Roman"/>
          <w:sz w:val="18"/>
          <w:szCs w:val="18"/>
        </w:rPr>
      </w:pPr>
      <w:r w:rsidRPr="009F1350">
        <w:rPr>
          <w:rStyle w:val="FootnoteReference"/>
          <w:rFonts w:ascii="Times New Roman" w:hAnsi="Times New Roman" w:cs="Times New Roman"/>
          <w:sz w:val="18"/>
          <w:szCs w:val="18"/>
        </w:rPr>
        <w:footnoteRef/>
      </w:r>
      <w:r w:rsidRPr="009F1350">
        <w:rPr>
          <w:rFonts w:ascii="Times New Roman" w:hAnsi="Times New Roman" w:cs="Times New Roman"/>
          <w:sz w:val="18"/>
          <w:szCs w:val="18"/>
        </w:rPr>
        <w:t xml:space="preserve"> Includes references from High Court of Justice’s Queen's Bench Division, Chancery Division and Family Division.</w:t>
      </w:r>
    </w:p>
  </w:footnote>
  <w:footnote w:id="5">
    <w:p w:rsidR="00233FB5" w:rsidRPr="009F1350" w:rsidRDefault="00233FB5" w:rsidP="00E7253E">
      <w:pPr>
        <w:pStyle w:val="FootnoteText"/>
        <w:jc w:val="both"/>
        <w:rPr>
          <w:rFonts w:ascii="Times New Roman" w:hAnsi="Times New Roman" w:cs="Times New Roman"/>
          <w:sz w:val="18"/>
          <w:szCs w:val="18"/>
          <w:lang w:val="en-GB"/>
        </w:rPr>
      </w:pPr>
      <w:r w:rsidRPr="009F1350">
        <w:rPr>
          <w:rStyle w:val="FootnoteReference"/>
          <w:rFonts w:ascii="Times New Roman" w:hAnsi="Times New Roman" w:cs="Times New Roman"/>
          <w:sz w:val="18"/>
          <w:szCs w:val="18"/>
        </w:rPr>
        <w:footnoteRef/>
      </w:r>
      <w:r w:rsidRPr="009F1350">
        <w:rPr>
          <w:rFonts w:ascii="Times New Roman" w:hAnsi="Times New Roman" w:cs="Times New Roman"/>
          <w:sz w:val="18"/>
          <w:szCs w:val="18"/>
          <w:lang w:val="en-GB"/>
        </w:rPr>
        <w:t xml:space="preserve"> French civil courts, for example, handle four times more cases than their administrative counterparts.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B5" w:rsidRDefault="00233FB5">
    <w:pPr>
      <w:pStyle w:val="Header"/>
    </w:pPr>
  </w:p>
  <w:p w:rsidR="00233FB5" w:rsidRDefault="00233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122"/>
    <w:multiLevelType w:val="hybridMultilevel"/>
    <w:tmpl w:val="17E4D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B5D13B8"/>
    <w:multiLevelType w:val="hybridMultilevel"/>
    <w:tmpl w:val="440014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8941E3F"/>
    <w:multiLevelType w:val="hybridMultilevel"/>
    <w:tmpl w:val="E8E8C4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1B0EF4"/>
    <w:multiLevelType w:val="hybridMultilevel"/>
    <w:tmpl w:val="8E3E83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A860C8"/>
    <w:multiLevelType w:val="multilevel"/>
    <w:tmpl w:val="34783AB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84C54FF"/>
    <w:multiLevelType w:val="hybridMultilevel"/>
    <w:tmpl w:val="CF7C4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0761D"/>
    <w:rsid w:val="00023C11"/>
    <w:rsid w:val="00027D15"/>
    <w:rsid w:val="00032143"/>
    <w:rsid w:val="00052F99"/>
    <w:rsid w:val="00061191"/>
    <w:rsid w:val="0009027D"/>
    <w:rsid w:val="000921D0"/>
    <w:rsid w:val="000A1587"/>
    <w:rsid w:val="000A3099"/>
    <w:rsid w:val="000B304F"/>
    <w:rsid w:val="000B4224"/>
    <w:rsid w:val="000C0C55"/>
    <w:rsid w:val="000D5CBB"/>
    <w:rsid w:val="000E39C8"/>
    <w:rsid w:val="000F599A"/>
    <w:rsid w:val="00106957"/>
    <w:rsid w:val="001140F4"/>
    <w:rsid w:val="00121185"/>
    <w:rsid w:val="00150BA4"/>
    <w:rsid w:val="00167621"/>
    <w:rsid w:val="00172932"/>
    <w:rsid w:val="0018407F"/>
    <w:rsid w:val="001908AB"/>
    <w:rsid w:val="001A6EC8"/>
    <w:rsid w:val="001B49F3"/>
    <w:rsid w:val="001B4B72"/>
    <w:rsid w:val="001D275D"/>
    <w:rsid w:val="001E0550"/>
    <w:rsid w:val="001E36D4"/>
    <w:rsid w:val="001E462B"/>
    <w:rsid w:val="001E58EF"/>
    <w:rsid w:val="001E65E5"/>
    <w:rsid w:val="0020397D"/>
    <w:rsid w:val="002043CF"/>
    <w:rsid w:val="00205134"/>
    <w:rsid w:val="00210538"/>
    <w:rsid w:val="00213D9D"/>
    <w:rsid w:val="002234C2"/>
    <w:rsid w:val="002239CA"/>
    <w:rsid w:val="00231354"/>
    <w:rsid w:val="00233FB5"/>
    <w:rsid w:val="002376E6"/>
    <w:rsid w:val="002732A2"/>
    <w:rsid w:val="00274999"/>
    <w:rsid w:val="00287271"/>
    <w:rsid w:val="00290019"/>
    <w:rsid w:val="00291321"/>
    <w:rsid w:val="002917D9"/>
    <w:rsid w:val="00294370"/>
    <w:rsid w:val="00296C94"/>
    <w:rsid w:val="002A4F56"/>
    <w:rsid w:val="002E35E7"/>
    <w:rsid w:val="00302ED0"/>
    <w:rsid w:val="00311F59"/>
    <w:rsid w:val="00314B66"/>
    <w:rsid w:val="0033230A"/>
    <w:rsid w:val="003544C6"/>
    <w:rsid w:val="00374C5B"/>
    <w:rsid w:val="0038733D"/>
    <w:rsid w:val="00395EA5"/>
    <w:rsid w:val="003D1453"/>
    <w:rsid w:val="003D6137"/>
    <w:rsid w:val="003D7069"/>
    <w:rsid w:val="003E14C8"/>
    <w:rsid w:val="003F4D40"/>
    <w:rsid w:val="004113A7"/>
    <w:rsid w:val="004436D3"/>
    <w:rsid w:val="00444FBE"/>
    <w:rsid w:val="0049206C"/>
    <w:rsid w:val="00497DF4"/>
    <w:rsid w:val="004A20EF"/>
    <w:rsid w:val="004B198C"/>
    <w:rsid w:val="004E0052"/>
    <w:rsid w:val="005033D0"/>
    <w:rsid w:val="0050681F"/>
    <w:rsid w:val="00520571"/>
    <w:rsid w:val="00520FCF"/>
    <w:rsid w:val="005261C1"/>
    <w:rsid w:val="005272BA"/>
    <w:rsid w:val="005378EA"/>
    <w:rsid w:val="005413E7"/>
    <w:rsid w:val="00541A48"/>
    <w:rsid w:val="00541F2F"/>
    <w:rsid w:val="005425E5"/>
    <w:rsid w:val="005566DD"/>
    <w:rsid w:val="00560B67"/>
    <w:rsid w:val="00563010"/>
    <w:rsid w:val="00564B7A"/>
    <w:rsid w:val="00576D6C"/>
    <w:rsid w:val="00587217"/>
    <w:rsid w:val="005956DA"/>
    <w:rsid w:val="005A50DD"/>
    <w:rsid w:val="005B5D71"/>
    <w:rsid w:val="005B767E"/>
    <w:rsid w:val="005C1986"/>
    <w:rsid w:val="005D186D"/>
    <w:rsid w:val="005D5514"/>
    <w:rsid w:val="00601516"/>
    <w:rsid w:val="00601E6B"/>
    <w:rsid w:val="00610353"/>
    <w:rsid w:val="00614377"/>
    <w:rsid w:val="006234EF"/>
    <w:rsid w:val="0064199C"/>
    <w:rsid w:val="00642EFE"/>
    <w:rsid w:val="00642F59"/>
    <w:rsid w:val="00645ADA"/>
    <w:rsid w:val="0065028A"/>
    <w:rsid w:val="00666C5F"/>
    <w:rsid w:val="006718A1"/>
    <w:rsid w:val="00682DAE"/>
    <w:rsid w:val="0068746A"/>
    <w:rsid w:val="006A10FD"/>
    <w:rsid w:val="006A4659"/>
    <w:rsid w:val="006A6CAA"/>
    <w:rsid w:val="006D7AA7"/>
    <w:rsid w:val="006F5E88"/>
    <w:rsid w:val="0072676E"/>
    <w:rsid w:val="007332A3"/>
    <w:rsid w:val="0073562A"/>
    <w:rsid w:val="007362DF"/>
    <w:rsid w:val="00741AAF"/>
    <w:rsid w:val="007424AB"/>
    <w:rsid w:val="00745A15"/>
    <w:rsid w:val="00757C11"/>
    <w:rsid w:val="0076377F"/>
    <w:rsid w:val="00763EDD"/>
    <w:rsid w:val="0077720E"/>
    <w:rsid w:val="0078118C"/>
    <w:rsid w:val="007901B0"/>
    <w:rsid w:val="0079283F"/>
    <w:rsid w:val="007A563B"/>
    <w:rsid w:val="007B0F8F"/>
    <w:rsid w:val="007B1F1F"/>
    <w:rsid w:val="007B4175"/>
    <w:rsid w:val="007C19CC"/>
    <w:rsid w:val="007C32CE"/>
    <w:rsid w:val="007C629B"/>
    <w:rsid w:val="007E02ED"/>
    <w:rsid w:val="007F27AA"/>
    <w:rsid w:val="00814A48"/>
    <w:rsid w:val="008322BB"/>
    <w:rsid w:val="0083320B"/>
    <w:rsid w:val="00857555"/>
    <w:rsid w:val="00875B08"/>
    <w:rsid w:val="00886DAF"/>
    <w:rsid w:val="008A4CA2"/>
    <w:rsid w:val="008F7208"/>
    <w:rsid w:val="009031C3"/>
    <w:rsid w:val="00916112"/>
    <w:rsid w:val="00920A2B"/>
    <w:rsid w:val="00921027"/>
    <w:rsid w:val="00922BF1"/>
    <w:rsid w:val="00932F00"/>
    <w:rsid w:val="009332F2"/>
    <w:rsid w:val="009538ED"/>
    <w:rsid w:val="00954F46"/>
    <w:rsid w:val="0098585F"/>
    <w:rsid w:val="009A1682"/>
    <w:rsid w:val="009A1FE0"/>
    <w:rsid w:val="009F023E"/>
    <w:rsid w:val="009F1350"/>
    <w:rsid w:val="009F46A8"/>
    <w:rsid w:val="009F4EF4"/>
    <w:rsid w:val="00A04656"/>
    <w:rsid w:val="00A1382E"/>
    <w:rsid w:val="00A43FB3"/>
    <w:rsid w:val="00A46820"/>
    <w:rsid w:val="00A52484"/>
    <w:rsid w:val="00A548A0"/>
    <w:rsid w:val="00A55032"/>
    <w:rsid w:val="00A863F8"/>
    <w:rsid w:val="00A9326B"/>
    <w:rsid w:val="00A95026"/>
    <w:rsid w:val="00AA077C"/>
    <w:rsid w:val="00AB1CAC"/>
    <w:rsid w:val="00AD4A94"/>
    <w:rsid w:val="00AE3837"/>
    <w:rsid w:val="00AF27B8"/>
    <w:rsid w:val="00AF48B6"/>
    <w:rsid w:val="00AF64AB"/>
    <w:rsid w:val="00B2364F"/>
    <w:rsid w:val="00B33DDA"/>
    <w:rsid w:val="00B463EF"/>
    <w:rsid w:val="00B67DAC"/>
    <w:rsid w:val="00B75FB7"/>
    <w:rsid w:val="00B86312"/>
    <w:rsid w:val="00B87C59"/>
    <w:rsid w:val="00B90B43"/>
    <w:rsid w:val="00B928D9"/>
    <w:rsid w:val="00BA4B73"/>
    <w:rsid w:val="00BA6B0A"/>
    <w:rsid w:val="00BC392F"/>
    <w:rsid w:val="00BD2B7F"/>
    <w:rsid w:val="00BF7F5B"/>
    <w:rsid w:val="00C023C1"/>
    <w:rsid w:val="00C12990"/>
    <w:rsid w:val="00C1689E"/>
    <w:rsid w:val="00C35E86"/>
    <w:rsid w:val="00C5115A"/>
    <w:rsid w:val="00C52EC9"/>
    <w:rsid w:val="00C556E9"/>
    <w:rsid w:val="00C67F71"/>
    <w:rsid w:val="00C70CAA"/>
    <w:rsid w:val="00C77887"/>
    <w:rsid w:val="00C837E9"/>
    <w:rsid w:val="00C92DB6"/>
    <w:rsid w:val="00C97A9B"/>
    <w:rsid w:val="00CB25CD"/>
    <w:rsid w:val="00CC0028"/>
    <w:rsid w:val="00CC59F8"/>
    <w:rsid w:val="00CD750A"/>
    <w:rsid w:val="00CE667D"/>
    <w:rsid w:val="00D02BA3"/>
    <w:rsid w:val="00D162EC"/>
    <w:rsid w:val="00D36110"/>
    <w:rsid w:val="00D36E3F"/>
    <w:rsid w:val="00D37CE4"/>
    <w:rsid w:val="00D43FE6"/>
    <w:rsid w:val="00D53C5F"/>
    <w:rsid w:val="00D60455"/>
    <w:rsid w:val="00D81F57"/>
    <w:rsid w:val="00D845A5"/>
    <w:rsid w:val="00D93E8C"/>
    <w:rsid w:val="00DC6BEE"/>
    <w:rsid w:val="00DE1C75"/>
    <w:rsid w:val="00DF19BA"/>
    <w:rsid w:val="00DF34C6"/>
    <w:rsid w:val="00E075FF"/>
    <w:rsid w:val="00E0761D"/>
    <w:rsid w:val="00E130B9"/>
    <w:rsid w:val="00E15504"/>
    <w:rsid w:val="00E279C6"/>
    <w:rsid w:val="00E42DBF"/>
    <w:rsid w:val="00E67419"/>
    <w:rsid w:val="00E700FF"/>
    <w:rsid w:val="00E7253E"/>
    <w:rsid w:val="00EA7AFF"/>
    <w:rsid w:val="00EB3693"/>
    <w:rsid w:val="00EC0EFE"/>
    <w:rsid w:val="00EE09A6"/>
    <w:rsid w:val="00EE4907"/>
    <w:rsid w:val="00EF048E"/>
    <w:rsid w:val="00F11F5F"/>
    <w:rsid w:val="00F27E4B"/>
    <w:rsid w:val="00F3071C"/>
    <w:rsid w:val="00F360AA"/>
    <w:rsid w:val="00F405FF"/>
    <w:rsid w:val="00F409C0"/>
    <w:rsid w:val="00F4147C"/>
    <w:rsid w:val="00F429CD"/>
    <w:rsid w:val="00F465E2"/>
    <w:rsid w:val="00F47951"/>
    <w:rsid w:val="00F50259"/>
    <w:rsid w:val="00F51AFC"/>
    <w:rsid w:val="00F54329"/>
    <w:rsid w:val="00F77151"/>
    <w:rsid w:val="00F95D6C"/>
    <w:rsid w:val="00FA0CB4"/>
    <w:rsid w:val="00FA5CFF"/>
    <w:rsid w:val="00FB458B"/>
    <w:rsid w:val="00FC2D8C"/>
    <w:rsid w:val="00FD6A8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1D"/>
    <w:rPr>
      <w:lang w:val="en-US"/>
    </w:rPr>
  </w:style>
  <w:style w:type="paragraph" w:styleId="Heading1">
    <w:name w:val="heading 1"/>
    <w:basedOn w:val="Normal"/>
    <w:next w:val="Normal"/>
    <w:link w:val="Heading1Char"/>
    <w:uiPriority w:val="9"/>
    <w:qFormat/>
    <w:rsid w:val="00E07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61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rsid w:val="00E0761D"/>
    <w:pPr>
      <w:spacing w:after="0" w:line="240" w:lineRule="auto"/>
    </w:pPr>
    <w:rPr>
      <w:sz w:val="20"/>
      <w:szCs w:val="20"/>
    </w:rPr>
  </w:style>
  <w:style w:type="character" w:customStyle="1" w:styleId="FootnoteTextChar">
    <w:name w:val="Footnote Text Char"/>
    <w:basedOn w:val="DefaultParagraphFont"/>
    <w:link w:val="FootnoteText"/>
    <w:uiPriority w:val="99"/>
    <w:rsid w:val="00E0761D"/>
    <w:rPr>
      <w:sz w:val="20"/>
      <w:szCs w:val="20"/>
      <w:lang w:val="en-US"/>
    </w:rPr>
  </w:style>
  <w:style w:type="character" w:styleId="FootnoteReference">
    <w:name w:val="footnote reference"/>
    <w:basedOn w:val="DefaultParagraphFont"/>
    <w:uiPriority w:val="99"/>
    <w:semiHidden/>
    <w:unhideWhenUsed/>
    <w:rsid w:val="00E0761D"/>
    <w:rPr>
      <w:vertAlign w:val="superscript"/>
    </w:rPr>
  </w:style>
  <w:style w:type="paragraph" w:styleId="Header">
    <w:name w:val="header"/>
    <w:basedOn w:val="Normal"/>
    <w:link w:val="HeaderChar"/>
    <w:uiPriority w:val="99"/>
    <w:unhideWhenUsed/>
    <w:rsid w:val="00E076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61D"/>
    <w:rPr>
      <w:lang w:val="en-US"/>
    </w:rPr>
  </w:style>
  <w:style w:type="paragraph" w:styleId="ListParagraph">
    <w:name w:val="List Paragraph"/>
    <w:basedOn w:val="Normal"/>
    <w:uiPriority w:val="34"/>
    <w:qFormat/>
    <w:rsid w:val="00E0761D"/>
    <w:pPr>
      <w:ind w:left="720"/>
      <w:contextualSpacing/>
    </w:pPr>
  </w:style>
  <w:style w:type="character" w:styleId="Hyperlink">
    <w:name w:val="Hyperlink"/>
    <w:basedOn w:val="DefaultParagraphFont"/>
    <w:uiPriority w:val="99"/>
    <w:unhideWhenUsed/>
    <w:rsid w:val="00E0761D"/>
    <w:rPr>
      <w:color w:val="0000FF"/>
      <w:u w:val="single"/>
    </w:rPr>
  </w:style>
  <w:style w:type="paragraph" w:styleId="Caption">
    <w:name w:val="caption"/>
    <w:basedOn w:val="Normal"/>
    <w:next w:val="Normal"/>
    <w:uiPriority w:val="35"/>
    <w:unhideWhenUsed/>
    <w:qFormat/>
    <w:rsid w:val="00E0761D"/>
    <w:pPr>
      <w:spacing w:after="200" w:line="240" w:lineRule="auto"/>
    </w:pPr>
    <w:rPr>
      <w:i/>
      <w:iCs/>
      <w:color w:val="44546A" w:themeColor="text2"/>
      <w:sz w:val="18"/>
      <w:szCs w:val="18"/>
    </w:rPr>
  </w:style>
  <w:style w:type="table" w:customStyle="1" w:styleId="PlainTable2">
    <w:name w:val="Plain Table 2"/>
    <w:basedOn w:val="TableNormal"/>
    <w:uiPriority w:val="42"/>
    <w:rsid w:val="00E076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31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11F5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E667D"/>
  </w:style>
  <w:style w:type="paragraph" w:styleId="Footer">
    <w:name w:val="footer"/>
    <w:basedOn w:val="Normal"/>
    <w:link w:val="FooterChar"/>
    <w:uiPriority w:val="99"/>
    <w:unhideWhenUsed/>
    <w:rsid w:val="00FA0C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0CB4"/>
    <w:rPr>
      <w:lang w:val="en-US"/>
    </w:rPr>
  </w:style>
  <w:style w:type="table" w:customStyle="1" w:styleId="PlainTable5">
    <w:name w:val="Plain Table 5"/>
    <w:basedOn w:val="TableNormal"/>
    <w:uiPriority w:val="45"/>
    <w:rsid w:val="005A50D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C97A9B"/>
    <w:rPr>
      <w:color w:val="808080"/>
    </w:rPr>
  </w:style>
  <w:style w:type="paragraph" w:styleId="BalloonText">
    <w:name w:val="Balloon Text"/>
    <w:basedOn w:val="Normal"/>
    <w:link w:val="BalloonTextChar"/>
    <w:uiPriority w:val="99"/>
    <w:semiHidden/>
    <w:unhideWhenUsed/>
    <w:rsid w:val="0006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91"/>
    <w:rPr>
      <w:rFonts w:ascii="Segoe UI" w:hAnsi="Segoe UI" w:cs="Segoe UI"/>
      <w:sz w:val="18"/>
      <w:szCs w:val="18"/>
      <w:lang w:val="en-US"/>
    </w:rPr>
  </w:style>
  <w:style w:type="paragraph" w:styleId="Quote">
    <w:name w:val="Quote"/>
    <w:basedOn w:val="Normal"/>
    <w:next w:val="Normal"/>
    <w:link w:val="QuoteChar"/>
    <w:uiPriority w:val="29"/>
    <w:qFormat/>
    <w:rsid w:val="00EE09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09A6"/>
    <w:rPr>
      <w:i/>
      <w:iCs/>
      <w:color w:val="404040" w:themeColor="text1" w:themeTint="BF"/>
      <w:lang w:val="en-US"/>
    </w:rPr>
  </w:style>
  <w:style w:type="table" w:customStyle="1" w:styleId="ListTable3">
    <w:name w:val="List Table 3"/>
    <w:basedOn w:val="TableNormal"/>
    <w:uiPriority w:val="48"/>
    <w:rsid w:val="00DF19B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1">
    <w:name w:val="Plain Table 1"/>
    <w:basedOn w:val="TableNormal"/>
    <w:uiPriority w:val="41"/>
    <w:rsid w:val="00DF19B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886DAF"/>
    <w:pPr>
      <w:spacing w:after="0" w:line="240" w:lineRule="auto"/>
    </w:pPr>
    <w:rPr>
      <w:rFonts w:ascii="Calibri" w:hAnsi="Calibri"/>
      <w:szCs w:val="21"/>
      <w:lang w:val="nl-BE"/>
    </w:rPr>
  </w:style>
  <w:style w:type="character" w:customStyle="1" w:styleId="PlainTextChar">
    <w:name w:val="Plain Text Char"/>
    <w:basedOn w:val="DefaultParagraphFont"/>
    <w:link w:val="PlainText"/>
    <w:uiPriority w:val="99"/>
    <w:semiHidden/>
    <w:rsid w:val="00886DAF"/>
    <w:rPr>
      <w:rFonts w:ascii="Calibri" w:hAnsi="Calibri"/>
      <w:szCs w:val="21"/>
    </w:rPr>
  </w:style>
  <w:style w:type="character" w:styleId="EndnoteReference">
    <w:name w:val="endnote reference"/>
    <w:basedOn w:val="DefaultParagraphFont"/>
    <w:uiPriority w:val="99"/>
    <w:semiHidden/>
    <w:unhideWhenUsed/>
    <w:rsid w:val="00BC392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3BD5-EF44-4914-8FBB-BEB53E6B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Dyevre</dc:creator>
  <cp:lastModifiedBy>Jeremy Richardson</cp:lastModifiedBy>
  <cp:revision>2</cp:revision>
  <cp:lastPrinted>2019-03-07T10:49:00Z</cp:lastPrinted>
  <dcterms:created xsi:type="dcterms:W3CDTF">2019-06-07T00:33:00Z</dcterms:created>
  <dcterms:modified xsi:type="dcterms:W3CDTF">2019-06-07T00:33:00Z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id="vLcNeVqN"/&gt;&lt;style id="http://www.zotero.org/styles/american-political-science-review"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