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98" w:rsidRDefault="008E3398" w:rsidP="008E3398">
      <w:pPr>
        <w:pStyle w:val="ListParagraph"/>
        <w:adjustRightInd w:val="0"/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</w:rPr>
        <w:t xml:space="preserve">Figure 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eastAsia="SimSun" w:hAnsi="Times New Roman" w:cs="Times New Roman"/>
          <w:kern w:val="0"/>
          <w:sz w:val="24"/>
        </w:rPr>
        <w:t xml:space="preserve">TGF-β1 </w:t>
      </w:r>
      <w:r>
        <w:rPr>
          <w:rFonts w:ascii="Times New Roman" w:eastAsia="SimSun" w:hAnsi="Times New Roman" w:cs="Times New Roman" w:hint="eastAsia"/>
          <w:kern w:val="0"/>
          <w:sz w:val="24"/>
        </w:rPr>
        <w:t xml:space="preserve">leads to </w:t>
      </w:r>
      <w:r>
        <w:rPr>
          <w:rFonts w:ascii="Times New Roman" w:eastAsia="SimSun" w:hAnsi="Times New Roman" w:cs="Times New Roman"/>
          <w:kern w:val="0"/>
          <w:sz w:val="24"/>
        </w:rPr>
        <w:t xml:space="preserve">EMT </w:t>
      </w:r>
      <w:r>
        <w:rPr>
          <w:rFonts w:ascii="Times New Roman" w:eastAsia="SimSun" w:hAnsi="Times New Roman" w:cs="Times New Roman" w:hint="eastAsia"/>
          <w:kern w:val="0"/>
          <w:sz w:val="24"/>
        </w:rPr>
        <w:t>induction in</w:t>
      </w:r>
      <w:r>
        <w:rPr>
          <w:rFonts w:ascii="Times New Roman" w:eastAsia="SimSun" w:hAnsi="Times New Roman" w:cs="Times New Roman"/>
          <w:kern w:val="0"/>
          <w:sz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</w:rPr>
        <w:t>NSCLC.</w:t>
      </w:r>
      <w:r>
        <w:rPr>
          <w:rFonts w:ascii="Times New Roman" w:hAnsi="Times New Roman" w:cs="Times New Roman" w:hint="eastAsia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A, protein bands of </w:t>
      </w:r>
      <w:r>
        <w:rPr>
          <w:rFonts w:ascii="Times New Roman" w:eastAsiaTheme="majorEastAsia" w:hAnsi="Times New Roman" w:cs="Times New Roman"/>
          <w:bCs/>
          <w:sz w:val="24"/>
        </w:rPr>
        <w:t xml:space="preserve">TGF-β1,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E-cadherin, N-cadherin,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Vimentin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>, SMAD3, p-SMAD3, SMAD2 and p-SMAD2</w:t>
      </w:r>
      <w:r>
        <w:rPr>
          <w:rFonts w:ascii="Times New Roman" w:hAnsi="Times New Roman" w:cs="Times New Roman" w:hint="eastAsia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protein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level </w:t>
      </w:r>
      <w:r>
        <w:rPr>
          <w:rFonts w:ascii="Times New Roman" w:hAnsi="Times New Roman" w:cs="Times New Roman"/>
          <w:sz w:val="24"/>
        </w:rPr>
        <w:t>of</w:t>
      </w:r>
      <w:r>
        <w:rPr>
          <w:rFonts w:ascii="Times New Roman" w:eastAsiaTheme="majorEastAsia" w:hAnsi="Times New Roman" w:cs="Times New Roman"/>
          <w:bCs/>
          <w:sz w:val="24"/>
        </w:rPr>
        <w:t xml:space="preserve"> TGF-β1,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E-cadherin, N-cadherin,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Vimentin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>, SMAD3, p-SMAD3, SMAD2 and p-SMAD2</w:t>
      </w:r>
      <w:r>
        <w:rPr>
          <w:rFonts w:ascii="Times New Roman" w:hAnsi="Times New Roman" w:cs="Times New Roman"/>
          <w:sz w:val="24"/>
        </w:rPr>
        <w:t xml:space="preserve"> under TGF-β1 stimulation and inhibition </w:t>
      </w:r>
      <w:r>
        <w:rPr>
          <w:rFonts w:ascii="Times New Roman" w:hAnsi="Times New Roman" w:cs="Times New Roman" w:hint="eastAsia"/>
          <w:sz w:val="24"/>
        </w:rPr>
        <w:t xml:space="preserve">determined by </w:t>
      </w:r>
      <w:r>
        <w:rPr>
          <w:rFonts w:ascii="Times New Roman" w:hAnsi="Times New Roman" w:cs="Times New Roman"/>
          <w:sz w:val="24"/>
        </w:rPr>
        <w:t>western blot analysis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0.05;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measurement data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</w:rPr>
        <w:t>were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expressed as mean ± standard deviation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</w:rPr>
        <w:t>difference</w:t>
      </w:r>
      <w:r>
        <w:rPr>
          <w:rFonts w:ascii="Times New Roman" w:hAnsi="Times New Roman" w:cs="Times New Roman" w:hint="eastAsia"/>
          <w:color w:val="000000"/>
          <w:sz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</w:rPr>
        <w:t>among multiple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groups were compared by one-way analysis of variance; 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he experiment was performed 3 times; EMT,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epithelial-mesenchymal transition; NSCLC, non-small cell lung cancer; TGF, transforming growth factor; NC, negative control; GAPDH, </w:t>
      </w:r>
      <w:r>
        <w:rPr>
          <w:rFonts w:ascii="Times New Roman" w:hAnsi="Times New Roman" w:cs="Times New Roman" w:hint="eastAsia"/>
          <w:sz w:val="24"/>
        </w:rPr>
        <w:t>glyceraldehyde-3-phosphate dehydrogenase</w:t>
      </w:r>
      <w:r>
        <w:rPr>
          <w:rFonts w:ascii="Times New Roman" w:hAnsi="Times New Roman" w:cs="Times New Roman"/>
          <w:sz w:val="24"/>
        </w:rPr>
        <w:t>.</w:t>
      </w:r>
    </w:p>
    <w:p w:rsidR="008E3398" w:rsidRDefault="008E3398" w:rsidP="008E3398">
      <w:pPr>
        <w:pStyle w:val="ListParagraph"/>
        <w:adjustRightInd w:val="0"/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 w:hint="eastAsia"/>
          <w:b/>
          <w:kern w:val="0"/>
          <w:sz w:val="24"/>
        </w:rPr>
        <w:t>S</w:t>
      </w:r>
      <w:r>
        <w:rPr>
          <w:rFonts w:ascii="Times New Roman" w:eastAsia="SimSun" w:hAnsi="Times New Roman" w:cs="Times New Roman"/>
          <w:b/>
          <w:kern w:val="0"/>
          <w:sz w:val="24"/>
        </w:rPr>
        <w:t>upplementary Figure 2.</w:t>
      </w:r>
      <w:r>
        <w:rPr>
          <w:rFonts w:ascii="Times New Roman" w:eastAsia="SimSun" w:hAnsi="Times New Roman" w:cs="Times New Roman" w:hint="eastAsia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miR-422a overexpression or SULF2 silencing suppresses </w:t>
      </w:r>
      <w:r>
        <w:rPr>
          <w:rFonts w:ascii="Times New Roman" w:hAnsi="Times New Roman" w:cs="Times New Roman" w:hint="eastAsia"/>
          <w:color w:val="000000"/>
          <w:sz w:val="24"/>
        </w:rPr>
        <w:t xml:space="preserve">proliferation </w:t>
      </w:r>
      <w:r>
        <w:rPr>
          <w:rFonts w:ascii="Times New Roman" w:hAnsi="Times New Roman" w:cs="Times New Roman"/>
          <w:color w:val="000000"/>
          <w:sz w:val="24"/>
        </w:rPr>
        <w:t xml:space="preserve">and promotes </w:t>
      </w:r>
      <w:r>
        <w:rPr>
          <w:rFonts w:ascii="Times New Roman" w:eastAsia="Arial" w:hAnsi="Times New Roman" w:cs="Times New Roman"/>
          <w:color w:val="000000"/>
          <w:sz w:val="24"/>
        </w:rPr>
        <w:t>apoptosis of A549 cells</w:t>
      </w:r>
      <w:r>
        <w:rPr>
          <w:rFonts w:ascii="Times New Roman" w:hAnsi="Times New Roman" w:cs="Times New Roman" w:hint="eastAsia"/>
          <w:color w:val="000000"/>
          <w:sz w:val="24"/>
        </w:rPr>
        <w:t>. A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miR-422a and TGF-β1 expression detected by RT-qPCR; </w:t>
      </w:r>
      <w:r>
        <w:rPr>
          <w:rFonts w:ascii="Times New Roman" w:hAnsi="Times New Roman" w:cs="Times New Roman" w:hint="eastAsia"/>
          <w:color w:val="000000"/>
          <w:sz w:val="24"/>
        </w:rPr>
        <w:t>B and</w:t>
      </w:r>
      <w:r>
        <w:rPr>
          <w:rFonts w:ascii="Times New Roman" w:hAnsi="Times New Roman" w:cs="Times New Roman"/>
          <w:color w:val="000000"/>
          <w:sz w:val="24"/>
        </w:rPr>
        <w:t xml:space="preserve"> D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cell </w:t>
      </w:r>
      <w:r>
        <w:rPr>
          <w:rFonts w:ascii="Times New Roman" w:hAnsi="Times New Roman" w:cs="Times New Roman" w:hint="eastAsia"/>
          <w:color w:val="000000"/>
          <w:sz w:val="24"/>
        </w:rPr>
        <w:t>viability</w:t>
      </w:r>
      <w:r>
        <w:rPr>
          <w:rFonts w:ascii="Times New Roman" w:hAnsi="Times New Roman" w:cs="Times New Roman"/>
          <w:color w:val="000000"/>
          <w:sz w:val="24"/>
        </w:rPr>
        <w:t xml:space="preserve"> determined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assay (200 ×, scale bar = 50 </w:t>
      </w:r>
      <w:proofErr w:type="spellStart"/>
      <w:r>
        <w:rPr>
          <w:rFonts w:ascii="Times New Roman" w:hAnsi="Times New Roman" w:cs="Times New Roman"/>
          <w:sz w:val="24"/>
        </w:rPr>
        <w:t>μm</w:t>
      </w:r>
      <w:proofErr w:type="spellEnd"/>
      <w:r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 and E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cell </w:t>
      </w:r>
      <w:r>
        <w:rPr>
          <w:rFonts w:ascii="Times New Roman" w:eastAsia="Arial" w:hAnsi="Times New Roman" w:cs="Times New Roman"/>
          <w:color w:val="000000"/>
          <w:sz w:val="24"/>
        </w:rPr>
        <w:t>colony-forming ability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sz w:val="24"/>
        </w:rPr>
        <w:t>assessed</w:t>
      </w:r>
      <w:r>
        <w:rPr>
          <w:rFonts w:ascii="Times New Roman" w:hAnsi="Times New Roman" w:cs="Times New Roman"/>
          <w:color w:val="000000"/>
          <w:sz w:val="24"/>
        </w:rPr>
        <w:t xml:space="preserve"> by colony formation assay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F, </w:t>
      </w:r>
      <w:r>
        <w:rPr>
          <w:rFonts w:ascii="Times New Roman" w:hAnsi="Times New Roman" w:cs="Times New Roman"/>
          <w:color w:val="000000"/>
          <w:sz w:val="24"/>
        </w:rPr>
        <w:t xml:space="preserve">cell cycle distribution measured by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Annexin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PI single staining</w:t>
      </w:r>
      <w:r>
        <w:rPr>
          <w:rFonts w:ascii="Times New Roman" w:hAnsi="Times New Roman" w:cs="Times New Roman" w:hint="eastAsia"/>
          <w:color w:val="000000"/>
          <w:sz w:val="24"/>
        </w:rPr>
        <w:t>; G,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>cell apoptosis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evaluated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by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Annexin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 xml:space="preserve"> V-FITC/PI double staining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</w:rPr>
        <w:t>H and I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the protein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level </w:t>
      </w:r>
      <w:r>
        <w:rPr>
          <w:rFonts w:ascii="Times New Roman" w:hAnsi="Times New Roman" w:cs="Times New Roman"/>
          <w:color w:val="000000"/>
          <w:sz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Bax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cleaved caspase-3 and Bcl-2 determined by western blot analysis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NC mimic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#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NC inhibitor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&amp;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-NC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$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miR-422a inhibitor group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@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si-SULF2 group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</w:rPr>
        <w:t>the mock group: cells without transfection; measurement data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</w:rPr>
        <w:t>were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expressed as mean ± standard deviation</w:t>
      </w:r>
      <w:r>
        <w:rPr>
          <w:rFonts w:ascii="Times New Roman" w:hAnsi="Times New Roman" w:cs="Times New Roman" w:hint="eastAsia"/>
          <w:color w:val="000000"/>
          <w:sz w:val="24"/>
        </w:rPr>
        <w:t>; d</w:t>
      </w:r>
      <w:r>
        <w:rPr>
          <w:rFonts w:ascii="Times New Roman" w:eastAsia="Arial" w:hAnsi="Times New Roman" w:cs="Times New Roman"/>
          <w:color w:val="000000"/>
          <w:sz w:val="24"/>
        </w:rPr>
        <w:t>ifferences among multiple groups were compared by one-way ANOVA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he experiment was</w:t>
      </w:r>
      <w:r>
        <w:rPr>
          <w:rFonts w:ascii="Times New Roman" w:hAnsi="Times New Roman" w:cs="Times New Roman" w:hint="eastAsia"/>
          <w:sz w:val="24"/>
        </w:rPr>
        <w:t xml:space="preserve"> conducted</w:t>
      </w:r>
      <w:r>
        <w:rPr>
          <w:rFonts w:ascii="Times New Roman" w:hAnsi="Times New Roman" w:cs="Times New Roman"/>
          <w:sz w:val="24"/>
        </w:rPr>
        <w:t xml:space="preserve"> for 3 times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NSCLC, non-small cell lung cancer; EDU, 5-ethynyl-2’-deoxyuridine; PI,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propidium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 xml:space="preserve"> iodide; FITC, fluorescein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isothiocyanate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Bcl-2, B-cell lymphoma-2; </w:t>
      </w:r>
      <w:proofErr w:type="spellStart"/>
      <w:r>
        <w:rPr>
          <w:rFonts w:ascii="Times New Roman" w:hAnsi="Times New Roman" w:cs="Times New Roman"/>
          <w:sz w:val="24"/>
        </w:rPr>
        <w:t>Bax</w:t>
      </w:r>
      <w:proofErr w:type="spellEnd"/>
      <w:r>
        <w:rPr>
          <w:rFonts w:ascii="Times New Roman" w:hAnsi="Times New Roman" w:cs="Times New Roman"/>
          <w:sz w:val="24"/>
        </w:rPr>
        <w:t xml:space="preserve">, Bcl-2 associated protein X; NC, negative control; siRNA, small interfering RNA; miR-442a, microRNA-442a; SULF2, sulfatase 2; ANOVA, analysis of </w:t>
      </w:r>
      <w:r>
        <w:rPr>
          <w:rFonts w:ascii="Times New Roman" w:hAnsi="Times New Roman" w:cs="Times New Roman" w:hint="eastAsia"/>
          <w:sz w:val="24"/>
        </w:rPr>
        <w:t>variance.</w:t>
      </w:r>
    </w:p>
    <w:p w:rsidR="008E3398" w:rsidRDefault="008E3398" w:rsidP="008E3398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3</w:t>
      </w:r>
      <w:r>
        <w:rPr>
          <w:rFonts w:ascii="Times New Roman" w:hAnsi="Times New Roman" w:cs="Times New Roman" w:hint="eastAsia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>miR-422a overexpression or SULF2 silencing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arrests H522 and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A549 cells at the G0/G1 phase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and promotes </w:t>
      </w:r>
      <w:r>
        <w:rPr>
          <w:rFonts w:ascii="Times New Roman" w:eastAsia="SimSun" w:hAnsi="Times New Roman" w:cs="Times New Roman" w:hint="eastAsia"/>
          <w:color w:val="000000"/>
          <w:sz w:val="24"/>
        </w:rPr>
        <w:t xml:space="preserve">cell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apoptosis. A, cell cycle of H522 cells determined by </w:t>
      </w:r>
      <w:proofErr w:type="spellStart"/>
      <w:r>
        <w:rPr>
          <w:rFonts w:ascii="Times New Roman" w:hAnsi="Times New Roman" w:cs="Times New Roman"/>
          <w:sz w:val="24"/>
        </w:rPr>
        <w:t>Annexin</w:t>
      </w:r>
      <w:proofErr w:type="spellEnd"/>
      <w:r>
        <w:rPr>
          <w:rFonts w:ascii="Times New Roman" w:hAnsi="Times New Roman" w:cs="Times New Roman"/>
          <w:sz w:val="24"/>
        </w:rPr>
        <w:t xml:space="preserve"> PI single staining; B, cell apoptosis of H522 cells detected by </w:t>
      </w:r>
      <w:proofErr w:type="spellStart"/>
      <w:r>
        <w:rPr>
          <w:rFonts w:ascii="Times New Roman" w:hAnsi="Times New Roman" w:cs="Times New Roman"/>
          <w:sz w:val="24"/>
        </w:rPr>
        <w:t>Annexin</w:t>
      </w:r>
      <w:proofErr w:type="spellEnd"/>
      <w:r>
        <w:rPr>
          <w:rFonts w:ascii="Times New Roman" w:hAnsi="Times New Roman" w:cs="Times New Roman"/>
          <w:sz w:val="24"/>
        </w:rPr>
        <w:t xml:space="preserve"> V-FITC/PI double staining; C,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cell cycle of A549 cells measured by </w:t>
      </w:r>
      <w:proofErr w:type="spellStart"/>
      <w:r>
        <w:rPr>
          <w:rFonts w:ascii="Times New Roman" w:hAnsi="Times New Roman" w:cs="Times New Roman"/>
          <w:sz w:val="24"/>
        </w:rPr>
        <w:t>Annexin</w:t>
      </w:r>
      <w:proofErr w:type="spellEnd"/>
      <w:r>
        <w:rPr>
          <w:rFonts w:ascii="Times New Roman" w:hAnsi="Times New Roman" w:cs="Times New Roman"/>
          <w:sz w:val="24"/>
        </w:rPr>
        <w:t xml:space="preserve"> PI single staining; B, cell apoptosis of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A549 </w:t>
      </w:r>
      <w:r>
        <w:rPr>
          <w:rFonts w:ascii="Times New Roman" w:hAnsi="Times New Roman" w:cs="Times New Roman"/>
          <w:sz w:val="24"/>
        </w:rPr>
        <w:t xml:space="preserve">cells evaluated by </w:t>
      </w:r>
      <w:proofErr w:type="spellStart"/>
      <w:r>
        <w:rPr>
          <w:rFonts w:ascii="Times New Roman" w:hAnsi="Times New Roman" w:cs="Times New Roman"/>
          <w:sz w:val="24"/>
        </w:rPr>
        <w:t>Annexin</w:t>
      </w:r>
      <w:proofErr w:type="spellEnd"/>
      <w:r>
        <w:rPr>
          <w:rFonts w:ascii="Times New Roman" w:hAnsi="Times New Roman" w:cs="Times New Roman"/>
          <w:sz w:val="24"/>
        </w:rPr>
        <w:t xml:space="preserve"> V-FITC/PI double staining; </w:t>
      </w:r>
      <w:r>
        <w:rPr>
          <w:rFonts w:ascii="Times New Roman" w:hAnsi="Times New Roman" w:cs="Times New Roman"/>
          <w:color w:val="000000"/>
          <w:sz w:val="24"/>
        </w:rPr>
        <w:t xml:space="preserve">the mock group: cells without transfection; </w:t>
      </w:r>
      <w:r>
        <w:rPr>
          <w:rFonts w:ascii="Times New Roman" w:hAnsi="Times New Roman" w:cs="Times New Roman"/>
          <w:sz w:val="24"/>
        </w:rPr>
        <w:t xml:space="preserve">PI,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propidium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 xml:space="preserve"> iodide; FITC, fluorescein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isothiocyanate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NC, negative control; siRNA, small interfering RNA; SULF2, sulfatase 2; miR-442a, microRNA-442a.</w:t>
      </w:r>
    </w:p>
    <w:p w:rsidR="008E3398" w:rsidRDefault="008E3398" w:rsidP="008E3398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upplementary Figure 4. </w:t>
      </w:r>
      <w:r>
        <w:rPr>
          <w:rFonts w:ascii="Times New Roman" w:eastAsia="Arial" w:hAnsi="Times New Roman" w:cs="Times New Roman"/>
          <w:kern w:val="0"/>
          <w:sz w:val="24"/>
        </w:rPr>
        <w:t xml:space="preserve">miR-422a overexpression or SULF2 silencing inhibits </w:t>
      </w:r>
      <w:r>
        <w:rPr>
          <w:rFonts w:ascii="Times New Roman" w:hAnsi="Times New Roman" w:cs="Times New Roman" w:hint="eastAsia"/>
          <w:kern w:val="0"/>
          <w:sz w:val="24"/>
        </w:rPr>
        <w:t xml:space="preserve">the </w:t>
      </w:r>
      <w:r>
        <w:rPr>
          <w:rFonts w:ascii="Times New Roman" w:eastAsia="Arial" w:hAnsi="Times New Roman" w:cs="Times New Roman"/>
          <w:kern w:val="0"/>
          <w:sz w:val="24"/>
        </w:rPr>
        <w:t xml:space="preserve">invasion and migration of </w:t>
      </w:r>
      <w:r>
        <w:rPr>
          <w:rFonts w:ascii="Times New Roman" w:hAnsi="Times New Roman" w:cs="Times New Roman"/>
          <w:color w:val="000000"/>
          <w:sz w:val="24"/>
        </w:rPr>
        <w:t>A549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</w:rPr>
        <w:t xml:space="preserve">cells. A and B, </w:t>
      </w:r>
      <w:r>
        <w:rPr>
          <w:rFonts w:ascii="Times New Roman" w:hAnsi="Times New Roman" w:cs="Times New Roman"/>
          <w:kern w:val="0"/>
          <w:sz w:val="24"/>
        </w:rPr>
        <w:t>cell migration detected by scratch test (100 ×)</w:t>
      </w:r>
      <w:r>
        <w:rPr>
          <w:rFonts w:ascii="Times New Roman" w:hAnsi="Times New Roman" w:cs="Times New Roman" w:hint="eastAsia"/>
          <w:color w:val="000000"/>
          <w:sz w:val="24"/>
        </w:rPr>
        <w:t>; C and D,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cell invasion </w:t>
      </w:r>
      <w:r>
        <w:rPr>
          <w:rFonts w:ascii="Times New Roman" w:hAnsi="Times New Roman" w:cs="Times New Roman"/>
          <w:kern w:val="0"/>
          <w:sz w:val="24"/>
        </w:rPr>
        <w:t>evaluated by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Transwell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assay (</w:t>
      </w:r>
      <w:r>
        <w:rPr>
          <w:rFonts w:ascii="Times New Roman" w:hAnsi="Times New Roman" w:cs="Times New Roman" w:hint="eastAsia"/>
          <w:color w:val="000000"/>
          <w:sz w:val="24"/>
        </w:rPr>
        <w:t>200</w:t>
      </w:r>
      <w:r>
        <w:rPr>
          <w:rFonts w:ascii="Times New Roman" w:hAnsi="Times New Roman" w:cs="Times New Roman"/>
          <w:color w:val="000000"/>
          <w:sz w:val="24"/>
        </w:rPr>
        <w:t xml:space="preserve"> ×, scale bar = 50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μ</w:t>
      </w:r>
      <w:r>
        <w:rPr>
          <w:rFonts w:ascii="Times New Roman" w:hAnsi="Times New Roman" w:cs="Times New Roman" w:hint="eastAsia"/>
          <w:color w:val="000000"/>
          <w:sz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NC mimic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#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NC inhibitor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&amp;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-NC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$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miR-422a inhibitor group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@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si-SULF2 group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</w:rPr>
        <w:t>the mock group: cells without transfection; measurement data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</w:rPr>
        <w:t>were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expressed as mean ± standard deviation</w:t>
      </w:r>
      <w:r>
        <w:rPr>
          <w:rFonts w:ascii="Times New Roman" w:hAnsi="Times New Roman" w:cs="Times New Roman" w:hint="eastAsia"/>
          <w:color w:val="000000"/>
          <w:sz w:val="24"/>
        </w:rPr>
        <w:t>; d</w:t>
      </w:r>
      <w:r>
        <w:rPr>
          <w:rFonts w:ascii="Times New Roman" w:hAnsi="Times New Roman" w:cs="Times New Roman"/>
          <w:color w:val="000000"/>
          <w:sz w:val="24"/>
        </w:rPr>
        <w:t>ifferences among multiple groups were compared by one-way ANOVA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he experiment was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performed 3 times. </w:t>
      </w:r>
      <w:r>
        <w:rPr>
          <w:rFonts w:ascii="Times New Roman" w:hAnsi="Times New Roman" w:cs="Times New Roman" w:hint="eastAsia"/>
          <w:sz w:val="24"/>
        </w:rPr>
        <w:t>NSCLC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non-small cell lung</w:t>
      </w:r>
      <w:r>
        <w:rPr>
          <w:rFonts w:ascii="Times New Roman" w:hAnsi="Times New Roman" w:cs="Times New Roman" w:hint="eastAsia"/>
          <w:sz w:val="24"/>
        </w:rPr>
        <w:t xml:space="preserve"> cancer</w:t>
      </w:r>
      <w:r>
        <w:rPr>
          <w:rFonts w:ascii="Times New Roman" w:hAnsi="Times New Roman" w:cs="Times New Roman"/>
          <w:sz w:val="24"/>
        </w:rPr>
        <w:t xml:space="preserve">; NC, negative control; siRNA, small interfering RNA; SULF2, sulfatase 2; miR-442a, microRNA-442a; ANOVA, analysis of </w:t>
      </w:r>
      <w:r>
        <w:rPr>
          <w:rFonts w:ascii="Times New Roman" w:hAnsi="Times New Roman" w:cs="Times New Roman" w:hint="eastAsia"/>
          <w:sz w:val="24"/>
        </w:rPr>
        <w:t>variance.</w:t>
      </w:r>
    </w:p>
    <w:p w:rsidR="00070DC1" w:rsidRDefault="008E3398" w:rsidP="008E3398">
      <w:r>
        <w:rPr>
          <w:rFonts w:ascii="Times New Roman" w:hAnsi="Times New Roman" w:cs="Times New Roman" w:hint="eastAsia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upplementary Figure 5.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miR-422a overexpression or SULF2 silencing </w:t>
      </w:r>
      <w:r>
        <w:rPr>
          <w:rFonts w:ascii="Times New Roman" w:eastAsia="SimSun" w:hAnsi="Times New Roman" w:cs="Times New Roman"/>
          <w:color w:val="000000"/>
          <w:sz w:val="24"/>
        </w:rPr>
        <w:t>suppresses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EMT of</w:t>
      </w:r>
      <w:r>
        <w:rPr>
          <w:rFonts w:ascii="Times New Roman" w:hAnsi="Times New Roman" w:cs="Times New Roman"/>
          <w:color w:val="000000"/>
          <w:sz w:val="24"/>
        </w:rPr>
        <w:t xml:space="preserve"> A549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cells. </w:t>
      </w:r>
      <w:r>
        <w:rPr>
          <w:rFonts w:ascii="Times New Roman" w:hAnsi="Times New Roman" w:cs="Times New Roman"/>
          <w:sz w:val="24"/>
        </w:rPr>
        <w:t xml:space="preserve">A, protein bands of EMT-related factors and TGF-β/SMAD signaling pathway-related factors determined by western blot analysis; B, protein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level </w:t>
      </w:r>
      <w:r>
        <w:rPr>
          <w:rFonts w:ascii="Times New Roman" w:hAnsi="Times New Roman" w:cs="Times New Roman"/>
          <w:sz w:val="24"/>
        </w:rPr>
        <w:t>of EMT-related factors assessed by western blot analysis;</w:t>
      </w:r>
      <w:r>
        <w:rPr>
          <w:rFonts w:ascii="Times New Roman" w:hAnsi="Times New Roman" w:cs="Times New Roman"/>
          <w:color w:val="000000"/>
          <w:sz w:val="24"/>
        </w:rPr>
        <w:t xml:space="preserve"> C, protein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level </w:t>
      </w:r>
      <w:r>
        <w:rPr>
          <w:rFonts w:ascii="Times New Roman" w:hAnsi="Times New Roman" w:cs="Times New Roman"/>
          <w:color w:val="000000"/>
          <w:sz w:val="24"/>
        </w:rPr>
        <w:t xml:space="preserve">of the </w:t>
      </w:r>
      <w:r>
        <w:rPr>
          <w:rFonts w:ascii="Times New Roman" w:hAnsi="Times New Roman" w:cs="Times New Roman"/>
          <w:sz w:val="24"/>
        </w:rPr>
        <w:t xml:space="preserve">TGF-β/SMAD signaling pathway related factors evaluated by western blot analysis;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NC mimic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#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NC inhibitor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&amp;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-NC group</w:t>
      </w:r>
      <w:r>
        <w:rPr>
          <w:rFonts w:ascii="Times New Roman" w:hAnsi="Times New Roman" w:cs="Times New Roman" w:hint="eastAsia"/>
          <w:color w:val="000000"/>
          <w:sz w:val="24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$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miR-422a inhibitor group</w:t>
      </w:r>
      <w:r>
        <w:rPr>
          <w:rFonts w:ascii="Times New Roman" w:hAnsi="Times New Roman" w:cs="Times New Roman" w:hint="eastAsia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@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i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 xml:space="preserve"> &lt;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0.05 </w:t>
      </w:r>
      <w:r>
        <w:rPr>
          <w:rFonts w:ascii="Times New Roman" w:eastAsia="SimSun" w:hAnsi="Times New Roman" w:cs="Times New Roman" w:hint="eastAsia"/>
          <w:i/>
          <w:kern w:val="0"/>
          <w:sz w:val="24"/>
        </w:rPr>
        <w:t>vs</w:t>
      </w:r>
      <w:r>
        <w:rPr>
          <w:rFonts w:ascii="Times New Roman" w:eastAsia="SimSun" w:hAnsi="Times New Roman" w:cs="Times New Roman" w:hint="eastAsia"/>
          <w:kern w:val="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the si-SULF2 group; the mock group: cells without transfection; measurement data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were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expressed as mean ± standard deviation</w:t>
      </w:r>
      <w:r>
        <w:rPr>
          <w:rFonts w:ascii="Times New Roman" w:hAnsi="Times New Roman" w:cs="Times New Roman"/>
          <w:color w:val="000000"/>
          <w:sz w:val="24"/>
        </w:rPr>
        <w:t>; d</w:t>
      </w:r>
      <w:r>
        <w:rPr>
          <w:rFonts w:ascii="Times New Roman" w:eastAsia="Arial" w:hAnsi="Times New Roman" w:cs="Times New Roman"/>
          <w:color w:val="000000"/>
          <w:sz w:val="24"/>
        </w:rPr>
        <w:t>ifferences among multiple groups were compared by one-way ANOVA</w:t>
      </w:r>
      <w:r>
        <w:rPr>
          <w:rFonts w:ascii="Times New Roman" w:hAnsi="Times New Roman" w:cs="Times New Roman"/>
          <w:color w:val="000000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the experiment was conducted for 3 times. NSCLC, non-small cell lung cancer; EMT, epithelial-mesenchymal transition; TGF, transforming growth factor; NC, negative control; siRNA, small interfering RNA; SULF2, sulfatase 2; miR-442a, microRNA-442a; ANOVA, analysis of </w:t>
      </w:r>
      <w:r>
        <w:rPr>
          <w:rFonts w:ascii="Times New Roman" w:hAnsi="Times New Roman" w:cs="Times New Roman" w:hint="eastAsia"/>
          <w:sz w:val="24"/>
        </w:rPr>
        <w:t>variance.</w:t>
      </w:r>
      <w:bookmarkStart w:id="0" w:name="_GoBack"/>
      <w:bookmarkEnd w:id="0"/>
    </w:p>
    <w:sectPr w:rsidR="0007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8"/>
    <w:rsid w:val="00070DC1"/>
    <w:rsid w:val="00461333"/>
    <w:rsid w:val="00523B2A"/>
    <w:rsid w:val="006078DD"/>
    <w:rsid w:val="0075377F"/>
    <w:rsid w:val="008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BE4E2-7150-49DE-82A1-D41EFB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9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3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2019-06-15T10:30:00Z</dcterms:created>
  <dcterms:modified xsi:type="dcterms:W3CDTF">2019-06-15T10:30:00Z</dcterms:modified>
</cp:coreProperties>
</file>