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31" w:rsidRPr="00982AAD" w:rsidRDefault="00895331" w:rsidP="00895331">
      <w:pPr>
        <w:tabs>
          <w:tab w:val="center" w:pos="6379"/>
          <w:tab w:val="center" w:pos="7797"/>
        </w:tabs>
        <w:spacing w:before="100" w:beforeAutospacing="1" w:after="100" w:afterAutospacing="1" w:line="360" w:lineRule="auto"/>
        <w:contextualSpacing/>
        <w:rPr>
          <w:rFonts w:eastAsia="Times New Roman" w:cstheme="minorHAnsi"/>
          <w:b/>
          <w:color w:val="000000" w:themeColor="text1"/>
          <w:lang w:eastAsia="fr-FR"/>
        </w:rPr>
      </w:pPr>
      <w:r w:rsidRPr="00982AAD">
        <w:rPr>
          <w:rFonts w:eastAsia="Times New Roman" w:cstheme="minorHAnsi"/>
          <w:b/>
          <w:color w:val="000000" w:themeColor="text1"/>
          <w:lang w:eastAsia="fr-FR"/>
        </w:rPr>
        <w:t>Supplementary material</w:t>
      </w:r>
    </w:p>
    <w:p w:rsidR="00895331" w:rsidRPr="00982AAD" w:rsidRDefault="00895331" w:rsidP="00895331">
      <w:pPr>
        <w:tabs>
          <w:tab w:val="center" w:pos="6379"/>
          <w:tab w:val="center" w:pos="7797"/>
        </w:tabs>
        <w:spacing w:before="100" w:beforeAutospacing="1" w:after="100" w:afterAutospacing="1" w:line="360" w:lineRule="auto"/>
        <w:contextualSpacing/>
        <w:rPr>
          <w:rFonts w:eastAsia="Times New Roman" w:cstheme="minorHAnsi"/>
          <w:b/>
          <w:color w:val="000000" w:themeColor="text1"/>
          <w:lang w:eastAsia="fr-FR"/>
        </w:rPr>
      </w:pPr>
    </w:p>
    <w:p w:rsidR="00895331" w:rsidRPr="00982AAD" w:rsidRDefault="00895331" w:rsidP="00895331">
      <w:pPr>
        <w:tabs>
          <w:tab w:val="center" w:pos="6379"/>
          <w:tab w:val="center" w:pos="7797"/>
        </w:tabs>
        <w:spacing w:before="100" w:beforeAutospacing="1" w:after="100" w:afterAutospacing="1" w:line="360" w:lineRule="auto"/>
        <w:contextualSpacing/>
        <w:rPr>
          <w:rFonts w:eastAsia="Times New Roman" w:cstheme="minorHAnsi"/>
          <w:b/>
          <w:color w:val="000000" w:themeColor="text1"/>
          <w:lang w:eastAsia="fr-FR"/>
        </w:rPr>
      </w:pPr>
      <w:r w:rsidRPr="00982AAD">
        <w:rPr>
          <w:rFonts w:eastAsia="Times New Roman" w:cstheme="minorHAnsi"/>
          <w:b/>
          <w:color w:val="000000" w:themeColor="text1"/>
          <w:lang w:eastAsia="fr-FR"/>
        </w:rPr>
        <w:t>Institutional and organizational context of immunization decision-making in Canada</w:t>
      </w:r>
    </w:p>
    <w:p w:rsidR="00895331" w:rsidRPr="00982AAD" w:rsidRDefault="00895331" w:rsidP="00895331">
      <w:pPr>
        <w:tabs>
          <w:tab w:val="center" w:pos="6379"/>
          <w:tab w:val="center" w:pos="7797"/>
        </w:tabs>
        <w:spacing w:before="100" w:beforeAutospacing="1" w:after="100" w:afterAutospacing="1" w:line="360" w:lineRule="auto"/>
        <w:contextualSpacing/>
        <w:rPr>
          <w:rFonts w:cstheme="minorHAnsi"/>
          <w:b/>
          <w:color w:val="000000" w:themeColor="text1"/>
        </w:rPr>
      </w:pPr>
      <w:r w:rsidRPr="00982AAD">
        <w:rPr>
          <w:rFonts w:cstheme="minorHAnsi"/>
          <w:b/>
          <w:color w:val="000000" w:themeColor="text1"/>
        </w:rPr>
        <w:t xml:space="preserve"> </w:t>
      </w:r>
    </w:p>
    <w:p w:rsidR="00895331" w:rsidRPr="00982AAD" w:rsidRDefault="00895331" w:rsidP="00895331">
      <w:pPr>
        <w:tabs>
          <w:tab w:val="center" w:pos="6379"/>
          <w:tab w:val="center" w:pos="7797"/>
        </w:tabs>
        <w:spacing w:before="100" w:beforeAutospacing="1" w:after="100" w:afterAutospacing="1" w:line="360" w:lineRule="auto"/>
        <w:contextualSpacing/>
        <w:rPr>
          <w:rFonts w:cstheme="minorHAnsi"/>
          <w:color w:val="000000" w:themeColor="text1"/>
        </w:rPr>
      </w:pPr>
      <w:r w:rsidRPr="00982AAD">
        <w:rPr>
          <w:rFonts w:cstheme="minorHAnsi"/>
          <w:color w:val="000000" w:themeColor="text1"/>
        </w:rPr>
        <w:t>If we want to analyze the genesis of vaccination programs, we first need to identify the organizations and actors—the stakeholders—who participate in the processes leading up to these programs’ adoption. Canada which serves as main example in this manuscript, is a confederation where political responsibilities are shared between the federal government and provincial and territorial governments. Responsibility for health and for immunization programs is therefore shared between different jurisdictions [1].</w:t>
      </w:r>
    </w:p>
    <w:p w:rsidR="00895331" w:rsidRPr="00982AAD" w:rsidRDefault="00895331" w:rsidP="00895331">
      <w:pPr>
        <w:tabs>
          <w:tab w:val="center" w:pos="6379"/>
          <w:tab w:val="center" w:pos="7797"/>
        </w:tabs>
        <w:spacing w:before="100" w:beforeAutospacing="1" w:after="100" w:afterAutospacing="1" w:line="360" w:lineRule="auto"/>
        <w:contextualSpacing/>
        <w:rPr>
          <w:rFonts w:cstheme="minorHAnsi"/>
          <w:color w:val="000000" w:themeColor="text1"/>
        </w:rPr>
      </w:pPr>
    </w:p>
    <w:p w:rsidR="00895331" w:rsidRPr="00A64713" w:rsidRDefault="00895331" w:rsidP="00895331">
      <w:pPr>
        <w:tabs>
          <w:tab w:val="center" w:pos="6379"/>
          <w:tab w:val="center" w:pos="7797"/>
        </w:tabs>
        <w:spacing w:before="100" w:beforeAutospacing="1" w:after="100" w:afterAutospacing="1" w:line="360" w:lineRule="auto"/>
        <w:contextualSpacing/>
        <w:rPr>
          <w:rFonts w:cstheme="minorHAnsi"/>
          <w:color w:val="000000" w:themeColor="text1"/>
        </w:rPr>
      </w:pPr>
      <w:r w:rsidRPr="00A64713">
        <w:rPr>
          <w:rFonts w:cstheme="minorHAnsi"/>
          <w:color w:val="000000" w:themeColor="text1"/>
        </w:rPr>
        <w:t xml:space="preserve">Health Canada, the federal Ministry of Health, is responsible for vaccine licensing and controlling the quality of products distributed in the country. The Biologic and Genetic Therapies Directorate (BGTD) is responsible for </w:t>
      </w:r>
      <w:r w:rsidR="00982AAD" w:rsidRPr="00A64713">
        <w:rPr>
          <w:rFonts w:cstheme="minorHAnsi"/>
          <w:color w:val="000000" w:themeColor="text1"/>
        </w:rPr>
        <w:t>these activities</w:t>
      </w:r>
      <w:r w:rsidRPr="00A64713">
        <w:rPr>
          <w:rFonts w:cstheme="minorHAnsi"/>
          <w:color w:val="000000" w:themeColor="text1"/>
        </w:rPr>
        <w:t xml:space="preserve"> [2</w:t>
      </w:r>
      <w:r w:rsidR="00982AAD" w:rsidRPr="00A64713">
        <w:rPr>
          <w:rFonts w:cstheme="minorHAnsi"/>
          <w:color w:val="000000" w:themeColor="text1"/>
        </w:rPr>
        <w:t xml:space="preserve">]. </w:t>
      </w:r>
      <w:r w:rsidR="00A64713" w:rsidRPr="00A64713">
        <w:rPr>
          <w:rFonts w:cstheme="minorHAnsi"/>
          <w:color w:val="000000" w:themeColor="text1"/>
          <w:lang w:val="en-CA"/>
        </w:rPr>
        <w:t>This branch monitors the safety of vaccines, and pharmaceutical companies are required to report serious adverse reactions brought to their attention through the Canada Vigilance Program</w:t>
      </w:r>
      <w:r w:rsidR="00A64713" w:rsidRPr="00A64713">
        <w:rPr>
          <w:rFonts w:cstheme="minorHAnsi"/>
          <w:color w:val="000000" w:themeColor="text1"/>
        </w:rPr>
        <w:t xml:space="preserve"> </w:t>
      </w:r>
      <w:r w:rsidRPr="00A64713">
        <w:rPr>
          <w:rFonts w:cstheme="minorHAnsi"/>
          <w:color w:val="000000" w:themeColor="text1"/>
        </w:rPr>
        <w:t>[3]. Health Canada's role in organizing and funding immunization programs and services is limited to the Armed Forces and First Nations communities living on reserves [1].</w:t>
      </w:r>
    </w:p>
    <w:p w:rsidR="00A64713" w:rsidRDefault="00A64713" w:rsidP="00895331">
      <w:pPr>
        <w:tabs>
          <w:tab w:val="center" w:pos="6379"/>
          <w:tab w:val="center" w:pos="7797"/>
        </w:tabs>
        <w:spacing w:before="100" w:beforeAutospacing="1" w:after="100" w:afterAutospacing="1" w:line="360" w:lineRule="auto"/>
        <w:contextualSpacing/>
        <w:rPr>
          <w:rFonts w:cstheme="minorHAnsi"/>
          <w:i/>
          <w:color w:val="000000" w:themeColor="text1"/>
          <w:lang w:val="en-CA"/>
        </w:rPr>
      </w:pPr>
    </w:p>
    <w:p w:rsidR="00895331" w:rsidRPr="00982AAD" w:rsidRDefault="00895331" w:rsidP="00895331">
      <w:pPr>
        <w:tabs>
          <w:tab w:val="center" w:pos="6379"/>
          <w:tab w:val="center" w:pos="7797"/>
        </w:tabs>
        <w:spacing w:before="100" w:beforeAutospacing="1" w:after="100" w:afterAutospacing="1" w:line="360" w:lineRule="auto"/>
        <w:contextualSpacing/>
        <w:rPr>
          <w:rFonts w:cstheme="minorHAnsi"/>
        </w:rPr>
      </w:pPr>
      <w:r w:rsidRPr="00982AAD">
        <w:rPr>
          <w:rFonts w:cstheme="minorHAnsi"/>
          <w:color w:val="000000" w:themeColor="text1"/>
        </w:rPr>
        <w:t xml:space="preserve">The Public Health Agency of Canada (PHAC) is an autonomous government agency created in 2006 [4]. The PHAC plays an important role in promoting the importance of vaccination, monitoring adverse effects through an information system fed by spontaneous reports transmitted by health professionals, and disseminating vaccine utilization guidelines to health professionals. The Canadian Immunization Guide summarizes </w:t>
      </w:r>
      <w:r w:rsidRPr="00982AAD">
        <w:rPr>
          <w:rFonts w:cstheme="minorHAnsi"/>
        </w:rPr>
        <w:t xml:space="preserve">national recommendations </w:t>
      </w:r>
      <w:r w:rsidRPr="00982AAD">
        <w:rPr>
          <w:rFonts w:cstheme="minorHAnsi"/>
          <w:color w:val="000000" w:themeColor="text1"/>
        </w:rPr>
        <w:t xml:space="preserve">[1]. </w:t>
      </w:r>
      <w:r w:rsidRPr="00982AAD">
        <w:rPr>
          <w:rFonts w:cstheme="minorHAnsi"/>
        </w:rPr>
        <w:t xml:space="preserve">PHAC is also the secretariat of two advisory committees. The National Advisory Committee on Immunization (NACI), which makes recommendations on the use of licensed vaccines in Canada and on optimal vaccination schedules </w:t>
      </w:r>
      <w:r w:rsidRPr="00982AAD">
        <w:rPr>
          <w:rFonts w:cstheme="minorHAnsi"/>
          <w:color w:val="000000" w:themeColor="text1"/>
        </w:rPr>
        <w:t>[5]</w:t>
      </w:r>
      <w:r w:rsidRPr="00982AAD">
        <w:rPr>
          <w:rFonts w:cstheme="minorHAnsi"/>
        </w:rPr>
        <w:t xml:space="preserve">. The Committee to Advise on Tropical Medicine on Travel (CATMAT) makes vaccination recommendations for travelers; for the most part, these vaccines are not part of the programs funded by the public sector </w:t>
      </w:r>
      <w:r w:rsidRPr="00982AAD">
        <w:rPr>
          <w:rFonts w:cstheme="minorHAnsi"/>
          <w:color w:val="000000" w:themeColor="text1"/>
        </w:rPr>
        <w:t>[6]</w:t>
      </w:r>
      <w:r w:rsidRPr="00982AAD">
        <w:rPr>
          <w:rFonts w:cstheme="minorHAnsi"/>
        </w:rPr>
        <w:t xml:space="preserve">. Also, under the auspices of the Canadian Public Health Association (CPHA), the PHAC hosts the Canadian Conference on Immunization every two years </w:t>
      </w:r>
      <w:r w:rsidRPr="00982AAD">
        <w:rPr>
          <w:rFonts w:cstheme="minorHAnsi"/>
          <w:color w:val="000000" w:themeColor="text1"/>
        </w:rPr>
        <w:t xml:space="preserve">[7]. Discussions held during the conference are organized around important vaccination issues and involve the </w:t>
      </w:r>
      <w:r w:rsidRPr="00982AAD">
        <w:rPr>
          <w:rFonts w:cstheme="minorHAnsi"/>
        </w:rPr>
        <w:t>participation of key stakeholders in this field.</w:t>
      </w:r>
    </w:p>
    <w:p w:rsidR="00895331" w:rsidRPr="00982AAD" w:rsidRDefault="00895331" w:rsidP="00895331">
      <w:pPr>
        <w:tabs>
          <w:tab w:val="center" w:pos="6379"/>
          <w:tab w:val="center" w:pos="7797"/>
        </w:tabs>
        <w:spacing w:before="100" w:beforeAutospacing="1" w:after="100" w:afterAutospacing="1" w:line="360" w:lineRule="auto"/>
        <w:contextualSpacing/>
        <w:rPr>
          <w:rFonts w:cstheme="minorHAnsi"/>
        </w:rPr>
      </w:pPr>
    </w:p>
    <w:p w:rsidR="00895331" w:rsidRPr="00982AAD" w:rsidRDefault="00895331" w:rsidP="00895331">
      <w:pPr>
        <w:tabs>
          <w:tab w:val="center" w:pos="6379"/>
          <w:tab w:val="center" w:pos="7797"/>
        </w:tabs>
        <w:spacing w:before="100" w:beforeAutospacing="1" w:after="100" w:afterAutospacing="1" w:line="360" w:lineRule="auto"/>
        <w:contextualSpacing/>
        <w:rPr>
          <w:rFonts w:cstheme="minorHAnsi"/>
          <w:color w:val="000000" w:themeColor="text1"/>
        </w:rPr>
      </w:pPr>
      <w:r w:rsidRPr="00982AAD">
        <w:rPr>
          <w:rFonts w:cstheme="minorHAnsi"/>
        </w:rPr>
        <w:lastRenderedPageBreak/>
        <w:t xml:space="preserve">The PHAC also provides some assistance in coordinating provincial and territorial programs and services through the Canadian Immunization Committee (CIC) and the Council of Chief Medical </w:t>
      </w:r>
      <w:r w:rsidRPr="00982AAD">
        <w:rPr>
          <w:rFonts w:cstheme="minorHAnsi"/>
          <w:color w:val="000000" w:themeColor="text1"/>
        </w:rPr>
        <w:t xml:space="preserve">Officers of Health. The CIC brings together members of various federal, provincial, and territorial government departments, each of which has an important role in planning, implementing, and managing immunization programs. The Chief Medical Officers of Health are nominally responsible for public health programs in their respective jurisdictions, but Council meetings are rarely primarily dedicated to immunization, except in exceptional situations, as during the 2009 influenza pandemic [8]. </w:t>
      </w:r>
      <w:r w:rsidRPr="00982AAD">
        <w:rPr>
          <w:rFonts w:cstheme="minorHAnsi"/>
        </w:rPr>
        <w:t>Health ministers also meet, but their priorities are financing health services and allocating tax revenues.</w:t>
      </w:r>
    </w:p>
    <w:p w:rsidR="00895331" w:rsidRPr="00982AAD" w:rsidRDefault="00895331" w:rsidP="00895331">
      <w:pPr>
        <w:tabs>
          <w:tab w:val="center" w:pos="6379"/>
          <w:tab w:val="center" w:pos="7797"/>
        </w:tabs>
        <w:spacing w:before="100" w:beforeAutospacing="1" w:after="100" w:afterAutospacing="1" w:line="360" w:lineRule="auto"/>
        <w:contextualSpacing/>
        <w:rPr>
          <w:rFonts w:cstheme="minorHAnsi"/>
        </w:rPr>
      </w:pPr>
    </w:p>
    <w:p w:rsidR="00895331" w:rsidRPr="00982AAD" w:rsidRDefault="00895331" w:rsidP="00895331">
      <w:pPr>
        <w:tabs>
          <w:tab w:val="center" w:pos="6379"/>
          <w:tab w:val="center" w:pos="7797"/>
        </w:tabs>
        <w:spacing w:before="100" w:beforeAutospacing="1" w:after="100" w:afterAutospacing="1" w:line="360" w:lineRule="auto"/>
        <w:contextualSpacing/>
        <w:rPr>
          <w:rFonts w:cstheme="minorHAnsi"/>
        </w:rPr>
      </w:pPr>
      <w:r w:rsidRPr="00982AAD">
        <w:rPr>
          <w:rFonts w:cstheme="minorHAnsi"/>
        </w:rPr>
        <w:t xml:space="preserve">Ultimately, however, provincial and territorial health ministries define, fund, plan, implement, and manage public immunization programs in Canada </w:t>
      </w:r>
      <w:r w:rsidRPr="00982AAD">
        <w:rPr>
          <w:rFonts w:cstheme="minorHAnsi"/>
          <w:color w:val="000000" w:themeColor="text1"/>
        </w:rPr>
        <w:t>[1]</w:t>
      </w:r>
      <w:r w:rsidRPr="00982AAD">
        <w:rPr>
          <w:rFonts w:cstheme="minorHAnsi"/>
        </w:rPr>
        <w:t xml:space="preserve">. For the purchase of vaccines, provinces and territories can negotiate directly with drug companies through private contracts or public tenders, or use the joint procurement program the PHAC manages through Public Services and Procurement Canada, a federal program </w:t>
      </w:r>
      <w:r w:rsidRPr="00982AAD">
        <w:rPr>
          <w:rFonts w:cstheme="minorHAnsi"/>
          <w:color w:val="000000" w:themeColor="text1"/>
        </w:rPr>
        <w:t>[9]</w:t>
      </w:r>
      <w:r w:rsidRPr="00982AAD">
        <w:rPr>
          <w:rFonts w:cstheme="minorHAnsi"/>
        </w:rPr>
        <w:t xml:space="preserve">. </w:t>
      </w:r>
      <w:r w:rsidRPr="00982AAD">
        <w:rPr>
          <w:rFonts w:cstheme="minorHAnsi"/>
          <w:color w:val="000000" w:themeColor="text1"/>
        </w:rPr>
        <w:t xml:space="preserve">Several provinces but not territories have an </w:t>
      </w:r>
      <w:r w:rsidRPr="00982AAD">
        <w:rPr>
          <w:rFonts w:cstheme="minorHAnsi"/>
        </w:rPr>
        <w:t xml:space="preserve">expert technical committee that advises public health authorities and responds to questions from health professionals. In Québec, the Québec Committee on Immunization (CIQ) plays this role, developing practical information for vaccinators that is then included in the Québec Immunization Protocol </w:t>
      </w:r>
      <w:r w:rsidRPr="00982AAD">
        <w:rPr>
          <w:rFonts w:cstheme="minorHAnsi"/>
          <w:color w:val="000000" w:themeColor="text1"/>
        </w:rPr>
        <w:t xml:space="preserve">[10, 11]. </w:t>
      </w:r>
      <w:r w:rsidRPr="00982AAD">
        <w:rPr>
          <w:rFonts w:cstheme="minorHAnsi"/>
        </w:rPr>
        <w:t xml:space="preserve">No structure exists for consulting with or coordinating across different provincial advisory committees, although experts speak informally at scientific conferences or professional association meetings. </w:t>
      </w:r>
    </w:p>
    <w:p w:rsidR="00895331" w:rsidRPr="00982AAD" w:rsidRDefault="00895331" w:rsidP="00895331">
      <w:pPr>
        <w:tabs>
          <w:tab w:val="center" w:pos="6379"/>
          <w:tab w:val="center" w:pos="7797"/>
        </w:tabs>
        <w:spacing w:before="100" w:beforeAutospacing="1" w:after="100" w:afterAutospacing="1" w:line="360" w:lineRule="auto"/>
        <w:contextualSpacing/>
        <w:rPr>
          <w:rFonts w:cstheme="minorHAnsi"/>
        </w:rPr>
      </w:pPr>
    </w:p>
    <w:p w:rsidR="00895331" w:rsidRPr="00982AAD" w:rsidRDefault="00895331" w:rsidP="00895331">
      <w:pPr>
        <w:tabs>
          <w:tab w:val="center" w:pos="6379"/>
          <w:tab w:val="center" w:pos="7797"/>
        </w:tabs>
        <w:spacing w:before="100" w:beforeAutospacing="1" w:after="100" w:afterAutospacing="1" w:line="360" w:lineRule="auto"/>
        <w:contextualSpacing/>
        <w:rPr>
          <w:rFonts w:cstheme="minorHAnsi"/>
        </w:rPr>
      </w:pPr>
      <w:r w:rsidRPr="00982AAD">
        <w:rPr>
          <w:rFonts w:cstheme="minorHAnsi"/>
        </w:rPr>
        <w:t>In addition to provincial technical advisory committees, some professional associations play a role both in lobbying and in drafting recommendations about the use of vaccines or guidelines for their members. Examples are the Canadian Society of Microbiologists, the Canadian Public Health Association, and the College of Family Physicians of Canada. The most influential organization is the Canadian Pediatric Society with its standing committee on infectious diseases and immunization. Some of these associations have provincial branches; the Québec branches being the most autonomous.</w:t>
      </w:r>
    </w:p>
    <w:p w:rsidR="00895331" w:rsidRPr="00982AAD" w:rsidRDefault="00895331" w:rsidP="00895331">
      <w:pPr>
        <w:tabs>
          <w:tab w:val="center" w:pos="6379"/>
          <w:tab w:val="center" w:pos="7797"/>
        </w:tabs>
        <w:spacing w:before="100" w:beforeAutospacing="1" w:after="100" w:afterAutospacing="1" w:line="360" w:lineRule="auto"/>
        <w:contextualSpacing/>
        <w:rPr>
          <w:rFonts w:cstheme="minorHAnsi"/>
        </w:rPr>
      </w:pPr>
    </w:p>
    <w:p w:rsidR="00895331" w:rsidRPr="00982AAD" w:rsidRDefault="00895331" w:rsidP="00895331">
      <w:pPr>
        <w:tabs>
          <w:tab w:val="center" w:pos="6379"/>
          <w:tab w:val="center" w:pos="7797"/>
        </w:tabs>
        <w:spacing w:before="100" w:beforeAutospacing="1" w:after="100" w:afterAutospacing="1" w:line="360" w:lineRule="auto"/>
        <w:contextualSpacing/>
        <w:rPr>
          <w:rFonts w:cstheme="minorHAnsi"/>
        </w:rPr>
      </w:pPr>
      <w:r w:rsidRPr="00982AAD">
        <w:rPr>
          <w:rFonts w:cstheme="minorHAnsi"/>
        </w:rPr>
        <w:t xml:space="preserve">As far as civil society is concerned, anti-vaccination groups are the most organized and the most vocal. Some patient or family advocacy groups such as the Meningitis Research Foundation of Canada lobby for vaccines or support research, but their role is more limited than in other countries such as the United Kingdom, for example </w:t>
      </w:r>
      <w:r w:rsidRPr="00982AAD">
        <w:rPr>
          <w:rFonts w:cstheme="minorHAnsi"/>
          <w:color w:val="000000" w:themeColor="text1"/>
        </w:rPr>
        <w:t>[12].</w:t>
      </w:r>
    </w:p>
    <w:p w:rsidR="00895331" w:rsidRPr="00982AAD" w:rsidRDefault="00895331" w:rsidP="00895331">
      <w:pPr>
        <w:tabs>
          <w:tab w:val="center" w:pos="6379"/>
          <w:tab w:val="center" w:pos="7797"/>
        </w:tabs>
        <w:spacing w:before="100" w:beforeAutospacing="1" w:after="100" w:afterAutospacing="1" w:line="360" w:lineRule="auto"/>
        <w:contextualSpacing/>
        <w:rPr>
          <w:rFonts w:cstheme="minorHAnsi"/>
          <w:color w:val="FF0000"/>
        </w:rPr>
      </w:pPr>
    </w:p>
    <w:p w:rsidR="00895331" w:rsidRPr="00982AAD" w:rsidRDefault="00895331" w:rsidP="00895331">
      <w:pPr>
        <w:spacing w:before="100" w:beforeAutospacing="1" w:after="100" w:afterAutospacing="1" w:line="360" w:lineRule="auto"/>
        <w:rPr>
          <w:rFonts w:eastAsia="Times New Roman" w:cstheme="minorHAnsi"/>
          <w:color w:val="333333"/>
          <w:shd w:val="clear" w:color="auto" w:fill="FFFFFF"/>
          <w:lang w:eastAsia="fr-FR"/>
        </w:rPr>
      </w:pPr>
      <w:r w:rsidRPr="00982AAD">
        <w:rPr>
          <w:rFonts w:cstheme="minorHAnsi"/>
        </w:rPr>
        <w:t xml:space="preserve">The vaccine industry is well represented in Canada and includes both small start-up companies developing vaccines or vaccine-related technologies and major global producers. </w:t>
      </w:r>
      <w:r w:rsidRPr="00982AAD">
        <w:rPr>
          <w:rFonts w:eastAsia="Times New Roman" w:cstheme="minorHAnsi"/>
          <w:shd w:val="clear" w:color="auto" w:fill="FFFFFF"/>
          <w:lang w:eastAsia="fr-FR"/>
        </w:rPr>
        <w:t>BIOTECanada is the national industry association representing the health and agricultural biotechnology industrial sectors.</w:t>
      </w:r>
      <w:r w:rsidRPr="00982AAD">
        <w:rPr>
          <w:rFonts w:eastAsia="Times New Roman" w:cstheme="minorHAnsi"/>
          <w:color w:val="333333"/>
          <w:shd w:val="clear" w:color="auto" w:fill="FFFFFF"/>
          <w:lang w:eastAsia="fr-FR"/>
        </w:rPr>
        <w:t xml:space="preserve"> </w:t>
      </w:r>
      <w:r w:rsidRPr="00982AAD">
        <w:rPr>
          <w:rFonts w:cstheme="minorHAnsi"/>
        </w:rPr>
        <w:t xml:space="preserve">Within BIOTECanada, the Vaccine Industry Committee acts as a lobby for its members and promotes vaccines to the population </w:t>
      </w:r>
      <w:r w:rsidRPr="00982AAD">
        <w:rPr>
          <w:rFonts w:cstheme="minorHAnsi"/>
          <w:color w:val="000000" w:themeColor="text1"/>
        </w:rPr>
        <w:t>[13].</w:t>
      </w:r>
    </w:p>
    <w:p w:rsidR="00895331" w:rsidRPr="00982AAD" w:rsidRDefault="00895331" w:rsidP="00895331">
      <w:pPr>
        <w:tabs>
          <w:tab w:val="center" w:pos="6379"/>
          <w:tab w:val="center" w:pos="7797"/>
        </w:tabs>
        <w:spacing w:before="100" w:beforeAutospacing="1" w:after="100" w:afterAutospacing="1" w:line="360" w:lineRule="auto"/>
        <w:contextualSpacing/>
        <w:rPr>
          <w:rFonts w:cstheme="minorHAnsi"/>
        </w:rPr>
      </w:pPr>
      <w:r w:rsidRPr="00982AAD">
        <w:rPr>
          <w:rFonts w:cstheme="minorHAnsi"/>
        </w:rPr>
        <w:t xml:space="preserve">In terms of research, the Canadian Immunization Research Network (CIRN) brings together most Canadian researchers in the field of vaccines and immunization </w:t>
      </w:r>
      <w:r w:rsidRPr="00982AAD">
        <w:rPr>
          <w:rFonts w:cstheme="minorHAnsi"/>
          <w:color w:val="000000" w:themeColor="text1"/>
        </w:rPr>
        <w:t xml:space="preserve">[14]. </w:t>
      </w:r>
      <w:r w:rsidRPr="00982AAD">
        <w:rPr>
          <w:rFonts w:cstheme="minorHAnsi"/>
        </w:rPr>
        <w:t xml:space="preserve">This network is supported by funding from the Canadian Institutes for Health Research (CIHR). Specific infrastructure, networks, and projects are funded in whole or in part by other public or private sources. Part of this funding is reserved for training through doctoral or postdoctoral fellowships. However, the optimal link between CIRN’s priorities and the needs of expert committees and public health authorities remains to be attained. Finally, the Canadian Association for Immunization Research and Evaluation (CAIRE) brings together researchers, industry representatives, and public health authorities to promote and ensure better coordination in terms of vaccine research </w:t>
      </w:r>
      <w:r w:rsidRPr="00982AAD">
        <w:rPr>
          <w:rFonts w:cstheme="minorHAnsi"/>
          <w:color w:val="000000" w:themeColor="text1"/>
        </w:rPr>
        <w:t>[15]</w:t>
      </w:r>
      <w:r w:rsidRPr="00982AAD">
        <w:rPr>
          <w:rFonts w:cstheme="minorHAnsi"/>
        </w:rPr>
        <w:t>. This Association, however, lacks resources.</w:t>
      </w:r>
    </w:p>
    <w:p w:rsidR="00895331" w:rsidRPr="00982AAD" w:rsidRDefault="00895331" w:rsidP="00895331">
      <w:pPr>
        <w:tabs>
          <w:tab w:val="center" w:pos="6379"/>
          <w:tab w:val="center" w:pos="7797"/>
        </w:tabs>
        <w:spacing w:before="100" w:beforeAutospacing="1" w:after="100" w:afterAutospacing="1" w:line="360" w:lineRule="auto"/>
        <w:contextualSpacing/>
        <w:rPr>
          <w:rFonts w:cstheme="minorHAnsi"/>
        </w:rPr>
      </w:pPr>
    </w:p>
    <w:p w:rsidR="00F37EBB" w:rsidRPr="00982AAD" w:rsidRDefault="00F37EBB" w:rsidP="00895331">
      <w:pPr>
        <w:spacing w:before="100" w:beforeAutospacing="1" w:after="100" w:afterAutospacing="1" w:line="360" w:lineRule="auto"/>
        <w:rPr>
          <w:rFonts w:cstheme="minorHAnsi"/>
          <w:lang w:val="en-CA"/>
        </w:rPr>
      </w:pPr>
      <w:r w:rsidRPr="00982AAD">
        <w:rPr>
          <w:rFonts w:cstheme="minorHAnsi"/>
          <w:b/>
          <w:lang w:val="en-CA"/>
        </w:rPr>
        <w:t>References</w:t>
      </w:r>
    </w:p>
    <w:p w:rsidR="00F37EBB" w:rsidRPr="00982AAD" w:rsidRDefault="00895331" w:rsidP="00895331">
      <w:pPr>
        <w:spacing w:before="100" w:beforeAutospacing="1" w:after="100" w:afterAutospacing="1" w:line="360" w:lineRule="auto"/>
        <w:rPr>
          <w:rFonts w:cstheme="minorHAnsi"/>
        </w:rPr>
      </w:pPr>
      <w:r w:rsidRPr="00982AAD">
        <w:rPr>
          <w:rFonts w:cstheme="minorHAnsi"/>
        </w:rPr>
        <w:t xml:space="preserve"> </w:t>
      </w:r>
      <w:r w:rsidR="00F37EBB" w:rsidRPr="00982AAD">
        <w:rPr>
          <w:rFonts w:cstheme="minorHAnsi"/>
        </w:rPr>
        <w:t>[</w:t>
      </w:r>
      <w:r w:rsidRPr="00982AAD">
        <w:rPr>
          <w:rFonts w:cstheme="minorHAnsi"/>
        </w:rPr>
        <w:t>1</w:t>
      </w:r>
      <w:r w:rsidR="00F37EBB" w:rsidRPr="00982AAD">
        <w:rPr>
          <w:rFonts w:cstheme="minorHAnsi"/>
        </w:rPr>
        <w:t xml:space="preserve">] Public Health Agency of Canada [Internet]. Ottawa (ON): Canadian Immunization Guide. Available from: </w:t>
      </w:r>
      <w:hyperlink r:id="rId8" w:history="1">
        <w:r w:rsidR="00F37EBB" w:rsidRPr="00982AAD">
          <w:rPr>
            <w:rStyle w:val="Lienhypertexte"/>
            <w:rFonts w:cstheme="minorHAnsi"/>
          </w:rPr>
          <w:t>https://www.canada.ca/en/public-health/services/publications/healthy-living/canadian-immunization-guide-part-1-key-immunization-information.html</w:t>
        </w:r>
      </w:hyperlink>
    </w:p>
    <w:p w:rsidR="00F37EBB" w:rsidRPr="00982AAD" w:rsidRDefault="00895331" w:rsidP="00895331">
      <w:pPr>
        <w:autoSpaceDE w:val="0"/>
        <w:autoSpaceDN w:val="0"/>
        <w:adjustRightInd w:val="0"/>
        <w:spacing w:before="100" w:beforeAutospacing="1" w:after="100" w:afterAutospacing="1" w:line="360" w:lineRule="auto"/>
        <w:rPr>
          <w:rFonts w:cstheme="minorHAnsi"/>
        </w:rPr>
      </w:pPr>
      <w:r w:rsidRPr="00982AAD">
        <w:rPr>
          <w:rFonts w:cstheme="minorHAnsi"/>
        </w:rPr>
        <w:t xml:space="preserve"> </w:t>
      </w:r>
      <w:r w:rsidR="00F37EBB" w:rsidRPr="00982AAD">
        <w:rPr>
          <w:rFonts w:cstheme="minorHAnsi"/>
        </w:rPr>
        <w:t>[</w:t>
      </w:r>
      <w:r w:rsidRPr="00982AAD">
        <w:rPr>
          <w:rFonts w:cstheme="minorHAnsi"/>
        </w:rPr>
        <w:t>2</w:t>
      </w:r>
      <w:r w:rsidR="00F37EBB" w:rsidRPr="00982AAD">
        <w:rPr>
          <w:rFonts w:cstheme="minorHAnsi"/>
        </w:rPr>
        <w:t xml:space="preserve">] Health Canada [Internet]. Ottawa (ON): Biologics and Genetic Therapies Directorate. Available from: </w:t>
      </w:r>
      <w:hyperlink r:id="rId9" w:history="1">
        <w:r w:rsidR="00F37EBB" w:rsidRPr="00982AAD">
          <w:rPr>
            <w:rStyle w:val="Lienhypertexte"/>
            <w:rFonts w:cstheme="minorHAnsi"/>
          </w:rPr>
          <w:t>https://www.canada.ca/en/health-canada/corporate/about-health-canada/branches-agencies/health-products-food-branch/biologics-genetic-therapies-directorate.html</w:t>
        </w:r>
      </w:hyperlink>
    </w:p>
    <w:p w:rsidR="00F37EBB" w:rsidRPr="00982AAD" w:rsidRDefault="00F37EBB" w:rsidP="00895331">
      <w:pPr>
        <w:tabs>
          <w:tab w:val="left" w:pos="2127"/>
        </w:tabs>
        <w:spacing w:before="100" w:beforeAutospacing="1" w:after="100" w:afterAutospacing="1" w:line="360" w:lineRule="auto"/>
        <w:contextualSpacing/>
        <w:rPr>
          <w:rFonts w:cstheme="minorHAnsi"/>
        </w:rPr>
      </w:pPr>
      <w:r w:rsidRPr="00982AAD">
        <w:rPr>
          <w:rFonts w:cstheme="minorHAnsi"/>
        </w:rPr>
        <w:t>[</w:t>
      </w:r>
      <w:r w:rsidR="00895331" w:rsidRPr="00982AAD">
        <w:rPr>
          <w:rFonts w:cstheme="minorHAnsi"/>
        </w:rPr>
        <w:t>3</w:t>
      </w:r>
      <w:r w:rsidRPr="00982AAD">
        <w:rPr>
          <w:rFonts w:cstheme="minorHAnsi"/>
        </w:rPr>
        <w:t xml:space="preserve">] Health Canada [Internet]. Ottawa (ON): Canada Vigilance Program. Available from: </w:t>
      </w:r>
      <w:hyperlink r:id="rId10" w:history="1">
        <w:r w:rsidRPr="00982AAD">
          <w:rPr>
            <w:rStyle w:val="Lienhypertexte"/>
            <w:rFonts w:cstheme="minorHAnsi"/>
          </w:rPr>
          <w:t>https://www.canada.ca/en/health-canada/services/drugs-health-products/medeffect-canada/canada-vigilance-program.html</w:t>
        </w:r>
      </w:hyperlink>
    </w:p>
    <w:p w:rsidR="00F37EBB" w:rsidRPr="00982AAD" w:rsidRDefault="00895331" w:rsidP="00895331">
      <w:pPr>
        <w:spacing w:before="100" w:beforeAutospacing="1" w:after="100" w:afterAutospacing="1" w:line="360" w:lineRule="auto"/>
        <w:rPr>
          <w:rFonts w:cstheme="minorHAnsi"/>
        </w:rPr>
      </w:pPr>
      <w:r w:rsidRPr="00982AAD">
        <w:rPr>
          <w:rFonts w:cstheme="minorHAnsi"/>
        </w:rPr>
        <w:t>[4</w:t>
      </w:r>
      <w:r w:rsidR="00F37EBB" w:rsidRPr="00982AAD">
        <w:rPr>
          <w:rFonts w:cstheme="minorHAnsi"/>
        </w:rPr>
        <w:t xml:space="preserve">] Government of Canada [Internet]. Ottawa (ON): Public Health Agency Act 2006. Available at: </w:t>
      </w:r>
      <w:hyperlink r:id="rId11" w:history="1">
        <w:r w:rsidR="00F37EBB" w:rsidRPr="00982AAD">
          <w:rPr>
            <w:rStyle w:val="Lienhypertexte"/>
            <w:rFonts w:cstheme="minorHAnsi"/>
          </w:rPr>
          <w:t>http://lois-laws.justice.gc.ca/eng/acts/P-29.5/page-1.html</w:t>
        </w:r>
      </w:hyperlink>
    </w:p>
    <w:p w:rsidR="00F37EBB" w:rsidRPr="00982AAD" w:rsidRDefault="00F37EBB" w:rsidP="00895331">
      <w:pPr>
        <w:spacing w:before="100" w:beforeAutospacing="1" w:after="100" w:afterAutospacing="1" w:line="360" w:lineRule="auto"/>
        <w:rPr>
          <w:rFonts w:cstheme="minorHAnsi"/>
        </w:rPr>
      </w:pPr>
      <w:r w:rsidRPr="00982AAD">
        <w:rPr>
          <w:rFonts w:cstheme="minorHAnsi"/>
        </w:rPr>
        <w:t>[</w:t>
      </w:r>
      <w:r w:rsidR="00895331" w:rsidRPr="00982AAD">
        <w:rPr>
          <w:rFonts w:cstheme="minorHAnsi"/>
        </w:rPr>
        <w:t xml:space="preserve">5] </w:t>
      </w:r>
      <w:r w:rsidRPr="00982AAD">
        <w:rPr>
          <w:rFonts w:cstheme="minorHAnsi"/>
        </w:rPr>
        <w:t>Ismail SJ, Langley JM, Harris TM, et al. Canada's National Advisory Committee on Immunization (NACI): Evidence-based decision-making on vaccines and immunization. Vaccine 2010; 28S: A58-63.</w:t>
      </w:r>
    </w:p>
    <w:p w:rsidR="00F37EBB" w:rsidRPr="00982AAD" w:rsidRDefault="00895331" w:rsidP="00895331">
      <w:pPr>
        <w:spacing w:before="100" w:beforeAutospacing="1" w:after="100" w:afterAutospacing="1" w:line="360" w:lineRule="auto"/>
        <w:rPr>
          <w:rFonts w:cstheme="minorHAnsi"/>
        </w:rPr>
      </w:pPr>
      <w:r w:rsidRPr="00982AAD">
        <w:rPr>
          <w:rFonts w:cstheme="minorHAnsi"/>
        </w:rPr>
        <w:t xml:space="preserve"> </w:t>
      </w:r>
      <w:r w:rsidR="00F37EBB" w:rsidRPr="00982AAD">
        <w:rPr>
          <w:rFonts w:cstheme="minorHAnsi"/>
        </w:rPr>
        <w:t>[</w:t>
      </w:r>
      <w:r w:rsidRPr="00982AAD">
        <w:rPr>
          <w:rFonts w:cstheme="minorHAnsi"/>
        </w:rPr>
        <w:t>6</w:t>
      </w:r>
      <w:r w:rsidR="00F37EBB" w:rsidRPr="00982AAD">
        <w:rPr>
          <w:rFonts w:cstheme="minorHAnsi"/>
        </w:rPr>
        <w:t xml:space="preserve">] Public Health Agency of Canada [Internet]. Ottawa (ON): About CATMAT. Available from: </w:t>
      </w:r>
      <w:hyperlink r:id="rId12" w:history="1">
        <w:r w:rsidR="00F37EBB" w:rsidRPr="00982AAD">
          <w:rPr>
            <w:rStyle w:val="Lienhypertexte"/>
            <w:rFonts w:cstheme="minorHAnsi"/>
          </w:rPr>
          <w:t>https://www.canada.ca/en/public-health/services/catmat.html</w:t>
        </w:r>
      </w:hyperlink>
    </w:p>
    <w:p w:rsidR="00F37EBB" w:rsidRPr="00982AAD" w:rsidRDefault="00F37EBB" w:rsidP="00895331">
      <w:pPr>
        <w:spacing w:before="100" w:beforeAutospacing="1" w:after="100" w:afterAutospacing="1" w:line="360" w:lineRule="auto"/>
        <w:rPr>
          <w:rFonts w:cstheme="minorHAnsi"/>
        </w:rPr>
      </w:pPr>
      <w:r w:rsidRPr="00982AAD">
        <w:rPr>
          <w:rFonts w:cstheme="minorHAnsi"/>
        </w:rPr>
        <w:t>[</w:t>
      </w:r>
      <w:r w:rsidR="00895331" w:rsidRPr="00982AAD">
        <w:rPr>
          <w:rFonts w:cstheme="minorHAnsi"/>
        </w:rPr>
        <w:t>7</w:t>
      </w:r>
      <w:r w:rsidRPr="00982AAD">
        <w:rPr>
          <w:rFonts w:cstheme="minorHAnsi"/>
        </w:rPr>
        <w:t xml:space="preserve">] Canadian Public Health Association [Internet]. Ottawa (ON): Canadian Immunization Conference (CIC) 2018. Available from: </w:t>
      </w:r>
      <w:hyperlink r:id="rId13" w:history="1">
        <w:r w:rsidRPr="00982AAD">
          <w:rPr>
            <w:rStyle w:val="Lienhypertexte"/>
            <w:rFonts w:cstheme="minorHAnsi"/>
          </w:rPr>
          <w:t>https://cic-cci.ca/home/about-cic2018/</w:t>
        </w:r>
      </w:hyperlink>
    </w:p>
    <w:p w:rsidR="00895331" w:rsidRPr="00982AAD" w:rsidRDefault="00895331" w:rsidP="00895331">
      <w:pPr>
        <w:pStyle w:val="Default"/>
        <w:spacing w:before="100" w:beforeAutospacing="1" w:after="100" w:afterAutospacing="1" w:line="360" w:lineRule="auto"/>
        <w:rPr>
          <w:rFonts w:asciiTheme="minorHAnsi" w:hAnsiTheme="minorHAnsi" w:cstheme="minorHAnsi"/>
        </w:rPr>
      </w:pPr>
      <w:r w:rsidRPr="00982AAD">
        <w:rPr>
          <w:rFonts w:asciiTheme="minorHAnsi" w:hAnsiTheme="minorHAnsi" w:cstheme="minorHAnsi"/>
        </w:rPr>
        <w:t xml:space="preserve">[8] </w:t>
      </w:r>
      <w:r w:rsidRPr="00982AAD">
        <w:rPr>
          <w:rFonts w:asciiTheme="minorHAnsi" w:hAnsiTheme="minorHAnsi" w:cstheme="minorHAnsi"/>
          <w:bCs/>
        </w:rPr>
        <w:t xml:space="preserve">Canada’s Response to the 2009 H1N1 Influenza Pandemic. </w:t>
      </w:r>
      <w:r w:rsidRPr="00982AAD">
        <w:rPr>
          <w:rFonts w:asciiTheme="minorHAnsi" w:hAnsiTheme="minorHAnsi" w:cstheme="minorHAnsi"/>
          <w:iCs/>
        </w:rPr>
        <w:t xml:space="preserve">Ottawa (ON): The Standing Senate Committee on Social Affairs, Science and Technology, 2010. Available from: </w:t>
      </w:r>
      <w:hyperlink r:id="rId14" w:history="1">
        <w:r w:rsidRPr="00982AAD">
          <w:rPr>
            <w:rStyle w:val="Lienhypertexte"/>
            <w:rFonts w:asciiTheme="minorHAnsi" w:hAnsiTheme="minorHAnsi" w:cstheme="minorHAnsi"/>
            <w:iCs/>
          </w:rPr>
          <w:t>https://sencanada.ca/content/sen/committee/403/soci/rep/rep15dec10-e.pdf</w:t>
        </w:r>
      </w:hyperlink>
    </w:p>
    <w:p w:rsidR="00F37EBB" w:rsidRPr="00982AAD" w:rsidRDefault="00F37EBB" w:rsidP="00895331">
      <w:pPr>
        <w:spacing w:before="100" w:beforeAutospacing="1" w:after="100" w:afterAutospacing="1" w:line="360" w:lineRule="auto"/>
        <w:rPr>
          <w:rFonts w:cstheme="minorHAnsi"/>
        </w:rPr>
      </w:pPr>
      <w:r w:rsidRPr="00982AAD">
        <w:rPr>
          <w:rFonts w:cstheme="minorHAnsi"/>
        </w:rPr>
        <w:t>[</w:t>
      </w:r>
      <w:r w:rsidR="00895331" w:rsidRPr="00982AAD">
        <w:rPr>
          <w:rFonts w:cstheme="minorHAnsi"/>
        </w:rPr>
        <w:t>9</w:t>
      </w:r>
      <w:r w:rsidRPr="00982AAD">
        <w:rPr>
          <w:rFonts w:cstheme="minorHAnsi"/>
        </w:rPr>
        <w:t xml:space="preserve">] Government of Canada [Internet]. Ottawa (ON): Public Services and Procurement Canada. Available from: </w:t>
      </w:r>
      <w:hyperlink r:id="rId15" w:history="1">
        <w:r w:rsidRPr="00982AAD">
          <w:rPr>
            <w:rStyle w:val="Lienhypertexte"/>
            <w:rFonts w:cstheme="minorHAnsi"/>
          </w:rPr>
          <w:t>https://www.tpsgc-pwgsc.gc.ca/comm/index-eng.html</w:t>
        </w:r>
      </w:hyperlink>
    </w:p>
    <w:p w:rsidR="00F37EBB" w:rsidRPr="00982AAD" w:rsidRDefault="00F37EBB" w:rsidP="00895331">
      <w:pPr>
        <w:spacing w:before="100" w:beforeAutospacing="1" w:after="100" w:afterAutospacing="1" w:line="360" w:lineRule="auto"/>
        <w:rPr>
          <w:rFonts w:cstheme="minorHAnsi"/>
        </w:rPr>
      </w:pPr>
      <w:r w:rsidRPr="00982AAD">
        <w:rPr>
          <w:rFonts w:cstheme="minorHAnsi"/>
          <w:lang w:val="fr-FR"/>
        </w:rPr>
        <w:t>[</w:t>
      </w:r>
      <w:r w:rsidR="00895331" w:rsidRPr="00982AAD">
        <w:rPr>
          <w:rFonts w:cstheme="minorHAnsi"/>
          <w:lang w:val="fr-FR"/>
        </w:rPr>
        <w:t>10</w:t>
      </w:r>
      <w:r w:rsidRPr="00982AAD">
        <w:rPr>
          <w:rFonts w:cstheme="minorHAnsi"/>
          <w:lang w:val="fr-FR"/>
        </w:rPr>
        <w:t xml:space="preserve">] Institut national de santé publique du Québec [Internet]. Québec (QC): Comité sur l’immunisation du Québec (CIQ). </w:t>
      </w:r>
      <w:r w:rsidRPr="00982AAD">
        <w:rPr>
          <w:rFonts w:cstheme="minorHAnsi"/>
        </w:rPr>
        <w:t xml:space="preserve">Available from: </w:t>
      </w:r>
      <w:hyperlink r:id="rId16" w:history="1">
        <w:r w:rsidRPr="00982AAD">
          <w:rPr>
            <w:rStyle w:val="Lienhypertexte"/>
            <w:rFonts w:cstheme="minorHAnsi"/>
          </w:rPr>
          <w:t>https://www.inspq.qc.ca/immunisation/comite-sur-l-immunisation-du-quebec-ciq</w:t>
        </w:r>
      </w:hyperlink>
    </w:p>
    <w:p w:rsidR="00F37EBB" w:rsidRPr="00982AAD" w:rsidRDefault="00F37EBB" w:rsidP="00895331">
      <w:pPr>
        <w:spacing w:before="100" w:beforeAutospacing="1" w:after="100" w:afterAutospacing="1" w:line="360" w:lineRule="auto"/>
        <w:rPr>
          <w:rFonts w:cstheme="minorHAnsi"/>
          <w:lang w:val="fr-FR"/>
        </w:rPr>
      </w:pPr>
      <w:r w:rsidRPr="00A64713">
        <w:rPr>
          <w:rFonts w:cstheme="minorHAnsi"/>
          <w:lang w:val="en-CA"/>
        </w:rPr>
        <w:t xml:space="preserve"> </w:t>
      </w:r>
      <w:r w:rsidRPr="00982AAD">
        <w:rPr>
          <w:rFonts w:cstheme="minorHAnsi"/>
          <w:lang w:val="fr-FR"/>
        </w:rPr>
        <w:t>[</w:t>
      </w:r>
      <w:r w:rsidR="00895331" w:rsidRPr="00982AAD">
        <w:rPr>
          <w:rFonts w:cstheme="minorHAnsi"/>
          <w:lang w:val="fr-FR"/>
        </w:rPr>
        <w:t>11</w:t>
      </w:r>
      <w:r w:rsidRPr="00982AAD">
        <w:rPr>
          <w:rFonts w:cstheme="minorHAnsi"/>
          <w:lang w:val="fr-FR"/>
        </w:rPr>
        <w:t xml:space="preserve">] Ministère de la santé et des Services sociaux du Québec [Internet]. Québec (QC): Protocole d'immunisation du Québec (PIQ). Available from: </w:t>
      </w:r>
      <w:hyperlink r:id="rId17" w:history="1">
        <w:r w:rsidRPr="00982AAD">
          <w:rPr>
            <w:rStyle w:val="Lienhypertexte"/>
            <w:rFonts w:cstheme="minorHAnsi"/>
            <w:lang w:val="fr-FR"/>
          </w:rPr>
          <w:t>http://www.msss.gouv.qc.ca/professionnels/vaccination/protocole-d-immunisation-du-quebec-piq/</w:t>
        </w:r>
      </w:hyperlink>
    </w:p>
    <w:p w:rsidR="00F37EBB" w:rsidRPr="00982AAD" w:rsidRDefault="00F37EBB" w:rsidP="00895331">
      <w:pPr>
        <w:autoSpaceDE w:val="0"/>
        <w:autoSpaceDN w:val="0"/>
        <w:adjustRightInd w:val="0"/>
        <w:spacing w:before="100" w:beforeAutospacing="1" w:after="100" w:afterAutospacing="1" w:line="360" w:lineRule="auto"/>
        <w:rPr>
          <w:rFonts w:cstheme="minorHAnsi"/>
        </w:rPr>
      </w:pPr>
      <w:r w:rsidRPr="00982AAD">
        <w:rPr>
          <w:rFonts w:cstheme="minorHAnsi"/>
        </w:rPr>
        <w:t>[</w:t>
      </w:r>
      <w:r w:rsidR="00895331" w:rsidRPr="00982AAD">
        <w:rPr>
          <w:rFonts w:cstheme="minorHAnsi"/>
        </w:rPr>
        <w:t>12</w:t>
      </w:r>
      <w:r w:rsidRPr="00982AAD">
        <w:rPr>
          <w:rFonts w:cstheme="minorHAnsi"/>
        </w:rPr>
        <w:t xml:space="preserve">] Gold R. The Meningitis Research Foundation of Canada. Paediatr Child Health, 2001; 6(3): 125. </w:t>
      </w:r>
    </w:p>
    <w:p w:rsidR="00F37EBB" w:rsidRPr="00982AAD" w:rsidRDefault="00F37EBB" w:rsidP="00895331">
      <w:pPr>
        <w:spacing w:before="100" w:beforeAutospacing="1" w:after="100" w:afterAutospacing="1" w:line="360" w:lineRule="auto"/>
        <w:rPr>
          <w:rFonts w:cstheme="minorHAnsi"/>
        </w:rPr>
      </w:pPr>
      <w:r w:rsidRPr="00982AAD">
        <w:rPr>
          <w:rFonts w:cstheme="minorHAnsi"/>
        </w:rPr>
        <w:t>[</w:t>
      </w:r>
      <w:r w:rsidR="00895331" w:rsidRPr="00982AAD">
        <w:rPr>
          <w:rFonts w:cstheme="minorHAnsi"/>
        </w:rPr>
        <w:t>13</w:t>
      </w:r>
      <w:r w:rsidRPr="00982AAD">
        <w:rPr>
          <w:rFonts w:cstheme="minorHAnsi"/>
        </w:rPr>
        <w:t xml:space="preserve">] BIOTECanada [Internet]. Ottawa (ON): Mission statement. Available from: </w:t>
      </w:r>
      <w:hyperlink r:id="rId18" w:history="1">
        <w:r w:rsidRPr="00982AAD">
          <w:rPr>
            <w:rStyle w:val="Lienhypertexte"/>
            <w:rFonts w:cstheme="minorHAnsi"/>
          </w:rPr>
          <w:t>http://www.biotech.ca/</w:t>
        </w:r>
      </w:hyperlink>
    </w:p>
    <w:p w:rsidR="00F37EBB" w:rsidRPr="00982AAD" w:rsidRDefault="00895331" w:rsidP="00895331">
      <w:pPr>
        <w:spacing w:before="100" w:beforeAutospacing="1" w:after="100" w:afterAutospacing="1" w:line="360" w:lineRule="auto"/>
        <w:rPr>
          <w:rFonts w:cstheme="minorHAnsi"/>
        </w:rPr>
      </w:pPr>
      <w:r w:rsidRPr="00982AAD">
        <w:rPr>
          <w:rFonts w:cstheme="minorHAnsi"/>
        </w:rPr>
        <w:t>[14</w:t>
      </w:r>
      <w:r w:rsidR="00F37EBB" w:rsidRPr="00982AAD">
        <w:rPr>
          <w:rFonts w:cstheme="minorHAnsi"/>
        </w:rPr>
        <w:t xml:space="preserve">] Canadian Immunization Research Network (CIRN) [Internet]. Halifax (NS): About us. Available from: </w:t>
      </w:r>
      <w:hyperlink r:id="rId19" w:history="1">
        <w:r w:rsidR="00F37EBB" w:rsidRPr="00982AAD">
          <w:rPr>
            <w:rStyle w:val="Lienhypertexte"/>
            <w:rFonts w:cstheme="minorHAnsi"/>
          </w:rPr>
          <w:t>http://cirnetwork.ca/</w:t>
        </w:r>
      </w:hyperlink>
    </w:p>
    <w:p w:rsidR="00F37EBB" w:rsidRPr="00895331" w:rsidRDefault="00895331" w:rsidP="00895331">
      <w:pPr>
        <w:spacing w:before="100" w:beforeAutospacing="1" w:after="100" w:afterAutospacing="1" w:line="360" w:lineRule="auto"/>
        <w:ind w:firstLine="34"/>
        <w:rPr>
          <w:rFonts w:cstheme="minorHAnsi"/>
        </w:rPr>
      </w:pPr>
      <w:r w:rsidRPr="00982AAD">
        <w:rPr>
          <w:rFonts w:cstheme="minorHAnsi"/>
        </w:rPr>
        <w:t>[15</w:t>
      </w:r>
      <w:r w:rsidR="00F37EBB" w:rsidRPr="00982AAD">
        <w:rPr>
          <w:rFonts w:cstheme="minorHAnsi"/>
        </w:rPr>
        <w:t xml:space="preserve">] Canadian Association for Immunization Research and Evaluation (CAIRE) [Internet]. Ottawa (ON): Terms of reference. Available from: </w:t>
      </w:r>
      <w:hyperlink r:id="rId20" w:history="1">
        <w:r w:rsidR="00F37EBB" w:rsidRPr="00982AAD">
          <w:rPr>
            <w:rStyle w:val="Lienhypertexte"/>
            <w:rFonts w:cstheme="minorHAnsi"/>
          </w:rPr>
          <w:t>https://www.immunize.ca/resources/caire-canadian-association-immunization-research-and-evaluation</w:t>
        </w:r>
      </w:hyperlink>
    </w:p>
    <w:p w:rsidR="00BE793A" w:rsidRPr="00895331" w:rsidRDefault="00BE793A" w:rsidP="00895331">
      <w:pPr>
        <w:tabs>
          <w:tab w:val="left" w:pos="8492"/>
        </w:tabs>
        <w:spacing w:before="100" w:beforeAutospacing="1" w:after="100" w:afterAutospacing="1" w:line="360" w:lineRule="auto"/>
        <w:contextualSpacing/>
        <w:rPr>
          <w:rFonts w:eastAsia="MS Mincho" w:cstheme="minorHAnsi"/>
          <w:lang w:val="en-CA"/>
        </w:rPr>
      </w:pPr>
    </w:p>
    <w:sectPr w:rsidR="00BE793A" w:rsidRPr="00895331" w:rsidSect="00400989">
      <w:headerReference w:type="default" r:id="rId21"/>
      <w:footerReference w:type="default" r:id="rId22"/>
      <w:pgSz w:w="12240" w:h="15840"/>
      <w:pgMar w:top="68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2FE" w:rsidRDefault="00B712FE" w:rsidP="00602DE0">
      <w:r>
        <w:separator/>
      </w:r>
    </w:p>
  </w:endnote>
  <w:endnote w:type="continuationSeparator" w:id="0">
    <w:p w:rsidR="00B712FE" w:rsidRDefault="00B712FE" w:rsidP="00602D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1376"/>
      <w:docPartObj>
        <w:docPartGallery w:val="Page Numbers (Bottom of Page)"/>
        <w:docPartUnique/>
      </w:docPartObj>
    </w:sdtPr>
    <w:sdtContent>
      <w:p w:rsidR="000343CF" w:rsidRDefault="00390396">
        <w:pPr>
          <w:pStyle w:val="Pieddepage"/>
          <w:jc w:val="right"/>
        </w:pPr>
        <w:r>
          <w:rPr>
            <w:noProof/>
          </w:rPr>
          <w:fldChar w:fldCharType="begin"/>
        </w:r>
        <w:r w:rsidR="000343CF">
          <w:rPr>
            <w:noProof/>
          </w:rPr>
          <w:instrText xml:space="preserve"> PAGE   \* MERGEFORMAT </w:instrText>
        </w:r>
        <w:r>
          <w:rPr>
            <w:noProof/>
          </w:rPr>
          <w:fldChar w:fldCharType="separate"/>
        </w:r>
        <w:r w:rsidR="00B712FE">
          <w:rPr>
            <w:noProof/>
          </w:rPr>
          <w:t>1</w:t>
        </w:r>
        <w:r>
          <w:rPr>
            <w:noProof/>
          </w:rPr>
          <w:fldChar w:fldCharType="end"/>
        </w:r>
      </w:p>
    </w:sdtContent>
  </w:sdt>
  <w:p w:rsidR="000343CF" w:rsidRDefault="000343C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2FE" w:rsidRDefault="00B712FE" w:rsidP="00602DE0">
      <w:r>
        <w:separator/>
      </w:r>
    </w:p>
  </w:footnote>
  <w:footnote w:type="continuationSeparator" w:id="0">
    <w:p w:rsidR="00B712FE" w:rsidRDefault="00B712FE" w:rsidP="00602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CF" w:rsidRPr="00912B03" w:rsidRDefault="00895331">
    <w:pPr>
      <w:pStyle w:val="En-tte"/>
      <w:rPr>
        <w:i/>
        <w:sz w:val="20"/>
        <w:szCs w:val="20"/>
      </w:rPr>
    </w:pPr>
    <w:r>
      <w:rPr>
        <w:i/>
        <w:sz w:val="20"/>
        <w:szCs w:val="20"/>
      </w:rPr>
      <w:t>SUPPLEMENTARY MATERIAL</w:t>
    </w:r>
  </w:p>
  <w:p w:rsidR="000343CF" w:rsidRDefault="000343C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0C6E"/>
    <w:multiLevelType w:val="multilevel"/>
    <w:tmpl w:val="0124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C342D"/>
    <w:multiLevelType w:val="hybridMultilevel"/>
    <w:tmpl w:val="CBE470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5F2B6D"/>
    <w:multiLevelType w:val="hybridMultilevel"/>
    <w:tmpl w:val="51D6DC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1B689B"/>
    <w:multiLevelType w:val="multilevel"/>
    <w:tmpl w:val="A6B0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0C0CEC"/>
    <w:multiLevelType w:val="multilevel"/>
    <w:tmpl w:val="E202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3025A9"/>
    <w:multiLevelType w:val="hybridMultilevel"/>
    <w:tmpl w:val="2132060C"/>
    <w:lvl w:ilvl="0" w:tplc="10090001">
      <w:start w:val="1"/>
      <w:numFmt w:val="bullet"/>
      <w:lvlText w:val=""/>
      <w:lvlJc w:val="left"/>
      <w:pPr>
        <w:ind w:left="3589" w:hanging="360"/>
      </w:pPr>
      <w:rPr>
        <w:rFonts w:ascii="Symbol" w:hAnsi="Symbol" w:hint="default"/>
      </w:rPr>
    </w:lvl>
    <w:lvl w:ilvl="1" w:tplc="10090003" w:tentative="1">
      <w:start w:val="1"/>
      <w:numFmt w:val="bullet"/>
      <w:lvlText w:val="o"/>
      <w:lvlJc w:val="left"/>
      <w:pPr>
        <w:ind w:left="4309" w:hanging="360"/>
      </w:pPr>
      <w:rPr>
        <w:rFonts w:ascii="Courier New" w:hAnsi="Courier New" w:cs="Courier New" w:hint="default"/>
      </w:rPr>
    </w:lvl>
    <w:lvl w:ilvl="2" w:tplc="10090005" w:tentative="1">
      <w:start w:val="1"/>
      <w:numFmt w:val="bullet"/>
      <w:lvlText w:val=""/>
      <w:lvlJc w:val="left"/>
      <w:pPr>
        <w:ind w:left="5029" w:hanging="360"/>
      </w:pPr>
      <w:rPr>
        <w:rFonts w:ascii="Wingdings" w:hAnsi="Wingdings" w:hint="default"/>
      </w:rPr>
    </w:lvl>
    <w:lvl w:ilvl="3" w:tplc="10090001" w:tentative="1">
      <w:start w:val="1"/>
      <w:numFmt w:val="bullet"/>
      <w:lvlText w:val=""/>
      <w:lvlJc w:val="left"/>
      <w:pPr>
        <w:ind w:left="5749" w:hanging="360"/>
      </w:pPr>
      <w:rPr>
        <w:rFonts w:ascii="Symbol" w:hAnsi="Symbol" w:hint="default"/>
      </w:rPr>
    </w:lvl>
    <w:lvl w:ilvl="4" w:tplc="10090003" w:tentative="1">
      <w:start w:val="1"/>
      <w:numFmt w:val="bullet"/>
      <w:lvlText w:val="o"/>
      <w:lvlJc w:val="left"/>
      <w:pPr>
        <w:ind w:left="6469" w:hanging="360"/>
      </w:pPr>
      <w:rPr>
        <w:rFonts w:ascii="Courier New" w:hAnsi="Courier New" w:cs="Courier New" w:hint="default"/>
      </w:rPr>
    </w:lvl>
    <w:lvl w:ilvl="5" w:tplc="10090005" w:tentative="1">
      <w:start w:val="1"/>
      <w:numFmt w:val="bullet"/>
      <w:lvlText w:val=""/>
      <w:lvlJc w:val="left"/>
      <w:pPr>
        <w:ind w:left="7189" w:hanging="360"/>
      </w:pPr>
      <w:rPr>
        <w:rFonts w:ascii="Wingdings" w:hAnsi="Wingdings" w:hint="default"/>
      </w:rPr>
    </w:lvl>
    <w:lvl w:ilvl="6" w:tplc="10090001" w:tentative="1">
      <w:start w:val="1"/>
      <w:numFmt w:val="bullet"/>
      <w:lvlText w:val=""/>
      <w:lvlJc w:val="left"/>
      <w:pPr>
        <w:ind w:left="7909" w:hanging="360"/>
      </w:pPr>
      <w:rPr>
        <w:rFonts w:ascii="Symbol" w:hAnsi="Symbol" w:hint="default"/>
      </w:rPr>
    </w:lvl>
    <w:lvl w:ilvl="7" w:tplc="10090003" w:tentative="1">
      <w:start w:val="1"/>
      <w:numFmt w:val="bullet"/>
      <w:lvlText w:val="o"/>
      <w:lvlJc w:val="left"/>
      <w:pPr>
        <w:ind w:left="8629" w:hanging="360"/>
      </w:pPr>
      <w:rPr>
        <w:rFonts w:ascii="Courier New" w:hAnsi="Courier New" w:cs="Courier New" w:hint="default"/>
      </w:rPr>
    </w:lvl>
    <w:lvl w:ilvl="8" w:tplc="10090005" w:tentative="1">
      <w:start w:val="1"/>
      <w:numFmt w:val="bullet"/>
      <w:lvlText w:val=""/>
      <w:lvlJc w:val="left"/>
      <w:pPr>
        <w:ind w:left="9349" w:hanging="360"/>
      </w:pPr>
      <w:rPr>
        <w:rFonts w:ascii="Wingdings" w:hAnsi="Wingdings" w:hint="default"/>
      </w:rPr>
    </w:lvl>
  </w:abstractNum>
  <w:abstractNum w:abstractNumId="6">
    <w:nsid w:val="700C4EDC"/>
    <w:multiLevelType w:val="hybridMultilevel"/>
    <w:tmpl w:val="1D709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B3913B4"/>
    <w:multiLevelType w:val="hybridMultilevel"/>
    <w:tmpl w:val="0138FA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1"/>
  <w:activeWritingStyle w:appName="MSWord" w:lang="en-CA" w:vendorID="64" w:dllVersion="6" w:nlCheck="1" w:checkStyle="1"/>
  <w:activeWritingStyle w:appName="MSWord" w:lang="de-DE" w:vendorID="64" w:dllVersion="6" w:nlCheck="1" w:checkStyle="1"/>
  <w:activeWritingStyle w:appName="MSWord" w:lang="en-US" w:vendorID="64" w:dllVersion="6" w:nlCheck="1" w:checkStyle="1"/>
  <w:activeWritingStyle w:appName="MSWord" w:lang="fr-CA" w:vendorID="64" w:dllVersion="6" w:nlCheck="1" w:checkStyle="1"/>
  <w:activeWritingStyle w:appName="MSWord" w:lang="fr-F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ttachedTemplate r:id="rId1"/>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useFELayout/>
  </w:compat>
  <w:rsids>
    <w:rsidRoot w:val="00CE284F"/>
    <w:rsid w:val="000004D9"/>
    <w:rsid w:val="00001A4C"/>
    <w:rsid w:val="0000215F"/>
    <w:rsid w:val="00003BEF"/>
    <w:rsid w:val="00003E4D"/>
    <w:rsid w:val="0000401C"/>
    <w:rsid w:val="00007794"/>
    <w:rsid w:val="00013602"/>
    <w:rsid w:val="00022FAD"/>
    <w:rsid w:val="000343CF"/>
    <w:rsid w:val="00044FD7"/>
    <w:rsid w:val="00047E6C"/>
    <w:rsid w:val="00056E78"/>
    <w:rsid w:val="00057120"/>
    <w:rsid w:val="00057220"/>
    <w:rsid w:val="000736AA"/>
    <w:rsid w:val="0007399F"/>
    <w:rsid w:val="00073D62"/>
    <w:rsid w:val="00077D5A"/>
    <w:rsid w:val="00086430"/>
    <w:rsid w:val="00086A1E"/>
    <w:rsid w:val="000909C4"/>
    <w:rsid w:val="000928FD"/>
    <w:rsid w:val="0009415B"/>
    <w:rsid w:val="00095A41"/>
    <w:rsid w:val="000961A3"/>
    <w:rsid w:val="00096BA2"/>
    <w:rsid w:val="000976CF"/>
    <w:rsid w:val="000A0AAA"/>
    <w:rsid w:val="000B1CB1"/>
    <w:rsid w:val="000B6D44"/>
    <w:rsid w:val="000C2935"/>
    <w:rsid w:val="000C403F"/>
    <w:rsid w:val="000D2FCE"/>
    <w:rsid w:val="000D4470"/>
    <w:rsid w:val="000D7E37"/>
    <w:rsid w:val="000E0CF4"/>
    <w:rsid w:val="000E3ED1"/>
    <w:rsid w:val="000E78DB"/>
    <w:rsid w:val="000F03CB"/>
    <w:rsid w:val="000F07B0"/>
    <w:rsid w:val="000F2A0D"/>
    <w:rsid w:val="000F44DD"/>
    <w:rsid w:val="00101C48"/>
    <w:rsid w:val="00113C81"/>
    <w:rsid w:val="00123A86"/>
    <w:rsid w:val="00126360"/>
    <w:rsid w:val="00126DFE"/>
    <w:rsid w:val="0013557D"/>
    <w:rsid w:val="00136470"/>
    <w:rsid w:val="00144346"/>
    <w:rsid w:val="00146472"/>
    <w:rsid w:val="00147CA1"/>
    <w:rsid w:val="0015014C"/>
    <w:rsid w:val="00153E0E"/>
    <w:rsid w:val="00156F1F"/>
    <w:rsid w:val="00157A1C"/>
    <w:rsid w:val="00172EAF"/>
    <w:rsid w:val="00177D4F"/>
    <w:rsid w:val="00182819"/>
    <w:rsid w:val="00187321"/>
    <w:rsid w:val="001913C8"/>
    <w:rsid w:val="001A10D6"/>
    <w:rsid w:val="001A3A27"/>
    <w:rsid w:val="001A3EDF"/>
    <w:rsid w:val="001B08CE"/>
    <w:rsid w:val="001B36B2"/>
    <w:rsid w:val="001C5D0A"/>
    <w:rsid w:val="001C5E49"/>
    <w:rsid w:val="001E4D22"/>
    <w:rsid w:val="001E59A9"/>
    <w:rsid w:val="001F1D9D"/>
    <w:rsid w:val="001F2132"/>
    <w:rsid w:val="001F2AFA"/>
    <w:rsid w:val="001F2C4A"/>
    <w:rsid w:val="001F33BD"/>
    <w:rsid w:val="001F4FAB"/>
    <w:rsid w:val="001F7626"/>
    <w:rsid w:val="00211D6D"/>
    <w:rsid w:val="002135A7"/>
    <w:rsid w:val="00213CC5"/>
    <w:rsid w:val="00224B48"/>
    <w:rsid w:val="00224EEB"/>
    <w:rsid w:val="00224F77"/>
    <w:rsid w:val="00225145"/>
    <w:rsid w:val="0023155F"/>
    <w:rsid w:val="00233419"/>
    <w:rsid w:val="002359DF"/>
    <w:rsid w:val="00235A61"/>
    <w:rsid w:val="00242E0B"/>
    <w:rsid w:val="00243B1F"/>
    <w:rsid w:val="00244717"/>
    <w:rsid w:val="0024525C"/>
    <w:rsid w:val="002501F9"/>
    <w:rsid w:val="00250D92"/>
    <w:rsid w:val="0025561B"/>
    <w:rsid w:val="00256251"/>
    <w:rsid w:val="00260CC4"/>
    <w:rsid w:val="002648A4"/>
    <w:rsid w:val="00264BD6"/>
    <w:rsid w:val="0026502B"/>
    <w:rsid w:val="00266A84"/>
    <w:rsid w:val="00267129"/>
    <w:rsid w:val="00267E23"/>
    <w:rsid w:val="0028226C"/>
    <w:rsid w:val="00283490"/>
    <w:rsid w:val="0028353D"/>
    <w:rsid w:val="00292338"/>
    <w:rsid w:val="00293710"/>
    <w:rsid w:val="002940F6"/>
    <w:rsid w:val="0029426D"/>
    <w:rsid w:val="00296CDD"/>
    <w:rsid w:val="002A3A92"/>
    <w:rsid w:val="002A609C"/>
    <w:rsid w:val="002A79D1"/>
    <w:rsid w:val="002B413A"/>
    <w:rsid w:val="002B4817"/>
    <w:rsid w:val="002C1718"/>
    <w:rsid w:val="002C4474"/>
    <w:rsid w:val="002C72BE"/>
    <w:rsid w:val="002D1B8A"/>
    <w:rsid w:val="002E15B8"/>
    <w:rsid w:val="002F04B9"/>
    <w:rsid w:val="002F2C31"/>
    <w:rsid w:val="002F3070"/>
    <w:rsid w:val="002F5636"/>
    <w:rsid w:val="002F5C60"/>
    <w:rsid w:val="002F6F32"/>
    <w:rsid w:val="0030039F"/>
    <w:rsid w:val="00300C08"/>
    <w:rsid w:val="00302F46"/>
    <w:rsid w:val="00302FD1"/>
    <w:rsid w:val="0030603A"/>
    <w:rsid w:val="00307E3E"/>
    <w:rsid w:val="00311DFE"/>
    <w:rsid w:val="003154F9"/>
    <w:rsid w:val="003200FC"/>
    <w:rsid w:val="0032116C"/>
    <w:rsid w:val="00325159"/>
    <w:rsid w:val="00325D3B"/>
    <w:rsid w:val="00326480"/>
    <w:rsid w:val="003328EA"/>
    <w:rsid w:val="0033369A"/>
    <w:rsid w:val="00335885"/>
    <w:rsid w:val="00342EFF"/>
    <w:rsid w:val="0034350C"/>
    <w:rsid w:val="00350BAA"/>
    <w:rsid w:val="00354EA4"/>
    <w:rsid w:val="00360968"/>
    <w:rsid w:val="00362B4E"/>
    <w:rsid w:val="00363643"/>
    <w:rsid w:val="00365B15"/>
    <w:rsid w:val="003732A0"/>
    <w:rsid w:val="00375094"/>
    <w:rsid w:val="0038497E"/>
    <w:rsid w:val="00385430"/>
    <w:rsid w:val="00390396"/>
    <w:rsid w:val="00390574"/>
    <w:rsid w:val="00397767"/>
    <w:rsid w:val="003A19D0"/>
    <w:rsid w:val="003B30D8"/>
    <w:rsid w:val="003B6C49"/>
    <w:rsid w:val="003B77F2"/>
    <w:rsid w:val="003C169F"/>
    <w:rsid w:val="003C20CA"/>
    <w:rsid w:val="003D66BF"/>
    <w:rsid w:val="003D7D95"/>
    <w:rsid w:val="003F20C8"/>
    <w:rsid w:val="003F3B8A"/>
    <w:rsid w:val="003F73DE"/>
    <w:rsid w:val="00400989"/>
    <w:rsid w:val="00407698"/>
    <w:rsid w:val="00412991"/>
    <w:rsid w:val="004172A7"/>
    <w:rsid w:val="004327B4"/>
    <w:rsid w:val="00432E38"/>
    <w:rsid w:val="00433956"/>
    <w:rsid w:val="00433F29"/>
    <w:rsid w:val="00441EB1"/>
    <w:rsid w:val="00443388"/>
    <w:rsid w:val="00454AE3"/>
    <w:rsid w:val="00460BEB"/>
    <w:rsid w:val="00460F21"/>
    <w:rsid w:val="0046157E"/>
    <w:rsid w:val="00466C4B"/>
    <w:rsid w:val="00472BA8"/>
    <w:rsid w:val="004924BE"/>
    <w:rsid w:val="004940D8"/>
    <w:rsid w:val="00494864"/>
    <w:rsid w:val="004A547B"/>
    <w:rsid w:val="004A6747"/>
    <w:rsid w:val="004C5BD3"/>
    <w:rsid w:val="004D30CC"/>
    <w:rsid w:val="004D540B"/>
    <w:rsid w:val="004E30D8"/>
    <w:rsid w:val="004E383F"/>
    <w:rsid w:val="004E52B2"/>
    <w:rsid w:val="004E5B1D"/>
    <w:rsid w:val="004F294F"/>
    <w:rsid w:val="004F76EC"/>
    <w:rsid w:val="00500F4E"/>
    <w:rsid w:val="00503524"/>
    <w:rsid w:val="00503626"/>
    <w:rsid w:val="00505EA0"/>
    <w:rsid w:val="00506287"/>
    <w:rsid w:val="00507CE4"/>
    <w:rsid w:val="005135FA"/>
    <w:rsid w:val="00513745"/>
    <w:rsid w:val="005170C0"/>
    <w:rsid w:val="00520664"/>
    <w:rsid w:val="00522BAD"/>
    <w:rsid w:val="005259B5"/>
    <w:rsid w:val="00527456"/>
    <w:rsid w:val="00536E7B"/>
    <w:rsid w:val="0054380C"/>
    <w:rsid w:val="00550982"/>
    <w:rsid w:val="00552C93"/>
    <w:rsid w:val="005568AA"/>
    <w:rsid w:val="0056374D"/>
    <w:rsid w:val="0056759F"/>
    <w:rsid w:val="005736A7"/>
    <w:rsid w:val="00573A94"/>
    <w:rsid w:val="00574A07"/>
    <w:rsid w:val="005758F4"/>
    <w:rsid w:val="005815AB"/>
    <w:rsid w:val="0058319A"/>
    <w:rsid w:val="00591C7D"/>
    <w:rsid w:val="0059775F"/>
    <w:rsid w:val="005B0FA3"/>
    <w:rsid w:val="005B39C1"/>
    <w:rsid w:val="005B4E64"/>
    <w:rsid w:val="005C0EED"/>
    <w:rsid w:val="005C0FC1"/>
    <w:rsid w:val="005C3B6E"/>
    <w:rsid w:val="005C61B9"/>
    <w:rsid w:val="005C76B6"/>
    <w:rsid w:val="005D2438"/>
    <w:rsid w:val="005D29A9"/>
    <w:rsid w:val="005D5921"/>
    <w:rsid w:val="005E0198"/>
    <w:rsid w:val="005E5A96"/>
    <w:rsid w:val="005E7184"/>
    <w:rsid w:val="005F39CC"/>
    <w:rsid w:val="005F7BEA"/>
    <w:rsid w:val="00600D2D"/>
    <w:rsid w:val="00602DE0"/>
    <w:rsid w:val="006100EE"/>
    <w:rsid w:val="00614D3F"/>
    <w:rsid w:val="006157CE"/>
    <w:rsid w:val="00620209"/>
    <w:rsid w:val="006211BD"/>
    <w:rsid w:val="00621558"/>
    <w:rsid w:val="0062313C"/>
    <w:rsid w:val="0062376D"/>
    <w:rsid w:val="00626518"/>
    <w:rsid w:val="00626610"/>
    <w:rsid w:val="006323AA"/>
    <w:rsid w:val="00633893"/>
    <w:rsid w:val="00644216"/>
    <w:rsid w:val="00646B03"/>
    <w:rsid w:val="00653BF1"/>
    <w:rsid w:val="00656C43"/>
    <w:rsid w:val="00657D29"/>
    <w:rsid w:val="00662F84"/>
    <w:rsid w:val="00667A4B"/>
    <w:rsid w:val="00673655"/>
    <w:rsid w:val="00683EDB"/>
    <w:rsid w:val="00683FDD"/>
    <w:rsid w:val="006A0AA0"/>
    <w:rsid w:val="006B3A97"/>
    <w:rsid w:val="006B466D"/>
    <w:rsid w:val="006C3D54"/>
    <w:rsid w:val="006C6B56"/>
    <w:rsid w:val="006C7782"/>
    <w:rsid w:val="006D043E"/>
    <w:rsid w:val="006D2D95"/>
    <w:rsid w:val="006D3E5E"/>
    <w:rsid w:val="006D46F2"/>
    <w:rsid w:val="006D7B80"/>
    <w:rsid w:val="006E1FF1"/>
    <w:rsid w:val="006E2BF6"/>
    <w:rsid w:val="006E6AE7"/>
    <w:rsid w:val="006F14D5"/>
    <w:rsid w:val="006F2023"/>
    <w:rsid w:val="006F2461"/>
    <w:rsid w:val="006F2750"/>
    <w:rsid w:val="006F4D29"/>
    <w:rsid w:val="006F65D5"/>
    <w:rsid w:val="00700849"/>
    <w:rsid w:val="007042D4"/>
    <w:rsid w:val="00722C3E"/>
    <w:rsid w:val="00725B73"/>
    <w:rsid w:val="00725D77"/>
    <w:rsid w:val="0072695B"/>
    <w:rsid w:val="007304FD"/>
    <w:rsid w:val="007320FE"/>
    <w:rsid w:val="007342FA"/>
    <w:rsid w:val="00740E81"/>
    <w:rsid w:val="00744BC4"/>
    <w:rsid w:val="0075209E"/>
    <w:rsid w:val="007737C9"/>
    <w:rsid w:val="00775337"/>
    <w:rsid w:val="0077698E"/>
    <w:rsid w:val="00780CBD"/>
    <w:rsid w:val="00783B3F"/>
    <w:rsid w:val="00784E52"/>
    <w:rsid w:val="00787BDA"/>
    <w:rsid w:val="00793687"/>
    <w:rsid w:val="00793822"/>
    <w:rsid w:val="0079395E"/>
    <w:rsid w:val="007952CA"/>
    <w:rsid w:val="007A0E1A"/>
    <w:rsid w:val="007B060D"/>
    <w:rsid w:val="007C07D8"/>
    <w:rsid w:val="007C0A26"/>
    <w:rsid w:val="007C1624"/>
    <w:rsid w:val="007D3F76"/>
    <w:rsid w:val="007D4DE9"/>
    <w:rsid w:val="007D555C"/>
    <w:rsid w:val="007E1320"/>
    <w:rsid w:val="007E5FCE"/>
    <w:rsid w:val="007F4930"/>
    <w:rsid w:val="007F706B"/>
    <w:rsid w:val="00803457"/>
    <w:rsid w:val="00804341"/>
    <w:rsid w:val="00807285"/>
    <w:rsid w:val="00816096"/>
    <w:rsid w:val="00824645"/>
    <w:rsid w:val="00827FDC"/>
    <w:rsid w:val="0083071E"/>
    <w:rsid w:val="00831A40"/>
    <w:rsid w:val="0083325D"/>
    <w:rsid w:val="00843C19"/>
    <w:rsid w:val="00850E0E"/>
    <w:rsid w:val="00856A03"/>
    <w:rsid w:val="00873B89"/>
    <w:rsid w:val="008752BA"/>
    <w:rsid w:val="008818ED"/>
    <w:rsid w:val="00885872"/>
    <w:rsid w:val="0088785B"/>
    <w:rsid w:val="00892913"/>
    <w:rsid w:val="008941F3"/>
    <w:rsid w:val="00895331"/>
    <w:rsid w:val="0089597D"/>
    <w:rsid w:val="008972AD"/>
    <w:rsid w:val="008A1514"/>
    <w:rsid w:val="008A23C3"/>
    <w:rsid w:val="008A361D"/>
    <w:rsid w:val="008A38D3"/>
    <w:rsid w:val="008A5EE7"/>
    <w:rsid w:val="008B0310"/>
    <w:rsid w:val="008B05BD"/>
    <w:rsid w:val="008B6560"/>
    <w:rsid w:val="008C644C"/>
    <w:rsid w:val="008D11AD"/>
    <w:rsid w:val="008D4CA8"/>
    <w:rsid w:val="008D4F67"/>
    <w:rsid w:val="008D5E76"/>
    <w:rsid w:val="008E5409"/>
    <w:rsid w:val="008E68F2"/>
    <w:rsid w:val="008E76E0"/>
    <w:rsid w:val="008F0CB1"/>
    <w:rsid w:val="009024D5"/>
    <w:rsid w:val="0090667F"/>
    <w:rsid w:val="009107DD"/>
    <w:rsid w:val="00912B03"/>
    <w:rsid w:val="009137E1"/>
    <w:rsid w:val="009238F6"/>
    <w:rsid w:val="00926624"/>
    <w:rsid w:val="009301F7"/>
    <w:rsid w:val="009304B4"/>
    <w:rsid w:val="00931B6E"/>
    <w:rsid w:val="00932B22"/>
    <w:rsid w:val="00933D2C"/>
    <w:rsid w:val="0093592B"/>
    <w:rsid w:val="009366E2"/>
    <w:rsid w:val="009431A5"/>
    <w:rsid w:val="0094579D"/>
    <w:rsid w:val="00946E96"/>
    <w:rsid w:val="00957B6F"/>
    <w:rsid w:val="00960812"/>
    <w:rsid w:val="00961254"/>
    <w:rsid w:val="00963507"/>
    <w:rsid w:val="00965C68"/>
    <w:rsid w:val="009708ED"/>
    <w:rsid w:val="009724D6"/>
    <w:rsid w:val="0097312F"/>
    <w:rsid w:val="00974107"/>
    <w:rsid w:val="00974183"/>
    <w:rsid w:val="009749B5"/>
    <w:rsid w:val="00976D5A"/>
    <w:rsid w:val="00982AAD"/>
    <w:rsid w:val="00982E5E"/>
    <w:rsid w:val="009831DC"/>
    <w:rsid w:val="0098730D"/>
    <w:rsid w:val="00996867"/>
    <w:rsid w:val="009968AB"/>
    <w:rsid w:val="009A101D"/>
    <w:rsid w:val="009A1546"/>
    <w:rsid w:val="009A3C4C"/>
    <w:rsid w:val="009A6C6C"/>
    <w:rsid w:val="009B387F"/>
    <w:rsid w:val="009B5594"/>
    <w:rsid w:val="009B5CAF"/>
    <w:rsid w:val="009B7DAD"/>
    <w:rsid w:val="009C2A57"/>
    <w:rsid w:val="009C73C2"/>
    <w:rsid w:val="009D4A4A"/>
    <w:rsid w:val="009E368A"/>
    <w:rsid w:val="009E5003"/>
    <w:rsid w:val="009F05F4"/>
    <w:rsid w:val="009F2BB2"/>
    <w:rsid w:val="009F5332"/>
    <w:rsid w:val="009F76F3"/>
    <w:rsid w:val="00A00AEC"/>
    <w:rsid w:val="00A03455"/>
    <w:rsid w:val="00A11C2A"/>
    <w:rsid w:val="00A336BE"/>
    <w:rsid w:val="00A3435C"/>
    <w:rsid w:val="00A422B7"/>
    <w:rsid w:val="00A43774"/>
    <w:rsid w:val="00A468B8"/>
    <w:rsid w:val="00A51A4D"/>
    <w:rsid w:val="00A51A9B"/>
    <w:rsid w:val="00A60D63"/>
    <w:rsid w:val="00A62613"/>
    <w:rsid w:val="00A64713"/>
    <w:rsid w:val="00A67557"/>
    <w:rsid w:val="00A7535D"/>
    <w:rsid w:val="00A85AC7"/>
    <w:rsid w:val="00A90511"/>
    <w:rsid w:val="00A90913"/>
    <w:rsid w:val="00A91DF2"/>
    <w:rsid w:val="00A95B6C"/>
    <w:rsid w:val="00A9787A"/>
    <w:rsid w:val="00A97D1B"/>
    <w:rsid w:val="00AA1A2C"/>
    <w:rsid w:val="00AA1C7C"/>
    <w:rsid w:val="00AA71FD"/>
    <w:rsid w:val="00AB1AC0"/>
    <w:rsid w:val="00AB3C78"/>
    <w:rsid w:val="00AB60BF"/>
    <w:rsid w:val="00AC5BA2"/>
    <w:rsid w:val="00AD1F86"/>
    <w:rsid w:val="00AE2564"/>
    <w:rsid w:val="00AE6CA8"/>
    <w:rsid w:val="00AE7B0F"/>
    <w:rsid w:val="00AF2C6A"/>
    <w:rsid w:val="00AF2FC6"/>
    <w:rsid w:val="00AF35F5"/>
    <w:rsid w:val="00AF6D66"/>
    <w:rsid w:val="00B05B3F"/>
    <w:rsid w:val="00B07C1E"/>
    <w:rsid w:val="00B1033C"/>
    <w:rsid w:val="00B10C83"/>
    <w:rsid w:val="00B12210"/>
    <w:rsid w:val="00B12D84"/>
    <w:rsid w:val="00B156C3"/>
    <w:rsid w:val="00B16A23"/>
    <w:rsid w:val="00B1725D"/>
    <w:rsid w:val="00B17596"/>
    <w:rsid w:val="00B2534C"/>
    <w:rsid w:val="00B26CD8"/>
    <w:rsid w:val="00B344E2"/>
    <w:rsid w:val="00B353F0"/>
    <w:rsid w:val="00B41AC5"/>
    <w:rsid w:val="00B448D9"/>
    <w:rsid w:val="00B539C4"/>
    <w:rsid w:val="00B57D35"/>
    <w:rsid w:val="00B60338"/>
    <w:rsid w:val="00B62976"/>
    <w:rsid w:val="00B67F87"/>
    <w:rsid w:val="00B712FE"/>
    <w:rsid w:val="00B748B0"/>
    <w:rsid w:val="00B81A5E"/>
    <w:rsid w:val="00B83FAE"/>
    <w:rsid w:val="00B85CBC"/>
    <w:rsid w:val="00B85E01"/>
    <w:rsid w:val="00B90CFF"/>
    <w:rsid w:val="00B92732"/>
    <w:rsid w:val="00B96506"/>
    <w:rsid w:val="00BA1C0F"/>
    <w:rsid w:val="00BA22EE"/>
    <w:rsid w:val="00BA7420"/>
    <w:rsid w:val="00BB19AD"/>
    <w:rsid w:val="00BB5138"/>
    <w:rsid w:val="00BB7AF6"/>
    <w:rsid w:val="00BC2D93"/>
    <w:rsid w:val="00BC2E51"/>
    <w:rsid w:val="00BC5F67"/>
    <w:rsid w:val="00BE793A"/>
    <w:rsid w:val="00BF3FEF"/>
    <w:rsid w:val="00BF6930"/>
    <w:rsid w:val="00C00075"/>
    <w:rsid w:val="00C00F31"/>
    <w:rsid w:val="00C01C59"/>
    <w:rsid w:val="00C05700"/>
    <w:rsid w:val="00C12940"/>
    <w:rsid w:val="00C137A6"/>
    <w:rsid w:val="00C15699"/>
    <w:rsid w:val="00C16DBD"/>
    <w:rsid w:val="00C25A33"/>
    <w:rsid w:val="00C36978"/>
    <w:rsid w:val="00C451CB"/>
    <w:rsid w:val="00C45376"/>
    <w:rsid w:val="00C4579E"/>
    <w:rsid w:val="00C47CA9"/>
    <w:rsid w:val="00C6412B"/>
    <w:rsid w:val="00C65BD2"/>
    <w:rsid w:val="00C77E71"/>
    <w:rsid w:val="00C837F5"/>
    <w:rsid w:val="00C839C7"/>
    <w:rsid w:val="00C857D7"/>
    <w:rsid w:val="00C86599"/>
    <w:rsid w:val="00C87407"/>
    <w:rsid w:val="00CB6115"/>
    <w:rsid w:val="00CC4C3D"/>
    <w:rsid w:val="00CD152B"/>
    <w:rsid w:val="00CD17B7"/>
    <w:rsid w:val="00CD7988"/>
    <w:rsid w:val="00CD7C03"/>
    <w:rsid w:val="00CE1C4F"/>
    <w:rsid w:val="00CE1F30"/>
    <w:rsid w:val="00CE284F"/>
    <w:rsid w:val="00CF4834"/>
    <w:rsid w:val="00CF7A78"/>
    <w:rsid w:val="00D14C02"/>
    <w:rsid w:val="00D2665B"/>
    <w:rsid w:val="00D31D0F"/>
    <w:rsid w:val="00D35894"/>
    <w:rsid w:val="00D373AC"/>
    <w:rsid w:val="00D4060F"/>
    <w:rsid w:val="00D41C95"/>
    <w:rsid w:val="00D47420"/>
    <w:rsid w:val="00D505C9"/>
    <w:rsid w:val="00D52874"/>
    <w:rsid w:val="00D60E39"/>
    <w:rsid w:val="00D6149B"/>
    <w:rsid w:val="00D62C2C"/>
    <w:rsid w:val="00D7046A"/>
    <w:rsid w:val="00D70606"/>
    <w:rsid w:val="00D72218"/>
    <w:rsid w:val="00D86F46"/>
    <w:rsid w:val="00D93B18"/>
    <w:rsid w:val="00D94C1C"/>
    <w:rsid w:val="00DA15F7"/>
    <w:rsid w:val="00DA704D"/>
    <w:rsid w:val="00DB095A"/>
    <w:rsid w:val="00DB592D"/>
    <w:rsid w:val="00DB5A14"/>
    <w:rsid w:val="00DC06F4"/>
    <w:rsid w:val="00DC1F98"/>
    <w:rsid w:val="00DC284F"/>
    <w:rsid w:val="00DC492A"/>
    <w:rsid w:val="00DC53E6"/>
    <w:rsid w:val="00DC64A5"/>
    <w:rsid w:val="00DC7A0E"/>
    <w:rsid w:val="00DC7A6A"/>
    <w:rsid w:val="00DD1051"/>
    <w:rsid w:val="00DD2FCD"/>
    <w:rsid w:val="00DD62E9"/>
    <w:rsid w:val="00DD6AE2"/>
    <w:rsid w:val="00DD6D7D"/>
    <w:rsid w:val="00DE31AB"/>
    <w:rsid w:val="00DE540A"/>
    <w:rsid w:val="00DE606D"/>
    <w:rsid w:val="00DF0E54"/>
    <w:rsid w:val="00DF4E4D"/>
    <w:rsid w:val="00DF686A"/>
    <w:rsid w:val="00E00B88"/>
    <w:rsid w:val="00E06A06"/>
    <w:rsid w:val="00E2061C"/>
    <w:rsid w:val="00E21200"/>
    <w:rsid w:val="00E2255F"/>
    <w:rsid w:val="00E25C05"/>
    <w:rsid w:val="00E2617C"/>
    <w:rsid w:val="00E2643E"/>
    <w:rsid w:val="00E31DDA"/>
    <w:rsid w:val="00E36681"/>
    <w:rsid w:val="00E376FF"/>
    <w:rsid w:val="00E3780A"/>
    <w:rsid w:val="00E40048"/>
    <w:rsid w:val="00E427CD"/>
    <w:rsid w:val="00E452B3"/>
    <w:rsid w:val="00E45A40"/>
    <w:rsid w:val="00E51375"/>
    <w:rsid w:val="00E525C1"/>
    <w:rsid w:val="00E54298"/>
    <w:rsid w:val="00E55340"/>
    <w:rsid w:val="00E61B55"/>
    <w:rsid w:val="00E71108"/>
    <w:rsid w:val="00E722D1"/>
    <w:rsid w:val="00E73B8F"/>
    <w:rsid w:val="00E74106"/>
    <w:rsid w:val="00E76381"/>
    <w:rsid w:val="00E80242"/>
    <w:rsid w:val="00E8113D"/>
    <w:rsid w:val="00E84518"/>
    <w:rsid w:val="00E90C27"/>
    <w:rsid w:val="00E956C8"/>
    <w:rsid w:val="00E96401"/>
    <w:rsid w:val="00EA3B3B"/>
    <w:rsid w:val="00EA4503"/>
    <w:rsid w:val="00EB007A"/>
    <w:rsid w:val="00EB07B8"/>
    <w:rsid w:val="00EB7A1A"/>
    <w:rsid w:val="00EC05BE"/>
    <w:rsid w:val="00EC194A"/>
    <w:rsid w:val="00EC3FCD"/>
    <w:rsid w:val="00EC4B1D"/>
    <w:rsid w:val="00ED17D6"/>
    <w:rsid w:val="00ED2A9E"/>
    <w:rsid w:val="00ED74A3"/>
    <w:rsid w:val="00EE097C"/>
    <w:rsid w:val="00EE1E60"/>
    <w:rsid w:val="00EE2FE4"/>
    <w:rsid w:val="00EE64FD"/>
    <w:rsid w:val="00EF0F8D"/>
    <w:rsid w:val="00EF10C5"/>
    <w:rsid w:val="00EF4489"/>
    <w:rsid w:val="00EF5A7E"/>
    <w:rsid w:val="00F00D37"/>
    <w:rsid w:val="00F01A53"/>
    <w:rsid w:val="00F020E1"/>
    <w:rsid w:val="00F06FC3"/>
    <w:rsid w:val="00F1104D"/>
    <w:rsid w:val="00F113BC"/>
    <w:rsid w:val="00F15F4F"/>
    <w:rsid w:val="00F1710E"/>
    <w:rsid w:val="00F20137"/>
    <w:rsid w:val="00F20C77"/>
    <w:rsid w:val="00F21BA4"/>
    <w:rsid w:val="00F25E1B"/>
    <w:rsid w:val="00F27EEF"/>
    <w:rsid w:val="00F37604"/>
    <w:rsid w:val="00F37EBB"/>
    <w:rsid w:val="00F37FF6"/>
    <w:rsid w:val="00F40D83"/>
    <w:rsid w:val="00F40FB5"/>
    <w:rsid w:val="00F4177F"/>
    <w:rsid w:val="00F42C3B"/>
    <w:rsid w:val="00F446AF"/>
    <w:rsid w:val="00F44F31"/>
    <w:rsid w:val="00F46704"/>
    <w:rsid w:val="00F46CE5"/>
    <w:rsid w:val="00F54E2E"/>
    <w:rsid w:val="00F552D5"/>
    <w:rsid w:val="00F55DCC"/>
    <w:rsid w:val="00F5708C"/>
    <w:rsid w:val="00F60A91"/>
    <w:rsid w:val="00F6180D"/>
    <w:rsid w:val="00F6182C"/>
    <w:rsid w:val="00F713C0"/>
    <w:rsid w:val="00F92486"/>
    <w:rsid w:val="00FA4821"/>
    <w:rsid w:val="00FA5533"/>
    <w:rsid w:val="00FB36D0"/>
    <w:rsid w:val="00FB4614"/>
    <w:rsid w:val="00FB4A83"/>
    <w:rsid w:val="00FB4FC2"/>
    <w:rsid w:val="00FB6170"/>
    <w:rsid w:val="00FB6D10"/>
    <w:rsid w:val="00FC265F"/>
    <w:rsid w:val="00FC51C1"/>
    <w:rsid w:val="00FC7893"/>
    <w:rsid w:val="00FD649F"/>
    <w:rsid w:val="00FF41F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2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E2BF6"/>
    <w:rPr>
      <w:sz w:val="16"/>
      <w:szCs w:val="16"/>
    </w:rPr>
  </w:style>
  <w:style w:type="paragraph" w:styleId="Commentaire">
    <w:name w:val="annotation text"/>
    <w:basedOn w:val="Normal"/>
    <w:link w:val="CommentaireCar"/>
    <w:uiPriority w:val="99"/>
    <w:semiHidden/>
    <w:unhideWhenUsed/>
    <w:rsid w:val="006E2BF6"/>
    <w:rPr>
      <w:sz w:val="20"/>
      <w:szCs w:val="20"/>
    </w:rPr>
  </w:style>
  <w:style w:type="character" w:customStyle="1" w:styleId="CommentaireCar">
    <w:name w:val="Commentaire Car"/>
    <w:basedOn w:val="Policepardfaut"/>
    <w:link w:val="Commentaire"/>
    <w:uiPriority w:val="99"/>
    <w:semiHidden/>
    <w:rsid w:val="006E2BF6"/>
    <w:rPr>
      <w:sz w:val="20"/>
      <w:szCs w:val="20"/>
    </w:rPr>
  </w:style>
  <w:style w:type="paragraph" w:styleId="Objetducommentaire">
    <w:name w:val="annotation subject"/>
    <w:basedOn w:val="Commentaire"/>
    <w:next w:val="Commentaire"/>
    <w:link w:val="ObjetducommentaireCar"/>
    <w:uiPriority w:val="99"/>
    <w:semiHidden/>
    <w:unhideWhenUsed/>
    <w:rsid w:val="006E2BF6"/>
    <w:rPr>
      <w:b/>
      <w:bCs/>
    </w:rPr>
  </w:style>
  <w:style w:type="character" w:customStyle="1" w:styleId="ObjetducommentaireCar">
    <w:name w:val="Objet du commentaire Car"/>
    <w:basedOn w:val="CommentaireCar"/>
    <w:link w:val="Objetducommentaire"/>
    <w:uiPriority w:val="99"/>
    <w:semiHidden/>
    <w:rsid w:val="006E2BF6"/>
    <w:rPr>
      <w:b/>
      <w:bCs/>
      <w:sz w:val="20"/>
      <w:szCs w:val="20"/>
    </w:rPr>
  </w:style>
  <w:style w:type="paragraph" w:styleId="Textedebulles">
    <w:name w:val="Balloon Text"/>
    <w:basedOn w:val="Normal"/>
    <w:link w:val="TextedebullesCar"/>
    <w:uiPriority w:val="99"/>
    <w:semiHidden/>
    <w:unhideWhenUsed/>
    <w:rsid w:val="006E2BF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E2BF6"/>
    <w:rPr>
      <w:rFonts w:ascii="Times New Roman" w:hAnsi="Times New Roman" w:cs="Times New Roman"/>
      <w:sz w:val="18"/>
      <w:szCs w:val="18"/>
    </w:rPr>
  </w:style>
  <w:style w:type="paragraph" w:styleId="NormalWeb">
    <w:name w:val="Normal (Web)"/>
    <w:basedOn w:val="Normal"/>
    <w:uiPriority w:val="99"/>
    <w:semiHidden/>
    <w:unhideWhenUsed/>
    <w:rsid w:val="00AB3C78"/>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AB3C78"/>
    <w:rPr>
      <w:color w:val="0000FF"/>
      <w:u w:val="single"/>
    </w:rPr>
  </w:style>
  <w:style w:type="paragraph" w:styleId="En-tte">
    <w:name w:val="header"/>
    <w:basedOn w:val="Normal"/>
    <w:link w:val="En-tteCar"/>
    <w:uiPriority w:val="99"/>
    <w:unhideWhenUsed/>
    <w:rsid w:val="00602DE0"/>
    <w:pPr>
      <w:tabs>
        <w:tab w:val="center" w:pos="4680"/>
        <w:tab w:val="right" w:pos="9360"/>
      </w:tabs>
    </w:pPr>
  </w:style>
  <w:style w:type="character" w:customStyle="1" w:styleId="En-tteCar">
    <w:name w:val="En-tête Car"/>
    <w:basedOn w:val="Policepardfaut"/>
    <w:link w:val="En-tte"/>
    <w:uiPriority w:val="99"/>
    <w:rsid w:val="00602DE0"/>
  </w:style>
  <w:style w:type="paragraph" w:styleId="Pieddepage">
    <w:name w:val="footer"/>
    <w:basedOn w:val="Normal"/>
    <w:link w:val="PieddepageCar"/>
    <w:uiPriority w:val="99"/>
    <w:unhideWhenUsed/>
    <w:rsid w:val="00602DE0"/>
    <w:pPr>
      <w:tabs>
        <w:tab w:val="center" w:pos="4680"/>
        <w:tab w:val="right" w:pos="9360"/>
      </w:tabs>
    </w:pPr>
  </w:style>
  <w:style w:type="character" w:customStyle="1" w:styleId="PieddepageCar">
    <w:name w:val="Pied de page Car"/>
    <w:basedOn w:val="Policepardfaut"/>
    <w:link w:val="Pieddepage"/>
    <w:uiPriority w:val="99"/>
    <w:rsid w:val="00602DE0"/>
  </w:style>
  <w:style w:type="character" w:customStyle="1" w:styleId="Mentionnonrsolue1">
    <w:name w:val="Mention non résolue1"/>
    <w:basedOn w:val="Policepardfaut"/>
    <w:uiPriority w:val="99"/>
    <w:semiHidden/>
    <w:unhideWhenUsed/>
    <w:rsid w:val="00725D77"/>
    <w:rPr>
      <w:color w:val="605E5C"/>
      <w:shd w:val="clear" w:color="auto" w:fill="E1DFDD"/>
    </w:rPr>
  </w:style>
  <w:style w:type="paragraph" w:customStyle="1" w:styleId="margin-top-large">
    <w:name w:val="margin-top-large"/>
    <w:basedOn w:val="Normal"/>
    <w:rsid w:val="008B6560"/>
    <w:pPr>
      <w:spacing w:before="100" w:beforeAutospacing="1" w:after="100" w:afterAutospacing="1"/>
    </w:pPr>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A11C2A"/>
    <w:rPr>
      <w:color w:val="954F72" w:themeColor="followedHyperlink"/>
      <w:u w:val="single"/>
    </w:rPr>
  </w:style>
  <w:style w:type="paragraph" w:styleId="Paragraphedeliste">
    <w:name w:val="List Paragraph"/>
    <w:basedOn w:val="Normal"/>
    <w:uiPriority w:val="34"/>
    <w:qFormat/>
    <w:rsid w:val="00B62976"/>
    <w:pPr>
      <w:spacing w:after="160" w:line="259" w:lineRule="auto"/>
      <w:ind w:left="720"/>
      <w:contextualSpacing/>
    </w:pPr>
    <w:rPr>
      <w:sz w:val="22"/>
      <w:szCs w:val="22"/>
    </w:rPr>
  </w:style>
  <w:style w:type="table" w:customStyle="1" w:styleId="GridTable2-Accent11">
    <w:name w:val="Grid Table 2 - Accent 11"/>
    <w:basedOn w:val="TableauNormal"/>
    <w:uiPriority w:val="47"/>
    <w:rsid w:val="00B62976"/>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vision">
    <w:name w:val="Revision"/>
    <w:hidden/>
    <w:uiPriority w:val="99"/>
    <w:semiHidden/>
    <w:rsid w:val="00DC06F4"/>
  </w:style>
  <w:style w:type="paragraph" w:styleId="Notedebasdepage">
    <w:name w:val="footnote text"/>
    <w:basedOn w:val="Normal"/>
    <w:link w:val="NotedebasdepageCar"/>
    <w:uiPriority w:val="99"/>
    <w:unhideWhenUsed/>
    <w:rsid w:val="009431A5"/>
    <w:rPr>
      <w:sz w:val="20"/>
      <w:szCs w:val="20"/>
    </w:rPr>
  </w:style>
  <w:style w:type="character" w:customStyle="1" w:styleId="NotedebasdepageCar">
    <w:name w:val="Note de bas de page Car"/>
    <w:basedOn w:val="Policepardfaut"/>
    <w:link w:val="Notedebasdepage"/>
    <w:uiPriority w:val="99"/>
    <w:rsid w:val="009431A5"/>
    <w:rPr>
      <w:sz w:val="20"/>
      <w:szCs w:val="20"/>
    </w:rPr>
  </w:style>
  <w:style w:type="character" w:styleId="Appelnotedebasdep">
    <w:name w:val="footnote reference"/>
    <w:basedOn w:val="Policepardfaut"/>
    <w:uiPriority w:val="99"/>
    <w:semiHidden/>
    <w:unhideWhenUsed/>
    <w:rsid w:val="009431A5"/>
    <w:rPr>
      <w:vertAlign w:val="superscript"/>
    </w:rPr>
  </w:style>
  <w:style w:type="character" w:styleId="Textedelespacerserv">
    <w:name w:val="Placeholder Text"/>
    <w:basedOn w:val="Policepardfaut"/>
    <w:uiPriority w:val="99"/>
    <w:semiHidden/>
    <w:rsid w:val="00400989"/>
    <w:rPr>
      <w:color w:val="808080"/>
    </w:rPr>
  </w:style>
  <w:style w:type="character" w:styleId="Accentuation">
    <w:name w:val="Emphasis"/>
    <w:basedOn w:val="Policepardfaut"/>
    <w:uiPriority w:val="20"/>
    <w:qFormat/>
    <w:rsid w:val="0025561B"/>
    <w:rPr>
      <w:i/>
      <w:iCs/>
    </w:rPr>
  </w:style>
  <w:style w:type="character" w:styleId="CitationHTML">
    <w:name w:val="HTML Cite"/>
    <w:basedOn w:val="Policepardfaut"/>
    <w:uiPriority w:val="99"/>
    <w:semiHidden/>
    <w:unhideWhenUsed/>
    <w:rsid w:val="0025561B"/>
    <w:rPr>
      <w:i/>
      <w:iCs/>
    </w:rPr>
  </w:style>
  <w:style w:type="character" w:customStyle="1" w:styleId="highwire-cite-journal">
    <w:name w:val="highwire-cite-journal"/>
    <w:basedOn w:val="Policepardfaut"/>
    <w:rsid w:val="0025561B"/>
  </w:style>
  <w:style w:type="character" w:customStyle="1" w:styleId="highwire-cite-published-year">
    <w:name w:val="highwire-cite-published-year"/>
    <w:basedOn w:val="Policepardfaut"/>
    <w:rsid w:val="0025561B"/>
  </w:style>
  <w:style w:type="character" w:customStyle="1" w:styleId="highwire-cite-volume-issue">
    <w:name w:val="highwire-cite-volume-issue"/>
    <w:basedOn w:val="Policepardfaut"/>
    <w:rsid w:val="0025561B"/>
  </w:style>
  <w:style w:type="character" w:customStyle="1" w:styleId="highwire-cite-doi">
    <w:name w:val="highwire-cite-doi"/>
    <w:basedOn w:val="Policepardfaut"/>
    <w:rsid w:val="0025561B"/>
  </w:style>
  <w:style w:type="character" w:customStyle="1" w:styleId="ftr-name">
    <w:name w:val="ftr-name"/>
    <w:basedOn w:val="Policepardfaut"/>
    <w:rsid w:val="0025561B"/>
  </w:style>
  <w:style w:type="paragraph" w:customStyle="1" w:styleId="Default">
    <w:name w:val="Default"/>
    <w:rsid w:val="0025561B"/>
    <w:pPr>
      <w:autoSpaceDE w:val="0"/>
      <w:autoSpaceDN w:val="0"/>
      <w:adjustRightInd w:val="0"/>
    </w:pPr>
    <w:rPr>
      <w:rFonts w:ascii="Times New Roman" w:eastAsiaTheme="minorHAnsi" w:hAnsi="Times New Roman" w:cs="Times New Roman"/>
      <w:color w:val="000000"/>
      <w:lang w:val="en-CA" w:eastAsia="en-US"/>
    </w:rPr>
  </w:style>
</w:styles>
</file>

<file path=word/webSettings.xml><?xml version="1.0" encoding="utf-8"?>
<w:webSettings xmlns:r="http://schemas.openxmlformats.org/officeDocument/2006/relationships" xmlns:w="http://schemas.openxmlformats.org/wordprocessingml/2006/main">
  <w:divs>
    <w:div w:id="121965575">
      <w:bodyDiv w:val="1"/>
      <w:marLeft w:val="0"/>
      <w:marRight w:val="0"/>
      <w:marTop w:val="0"/>
      <w:marBottom w:val="0"/>
      <w:divBdr>
        <w:top w:val="none" w:sz="0" w:space="0" w:color="auto"/>
        <w:left w:val="none" w:sz="0" w:space="0" w:color="auto"/>
        <w:bottom w:val="none" w:sz="0" w:space="0" w:color="auto"/>
        <w:right w:val="none" w:sz="0" w:space="0" w:color="auto"/>
      </w:divBdr>
    </w:div>
    <w:div w:id="205266137">
      <w:bodyDiv w:val="1"/>
      <w:marLeft w:val="0"/>
      <w:marRight w:val="0"/>
      <w:marTop w:val="0"/>
      <w:marBottom w:val="0"/>
      <w:divBdr>
        <w:top w:val="none" w:sz="0" w:space="0" w:color="auto"/>
        <w:left w:val="none" w:sz="0" w:space="0" w:color="auto"/>
        <w:bottom w:val="none" w:sz="0" w:space="0" w:color="auto"/>
        <w:right w:val="none" w:sz="0" w:space="0" w:color="auto"/>
      </w:divBdr>
    </w:div>
    <w:div w:id="332951295">
      <w:bodyDiv w:val="1"/>
      <w:marLeft w:val="0"/>
      <w:marRight w:val="0"/>
      <w:marTop w:val="0"/>
      <w:marBottom w:val="0"/>
      <w:divBdr>
        <w:top w:val="none" w:sz="0" w:space="0" w:color="auto"/>
        <w:left w:val="none" w:sz="0" w:space="0" w:color="auto"/>
        <w:bottom w:val="none" w:sz="0" w:space="0" w:color="auto"/>
        <w:right w:val="none" w:sz="0" w:space="0" w:color="auto"/>
      </w:divBdr>
    </w:div>
    <w:div w:id="762914302">
      <w:bodyDiv w:val="1"/>
      <w:marLeft w:val="0"/>
      <w:marRight w:val="0"/>
      <w:marTop w:val="0"/>
      <w:marBottom w:val="0"/>
      <w:divBdr>
        <w:top w:val="none" w:sz="0" w:space="0" w:color="auto"/>
        <w:left w:val="none" w:sz="0" w:space="0" w:color="auto"/>
        <w:bottom w:val="none" w:sz="0" w:space="0" w:color="auto"/>
        <w:right w:val="none" w:sz="0" w:space="0" w:color="auto"/>
      </w:divBdr>
    </w:div>
    <w:div w:id="919942465">
      <w:bodyDiv w:val="1"/>
      <w:marLeft w:val="0"/>
      <w:marRight w:val="0"/>
      <w:marTop w:val="0"/>
      <w:marBottom w:val="0"/>
      <w:divBdr>
        <w:top w:val="none" w:sz="0" w:space="0" w:color="auto"/>
        <w:left w:val="none" w:sz="0" w:space="0" w:color="auto"/>
        <w:bottom w:val="none" w:sz="0" w:space="0" w:color="auto"/>
        <w:right w:val="none" w:sz="0" w:space="0" w:color="auto"/>
      </w:divBdr>
    </w:div>
    <w:div w:id="966667790">
      <w:bodyDiv w:val="1"/>
      <w:marLeft w:val="0"/>
      <w:marRight w:val="0"/>
      <w:marTop w:val="0"/>
      <w:marBottom w:val="0"/>
      <w:divBdr>
        <w:top w:val="none" w:sz="0" w:space="0" w:color="auto"/>
        <w:left w:val="none" w:sz="0" w:space="0" w:color="auto"/>
        <w:bottom w:val="none" w:sz="0" w:space="0" w:color="auto"/>
        <w:right w:val="none" w:sz="0" w:space="0" w:color="auto"/>
      </w:divBdr>
    </w:div>
    <w:div w:id="993728333">
      <w:bodyDiv w:val="1"/>
      <w:marLeft w:val="0"/>
      <w:marRight w:val="0"/>
      <w:marTop w:val="0"/>
      <w:marBottom w:val="0"/>
      <w:divBdr>
        <w:top w:val="none" w:sz="0" w:space="0" w:color="auto"/>
        <w:left w:val="none" w:sz="0" w:space="0" w:color="auto"/>
        <w:bottom w:val="none" w:sz="0" w:space="0" w:color="auto"/>
        <w:right w:val="none" w:sz="0" w:space="0" w:color="auto"/>
      </w:divBdr>
      <w:divsChild>
        <w:div w:id="1703744823">
          <w:marLeft w:val="0"/>
          <w:marRight w:val="0"/>
          <w:marTop w:val="0"/>
          <w:marBottom w:val="0"/>
          <w:divBdr>
            <w:top w:val="none" w:sz="0" w:space="0" w:color="auto"/>
            <w:left w:val="none" w:sz="0" w:space="0" w:color="auto"/>
            <w:bottom w:val="none" w:sz="0" w:space="0" w:color="auto"/>
            <w:right w:val="none" w:sz="0" w:space="0" w:color="auto"/>
          </w:divBdr>
          <w:divsChild>
            <w:div w:id="1406149997">
              <w:marLeft w:val="0"/>
              <w:marRight w:val="300"/>
              <w:marTop w:val="0"/>
              <w:marBottom w:val="0"/>
              <w:divBdr>
                <w:top w:val="none" w:sz="0" w:space="0" w:color="auto"/>
                <w:left w:val="none" w:sz="0" w:space="0" w:color="auto"/>
                <w:bottom w:val="none" w:sz="0" w:space="0" w:color="auto"/>
                <w:right w:val="none" w:sz="0" w:space="0" w:color="auto"/>
              </w:divBdr>
            </w:div>
          </w:divsChild>
        </w:div>
        <w:div w:id="809245152">
          <w:marLeft w:val="0"/>
          <w:marRight w:val="0"/>
          <w:marTop w:val="0"/>
          <w:marBottom w:val="0"/>
          <w:divBdr>
            <w:top w:val="none" w:sz="0" w:space="0" w:color="auto"/>
            <w:left w:val="none" w:sz="0" w:space="0" w:color="auto"/>
            <w:bottom w:val="none" w:sz="0" w:space="0" w:color="auto"/>
            <w:right w:val="none" w:sz="0" w:space="0" w:color="auto"/>
          </w:divBdr>
          <w:divsChild>
            <w:div w:id="880481960">
              <w:marLeft w:val="0"/>
              <w:marRight w:val="300"/>
              <w:marTop w:val="0"/>
              <w:marBottom w:val="0"/>
              <w:divBdr>
                <w:top w:val="none" w:sz="0" w:space="0" w:color="auto"/>
                <w:left w:val="none" w:sz="0" w:space="0" w:color="auto"/>
                <w:bottom w:val="none" w:sz="0" w:space="0" w:color="auto"/>
                <w:right w:val="none" w:sz="0" w:space="0" w:color="auto"/>
              </w:divBdr>
              <w:divsChild>
                <w:div w:id="1290090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8466410">
      <w:bodyDiv w:val="1"/>
      <w:marLeft w:val="0"/>
      <w:marRight w:val="0"/>
      <w:marTop w:val="0"/>
      <w:marBottom w:val="0"/>
      <w:divBdr>
        <w:top w:val="none" w:sz="0" w:space="0" w:color="auto"/>
        <w:left w:val="none" w:sz="0" w:space="0" w:color="auto"/>
        <w:bottom w:val="none" w:sz="0" w:space="0" w:color="auto"/>
        <w:right w:val="none" w:sz="0" w:space="0" w:color="auto"/>
      </w:divBdr>
    </w:div>
    <w:div w:id="1600022159">
      <w:bodyDiv w:val="1"/>
      <w:marLeft w:val="0"/>
      <w:marRight w:val="0"/>
      <w:marTop w:val="0"/>
      <w:marBottom w:val="0"/>
      <w:divBdr>
        <w:top w:val="none" w:sz="0" w:space="0" w:color="auto"/>
        <w:left w:val="none" w:sz="0" w:space="0" w:color="auto"/>
        <w:bottom w:val="none" w:sz="0" w:space="0" w:color="auto"/>
        <w:right w:val="none" w:sz="0" w:space="0" w:color="auto"/>
      </w:divBdr>
    </w:div>
    <w:div w:id="1934047322">
      <w:bodyDiv w:val="1"/>
      <w:marLeft w:val="0"/>
      <w:marRight w:val="0"/>
      <w:marTop w:val="0"/>
      <w:marBottom w:val="0"/>
      <w:divBdr>
        <w:top w:val="none" w:sz="0" w:space="0" w:color="auto"/>
        <w:left w:val="none" w:sz="0" w:space="0" w:color="auto"/>
        <w:bottom w:val="none" w:sz="0" w:space="0" w:color="auto"/>
        <w:right w:val="none" w:sz="0" w:space="0" w:color="auto"/>
      </w:divBdr>
      <w:divsChild>
        <w:div w:id="668993902">
          <w:marLeft w:val="0"/>
          <w:marRight w:val="0"/>
          <w:marTop w:val="0"/>
          <w:marBottom w:val="0"/>
          <w:divBdr>
            <w:top w:val="none" w:sz="0" w:space="0" w:color="auto"/>
            <w:left w:val="none" w:sz="0" w:space="0" w:color="auto"/>
            <w:bottom w:val="none" w:sz="0" w:space="0" w:color="auto"/>
            <w:right w:val="none" w:sz="0" w:space="0" w:color="auto"/>
          </w:divBdr>
          <w:divsChild>
            <w:div w:id="1404059520">
              <w:marLeft w:val="0"/>
              <w:marRight w:val="300"/>
              <w:marTop w:val="0"/>
              <w:marBottom w:val="0"/>
              <w:divBdr>
                <w:top w:val="none" w:sz="0" w:space="0" w:color="auto"/>
                <w:left w:val="none" w:sz="0" w:space="0" w:color="auto"/>
                <w:bottom w:val="none" w:sz="0" w:space="0" w:color="auto"/>
                <w:right w:val="none" w:sz="0" w:space="0" w:color="auto"/>
              </w:divBdr>
            </w:div>
          </w:divsChild>
        </w:div>
        <w:div w:id="1071611445">
          <w:marLeft w:val="0"/>
          <w:marRight w:val="0"/>
          <w:marTop w:val="0"/>
          <w:marBottom w:val="0"/>
          <w:divBdr>
            <w:top w:val="none" w:sz="0" w:space="0" w:color="auto"/>
            <w:left w:val="none" w:sz="0" w:space="0" w:color="auto"/>
            <w:bottom w:val="none" w:sz="0" w:space="0" w:color="auto"/>
            <w:right w:val="none" w:sz="0" w:space="0" w:color="auto"/>
          </w:divBdr>
          <w:divsChild>
            <w:div w:id="376861746">
              <w:marLeft w:val="0"/>
              <w:marRight w:val="300"/>
              <w:marTop w:val="0"/>
              <w:marBottom w:val="0"/>
              <w:divBdr>
                <w:top w:val="none" w:sz="0" w:space="0" w:color="auto"/>
                <w:left w:val="none" w:sz="0" w:space="0" w:color="auto"/>
                <w:bottom w:val="none" w:sz="0" w:space="0" w:color="auto"/>
                <w:right w:val="none" w:sz="0" w:space="0" w:color="auto"/>
              </w:divBdr>
              <w:divsChild>
                <w:div w:id="350880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80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publications/healthy-living/canadian-immunization-guide-part-1-key-immunization-information.html" TargetMode="External"/><Relationship Id="rId13" Type="http://schemas.openxmlformats.org/officeDocument/2006/relationships/hyperlink" Target="https://cic-cci.ca/home/about-cic2018/" TargetMode="External"/><Relationship Id="rId18" Type="http://schemas.openxmlformats.org/officeDocument/2006/relationships/hyperlink" Target="http://www.biotech.c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anada.ca/en/public-health/services/catmat.html" TargetMode="External"/><Relationship Id="rId17" Type="http://schemas.openxmlformats.org/officeDocument/2006/relationships/hyperlink" Target="http://www.msss.gouv.qc.ca/professionnels/vaccination/protocole-d-immunisation-du-quebec-piq/" TargetMode="External"/><Relationship Id="rId2" Type="http://schemas.openxmlformats.org/officeDocument/2006/relationships/numbering" Target="numbering.xml"/><Relationship Id="rId16" Type="http://schemas.openxmlformats.org/officeDocument/2006/relationships/hyperlink" Target="https://www.inspq.qc.ca/immunisation/comite-sur-l-immunisation-du-quebec-ciq" TargetMode="External"/><Relationship Id="rId20" Type="http://schemas.openxmlformats.org/officeDocument/2006/relationships/hyperlink" Target="https://www.immunize.ca/resources/caire-canadian-association-immunization-research-and-evalu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is-laws.justice.gc.ca/eng/acts/P-29.5/page-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psgc-pwgsc.gc.ca/comm/index-eng.html" TargetMode="External"/><Relationship Id="rId23" Type="http://schemas.openxmlformats.org/officeDocument/2006/relationships/fontTable" Target="fontTable.xml"/><Relationship Id="rId10" Type="http://schemas.openxmlformats.org/officeDocument/2006/relationships/hyperlink" Target="https://www.canada.ca/en/health-canada/services/drugs-health-products/medeffect-canada/canada-vigilance-program.html" TargetMode="External"/><Relationship Id="rId19" Type="http://schemas.openxmlformats.org/officeDocument/2006/relationships/hyperlink" Target="http://cirnetwork.ca/" TargetMode="External"/><Relationship Id="rId4" Type="http://schemas.openxmlformats.org/officeDocument/2006/relationships/settings" Target="settings.xml"/><Relationship Id="rId9" Type="http://schemas.openxmlformats.org/officeDocument/2006/relationships/hyperlink" Target="https://www.canada.ca/en/health-canada/corporate/about-health-canada/branches-agencies/health-products-food-branch/biologics-genetic-therapies-directorate.html" TargetMode="External"/><Relationship Id="rId14" Type="http://schemas.openxmlformats.org/officeDocument/2006/relationships/hyperlink" Target="https://sencanada.ca/content/sen/committee/403/soci/rep/rep15dec10-e.pd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ewals\AppData\Local\Microsoft\Windows\INetCache\IE\TL8GCY1E\DECISION-FRAMEWORK-%20MANUSCRIPT-FV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3D575-0628-4EFB-82C0-E4622A84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DECISION-FRAMEWORK- MANUSCRIPT-FV1.dotx</Template>
  <TotalTime>20</TotalTime>
  <Pages>5</Pages>
  <Words>1556</Words>
  <Characters>8870</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ROW411 PAF</dc:creator>
  <cp:lastModifiedBy>pdewals</cp:lastModifiedBy>
  <cp:revision>6</cp:revision>
  <cp:lastPrinted>2019-04-23T19:14:00Z</cp:lastPrinted>
  <dcterms:created xsi:type="dcterms:W3CDTF">2019-04-23T19:03:00Z</dcterms:created>
  <dcterms:modified xsi:type="dcterms:W3CDTF">2019-04-24T13:00:00Z</dcterms:modified>
</cp:coreProperties>
</file>