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74E2" w14:textId="199401A0" w:rsidR="001636C7" w:rsidRPr="001636C7" w:rsidRDefault="00CE1353" w:rsidP="001636C7">
      <w:pPr>
        <w:rPr>
          <w:b/>
          <w:bCs/>
        </w:rPr>
      </w:pPr>
      <w:bookmarkStart w:id="0" w:name="_Ref528332108"/>
      <w:r>
        <w:rPr>
          <w:b/>
          <w:bCs/>
        </w:rPr>
        <w:t xml:space="preserve">Supplemental </w:t>
      </w:r>
      <w:r w:rsidR="001636C7" w:rsidRPr="001636C7">
        <w:rPr>
          <w:b/>
          <w:bCs/>
        </w:rPr>
        <w:t xml:space="preserve">Table </w:t>
      </w:r>
      <w:r w:rsidR="001636C7" w:rsidRPr="001636C7">
        <w:rPr>
          <w:b/>
          <w:bCs/>
        </w:rPr>
        <w:fldChar w:fldCharType="begin"/>
      </w:r>
      <w:r w:rsidR="001636C7" w:rsidRPr="001636C7">
        <w:rPr>
          <w:b/>
          <w:bCs/>
        </w:rPr>
        <w:instrText xml:space="preserve"> SEQ Table \* ARABIC </w:instrText>
      </w:r>
      <w:r w:rsidR="001636C7" w:rsidRPr="001636C7">
        <w:rPr>
          <w:b/>
          <w:bCs/>
        </w:rPr>
        <w:fldChar w:fldCharType="separate"/>
      </w:r>
      <w:r w:rsidR="001636C7" w:rsidRPr="001636C7">
        <w:rPr>
          <w:b/>
          <w:bCs/>
        </w:rPr>
        <w:t>1</w:t>
      </w:r>
      <w:r w:rsidR="001636C7" w:rsidRPr="001636C7">
        <w:fldChar w:fldCharType="end"/>
      </w:r>
      <w:bookmarkEnd w:id="0"/>
      <w:r w:rsidR="001636C7" w:rsidRPr="001636C7">
        <w:rPr>
          <w:b/>
          <w:bCs/>
        </w:rPr>
        <w:t>. Physician characteristics</w:t>
      </w:r>
    </w:p>
    <w:p w14:paraId="410F909B" w14:textId="515F959C" w:rsidR="00AD50A3" w:rsidRDefault="00AD50A3" w:rsidP="001636C7">
      <w:pPr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2"/>
        <w:gridCol w:w="1909"/>
        <w:gridCol w:w="1813"/>
        <w:gridCol w:w="1813"/>
        <w:gridCol w:w="1813"/>
      </w:tblGrid>
      <w:tr w:rsidR="001C729C" w:rsidRPr="009846BF" w14:paraId="54747D46" w14:textId="77777777" w:rsidTr="001C5989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7DE221" w14:textId="77777777" w:rsidR="001C729C" w:rsidRPr="009846BF" w:rsidRDefault="001C729C" w:rsidP="001C729C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0386558" w14:textId="5E48394E" w:rsidR="001C729C" w:rsidRPr="009846BF" w:rsidRDefault="001C729C" w:rsidP="001C72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FRANCE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E94B63D" w14:textId="7793EF65" w:rsidR="001C729C" w:rsidRPr="009846BF" w:rsidRDefault="001C729C" w:rsidP="001C72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 xml:space="preserve">GERMANY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A2010C3" w14:textId="0CF0653C" w:rsidR="001C729C" w:rsidRPr="009846BF" w:rsidRDefault="001C729C" w:rsidP="001C72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ITALY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FD112" w14:textId="29F64470" w:rsidR="001C729C" w:rsidRPr="009846BF" w:rsidRDefault="001C729C" w:rsidP="001C729C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SPAIN</w:t>
            </w:r>
          </w:p>
        </w:tc>
      </w:tr>
      <w:tr w:rsidR="001C729C" w:rsidRPr="009846BF" w14:paraId="31A23171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F6C930" w14:textId="77777777" w:rsidR="001C729C" w:rsidRPr="009846BF" w:rsidRDefault="001C729C" w:rsidP="009846BF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AAD0A" w14:textId="77777777" w:rsidR="001C729C" w:rsidRPr="009846BF" w:rsidRDefault="001C729C" w:rsidP="009846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>N=28</w:t>
            </w:r>
          </w:p>
        </w:tc>
        <w:tc>
          <w:tcPr>
            <w:tcW w:w="70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8D2D14" w14:textId="77777777" w:rsidR="001C729C" w:rsidRPr="009846BF" w:rsidRDefault="001C729C" w:rsidP="009846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>N=17</w:t>
            </w:r>
          </w:p>
        </w:tc>
        <w:tc>
          <w:tcPr>
            <w:tcW w:w="70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726F0" w14:textId="77777777" w:rsidR="001C729C" w:rsidRPr="009846BF" w:rsidRDefault="001C729C" w:rsidP="009846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>N=38</w:t>
            </w:r>
          </w:p>
        </w:tc>
        <w:tc>
          <w:tcPr>
            <w:tcW w:w="7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BABF" w14:textId="77777777" w:rsidR="001C729C" w:rsidRPr="009846BF" w:rsidRDefault="001C729C" w:rsidP="009846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>N=21</w:t>
            </w:r>
          </w:p>
        </w:tc>
      </w:tr>
      <w:tr w:rsidR="001C729C" w:rsidRPr="009846BF" w14:paraId="4C32F34D" w14:textId="77777777" w:rsidTr="001C5989">
        <w:trPr>
          <w:trHeight w:val="300"/>
        </w:trPr>
        <w:tc>
          <w:tcPr>
            <w:tcW w:w="216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7FC9" w14:textId="3BE62853" w:rsidR="001C729C" w:rsidRPr="009846BF" w:rsidRDefault="001C729C" w:rsidP="001C5989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 xml:space="preserve">Migraine patients treated in 2017, </w:t>
            </w:r>
            <w:r w:rsidR="001C5989">
              <w:rPr>
                <w:rFonts w:eastAsia="Times New Roman"/>
                <w:b/>
                <w:bCs/>
                <w:color w:val="000000"/>
                <w:sz w:val="22"/>
              </w:rPr>
              <w:t>mean</w:t>
            </w: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 xml:space="preserve"> ± SD</w:t>
            </w:r>
          </w:p>
        </w:tc>
        <w:tc>
          <w:tcPr>
            <w:tcW w:w="73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8B24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207.50 ± 283.87</w:t>
            </w:r>
          </w:p>
        </w:tc>
        <w:tc>
          <w:tcPr>
            <w:tcW w:w="700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DD3E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339.06 ± 381.43</w:t>
            </w:r>
          </w:p>
        </w:tc>
        <w:tc>
          <w:tcPr>
            <w:tcW w:w="700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3C0F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309.61 ± 257.19</w:t>
            </w:r>
          </w:p>
        </w:tc>
        <w:tc>
          <w:tcPr>
            <w:tcW w:w="700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EF8D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364.76 ± 204.32</w:t>
            </w:r>
          </w:p>
        </w:tc>
      </w:tr>
      <w:tr w:rsidR="001C729C" w:rsidRPr="009846BF" w14:paraId="1C9333CD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AD35" w14:textId="5CBBF784" w:rsidR="001C729C" w:rsidRPr="009846BF" w:rsidRDefault="001C729C" w:rsidP="001C5989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 xml:space="preserve">Years of experience, </w:t>
            </w:r>
            <w:r w:rsidR="001C5989">
              <w:rPr>
                <w:rFonts w:eastAsia="Times New Roman"/>
                <w:b/>
                <w:bCs/>
                <w:color w:val="000000"/>
                <w:sz w:val="22"/>
              </w:rPr>
              <w:t>mean</w:t>
            </w: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 xml:space="preserve"> ± SD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76B1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18.14 ± 6.82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1826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14.29 ± 6.38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5E52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12.58 ± 7.69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4B94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14.81 ± 5.76</w:t>
            </w:r>
          </w:p>
        </w:tc>
      </w:tr>
      <w:tr w:rsidR="001C729C" w:rsidRPr="009846BF" w14:paraId="2CF0416C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FA71" w14:textId="77777777" w:rsidR="001C729C" w:rsidRPr="009846BF" w:rsidRDefault="001C729C" w:rsidP="009846BF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>Primary practice setting, n (%)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11BC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269F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8CFC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769E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C729C" w:rsidRPr="009846BF" w14:paraId="7BBA0D92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A4A7" w14:textId="77777777" w:rsidR="001C729C" w:rsidRPr="009846BF" w:rsidRDefault="001C729C" w:rsidP="009846BF">
            <w:pPr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 </w:t>
            </w:r>
            <w:r w:rsidRPr="009846BF">
              <w:rPr>
                <w:rFonts w:eastAsia="Times New Roman"/>
                <w:color w:val="000000"/>
                <w:sz w:val="22"/>
              </w:rPr>
              <w:t>Academic hospital/teaching hospital/tertiary hospital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1CDF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9 (32.14%)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5E45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7 (41.18%)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4CF1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25 (65.79%)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8528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16 (76.19%)</w:t>
            </w:r>
          </w:p>
        </w:tc>
      </w:tr>
      <w:tr w:rsidR="001C729C" w:rsidRPr="009846BF" w14:paraId="486EF586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832A" w14:textId="77777777" w:rsidR="001C729C" w:rsidRPr="009846BF" w:rsidRDefault="001C729C" w:rsidP="009846BF">
            <w:pPr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 </w:t>
            </w:r>
            <w:r w:rsidRPr="009846BF">
              <w:rPr>
                <w:rFonts w:eastAsia="Times New Roman"/>
                <w:color w:val="000000"/>
                <w:sz w:val="22"/>
              </w:rPr>
              <w:t>Community hospital/general hospital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E719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11 (39.29%)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9A40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 (5.88%)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5FF0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11 (28.95%)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8075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5 (23.81%)</w:t>
            </w:r>
          </w:p>
        </w:tc>
      </w:tr>
      <w:tr w:rsidR="001C729C" w:rsidRPr="009846BF" w14:paraId="568ED303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FA88" w14:textId="77777777" w:rsidR="001C729C" w:rsidRPr="009846BF" w:rsidRDefault="001C729C" w:rsidP="009846BF">
            <w:pPr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 </w:t>
            </w:r>
            <w:r w:rsidRPr="009846BF">
              <w:rPr>
                <w:rFonts w:eastAsia="Times New Roman"/>
                <w:color w:val="000000"/>
                <w:sz w:val="22"/>
              </w:rPr>
              <w:t>Private practice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9B3A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8 (28.57%)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DF01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9 (52.94%)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0885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2 (5.26%)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CA62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1C729C" w:rsidRPr="009846BF" w14:paraId="49DB27D1" w14:textId="77777777" w:rsidTr="001C5989">
        <w:trPr>
          <w:trHeight w:val="570"/>
        </w:trPr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09E2" w14:textId="5220F24E" w:rsidR="001C729C" w:rsidRPr="009846BF" w:rsidRDefault="001C729C" w:rsidP="009846BF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>Total number of neurologists/headache specialists in</w:t>
            </w:r>
            <w:r w:rsidR="001C5989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Pr="009846BF">
              <w:rPr>
                <w:rFonts w:eastAsia="Times New Roman"/>
                <w:b/>
                <w:color w:val="000000"/>
                <w:sz w:val="22"/>
              </w:rPr>
              <w:t>practice, n (%)</w:t>
            </w:r>
            <w:r w:rsidRPr="009846BF">
              <w:rPr>
                <w:rFonts w:eastAsia="Times New Roman"/>
                <w:b/>
                <w:color w:val="000000"/>
                <w:sz w:val="22"/>
              </w:rPr>
              <w:t> </w:t>
            </w: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> </w:t>
            </w:r>
            <w:r w:rsidRPr="009846BF">
              <w:rPr>
                <w:rFonts w:eastAsia="Times New Roman"/>
                <w:color w:val="000000"/>
                <w:sz w:val="22"/>
              </w:rPr>
              <w:t> </w:t>
            </w:r>
            <w:r w:rsidRPr="009846BF">
              <w:rPr>
                <w:rFonts w:eastAsia="Times New Roman"/>
                <w:color w:val="000000"/>
                <w:sz w:val="22"/>
              </w:rPr>
              <w:t> </w:t>
            </w:r>
            <w:r>
              <w:rPr>
                <w:rFonts w:eastAsia="Times New Roman"/>
                <w:color w:val="000000"/>
                <w:sz w:val="22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FAB4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BAA9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B51D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23ED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C729C" w:rsidRPr="009846BF" w14:paraId="59BA555C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6C44" w14:textId="77777777" w:rsidR="001C729C" w:rsidRPr="009846BF" w:rsidRDefault="001C729C" w:rsidP="009846BF">
            <w:pPr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 </w:t>
            </w:r>
            <w:r w:rsidRPr="009846BF">
              <w:rPr>
                <w:rFonts w:eastAsia="Times New Roman"/>
                <w:color w:val="000000"/>
                <w:sz w:val="22"/>
              </w:rPr>
              <w:t>1-5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1776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23 (82.14%)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D792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10 (58.82%)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BD5F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26 (68.42%)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F4B4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16 (76.19%)</w:t>
            </w:r>
          </w:p>
        </w:tc>
      </w:tr>
      <w:tr w:rsidR="001C729C" w:rsidRPr="009846BF" w14:paraId="382042E5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9E8F" w14:textId="77777777" w:rsidR="001C729C" w:rsidRPr="009846BF" w:rsidRDefault="001C729C" w:rsidP="009846BF">
            <w:pPr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 </w:t>
            </w:r>
            <w:r w:rsidRPr="009846BF">
              <w:rPr>
                <w:rFonts w:eastAsia="Times New Roman"/>
                <w:color w:val="000000"/>
                <w:sz w:val="22"/>
              </w:rPr>
              <w:t>6-10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0C19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4 (14.29%)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2014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5 (29.41%)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88FE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10 (26.32%)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3711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2 (9.52%)</w:t>
            </w:r>
          </w:p>
        </w:tc>
      </w:tr>
      <w:tr w:rsidR="001C729C" w:rsidRPr="009846BF" w14:paraId="39EAD3A6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1C1D" w14:textId="77777777" w:rsidR="001C729C" w:rsidRPr="009846BF" w:rsidRDefault="001C729C" w:rsidP="009846BF">
            <w:pPr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 </w:t>
            </w:r>
            <w:r w:rsidRPr="009846BF">
              <w:rPr>
                <w:rFonts w:eastAsia="Times New Roman"/>
                <w:color w:val="000000"/>
                <w:sz w:val="22"/>
              </w:rPr>
              <w:t>11-25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4F2B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 (3.57%)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ECA1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 (5.88%)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A551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2 (5.26%)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038B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2 (9.52%)</w:t>
            </w:r>
          </w:p>
        </w:tc>
      </w:tr>
      <w:tr w:rsidR="001C729C" w:rsidRPr="009846BF" w14:paraId="7765DACB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4D38" w14:textId="77777777" w:rsidR="001C729C" w:rsidRPr="009846BF" w:rsidRDefault="001C729C" w:rsidP="009846BF">
            <w:pPr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 </w:t>
            </w:r>
            <w:r w:rsidRPr="009846BF">
              <w:rPr>
                <w:rFonts w:eastAsia="Times New Roman"/>
                <w:color w:val="000000"/>
                <w:sz w:val="22"/>
              </w:rPr>
              <w:t>26-50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1D03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BEDA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 (5.88%)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84F7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D46A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1C729C" w:rsidRPr="009846BF" w14:paraId="00991CE8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9A5B" w14:textId="77777777" w:rsidR="001C729C" w:rsidRPr="009846BF" w:rsidRDefault="001C729C" w:rsidP="009846BF">
            <w:pPr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 </w:t>
            </w:r>
            <w:r w:rsidRPr="009846BF">
              <w:rPr>
                <w:rFonts w:eastAsia="Times New Roman"/>
                <w:color w:val="000000"/>
                <w:sz w:val="22"/>
              </w:rPr>
              <w:t>Unknown/not sure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FCC9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8982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0C94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6721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 (4.76%)</w:t>
            </w:r>
          </w:p>
        </w:tc>
      </w:tr>
      <w:tr w:rsidR="001C729C" w:rsidRPr="009846BF" w14:paraId="5454ACA5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A170" w14:textId="77777777" w:rsidR="001C729C" w:rsidRPr="009846BF" w:rsidRDefault="001C729C" w:rsidP="009846BF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9846BF">
              <w:rPr>
                <w:rFonts w:eastAsia="Times New Roman"/>
                <w:b/>
                <w:bCs/>
                <w:color w:val="000000"/>
                <w:sz w:val="22"/>
              </w:rPr>
              <w:t>Physician specialty, n (%)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9316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8449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E7CB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3994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C729C" w:rsidRPr="009846BF" w14:paraId="178F7A73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1387" w14:textId="77777777" w:rsidR="001C729C" w:rsidRPr="009846BF" w:rsidRDefault="001C729C" w:rsidP="009846BF">
            <w:pPr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 </w:t>
            </w:r>
            <w:r w:rsidRPr="009846BF">
              <w:rPr>
                <w:rFonts w:eastAsia="Times New Roman"/>
                <w:color w:val="000000"/>
                <w:sz w:val="22"/>
              </w:rPr>
              <w:t>Neurologist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4771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25 (89.29%)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74A4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16 (94.12%)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B96D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22 (57.89%)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828E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15 (71.43%)</w:t>
            </w:r>
          </w:p>
        </w:tc>
      </w:tr>
      <w:tr w:rsidR="001C729C" w:rsidRPr="009846BF" w14:paraId="1B63CDE2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0BA" w14:textId="77777777" w:rsidR="001C729C" w:rsidRPr="009846BF" w:rsidRDefault="001C729C" w:rsidP="009846BF">
            <w:pPr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 </w:t>
            </w:r>
            <w:r w:rsidRPr="009846BF">
              <w:rPr>
                <w:rFonts w:eastAsia="Times New Roman"/>
                <w:color w:val="000000"/>
                <w:sz w:val="22"/>
              </w:rPr>
              <w:t>Headache specialist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E0C1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4 (14.29%)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F853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3 (17.65%)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4212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22 (57.89%)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9609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9 (42.86%)</w:t>
            </w:r>
          </w:p>
        </w:tc>
      </w:tr>
      <w:tr w:rsidR="001C729C" w:rsidRPr="009846BF" w14:paraId="6C8F2510" w14:textId="77777777" w:rsidTr="001C5989">
        <w:trPr>
          <w:trHeight w:val="300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1F2E" w14:textId="77777777" w:rsidR="001C729C" w:rsidRPr="009846BF" w:rsidRDefault="001C729C" w:rsidP="009846BF">
            <w:pPr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 </w:t>
            </w:r>
            <w:r w:rsidRPr="009846BF">
              <w:rPr>
                <w:rFonts w:eastAsia="Times New Roman"/>
                <w:color w:val="000000"/>
                <w:sz w:val="22"/>
              </w:rPr>
              <w:t>Pain specialist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DF01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 (3.57%)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3840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1 (5.88%)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D814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8 (21.05%)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2F29" w14:textId="77777777" w:rsidR="001C729C" w:rsidRPr="009846BF" w:rsidRDefault="001C729C" w:rsidP="009846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846BF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</w:tbl>
    <w:p w14:paraId="66F95C5B" w14:textId="61049340" w:rsidR="001D0E21" w:rsidRPr="001636C7" w:rsidRDefault="001D0E21" w:rsidP="001636C7">
      <w:pPr>
        <w:rPr>
          <w:bCs/>
        </w:rPr>
      </w:pPr>
    </w:p>
    <w:p w14:paraId="366BBCB1" w14:textId="77777777" w:rsidR="001636C7" w:rsidRPr="001636C7" w:rsidRDefault="001636C7" w:rsidP="001636C7">
      <w:pPr>
        <w:rPr>
          <w:bCs/>
        </w:rPr>
      </w:pPr>
      <w:r w:rsidRPr="001636C7">
        <w:rPr>
          <w:b/>
          <w:bCs/>
        </w:rPr>
        <w:t>Caption</w:t>
      </w:r>
      <w:r w:rsidRPr="001636C7">
        <w:rPr>
          <w:bCs/>
        </w:rPr>
        <w:t>: SD = standard deviation.</w:t>
      </w:r>
    </w:p>
    <w:p w14:paraId="5E329AAE" w14:textId="77777777" w:rsidR="001636C7" w:rsidRPr="001636C7" w:rsidRDefault="001636C7" w:rsidP="001636C7">
      <w:pPr>
        <w:rPr>
          <w:b/>
          <w:bCs/>
        </w:rPr>
      </w:pPr>
      <w:bookmarkStart w:id="1" w:name="_Ref528332950"/>
    </w:p>
    <w:p w14:paraId="5664F0E2" w14:textId="77777777" w:rsidR="001636C7" w:rsidRPr="001636C7" w:rsidRDefault="001636C7" w:rsidP="001636C7">
      <w:pPr>
        <w:rPr>
          <w:b/>
          <w:bCs/>
        </w:rPr>
      </w:pPr>
      <w:r w:rsidRPr="001636C7">
        <w:br w:type="page"/>
      </w:r>
    </w:p>
    <w:p w14:paraId="7979E89D" w14:textId="0BA0C2DE" w:rsidR="001636C7" w:rsidRDefault="00CE1353" w:rsidP="001636C7">
      <w:pPr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1636C7" w:rsidRPr="001636C7">
        <w:rPr>
          <w:b/>
          <w:bCs/>
        </w:rPr>
        <w:t xml:space="preserve">Table </w:t>
      </w:r>
      <w:r w:rsidR="001636C7" w:rsidRPr="001636C7">
        <w:rPr>
          <w:b/>
          <w:bCs/>
        </w:rPr>
        <w:fldChar w:fldCharType="begin"/>
      </w:r>
      <w:r w:rsidR="001636C7" w:rsidRPr="001636C7">
        <w:rPr>
          <w:b/>
          <w:bCs/>
        </w:rPr>
        <w:instrText xml:space="preserve"> SEQ Table \* ARABIC </w:instrText>
      </w:r>
      <w:r w:rsidR="001636C7" w:rsidRPr="001636C7">
        <w:rPr>
          <w:b/>
          <w:bCs/>
        </w:rPr>
        <w:fldChar w:fldCharType="separate"/>
      </w:r>
      <w:r w:rsidR="001636C7" w:rsidRPr="001636C7">
        <w:rPr>
          <w:b/>
          <w:bCs/>
        </w:rPr>
        <w:t>2</w:t>
      </w:r>
      <w:r w:rsidR="001636C7" w:rsidRPr="001636C7">
        <w:fldChar w:fldCharType="end"/>
      </w:r>
      <w:bookmarkEnd w:id="1"/>
      <w:r w:rsidR="001636C7" w:rsidRPr="001636C7">
        <w:rPr>
          <w:b/>
          <w:bCs/>
        </w:rPr>
        <w:t>. Characteristics of patients with two or more failed prophylactics for migraine</w:t>
      </w:r>
    </w:p>
    <w:p w14:paraId="39DA4E56" w14:textId="7A276FA0" w:rsidR="00131BBD" w:rsidRDefault="00131BBD" w:rsidP="001636C7">
      <w:pPr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26"/>
        <w:gridCol w:w="1488"/>
        <w:gridCol w:w="1488"/>
        <w:gridCol w:w="1488"/>
        <w:gridCol w:w="1487"/>
        <w:gridCol w:w="878"/>
      </w:tblGrid>
      <w:tr w:rsidR="00131BBD" w:rsidRPr="00131BBD" w14:paraId="370C0E0F" w14:textId="77777777" w:rsidTr="001C5989">
        <w:trPr>
          <w:trHeight w:val="285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BEB7" w14:textId="77777777" w:rsidR="00131BBD" w:rsidRPr="00131BBD" w:rsidRDefault="00131BBD" w:rsidP="00131BBD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C6C8B" w14:textId="77777777" w:rsidR="00131BBD" w:rsidRPr="00131BBD" w:rsidRDefault="00131BBD" w:rsidP="00131B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>FRANCE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CBFEC" w14:textId="77777777" w:rsidR="00131BBD" w:rsidRPr="00131BBD" w:rsidRDefault="00131BBD" w:rsidP="00131B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 xml:space="preserve">GERMANY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BC01D" w14:textId="77777777" w:rsidR="00131BBD" w:rsidRPr="00131BBD" w:rsidRDefault="00131BBD" w:rsidP="00131B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>ITALY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EA49" w14:textId="77777777" w:rsidR="00131BBD" w:rsidRPr="00131BBD" w:rsidRDefault="00131BBD" w:rsidP="00131B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>SPAIN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9AC83" w14:textId="77777777" w:rsidR="00131BBD" w:rsidRPr="00131BBD" w:rsidRDefault="00131BBD" w:rsidP="00131BBD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131BBD" w:rsidRPr="00131BBD" w14:paraId="6BD92A5C" w14:textId="77777777" w:rsidTr="001C5989">
        <w:trPr>
          <w:trHeight w:val="315"/>
        </w:trPr>
        <w:tc>
          <w:tcPr>
            <w:tcW w:w="2364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8421A6" w14:textId="77777777" w:rsidR="00131BBD" w:rsidRPr="00131BBD" w:rsidRDefault="00131BBD" w:rsidP="00131BBD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C0BD318" w14:textId="77777777" w:rsidR="00131BBD" w:rsidRPr="00131BBD" w:rsidRDefault="00131BBD" w:rsidP="00131B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>N = 51</w:t>
            </w:r>
          </w:p>
        </w:tc>
        <w:tc>
          <w:tcPr>
            <w:tcW w:w="5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CAE07E0" w14:textId="77777777" w:rsidR="00131BBD" w:rsidRPr="00131BBD" w:rsidRDefault="00131BBD" w:rsidP="00131B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>N = 28</w:t>
            </w:r>
          </w:p>
        </w:tc>
        <w:tc>
          <w:tcPr>
            <w:tcW w:w="5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B70F325" w14:textId="77777777" w:rsidR="00131BBD" w:rsidRPr="00131BBD" w:rsidRDefault="00131BBD" w:rsidP="00131B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>N = 44</w:t>
            </w:r>
          </w:p>
        </w:tc>
        <w:tc>
          <w:tcPr>
            <w:tcW w:w="5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92F5" w14:textId="77777777" w:rsidR="00131BBD" w:rsidRPr="00131BBD" w:rsidRDefault="00131BBD" w:rsidP="00131BBD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>N = 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E838A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65983E47" w14:textId="77777777" w:rsidTr="001C5989">
        <w:trPr>
          <w:trHeight w:val="315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AF48D" w14:textId="5510565F" w:rsidR="00131BBD" w:rsidRPr="00131BBD" w:rsidRDefault="00131BBD" w:rsidP="00131BBD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Age at index date</w:t>
            </w: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="001C5989">
              <w:rPr>
                <w:rFonts w:eastAsia="Times New Roman"/>
                <w:b/>
                <w:bCs/>
                <w:color w:val="000000"/>
                <w:sz w:val="22"/>
              </w:rPr>
              <w:t>(</w:t>
            </w: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>years</w:t>
            </w:r>
            <w:r w:rsidR="001C5989">
              <w:rPr>
                <w:rFonts w:eastAsia="Times New Roman"/>
                <w:b/>
                <w:bCs/>
                <w:color w:val="000000"/>
                <w:sz w:val="22"/>
              </w:rPr>
              <w:t>), mean</w:t>
            </w: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 xml:space="preserve"> ± SD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72B4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40.11 ± 11.47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470C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35.11 ± 9.05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612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34.48 ± 9.42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5EDF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39.22 ± 10.62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79052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11076771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A153E" w14:textId="77777777" w:rsidR="00131BBD" w:rsidRPr="00131BBD" w:rsidRDefault="00131BBD" w:rsidP="00131BBD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>Sex, n (%)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B121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3561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7D6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27A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7B500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2179209D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8147F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Female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30B2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32 (62.75%)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C6FF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20 (71.43%)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1688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24 (54.55%)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167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30 (66.67%)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A3391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4E871A01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4DFD5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Male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BC14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19 (37.25%)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32F7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8 (28.57%)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168F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20 (45.45%)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23D9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15 (33.33%)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902A5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5CBA84F2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D7CB2" w14:textId="53D39BE2" w:rsidR="00131BBD" w:rsidRPr="00131BBD" w:rsidRDefault="001C5989" w:rsidP="00131BBD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Weight (</w:t>
            </w:r>
            <w:r w:rsidR="00131BBD" w:rsidRPr="00131BBD">
              <w:rPr>
                <w:rFonts w:eastAsia="Times New Roman"/>
                <w:b/>
                <w:bCs/>
                <w:color w:val="000000"/>
                <w:sz w:val="22"/>
              </w:rPr>
              <w:t>kg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), mean</w:t>
            </w:r>
            <w:r w:rsidR="00131BBD" w:rsidRPr="00131BBD">
              <w:rPr>
                <w:rFonts w:eastAsia="Times New Roman"/>
                <w:b/>
                <w:bCs/>
                <w:color w:val="000000"/>
                <w:sz w:val="22"/>
              </w:rPr>
              <w:t xml:space="preserve"> ± SD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7475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68.74 ± 12.03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846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75.83 ± 11.07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F301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70.41 ± 9.98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3ED0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74.49 ± 20.40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1760C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3DC65B31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B28E7" w14:textId="4AC83DF6" w:rsidR="00131BBD" w:rsidRPr="00131BBD" w:rsidRDefault="001C5989" w:rsidP="00131BBD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BMI </w:t>
            </w:r>
            <w:r w:rsidR="00131BBD" w:rsidRPr="00131BBD">
              <w:rPr>
                <w:rFonts w:eastAsia="Times New Roman"/>
                <w:b/>
                <w:bCs/>
                <w:color w:val="000000"/>
                <w:sz w:val="22"/>
              </w:rPr>
              <w:t>score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, mean</w:t>
            </w:r>
            <w:r w:rsidR="00131BBD" w:rsidRPr="00131BBD">
              <w:rPr>
                <w:rFonts w:eastAsia="Times New Roman"/>
                <w:b/>
                <w:bCs/>
                <w:color w:val="000000"/>
                <w:sz w:val="22"/>
              </w:rPr>
              <w:t xml:space="preserve"> ± SD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22D3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23.37 ± 3.02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CAB3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25.96 ± 3.64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0AE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23.79 ± 2.84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D32D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25.43 ± 3.04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E32F9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717B87EF" w14:textId="77777777" w:rsidTr="001C5989">
        <w:trPr>
          <w:trHeight w:val="302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52D61" w14:textId="2578F973" w:rsidR="00131BBD" w:rsidRPr="00131BBD" w:rsidRDefault="00131BBD" w:rsidP="00131BBD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 xml:space="preserve">Employment status in the month prior to the index date, </w:t>
            </w:r>
            <w:r w:rsidRPr="00131BBD">
              <w:rPr>
                <w:rFonts w:eastAsia="Times New Roman"/>
                <w:b/>
                <w:color w:val="000000"/>
                <w:sz w:val="22"/>
              </w:rPr>
              <w:t>n (%)</w:t>
            </w: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b/>
                <w:color w:val="000000"/>
                <w:sz w:val="22"/>
              </w:rPr>
              <w:t> 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E67D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13D1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FA91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44A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C6214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6896BF4D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AC09B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Full time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B9A0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30 (58.82%)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F543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15 (53.57%)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BF6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21 (47.73%)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2890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30 (66.67%)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DFB19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2C715680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5E947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Part time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2FC0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3 (5.88%)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7C0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8 (28.57%)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7AAD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9 (20.45%)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2B89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4 (8.89%)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7D920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1125B715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036FB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Unemployed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03C9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8 (15.69%)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3699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(3.57%)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59B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5 (11.36%)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461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5 (11.11%)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363BA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0EACD9EB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D524E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Student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649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5 (9.80%)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97D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 (7.14%)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3301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7 (15.91%)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78AC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300A7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2372880A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0CF49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Retired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DEDD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4 (7.84%)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98B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0C9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8C0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 (4.44%)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E835E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3EF99F74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9A7C5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Other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1CFC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(1.96%)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E974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F54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(2.27%)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CBCF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3 (6.67%)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F9952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29530B74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6F59E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Unknown/not sure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6505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5A9E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 (7.14%)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2528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(2.27%)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4D7D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(2.22%)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1AC12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062700BC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B1D9B" w14:textId="77777777" w:rsidR="00131BBD" w:rsidRPr="00131BBD" w:rsidRDefault="00131BBD" w:rsidP="00131BBD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1BBD">
              <w:rPr>
                <w:rFonts w:eastAsia="Times New Roman"/>
                <w:b/>
                <w:bCs/>
                <w:color w:val="000000"/>
                <w:sz w:val="22"/>
              </w:rPr>
              <w:t>Comorbidities prior to index date, n (%)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B38D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05F4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6AC3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7DE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3D033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486E6D1D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3D55C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AIDS/HIV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F294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EE88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BE48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B90E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53350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51E649BF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CBE56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Anemia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CA0D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224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 (7.14%)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B132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(2.27%)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95DE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4328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367E2622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7F3AA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Anxiety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7AF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15 (29.41%)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A7D4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3 (10.71%)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5625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13 (29.55%)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930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12 (26.67%)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E0EE4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516192AC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9B002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Asthma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0568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(1.96%)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47F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98C3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(2.27%)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3600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4 (8.89%)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C6A95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3B52E7C3" w14:textId="77777777" w:rsidTr="001C5989">
        <w:trPr>
          <w:trHeight w:val="6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38C60" w14:textId="77777777" w:rsid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Any malignancy excluding malignant neoplasm of skin,</w:t>
            </w:r>
          </w:p>
          <w:p w14:paraId="2744A155" w14:textId="4BBE3580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>
              <w:rPr>
                <w:rFonts w:eastAsia="Times New Roman"/>
                <w:color w:val="000000"/>
                <w:sz w:val="22"/>
              </w:rPr>
              <w:t>i</w:t>
            </w:r>
            <w:r w:rsidRPr="00131BBD">
              <w:rPr>
                <w:rFonts w:eastAsia="Times New Roman"/>
                <w:color w:val="000000"/>
                <w:sz w:val="22"/>
              </w:rPr>
              <w:t>ncluding leukemia and lymphoma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1359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EC29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CEE3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CD2D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(2.22%)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D3B26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35CA46B0" w14:textId="77777777" w:rsidTr="001C5989">
        <w:trPr>
          <w:trHeight w:val="6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94540" w14:textId="77777777" w:rsid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Cerebrovascular disease excluding stroke and transient</w:t>
            </w:r>
          </w:p>
          <w:p w14:paraId="7691FE33" w14:textId="36142D58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ischemic attack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ECF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15CC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314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B93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BBBA3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01E1A3A4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6AC20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Chronic pulmonary disease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0777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(1.96%)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30C7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263F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2491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894CE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0837110D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F8758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Congestive heart failure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20B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3D51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F351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2851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869C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54D21C8D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5D54C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Constipation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9993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4 (7.84%)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9BD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 (7.14%)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F947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7 (15.91%)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CEA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(2.22%)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34099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50B99994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E2770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Dementia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C1D7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19E3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0FEC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D79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52D5A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12E5F02E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5B255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lastRenderedPageBreak/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Depression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527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10 (19.61%)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E5DD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10 (35.71%)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3D6E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12 (27.27%)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7F40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6 (13.33%)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18F5E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478F34F2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BBEE6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Diabetes with chronic complication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3B2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E01E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CB6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C7AC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9CD21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385F6F32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EF191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Diabetes without chronic complication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36B7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(1.96%)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1208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(3.57%)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60A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8C6E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65249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7430B317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99F3D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Diarrhea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CB5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9CD3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2AC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 (4.55%)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3C95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(2.22%)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AF89F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423153F0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37690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Epilepsy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39DF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3 (5.88%)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E56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(3.57%)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352D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BEE3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0E581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06755A08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E025D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Hemiplegia or paraplegia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A45F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8A47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C7B8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B67C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78850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21B9C58C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B86D9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Hypertension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1789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6 (11.76%)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C167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 (7.14%)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7610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7 (15.91%)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485C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10 (22.22%)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2D7B3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6636D2BD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C4554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Inflammatory bowel disease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8D92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DCCC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783E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BF35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7488B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06A99FE6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F791F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Metastatic solid tumor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79A4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918C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8332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FF1D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DCF62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622F25F9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7DDFF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Mild liver disease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5642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D48E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(3.57%)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165D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D244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(2.22%)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54470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33102717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09E85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Moderate or severe liver disease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2D1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4804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87CF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FF8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E4E57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344AE3CD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85BC6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Myocardial infarction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7A2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A927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F571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B35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9C86E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45A9DDE8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20005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Obesity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A3C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(1.96%)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A23E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4 (14.29%)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1105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3 (6.82%)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C741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9 (20.00%)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CEBAC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35DD7883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2DE81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Peptic ulcer disease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D0CF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 (3.92%)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55C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 (7.14%)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EFE3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B893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(2.22%)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8A276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370A3230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505F2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Peripheral vascular disease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CBE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8FEC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2840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FF1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0AEAE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49566D1B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42146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Renal disease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38FE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5BCF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17FF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(2.27%)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7EF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B5771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0D61D0A7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48399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Rheumatologic disease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2F71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D7FE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(3.57%)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123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 (2.27%)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0493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3 (6.67%)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85C83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65B2EA60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E5FF2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Stroke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B97A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7330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A147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D40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08D21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4D826CD0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65858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Transient ischemic attack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D7ED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5C2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9285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DB4C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1CA80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3BF90A01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53903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Visceral pain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EC93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9DFD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E3E7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EB76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5DFD7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0EE4F47D" w14:textId="77777777" w:rsidTr="001C5989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AC77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 xml:space="preserve">Other </w:t>
            </w:r>
            <w:proofErr w:type="spellStart"/>
            <w:r w:rsidRPr="00131BBD">
              <w:rPr>
                <w:rFonts w:eastAsia="Times New Roman"/>
                <w:color w:val="000000"/>
                <w:sz w:val="22"/>
              </w:rPr>
              <w:t>condition</w:t>
            </w:r>
            <w:r w:rsidRPr="00131BBD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44D8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 (3.92%)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F6B9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F265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 (4.55%)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E8B4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F1D53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5BF63E33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84124A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 </w:t>
            </w:r>
            <w:r w:rsidRPr="00131BBD">
              <w:rPr>
                <w:rFonts w:eastAsia="Times New Roman"/>
                <w:color w:val="000000"/>
                <w:sz w:val="22"/>
              </w:rPr>
              <w:t>No other conditions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612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25 (49.02%)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A8FB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13 (46.43%)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7BE1" w14:textId="1F5B792C" w:rsidR="00131BBD" w:rsidRPr="00131BBD" w:rsidRDefault="003B0AC5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</w:t>
            </w:r>
            <w:r w:rsidR="00131BBD" w:rsidRPr="00131BBD">
              <w:rPr>
                <w:rFonts w:eastAsia="Times New Roman"/>
                <w:color w:val="000000"/>
                <w:sz w:val="22"/>
              </w:rPr>
              <w:t xml:space="preserve"> (29.55%)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2049" w14:textId="77777777" w:rsidR="00131BBD" w:rsidRPr="00131BBD" w:rsidRDefault="00131BBD" w:rsidP="00131BB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17 (37.78%)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D572D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31BBD" w:rsidRPr="00131BBD" w14:paraId="3717FC59" w14:textId="77777777" w:rsidTr="001C5989">
        <w:trPr>
          <w:trHeight w:val="30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D1740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BB3B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89D21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0B489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AB26D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BE473" w14:textId="77777777" w:rsidR="00131BBD" w:rsidRPr="00131BBD" w:rsidRDefault="00131BBD" w:rsidP="00131BBD">
            <w:pPr>
              <w:rPr>
                <w:rFonts w:eastAsia="Times New Roman"/>
                <w:color w:val="000000"/>
                <w:sz w:val="22"/>
              </w:rPr>
            </w:pPr>
            <w:r w:rsidRPr="00131BBD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</w:tbl>
    <w:p w14:paraId="2C3572A7" w14:textId="0402C362" w:rsidR="00AD50A3" w:rsidRPr="00131BBD" w:rsidRDefault="001636C7" w:rsidP="00131BBD">
      <w:pPr>
        <w:pStyle w:val="Caption"/>
        <w:keepNext/>
        <w:spacing w:line="480" w:lineRule="auto"/>
        <w:rPr>
          <w:b w:val="0"/>
          <w:color w:val="auto"/>
          <w:sz w:val="24"/>
        </w:rPr>
      </w:pPr>
      <w:bookmarkStart w:id="2" w:name="_Ref528334907"/>
      <w:r w:rsidRPr="00131BBD">
        <w:rPr>
          <w:color w:val="auto"/>
          <w:sz w:val="24"/>
        </w:rPr>
        <w:t xml:space="preserve">Caption: </w:t>
      </w:r>
      <w:r w:rsidRPr="00131BBD">
        <w:rPr>
          <w:b w:val="0"/>
          <w:color w:val="auto"/>
          <w:sz w:val="24"/>
        </w:rPr>
        <w:t>AIDS/HIV = acquired immunodeficiency syndrome/human immunodeficiency virus; BMI = body mass index; SD = standard deviation.</w:t>
      </w:r>
    </w:p>
    <w:p w14:paraId="2D0F2EAE" w14:textId="517D15D2" w:rsidR="001636C7" w:rsidRPr="00A611EF" w:rsidRDefault="001636C7" w:rsidP="001636C7">
      <w:proofErr w:type="spellStart"/>
      <w:proofErr w:type="gramStart"/>
      <w:r w:rsidRPr="001636C7">
        <w:rPr>
          <w:vertAlign w:val="superscript"/>
        </w:rPr>
        <w:t>a</w:t>
      </w:r>
      <w:proofErr w:type="spellEnd"/>
      <w:proofErr w:type="gramEnd"/>
      <w:r w:rsidRPr="001636C7">
        <w:rPr>
          <w:vertAlign w:val="superscript"/>
        </w:rPr>
        <w:t xml:space="preserve"> </w:t>
      </w:r>
      <w:r w:rsidRPr="001636C7">
        <w:rPr>
          <w:iCs/>
        </w:rPr>
        <w:t>Other conditions included Hashimoto’s disease, irritable bowel syndrome, multiple sclerosis, and turbinate hypertrophy.</w:t>
      </w:r>
    </w:p>
    <w:p w14:paraId="371F9C5B" w14:textId="77777777" w:rsidR="001C729C" w:rsidRDefault="001C729C" w:rsidP="001636C7">
      <w:pPr>
        <w:rPr>
          <w:b/>
          <w:bCs/>
        </w:rPr>
      </w:pPr>
    </w:p>
    <w:p w14:paraId="2E8E2F8C" w14:textId="77777777" w:rsidR="001C5989" w:rsidRDefault="001C5989" w:rsidP="001636C7">
      <w:pPr>
        <w:rPr>
          <w:b/>
          <w:bCs/>
        </w:rPr>
      </w:pPr>
    </w:p>
    <w:p w14:paraId="3A7EA646" w14:textId="5458DE97" w:rsidR="001636C7" w:rsidRDefault="00CE1353" w:rsidP="001636C7">
      <w:pPr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1636C7" w:rsidRPr="001636C7">
        <w:rPr>
          <w:b/>
          <w:bCs/>
        </w:rPr>
        <w:t xml:space="preserve">Table </w:t>
      </w:r>
      <w:r w:rsidR="001636C7" w:rsidRPr="001636C7">
        <w:rPr>
          <w:b/>
          <w:bCs/>
        </w:rPr>
        <w:fldChar w:fldCharType="begin"/>
      </w:r>
      <w:r w:rsidR="001636C7" w:rsidRPr="001636C7">
        <w:rPr>
          <w:b/>
          <w:bCs/>
        </w:rPr>
        <w:instrText xml:space="preserve"> SEQ Table \* ARABIC </w:instrText>
      </w:r>
      <w:r w:rsidR="001636C7" w:rsidRPr="001636C7">
        <w:rPr>
          <w:b/>
          <w:bCs/>
        </w:rPr>
        <w:fldChar w:fldCharType="separate"/>
      </w:r>
      <w:r w:rsidR="001636C7" w:rsidRPr="001636C7">
        <w:rPr>
          <w:b/>
          <w:bCs/>
        </w:rPr>
        <w:t>3</w:t>
      </w:r>
      <w:r w:rsidR="001636C7" w:rsidRPr="001636C7">
        <w:fldChar w:fldCharType="end"/>
      </w:r>
      <w:bookmarkEnd w:id="2"/>
      <w:r w:rsidR="001636C7" w:rsidRPr="001636C7">
        <w:rPr>
          <w:b/>
          <w:bCs/>
        </w:rPr>
        <w:t>. Disease characteristics of patients with two or more failed prophylactics for migraine</w:t>
      </w:r>
    </w:p>
    <w:p w14:paraId="0CEC167E" w14:textId="77777777" w:rsidR="00B36D06" w:rsidRPr="001636C7" w:rsidRDefault="00B36D06" w:rsidP="001636C7">
      <w:pPr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1749"/>
        <w:gridCol w:w="1749"/>
        <w:gridCol w:w="1749"/>
        <w:gridCol w:w="1748"/>
      </w:tblGrid>
      <w:tr w:rsidR="00FB5EA6" w:rsidRPr="00FB5EA6" w14:paraId="47F93216" w14:textId="77777777" w:rsidTr="001C5989">
        <w:trPr>
          <w:trHeight w:val="276"/>
        </w:trPr>
        <w:tc>
          <w:tcPr>
            <w:tcW w:w="2298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6F87EA7C" w14:textId="77777777" w:rsidR="00FB5EA6" w:rsidRPr="00FB5EA6" w:rsidRDefault="00FB5EA6" w:rsidP="00FB5EA6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B8FAE" w14:textId="77777777" w:rsidR="00FB5EA6" w:rsidRPr="00FB5EA6" w:rsidRDefault="00FB5EA6" w:rsidP="00FB5EA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FRANCE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3F123" w14:textId="77777777" w:rsidR="00FB5EA6" w:rsidRPr="00FB5EA6" w:rsidRDefault="00FB5EA6" w:rsidP="00FB5EA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 xml:space="preserve">GERMANY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686E8" w14:textId="77777777" w:rsidR="00FB5EA6" w:rsidRPr="00FB5EA6" w:rsidRDefault="00FB5EA6" w:rsidP="00FB5EA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ITALY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5F28" w14:textId="77777777" w:rsidR="00FB5EA6" w:rsidRPr="00FB5EA6" w:rsidRDefault="00FB5EA6" w:rsidP="00FB5EA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SPAIN</w:t>
            </w:r>
          </w:p>
        </w:tc>
      </w:tr>
      <w:tr w:rsidR="00FB5EA6" w:rsidRPr="00FB5EA6" w14:paraId="101B8F7F" w14:textId="77777777" w:rsidTr="001C5989">
        <w:trPr>
          <w:trHeight w:val="288"/>
        </w:trPr>
        <w:tc>
          <w:tcPr>
            <w:tcW w:w="229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E034471" w14:textId="77777777" w:rsidR="00FB5EA6" w:rsidRPr="00FB5EA6" w:rsidRDefault="00FB5EA6" w:rsidP="00FB5EA6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E6583B6" w14:textId="77777777" w:rsidR="00FB5EA6" w:rsidRPr="00FB5EA6" w:rsidRDefault="00FB5EA6" w:rsidP="00FB5EA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N = 51</w:t>
            </w:r>
          </w:p>
        </w:tc>
        <w:tc>
          <w:tcPr>
            <w:tcW w:w="6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77A9CBB" w14:textId="77777777" w:rsidR="00FB5EA6" w:rsidRPr="00FB5EA6" w:rsidRDefault="00FB5EA6" w:rsidP="00FB5EA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N = 28</w:t>
            </w:r>
          </w:p>
        </w:tc>
        <w:tc>
          <w:tcPr>
            <w:tcW w:w="6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DB93F0" w14:textId="77777777" w:rsidR="00FB5EA6" w:rsidRPr="00FB5EA6" w:rsidRDefault="00FB5EA6" w:rsidP="00FB5EA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N = 44</w:t>
            </w:r>
          </w:p>
        </w:tc>
        <w:tc>
          <w:tcPr>
            <w:tcW w:w="6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4E82" w14:textId="77777777" w:rsidR="00FB5EA6" w:rsidRPr="00FB5EA6" w:rsidRDefault="00FB5EA6" w:rsidP="00FB5EA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N = 45</w:t>
            </w:r>
          </w:p>
        </w:tc>
      </w:tr>
      <w:tr w:rsidR="00FB5EA6" w:rsidRPr="00FB5EA6" w14:paraId="37855411" w14:textId="77777777" w:rsidTr="001C5989">
        <w:trPr>
          <w:trHeight w:val="564"/>
        </w:trPr>
        <w:tc>
          <w:tcPr>
            <w:tcW w:w="2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CAC71" w14:textId="4A68937E" w:rsidR="00FB5EA6" w:rsidRPr="00FB5EA6" w:rsidRDefault="00FB5EA6" w:rsidP="00FB5EA6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Time since initiation of first prophylactic treatment</w:t>
            </w:r>
            <w:r w:rsidR="001C5989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(years), mean ± SD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3275" w14:textId="77777777" w:rsidR="00FB5EA6" w:rsidRPr="00FB5EA6" w:rsidRDefault="00FB5EA6" w:rsidP="001C59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4.12 ± 2.59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9050" w14:textId="77777777" w:rsidR="00FB5EA6" w:rsidRPr="00FB5EA6" w:rsidRDefault="00FB5EA6" w:rsidP="001C59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4.16 ± 5.17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36C9" w14:textId="77777777" w:rsidR="00FB5EA6" w:rsidRPr="00FB5EA6" w:rsidRDefault="00FB5EA6" w:rsidP="001C59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2.86 ± 2.65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A22D" w14:textId="77777777" w:rsidR="00FB5EA6" w:rsidRPr="00FB5EA6" w:rsidRDefault="00FB5EA6" w:rsidP="001C59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2.83 ± 2.93</w:t>
            </w:r>
          </w:p>
        </w:tc>
      </w:tr>
      <w:tr w:rsidR="00FB5EA6" w:rsidRPr="00FB5EA6" w14:paraId="50FC70D7" w14:textId="77777777" w:rsidTr="001C5989">
        <w:trPr>
          <w:trHeight w:val="552"/>
        </w:trPr>
        <w:tc>
          <w:tcPr>
            <w:tcW w:w="2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C481A" w14:textId="77777777" w:rsidR="00B36D06" w:rsidRDefault="00FB5EA6" w:rsidP="00FB5EA6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Days of work/school missed due to migraine in the month</w:t>
            </w:r>
          </w:p>
          <w:p w14:paraId="10F6E11A" w14:textId="50730474" w:rsidR="00FB5EA6" w:rsidRPr="00FB5EA6" w:rsidRDefault="00B36D06" w:rsidP="00B36D06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prior to the index date, mean</w:t>
            </w:r>
            <w:r w:rsidR="00FB5EA6" w:rsidRPr="00FB5EA6">
              <w:rPr>
                <w:rFonts w:eastAsia="Times New Roman"/>
                <w:b/>
                <w:bCs/>
                <w:color w:val="000000"/>
                <w:sz w:val="22"/>
              </w:rPr>
              <w:t xml:space="preserve"> ± SD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5C83" w14:textId="77777777" w:rsidR="00FB5EA6" w:rsidRPr="00FB5EA6" w:rsidRDefault="00FB5EA6" w:rsidP="001C59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4.93 ± 4.27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0506" w14:textId="77777777" w:rsidR="00FB5EA6" w:rsidRPr="00FB5EA6" w:rsidRDefault="00FB5EA6" w:rsidP="001C59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6.12 ± 4.76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A58D" w14:textId="77777777" w:rsidR="00FB5EA6" w:rsidRPr="00FB5EA6" w:rsidRDefault="00FB5EA6" w:rsidP="001C59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5.97 ± 3.50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DB0D" w14:textId="77777777" w:rsidR="00FB5EA6" w:rsidRPr="00FB5EA6" w:rsidRDefault="00FB5EA6" w:rsidP="001C59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4.73 ± 7.14</w:t>
            </w:r>
          </w:p>
        </w:tc>
      </w:tr>
      <w:tr w:rsidR="00FB5EA6" w:rsidRPr="00FB5EA6" w14:paraId="7EFE7560" w14:textId="77777777" w:rsidTr="001C5989">
        <w:trPr>
          <w:trHeight w:val="552"/>
        </w:trPr>
        <w:tc>
          <w:tcPr>
            <w:tcW w:w="2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1D041" w14:textId="2E540B9C" w:rsidR="00FB5EA6" w:rsidRPr="00FB5EA6" w:rsidRDefault="00FB5EA6" w:rsidP="00FB5EA6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Loss of productivity at work/school due to migraine in the</w:t>
            </w:r>
            <w:r w:rsidR="001C5989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month prior to the index date, n (%)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39E3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7F12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BED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1CA3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B5EA6" w:rsidRPr="00FB5EA6" w14:paraId="6B087CF1" w14:textId="77777777" w:rsidTr="001C5989">
        <w:trPr>
          <w:trHeight w:val="276"/>
        </w:trPr>
        <w:tc>
          <w:tcPr>
            <w:tcW w:w="2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9CDC1" w14:textId="77777777" w:rsidR="00FB5EA6" w:rsidRPr="00FB5EA6" w:rsidRDefault="00FB5EA6" w:rsidP="00FB5EA6">
            <w:pPr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 </w:t>
            </w:r>
            <w:r w:rsidRPr="00FB5EA6">
              <w:rPr>
                <w:rFonts w:eastAsia="Times New Roman"/>
                <w:color w:val="000000"/>
                <w:sz w:val="22"/>
              </w:rPr>
              <w:t>Yes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0B8D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29 (76.32%)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0107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18 (72.00%)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7476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34 (91.89%)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A3B7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27 (79.41%)</w:t>
            </w:r>
          </w:p>
        </w:tc>
      </w:tr>
      <w:tr w:rsidR="00FB5EA6" w:rsidRPr="00FB5EA6" w14:paraId="184CFBDA" w14:textId="77777777" w:rsidTr="001C5989">
        <w:trPr>
          <w:trHeight w:val="276"/>
        </w:trPr>
        <w:tc>
          <w:tcPr>
            <w:tcW w:w="2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E251C" w14:textId="77777777" w:rsidR="00FB5EA6" w:rsidRPr="00FB5EA6" w:rsidRDefault="00FB5EA6" w:rsidP="00FB5EA6">
            <w:pPr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 </w:t>
            </w:r>
            <w:r w:rsidRPr="00FB5EA6">
              <w:rPr>
                <w:rFonts w:eastAsia="Times New Roman"/>
                <w:color w:val="000000"/>
                <w:sz w:val="22"/>
              </w:rPr>
              <w:t>No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6AE2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6 (15.79%)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0D10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2 (8.00%)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D1B0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2 (5.41%)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3397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7 (20.59%)</w:t>
            </w:r>
          </w:p>
        </w:tc>
      </w:tr>
      <w:tr w:rsidR="00FB5EA6" w:rsidRPr="00FB5EA6" w14:paraId="55E04694" w14:textId="77777777" w:rsidTr="001C5989">
        <w:trPr>
          <w:trHeight w:val="276"/>
        </w:trPr>
        <w:tc>
          <w:tcPr>
            <w:tcW w:w="2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6A56C" w14:textId="77777777" w:rsidR="00FB5EA6" w:rsidRPr="00FB5EA6" w:rsidRDefault="00FB5EA6" w:rsidP="00FB5EA6">
            <w:pPr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 </w:t>
            </w:r>
            <w:r w:rsidRPr="00FB5EA6">
              <w:rPr>
                <w:rFonts w:eastAsia="Times New Roman"/>
                <w:color w:val="000000"/>
                <w:sz w:val="22"/>
              </w:rPr>
              <w:t>Unknown/not sure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0828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3 (7.89%)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E443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5 (20.00%)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B03D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1 (2.70%)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DC18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FB5EA6" w:rsidRPr="00FB5EA6" w14:paraId="15EB42C9" w14:textId="77777777" w:rsidTr="001C5989">
        <w:trPr>
          <w:trHeight w:val="276"/>
        </w:trPr>
        <w:tc>
          <w:tcPr>
            <w:tcW w:w="2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08F02" w14:textId="7EA77908" w:rsidR="00FB5EA6" w:rsidRPr="00FB5EA6" w:rsidRDefault="00FB5EA6" w:rsidP="00FB5EA6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Disease characteristics in the month prior to the index</w:t>
            </w:r>
            <w:r w:rsidR="001C5989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r w:rsidRPr="00FB5EA6">
              <w:rPr>
                <w:rFonts w:eastAsia="Times New Roman"/>
                <w:b/>
                <w:bCs/>
                <w:color w:val="000000"/>
                <w:sz w:val="22"/>
              </w:rPr>
              <w:t>date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0123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8B82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D45E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E155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B5EA6" w:rsidRPr="00FB5EA6" w14:paraId="6BACCC8C" w14:textId="77777777" w:rsidTr="001C5989">
        <w:trPr>
          <w:trHeight w:val="525"/>
        </w:trPr>
        <w:tc>
          <w:tcPr>
            <w:tcW w:w="2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1C364" w14:textId="77777777" w:rsidR="00FB5EA6" w:rsidRDefault="00FB5EA6" w:rsidP="00FB5EA6">
            <w:pPr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 </w:t>
            </w:r>
            <w:r w:rsidRPr="00FB5EA6">
              <w:rPr>
                <w:rFonts w:eastAsia="Times New Roman"/>
                <w:color w:val="000000"/>
                <w:sz w:val="22"/>
              </w:rPr>
              <w:t>Number of migraine days in the month prior to the index date,</w:t>
            </w:r>
          </w:p>
          <w:p w14:paraId="7D6DE8BD" w14:textId="205252C5" w:rsidR="00FB5EA6" w:rsidRPr="00FB5EA6" w:rsidRDefault="00FB5EA6" w:rsidP="00FB5EA6">
            <w:pPr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 </w:t>
            </w:r>
            <w:r w:rsidRPr="00FB5EA6">
              <w:rPr>
                <w:rFonts w:eastAsia="Times New Roman"/>
                <w:color w:val="000000"/>
                <w:sz w:val="22"/>
              </w:rPr>
              <w:t>mean ± SD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A50D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8.86 ± 3.48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D071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9.79 ± 5.19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6E77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10.02 ± 4.82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CF42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11.64 ± 5.23</w:t>
            </w:r>
          </w:p>
        </w:tc>
      </w:tr>
      <w:tr w:rsidR="00FB5EA6" w:rsidRPr="00FB5EA6" w14:paraId="35FBC0A3" w14:textId="77777777" w:rsidTr="001C5989">
        <w:trPr>
          <w:trHeight w:val="276"/>
        </w:trPr>
        <w:tc>
          <w:tcPr>
            <w:tcW w:w="2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01231" w14:textId="77777777" w:rsidR="00FB5EA6" w:rsidRPr="00FB5EA6" w:rsidRDefault="00FB5EA6" w:rsidP="00FB5EA6">
            <w:pPr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 </w:t>
            </w:r>
            <w:r w:rsidRPr="00FB5EA6">
              <w:rPr>
                <w:rFonts w:eastAsia="Times New Roman"/>
                <w:color w:val="000000"/>
                <w:sz w:val="22"/>
              </w:rPr>
              <w:t>Average duration of a migraine episode (hours), mean ± SD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BB0A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29.67 ± 25.76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554A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22.65 ± 17.69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A585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13.72 ± 12.38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842E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20.60 ± 17.87</w:t>
            </w:r>
          </w:p>
        </w:tc>
      </w:tr>
      <w:tr w:rsidR="00FB5EA6" w:rsidRPr="00FB5EA6" w14:paraId="2BA4D1DA" w14:textId="77777777" w:rsidTr="001C5989">
        <w:trPr>
          <w:trHeight w:val="552"/>
        </w:trPr>
        <w:tc>
          <w:tcPr>
            <w:tcW w:w="2298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E3A91" w14:textId="77777777" w:rsidR="00FB5EA6" w:rsidRDefault="00FB5EA6" w:rsidP="00FB5EA6">
            <w:pPr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 </w:t>
            </w:r>
            <w:r w:rsidRPr="00FB5EA6">
              <w:rPr>
                <w:rFonts w:eastAsia="Times New Roman"/>
                <w:color w:val="000000"/>
                <w:sz w:val="22"/>
              </w:rPr>
              <w:t>Number of non-migraine headache days in the month prior to</w:t>
            </w:r>
          </w:p>
          <w:p w14:paraId="161A04A9" w14:textId="7E4B5ECD" w:rsidR="00FB5EA6" w:rsidRPr="00FB5EA6" w:rsidRDefault="00FB5EA6" w:rsidP="00FB5EA6">
            <w:pPr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 </w:t>
            </w:r>
            <w:r w:rsidR="001C5989">
              <w:rPr>
                <w:rFonts w:eastAsia="Times New Roman"/>
                <w:color w:val="000000"/>
                <w:sz w:val="22"/>
              </w:rPr>
              <w:t>the index date, mean</w:t>
            </w:r>
            <w:r w:rsidRPr="00FB5EA6">
              <w:rPr>
                <w:rFonts w:eastAsia="Times New Roman"/>
                <w:color w:val="000000"/>
                <w:sz w:val="22"/>
              </w:rPr>
              <w:t xml:space="preserve"> ± SD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79E5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6.50 ± 5.61</w:t>
            </w:r>
          </w:p>
        </w:tc>
        <w:tc>
          <w:tcPr>
            <w:tcW w:w="6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305E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6.95 ± 6.39</w:t>
            </w:r>
          </w:p>
        </w:tc>
        <w:tc>
          <w:tcPr>
            <w:tcW w:w="6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4876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6.08 ± 4.98</w:t>
            </w:r>
          </w:p>
        </w:tc>
        <w:tc>
          <w:tcPr>
            <w:tcW w:w="6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A732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7.61 ± 5.86</w:t>
            </w:r>
          </w:p>
        </w:tc>
      </w:tr>
      <w:tr w:rsidR="00FB5EA6" w:rsidRPr="00FB5EA6" w14:paraId="7B060E38" w14:textId="77777777" w:rsidTr="001C5989">
        <w:trPr>
          <w:trHeight w:val="552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106863" w14:textId="77777777" w:rsidR="00FB5EA6" w:rsidRDefault="00FB5EA6" w:rsidP="00FB5EA6">
            <w:pPr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 </w:t>
            </w:r>
            <w:r w:rsidRPr="00FB5EA6">
              <w:rPr>
                <w:rFonts w:eastAsia="Times New Roman"/>
                <w:color w:val="000000"/>
                <w:sz w:val="22"/>
              </w:rPr>
              <w:t>Average duration of non-migraine headache (hours), mean ±</w:t>
            </w:r>
          </w:p>
          <w:p w14:paraId="6D1363DF" w14:textId="4B3DB0F0" w:rsidR="00FB5EA6" w:rsidRPr="00FB5EA6" w:rsidRDefault="00FB5EA6" w:rsidP="00FB5EA6">
            <w:pPr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 </w:t>
            </w:r>
            <w:r w:rsidRPr="00FB5EA6">
              <w:rPr>
                <w:rFonts w:eastAsia="Times New Roman"/>
                <w:color w:val="000000"/>
                <w:sz w:val="22"/>
              </w:rPr>
              <w:t>SD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4D63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17.28 ± 26.20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8DAE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7.36 ± 5.40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2753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9.06 ± 6.62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7033" w14:textId="77777777" w:rsidR="00FB5EA6" w:rsidRPr="00FB5EA6" w:rsidRDefault="00FB5EA6" w:rsidP="00FB5EA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FB5EA6">
              <w:rPr>
                <w:rFonts w:eastAsia="Times New Roman"/>
                <w:color w:val="000000"/>
                <w:sz w:val="22"/>
              </w:rPr>
              <w:t>14.16 ± 11.44</w:t>
            </w:r>
          </w:p>
        </w:tc>
      </w:tr>
    </w:tbl>
    <w:p w14:paraId="30A666DE" w14:textId="4F48C42E" w:rsidR="00AD50A3" w:rsidRDefault="00AD50A3" w:rsidP="001636C7">
      <w:pPr>
        <w:rPr>
          <w:bCs/>
        </w:rPr>
      </w:pPr>
    </w:p>
    <w:p w14:paraId="359AF566" w14:textId="77777777" w:rsidR="00B36D06" w:rsidRPr="001636C7" w:rsidRDefault="00B36D06" w:rsidP="001636C7">
      <w:pPr>
        <w:rPr>
          <w:bCs/>
        </w:rPr>
      </w:pPr>
    </w:p>
    <w:p w14:paraId="1CD85941" w14:textId="77777777" w:rsidR="001636C7" w:rsidRPr="001636C7" w:rsidRDefault="001636C7" w:rsidP="001636C7">
      <w:pPr>
        <w:rPr>
          <w:bCs/>
        </w:rPr>
      </w:pPr>
      <w:bookmarkStart w:id="3" w:name="_Ref528335636"/>
      <w:r w:rsidRPr="001636C7">
        <w:rPr>
          <w:b/>
          <w:bCs/>
        </w:rPr>
        <w:t xml:space="preserve">Caption: </w:t>
      </w:r>
      <w:r w:rsidRPr="001636C7">
        <w:rPr>
          <w:bCs/>
        </w:rPr>
        <w:t>SD = standard deviation.</w:t>
      </w:r>
    </w:p>
    <w:p w14:paraId="32E4D9B9" w14:textId="77777777" w:rsidR="001636C7" w:rsidRPr="001636C7" w:rsidRDefault="001636C7" w:rsidP="001636C7">
      <w:pPr>
        <w:rPr>
          <w:b/>
          <w:bCs/>
        </w:rPr>
      </w:pPr>
    </w:p>
    <w:p w14:paraId="10815026" w14:textId="77777777" w:rsidR="001636C7" w:rsidRPr="001636C7" w:rsidRDefault="001636C7" w:rsidP="001636C7">
      <w:pPr>
        <w:rPr>
          <w:b/>
          <w:bCs/>
        </w:rPr>
      </w:pPr>
      <w:r w:rsidRPr="001636C7">
        <w:br w:type="page"/>
      </w:r>
    </w:p>
    <w:bookmarkEnd w:id="3"/>
    <w:p w14:paraId="4BEC6F49" w14:textId="33653BD5" w:rsidR="001636C7" w:rsidRPr="001636C7" w:rsidRDefault="00CE1353" w:rsidP="001636C7">
      <w:pPr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1636C7" w:rsidRPr="001636C7">
        <w:rPr>
          <w:b/>
          <w:bCs/>
        </w:rPr>
        <w:t xml:space="preserve">Table </w:t>
      </w:r>
      <w:r w:rsidR="001636C7" w:rsidRPr="001636C7">
        <w:rPr>
          <w:b/>
          <w:bCs/>
        </w:rPr>
        <w:fldChar w:fldCharType="begin"/>
      </w:r>
      <w:r w:rsidR="001636C7" w:rsidRPr="001636C7">
        <w:rPr>
          <w:b/>
          <w:bCs/>
        </w:rPr>
        <w:instrText xml:space="preserve"> SEQ Table \* ARABIC </w:instrText>
      </w:r>
      <w:r w:rsidR="001636C7" w:rsidRPr="001636C7">
        <w:rPr>
          <w:b/>
          <w:bCs/>
        </w:rPr>
        <w:fldChar w:fldCharType="separate"/>
      </w:r>
      <w:r w:rsidR="001636C7" w:rsidRPr="001636C7">
        <w:rPr>
          <w:b/>
          <w:bCs/>
        </w:rPr>
        <w:t>4</w:t>
      </w:r>
      <w:r w:rsidR="001636C7" w:rsidRPr="001636C7">
        <w:fldChar w:fldCharType="end"/>
      </w:r>
      <w:r w:rsidR="001636C7" w:rsidRPr="001636C7">
        <w:rPr>
          <w:b/>
          <w:bCs/>
        </w:rPr>
        <w:t>. Migraine-related HRU during the six-month study period by patients with two or more failed prophylactics for migraine</w:t>
      </w:r>
    </w:p>
    <w:p w14:paraId="15DE0B36" w14:textId="4E7E6C17" w:rsidR="001636C7" w:rsidRDefault="001636C7" w:rsidP="001636C7"/>
    <w:tbl>
      <w:tblPr>
        <w:tblW w:w="5000" w:type="pct"/>
        <w:tblLook w:val="04A0" w:firstRow="1" w:lastRow="0" w:firstColumn="1" w:lastColumn="0" w:noHBand="0" w:noVBand="1"/>
      </w:tblPr>
      <w:tblGrid>
        <w:gridCol w:w="6136"/>
        <w:gridCol w:w="1704"/>
        <w:gridCol w:w="1704"/>
        <w:gridCol w:w="1704"/>
        <w:gridCol w:w="1702"/>
      </w:tblGrid>
      <w:tr w:rsidR="00B36D06" w:rsidRPr="00B36D06" w14:paraId="450FD25F" w14:textId="77777777" w:rsidTr="00CC7589">
        <w:trPr>
          <w:trHeight w:val="276"/>
        </w:trPr>
        <w:tc>
          <w:tcPr>
            <w:tcW w:w="2369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001527F8" w14:textId="77777777" w:rsidR="00B36D06" w:rsidRPr="00B36D06" w:rsidRDefault="00B36D06" w:rsidP="00B36D06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B105D" w14:textId="77777777" w:rsidR="00B36D06" w:rsidRPr="00B36D06" w:rsidRDefault="00B36D06" w:rsidP="00B36D0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FRANCE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F8D44" w14:textId="77777777" w:rsidR="00B36D06" w:rsidRPr="00B36D06" w:rsidRDefault="00B36D06" w:rsidP="00B36D0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 xml:space="preserve">GERMANY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B23C6" w14:textId="77777777" w:rsidR="00B36D06" w:rsidRPr="00B36D06" w:rsidRDefault="00B36D06" w:rsidP="00B36D0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ITALY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3401" w14:textId="77777777" w:rsidR="00B36D06" w:rsidRPr="00B36D06" w:rsidRDefault="00B36D06" w:rsidP="00B36D0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SPAIN</w:t>
            </w:r>
          </w:p>
        </w:tc>
      </w:tr>
      <w:tr w:rsidR="00B36D06" w:rsidRPr="00B36D06" w14:paraId="6583EC90" w14:textId="77777777" w:rsidTr="00CC7589">
        <w:trPr>
          <w:trHeight w:val="288"/>
        </w:trPr>
        <w:tc>
          <w:tcPr>
            <w:tcW w:w="2369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B064F58" w14:textId="77777777" w:rsidR="00B36D06" w:rsidRPr="00B36D06" w:rsidRDefault="00B36D06" w:rsidP="00B36D06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C1EABBA" w14:textId="77777777" w:rsidR="00B36D06" w:rsidRPr="00B36D06" w:rsidRDefault="00B36D06" w:rsidP="00B36D0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N = 51</w:t>
            </w:r>
          </w:p>
        </w:tc>
        <w:tc>
          <w:tcPr>
            <w:tcW w:w="6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FAEC05C" w14:textId="77777777" w:rsidR="00B36D06" w:rsidRPr="00B36D06" w:rsidRDefault="00B36D06" w:rsidP="00B36D0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N = 28</w:t>
            </w:r>
          </w:p>
        </w:tc>
        <w:tc>
          <w:tcPr>
            <w:tcW w:w="6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E164F55" w14:textId="77777777" w:rsidR="00B36D06" w:rsidRPr="00B36D06" w:rsidRDefault="00B36D06" w:rsidP="00B36D0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N = 44</w:t>
            </w:r>
          </w:p>
        </w:tc>
        <w:tc>
          <w:tcPr>
            <w:tcW w:w="65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3569" w14:textId="77777777" w:rsidR="00B36D06" w:rsidRPr="00B36D06" w:rsidRDefault="00B36D06" w:rsidP="00B36D06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N = 45</w:t>
            </w:r>
          </w:p>
        </w:tc>
      </w:tr>
      <w:tr w:rsidR="00B36D06" w:rsidRPr="00B36D06" w14:paraId="750A363F" w14:textId="77777777" w:rsidTr="00CC7589">
        <w:trPr>
          <w:trHeight w:val="288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72E0D" w14:textId="77777777" w:rsidR="00B36D06" w:rsidRPr="00B36D06" w:rsidRDefault="00B36D06" w:rsidP="00B36D06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Outpatient visits in the physician's office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651D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F2CE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D0E9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28BA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B36D06" w:rsidRPr="00B36D06" w14:paraId="22A0F48C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FF517" w14:textId="77777777" w:rsidR="00B36D06" w:rsidRPr="00B36D06" w:rsidRDefault="00B36D06" w:rsidP="00B36D06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 </w:t>
            </w:r>
            <w:r w:rsidRPr="00B36D06">
              <w:rPr>
                <w:rFonts w:eastAsia="Times New Roman"/>
                <w:color w:val="000000"/>
                <w:sz w:val="22"/>
              </w:rPr>
              <w:t>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43E6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33 (64.71%)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D8DF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28 (100.00%)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C8D7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38 (86.36%)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B42D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41 (91.11%)</w:t>
            </w:r>
          </w:p>
        </w:tc>
      </w:tr>
      <w:tr w:rsidR="00B36D06" w:rsidRPr="00B36D06" w14:paraId="151E192E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25C4E" w14:textId="7986B126" w:rsidR="00B36D06" w:rsidRPr="00B36D06" w:rsidRDefault="00B36D06" w:rsidP="00B36D06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visits,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CDB8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2.21 ± 2.06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B3DC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3.39 ± 2.38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B240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2.63 ± 2.07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04FC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2.27 ± 2.00</w:t>
            </w:r>
          </w:p>
        </w:tc>
      </w:tr>
      <w:tr w:rsidR="00B36D06" w:rsidRPr="00B36D06" w14:paraId="16C03AFB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8C730" w14:textId="77777777" w:rsidR="00B36D06" w:rsidRPr="00B36D06" w:rsidRDefault="00B36D06" w:rsidP="00B36D06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ER/A&amp;E visits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4F3C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7FA0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D3E6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EFED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B36D06" w:rsidRPr="00B36D06" w14:paraId="2959DCAE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36787" w14:textId="77777777" w:rsidR="00B36D06" w:rsidRPr="00B36D06" w:rsidRDefault="00B36D06" w:rsidP="00B36D06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96AA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16 (32.00%)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AB75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3 (12.50%)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8E16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10 (22.73%)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9FA9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15 (34.09%)</w:t>
            </w:r>
          </w:p>
        </w:tc>
      </w:tr>
      <w:tr w:rsidR="00B36D06" w:rsidRPr="00B36D06" w14:paraId="6BD055CA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3C138" w14:textId="6BE6F3FD" w:rsidR="00B36D06" w:rsidRPr="00B36D06" w:rsidRDefault="00B36D06" w:rsidP="00B36D06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visits,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8286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1.69 ± 1.30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07D9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1.67 ± 0.58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0061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4.70 ± 8.93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35F8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2.87 ± 2.64</w:t>
            </w:r>
          </w:p>
        </w:tc>
      </w:tr>
      <w:tr w:rsidR="00B36D06" w:rsidRPr="00B36D06" w14:paraId="6334ADB5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81966" w14:textId="77777777" w:rsidR="00B36D06" w:rsidRPr="00B36D06" w:rsidRDefault="00B36D06" w:rsidP="00B36D06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Hospitalizations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3100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A9C4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72BC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686B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B36D06" w:rsidRPr="00B36D06" w14:paraId="1DC3EA67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8D49D" w14:textId="77777777" w:rsidR="00B36D06" w:rsidRPr="00B36D06" w:rsidRDefault="00B36D06" w:rsidP="00B36D06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7F66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3 (6.00%)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4958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6 (23.08%)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6DEB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0 (0.00%)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85A5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0 (0.00%)</w:t>
            </w:r>
          </w:p>
        </w:tc>
      </w:tr>
      <w:tr w:rsidR="00B36D06" w:rsidRPr="00B36D06" w14:paraId="39B5B149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434A2" w14:textId="7B5DA45E" w:rsidR="00B36D06" w:rsidRPr="00B36D06" w:rsidRDefault="00B36D06" w:rsidP="00B36D06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hospitalizations,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DBB5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1.33 ± 0.58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72B7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1.33 ± 0.52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B483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0438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-</w:t>
            </w:r>
          </w:p>
        </w:tc>
      </w:tr>
      <w:tr w:rsidR="00B36D06" w:rsidRPr="00B36D06" w14:paraId="30C99CFC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F084D" w14:textId="06949D7E" w:rsidR="00B36D06" w:rsidRPr="00B36D06" w:rsidRDefault="00B36D06" w:rsidP="00B36D06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 </w:t>
            </w:r>
            <w:r w:rsidRPr="00B36D06">
              <w:rPr>
                <w:rFonts w:eastAsia="Times New Roman"/>
                <w:color w:val="000000"/>
                <w:sz w:val="22"/>
              </w:rPr>
              <w:t xml:space="preserve">Number of days hospitalized,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3016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3.33 ± 2.31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AC16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3.33 ± 1.51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97A4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4BA3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-</w:t>
            </w:r>
          </w:p>
        </w:tc>
      </w:tr>
      <w:tr w:rsidR="00B36D06" w:rsidRPr="00B36D06" w14:paraId="18802EE1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8312F" w14:textId="77777777" w:rsidR="00B36D06" w:rsidRPr="00B36D06" w:rsidRDefault="00B36D06" w:rsidP="00B36D06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Sick days prescribed by the physician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B66A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A7EB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D10B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5156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B36D06" w:rsidRPr="00B36D06" w14:paraId="10A41E0E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33107" w14:textId="77777777" w:rsidR="00B36D06" w:rsidRPr="00B36D06" w:rsidRDefault="00B36D06" w:rsidP="00B36D06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 </w:t>
            </w:r>
            <w:r w:rsidRPr="00B36D06">
              <w:rPr>
                <w:rFonts w:eastAsia="Times New Roman"/>
                <w:color w:val="000000"/>
                <w:sz w:val="22"/>
              </w:rPr>
              <w:t>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915E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8 (20.51%)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82FC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20 (74.07%)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F476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13 (31.71%)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1089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6 (15.38%)</w:t>
            </w:r>
          </w:p>
        </w:tc>
      </w:tr>
      <w:tr w:rsidR="00B36D06" w:rsidRPr="00B36D06" w14:paraId="0C7FB49B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1C11A" w14:textId="3C1E9CCD" w:rsidR="00B36D06" w:rsidRPr="00B36D06" w:rsidRDefault="00B36D06" w:rsidP="00B36D06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sick days,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B6E5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5.25 ± 6.48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4EBA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5.15 ± 4.23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16C1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7.77 ± 6.31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B424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20.83 ± 12.69</w:t>
            </w:r>
          </w:p>
        </w:tc>
      </w:tr>
      <w:tr w:rsidR="00CC7589" w:rsidRPr="00B36D06" w14:paraId="4043B573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2B4B757" w14:textId="44A3069F" w:rsidR="00CC7589" w:rsidRPr="00B36D06" w:rsidRDefault="00CC7589" w:rsidP="00B36D06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Diagnostic migraine-related procedures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EA5DC5" w14:textId="77777777" w:rsidR="00CC7589" w:rsidRPr="00B36D06" w:rsidRDefault="00CC7589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F1C2E40" w14:textId="77777777" w:rsidR="00CC7589" w:rsidRPr="00B36D06" w:rsidRDefault="00CC7589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27255E" w14:textId="77777777" w:rsidR="00CC7589" w:rsidRPr="00B36D06" w:rsidRDefault="00CC7589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3D15200" w14:textId="77777777" w:rsidR="00CC7589" w:rsidRPr="00B36D06" w:rsidRDefault="00CC7589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B36D06" w:rsidRPr="00B36D06" w14:paraId="77E105A5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04486" w14:textId="77777777" w:rsidR="00B36D06" w:rsidRPr="00CC7589" w:rsidRDefault="00B36D06" w:rsidP="00CC7589">
            <w:pPr>
              <w:ind w:left="247"/>
              <w:rPr>
                <w:rFonts w:eastAsia="Times New Roman"/>
                <w:bCs/>
                <w:i/>
                <w:color w:val="000000"/>
                <w:sz w:val="22"/>
              </w:rPr>
            </w:pPr>
            <w:r w:rsidRPr="00CC7589">
              <w:rPr>
                <w:rFonts w:eastAsia="Times New Roman"/>
                <w:bCs/>
                <w:i/>
                <w:color w:val="000000"/>
                <w:sz w:val="22"/>
              </w:rPr>
              <w:t>Cranial CT scans in the physician's office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9495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F20C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68A3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0A7C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B36D06" w:rsidRPr="00B36D06" w14:paraId="4A4C873F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2798A" w14:textId="77777777" w:rsidR="00B36D06" w:rsidRPr="00B36D06" w:rsidRDefault="00B36D06" w:rsidP="00CC7589">
            <w:pPr>
              <w:ind w:left="247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 </w:t>
            </w:r>
            <w:r w:rsidRPr="00B36D06">
              <w:rPr>
                <w:rFonts w:eastAsia="Times New Roman"/>
                <w:color w:val="000000"/>
                <w:sz w:val="22"/>
              </w:rPr>
              <w:t>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5A82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7 (13.73%)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E99F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3 (10.71%)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3BAD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7 (15.91%)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1731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5 (11.11%)</w:t>
            </w:r>
          </w:p>
        </w:tc>
      </w:tr>
      <w:tr w:rsidR="00B36D06" w:rsidRPr="00B36D06" w14:paraId="0EA6964F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D5606" w14:textId="35F34E27" w:rsidR="00B36D06" w:rsidRPr="00B36D06" w:rsidRDefault="00B36D06" w:rsidP="00CC7589">
            <w:pPr>
              <w:ind w:left="247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scans,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11B9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1.57 ± 1.51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D5A0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1.33 ± 0.58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38C8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1.57 ± 0.79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52CF" w14:textId="77777777" w:rsidR="00B36D06" w:rsidRPr="00B36D06" w:rsidRDefault="00B36D06" w:rsidP="00B36D0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1.20 ± 0.45</w:t>
            </w:r>
          </w:p>
        </w:tc>
      </w:tr>
      <w:tr w:rsidR="00CC7589" w:rsidRPr="00B36D06" w14:paraId="396540FF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37C433D" w14:textId="0C3BA547" w:rsidR="00CC7589" w:rsidRPr="00CC7589" w:rsidRDefault="00CC7589" w:rsidP="00CC7589">
            <w:pPr>
              <w:ind w:left="247"/>
              <w:rPr>
                <w:rFonts w:eastAsia="Times New Roman"/>
                <w:i/>
                <w:color w:val="000000"/>
                <w:sz w:val="22"/>
              </w:rPr>
            </w:pPr>
            <w:r w:rsidRPr="00CC7589">
              <w:rPr>
                <w:rFonts w:eastAsia="Times New Roman"/>
                <w:bCs/>
                <w:i/>
                <w:color w:val="000000"/>
                <w:sz w:val="22"/>
              </w:rPr>
              <w:t>EEGs in the physician's office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2C3EBE" w14:textId="674058AD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6FF915" w14:textId="2A96D46B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B3706B" w14:textId="775FD21A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ECB83F" w14:textId="320C295B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C7589" w:rsidRPr="00B36D06" w14:paraId="370DCED6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52AFC3C" w14:textId="179B4FEB" w:rsidR="00CC7589" w:rsidRPr="00B36D06" w:rsidRDefault="00CC7589" w:rsidP="00CC7589">
            <w:pPr>
              <w:ind w:left="247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 </w:t>
            </w:r>
            <w:r w:rsidRPr="00B36D06">
              <w:rPr>
                <w:rFonts w:eastAsia="Times New Roman"/>
                <w:color w:val="000000"/>
                <w:sz w:val="22"/>
              </w:rPr>
              <w:t>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1B7279" w14:textId="3C55A544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6 (11.76%)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035C47" w14:textId="3CB1F2B3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9 (32.14%)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F80534" w14:textId="11B8A46E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9 (20.45%)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EC8DEF" w14:textId="7388DCE9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5 (11.11%)</w:t>
            </w:r>
          </w:p>
        </w:tc>
      </w:tr>
      <w:tr w:rsidR="00CC7589" w:rsidRPr="00B36D06" w14:paraId="264CD1D6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C1C879E" w14:textId="133EAA02" w:rsidR="00CC7589" w:rsidRPr="00B36D06" w:rsidRDefault="00CC7589" w:rsidP="00CC7589">
            <w:pPr>
              <w:ind w:left="247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procedures,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D8B6BBA" w14:textId="7A9452C9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1.00 ± 0.00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B0824E" w14:textId="2738D179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1.44 ± 1.01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83CBF7" w14:textId="49C8CA86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1.56 ± 1.01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34B691" w14:textId="370E6008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1.00 ± 0.00</w:t>
            </w:r>
          </w:p>
        </w:tc>
      </w:tr>
      <w:tr w:rsidR="00CC7589" w:rsidRPr="00B36D06" w14:paraId="1D17CFD3" w14:textId="77777777" w:rsidTr="00CC7589">
        <w:trPr>
          <w:trHeight w:val="552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3FC11" w14:textId="77777777" w:rsidR="00CC7589" w:rsidRPr="00CC7589" w:rsidRDefault="00CC7589" w:rsidP="00CC7589">
            <w:pPr>
              <w:ind w:left="247"/>
              <w:rPr>
                <w:rFonts w:eastAsia="Times New Roman"/>
                <w:bCs/>
                <w:i/>
                <w:color w:val="000000"/>
                <w:sz w:val="22"/>
              </w:rPr>
            </w:pPr>
            <w:r w:rsidRPr="00CC7589">
              <w:rPr>
                <w:rFonts w:eastAsia="Times New Roman"/>
                <w:bCs/>
                <w:i/>
                <w:color w:val="000000"/>
                <w:sz w:val="22"/>
              </w:rPr>
              <w:t xml:space="preserve">Cranial and </w:t>
            </w:r>
            <w:proofErr w:type="spellStart"/>
            <w:r w:rsidRPr="00CC7589">
              <w:rPr>
                <w:rFonts w:eastAsia="Times New Roman"/>
                <w:bCs/>
                <w:i/>
                <w:color w:val="000000"/>
                <w:sz w:val="22"/>
              </w:rPr>
              <w:t>cranio</w:t>
            </w:r>
            <w:proofErr w:type="spellEnd"/>
            <w:r w:rsidRPr="00CC7589">
              <w:rPr>
                <w:rFonts w:eastAsia="Times New Roman"/>
                <w:bCs/>
                <w:i/>
                <w:color w:val="000000"/>
                <w:sz w:val="22"/>
              </w:rPr>
              <w:t>-cervical MRI scans in the physician's</w:t>
            </w:r>
          </w:p>
          <w:p w14:paraId="27E116A3" w14:textId="78D925E0" w:rsidR="00CC7589" w:rsidRPr="00B36D06" w:rsidRDefault="001163B6" w:rsidP="00CC7589">
            <w:pPr>
              <w:ind w:left="247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Cs/>
                <w:i/>
                <w:color w:val="000000"/>
                <w:sz w:val="22"/>
              </w:rPr>
              <w:t>o</w:t>
            </w:r>
            <w:bookmarkStart w:id="4" w:name="_GoBack"/>
            <w:bookmarkEnd w:id="4"/>
            <w:r w:rsidR="00CC7589" w:rsidRPr="00CC7589">
              <w:rPr>
                <w:rFonts w:eastAsia="Times New Roman"/>
                <w:bCs/>
                <w:i/>
                <w:color w:val="000000"/>
                <w:sz w:val="22"/>
              </w:rPr>
              <w:t>ffice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3F10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061A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039D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801F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C7589" w:rsidRPr="00B36D06" w14:paraId="5112E894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C8BB9" w14:textId="77777777" w:rsidR="00CC7589" w:rsidRPr="00B36D06" w:rsidRDefault="00CC7589" w:rsidP="00CC7589">
            <w:pPr>
              <w:ind w:left="247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 </w:t>
            </w:r>
            <w:r w:rsidRPr="00B36D06">
              <w:rPr>
                <w:rFonts w:eastAsia="Times New Roman"/>
                <w:color w:val="000000"/>
                <w:sz w:val="22"/>
              </w:rPr>
              <w:t>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0947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12 (23.53%)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D72B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11 (39.29%)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2F2B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10 (22.73%)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2DFB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4 (8.89%)</w:t>
            </w:r>
          </w:p>
        </w:tc>
      </w:tr>
      <w:tr w:rsidR="00CC7589" w:rsidRPr="00B36D06" w14:paraId="20B6CC2F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1657B" w14:textId="00367462" w:rsidR="00CC7589" w:rsidRPr="00B36D06" w:rsidRDefault="00CC7589" w:rsidP="00CC7589">
            <w:pPr>
              <w:ind w:left="247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scans,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1937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1.00 ± 0.00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44A6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1.00 ± 0.00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5CD6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1.50 ± 0.85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50FC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1.00 ± 0.00</w:t>
            </w:r>
          </w:p>
        </w:tc>
      </w:tr>
      <w:tr w:rsidR="00CC7589" w:rsidRPr="00B36D06" w14:paraId="5D49E665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3EB7C" w14:textId="77777777" w:rsidR="00CC7589" w:rsidRPr="00CC7589" w:rsidRDefault="00CC7589" w:rsidP="00CC7589">
            <w:pPr>
              <w:ind w:left="247"/>
              <w:rPr>
                <w:rFonts w:eastAsia="Times New Roman"/>
                <w:bCs/>
                <w:i/>
                <w:color w:val="000000"/>
                <w:sz w:val="22"/>
              </w:rPr>
            </w:pPr>
            <w:r w:rsidRPr="00CC7589">
              <w:rPr>
                <w:rFonts w:eastAsia="Times New Roman"/>
                <w:bCs/>
                <w:i/>
                <w:color w:val="000000"/>
                <w:sz w:val="22"/>
              </w:rPr>
              <w:t>Blood tests in the physician's office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C7AB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B9E0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762E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9835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C7589" w:rsidRPr="00B36D06" w14:paraId="0895FAD7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892EB" w14:textId="77777777" w:rsidR="00CC7589" w:rsidRPr="00B36D06" w:rsidRDefault="00CC7589" w:rsidP="00CC7589">
            <w:pPr>
              <w:ind w:left="247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 </w:t>
            </w:r>
            <w:r w:rsidRPr="00B36D06">
              <w:rPr>
                <w:rFonts w:eastAsia="Times New Roman"/>
                <w:color w:val="000000"/>
                <w:sz w:val="22"/>
              </w:rPr>
              <w:t>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4699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9 (17.65%)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0D8F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17 (60.71%)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06B5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29 (65.91%)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2CD6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11 (24.44%)</w:t>
            </w:r>
          </w:p>
        </w:tc>
      </w:tr>
      <w:tr w:rsidR="00CC7589" w:rsidRPr="00B36D06" w14:paraId="71763DE5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4CF90" w14:textId="17DB1138" w:rsidR="00CC7589" w:rsidRPr="00B36D06" w:rsidRDefault="00CC7589" w:rsidP="00CC7589">
            <w:pPr>
              <w:ind w:left="247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tests,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AFC4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1.67 ± 1.66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ADC5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1.59 ± 0.80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47EA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2.14 ± 2.15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C4AF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1.73 ± 0.79</w:t>
            </w:r>
          </w:p>
        </w:tc>
      </w:tr>
      <w:tr w:rsidR="00CC7589" w:rsidRPr="00B36D06" w14:paraId="528A1943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93CC4CD" w14:textId="3588B416" w:rsidR="00CC7589" w:rsidRPr="00CC7589" w:rsidRDefault="00CC7589" w:rsidP="00CC7589">
            <w:pPr>
              <w:rPr>
                <w:rFonts w:eastAsia="Times New Roman"/>
                <w:b/>
                <w:color w:val="000000"/>
                <w:sz w:val="22"/>
              </w:rPr>
            </w:pPr>
            <w:r w:rsidRPr="00CC7589">
              <w:rPr>
                <w:rFonts w:eastAsia="Times New Roman"/>
                <w:b/>
                <w:color w:val="000000"/>
                <w:sz w:val="22"/>
              </w:rPr>
              <w:t>Interventional migraine-related procedures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56C7D0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B3C3A25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8F9781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FB3DF4C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CC7589" w:rsidRPr="00B36D06" w14:paraId="63CDA559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16F9A" w14:textId="77777777" w:rsidR="00CC7589" w:rsidRPr="00CC7589" w:rsidRDefault="00CC7589" w:rsidP="00CC7589">
            <w:pPr>
              <w:ind w:left="247"/>
              <w:rPr>
                <w:rFonts w:eastAsia="Times New Roman"/>
                <w:bCs/>
                <w:i/>
                <w:color w:val="000000"/>
                <w:sz w:val="22"/>
              </w:rPr>
            </w:pPr>
            <w:r w:rsidRPr="00CC7589">
              <w:rPr>
                <w:rFonts w:eastAsia="Times New Roman"/>
                <w:bCs/>
                <w:i/>
                <w:color w:val="000000"/>
                <w:sz w:val="22"/>
              </w:rPr>
              <w:lastRenderedPageBreak/>
              <w:t>Nerve stimulator procedures in the physician's office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590F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86CB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D445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0939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C7589" w:rsidRPr="00B36D06" w14:paraId="3DDC4E6B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D38C6" w14:textId="77777777" w:rsidR="00CC7589" w:rsidRPr="00B36D06" w:rsidRDefault="00CC7589" w:rsidP="00CC7589">
            <w:pPr>
              <w:ind w:left="247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 </w:t>
            </w:r>
            <w:r w:rsidRPr="00B36D06">
              <w:rPr>
                <w:rFonts w:eastAsia="Times New Roman"/>
                <w:color w:val="000000"/>
                <w:sz w:val="22"/>
              </w:rPr>
              <w:t>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DDEC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6 (11.76%)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5FFC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2 (7.14%)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F154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2 (4.55%)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18DB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3 (6.67%)</w:t>
            </w:r>
          </w:p>
        </w:tc>
      </w:tr>
      <w:tr w:rsidR="00CC7589" w:rsidRPr="00B36D06" w14:paraId="146771F6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935F0" w14:textId="773AEA43" w:rsidR="00CC7589" w:rsidRPr="00B36D06" w:rsidRDefault="00CC7589" w:rsidP="00CC7589">
            <w:pPr>
              <w:ind w:left="247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procedures,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1493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1.83 ± 2.04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23D1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1.00 ± 0.00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EFA7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3.00 ± 2.83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B4A2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1.33 ± 0.58</w:t>
            </w:r>
          </w:p>
        </w:tc>
      </w:tr>
      <w:tr w:rsidR="00CC7589" w:rsidRPr="00B36D06" w14:paraId="0F7026EB" w14:textId="77777777" w:rsidTr="00CC7589">
        <w:trPr>
          <w:trHeight w:val="552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BAC4D" w14:textId="46089564" w:rsidR="00CC7589" w:rsidRPr="00CC7589" w:rsidRDefault="00CC7589" w:rsidP="00CC7589">
            <w:pPr>
              <w:ind w:left="247"/>
              <w:rPr>
                <w:rFonts w:eastAsia="Times New Roman"/>
                <w:bCs/>
                <w:i/>
                <w:color w:val="000000"/>
                <w:sz w:val="22"/>
              </w:rPr>
            </w:pPr>
            <w:r w:rsidRPr="00CC7589">
              <w:rPr>
                <w:rFonts w:eastAsia="Times New Roman"/>
                <w:bCs/>
                <w:i/>
                <w:color w:val="000000"/>
                <w:sz w:val="22"/>
              </w:rPr>
              <w:t>Transcutaneous occipital nerve block procedures in the physician’s office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002F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C85E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87F3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7242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C7589" w:rsidRPr="00B36D06" w14:paraId="44BCB9CD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1D026" w14:textId="77777777" w:rsidR="00CC7589" w:rsidRPr="00B36D06" w:rsidRDefault="00CC7589" w:rsidP="00CC7589">
            <w:pPr>
              <w:ind w:left="247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 </w:t>
            </w:r>
            <w:r w:rsidRPr="00B36D06">
              <w:rPr>
                <w:rFonts w:eastAsia="Times New Roman"/>
                <w:color w:val="000000"/>
                <w:sz w:val="22"/>
              </w:rPr>
              <w:t>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2648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5 (9.80%)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8840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 (3.57%)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CEE7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 (2.27%)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2A9E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4 (8.89%)</w:t>
            </w:r>
          </w:p>
        </w:tc>
      </w:tr>
      <w:tr w:rsidR="00CC7589" w:rsidRPr="00B36D06" w14:paraId="63C29F62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0D57A" w14:textId="3590D6FC" w:rsidR="00CC7589" w:rsidRPr="00B36D06" w:rsidRDefault="00CC7589" w:rsidP="00CC7589">
            <w:pPr>
              <w:ind w:left="247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procedures,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614B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1.00 ± 0.00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4806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1.00 ± -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D67C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4.00 ± -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37C1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1.00 ± 0.00</w:t>
            </w:r>
          </w:p>
        </w:tc>
      </w:tr>
      <w:tr w:rsidR="00CC7589" w:rsidRPr="00B36D06" w14:paraId="7111DAE0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C695C40" w14:textId="437C8327" w:rsidR="00CC7589" w:rsidRPr="00B36D06" w:rsidRDefault="00CC7589" w:rsidP="00CC7589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04E170" w14:textId="1AC04A5C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494587" w14:textId="5DF16112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FD1C97" w14:textId="1025CB7B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3EB0D0" w14:textId="14FBDC4B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CC7589" w:rsidRPr="00B36D06" w14:paraId="0A55CC69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506AFDF" w14:textId="0F89B82D" w:rsidR="00CC7589" w:rsidRPr="00B36D06" w:rsidRDefault="00CC7589" w:rsidP="00CC7589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95D872" w14:textId="316B4C39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9D96D6" w14:textId="7C57F12F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B04851" w14:textId="54CC870B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D3043A" w14:textId="45658B49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CC7589" w:rsidRPr="00B36D06" w14:paraId="1BC154E6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88F997C" w14:textId="639D44A3" w:rsidR="00CC7589" w:rsidRPr="00B36D06" w:rsidRDefault="00CC7589" w:rsidP="00CC7589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FFEC82" w14:textId="235F083E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21157D" w14:textId="0FCC0300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422337" w14:textId="209BCDA0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4DE7C5" w14:textId="142C3690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CC7589" w:rsidRPr="00B36D06" w14:paraId="4588E22D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2B758" w14:textId="77777777" w:rsidR="00CC7589" w:rsidRPr="00B36D06" w:rsidRDefault="00CC7589" w:rsidP="00CC7589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Nurse practitioner visit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A939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CC04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AD43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CE31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C7589" w:rsidRPr="00B36D06" w14:paraId="1016BA09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9B0EA" w14:textId="77777777" w:rsidR="00CC7589" w:rsidRPr="00B36D06" w:rsidRDefault="00CC7589" w:rsidP="00CC7589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CF4F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4 (8.89%)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DC6B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 (4.55%)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E317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2 (5.41%)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CA9D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5 (11.90%)</w:t>
            </w:r>
          </w:p>
        </w:tc>
      </w:tr>
      <w:tr w:rsidR="00CC7589" w:rsidRPr="00B36D06" w14:paraId="3F317DE5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BAC4E" w14:textId="634DFCA0" w:rsidR="00CC7589" w:rsidRPr="00B36D06" w:rsidRDefault="00CC7589" w:rsidP="00CC7589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visits,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1FA7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1.00 ± 0.00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120D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5.00 ± -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4208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3.50 ± 2.12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076B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1.20 ± 0.45</w:t>
            </w:r>
          </w:p>
        </w:tc>
      </w:tr>
      <w:tr w:rsidR="00CC7589" w:rsidRPr="00B36D06" w14:paraId="2A41034A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794ED" w14:textId="77777777" w:rsidR="00CC7589" w:rsidRPr="00B36D06" w:rsidRDefault="00CC7589" w:rsidP="00CC7589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Psychologist visit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4706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A5D7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2230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79A9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C7589" w:rsidRPr="00B36D06" w14:paraId="40B22050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FEE2" w14:textId="77777777" w:rsidR="00CC7589" w:rsidRPr="00B36D06" w:rsidRDefault="00CC7589" w:rsidP="00CC7589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E523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7 (15.91%)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6308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7 (31.82%)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F24A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6 (15.79%)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C632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7 (16.28%)</w:t>
            </w:r>
          </w:p>
        </w:tc>
      </w:tr>
      <w:tr w:rsidR="00CC7589" w:rsidRPr="00B36D06" w14:paraId="2ADC20BA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E8717" w14:textId="04DFE603" w:rsidR="00CC7589" w:rsidRPr="00B36D06" w:rsidRDefault="00CC7589" w:rsidP="00CC7589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visits,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31A8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2.43 ± 1.81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CBA1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4.71 ± 4.57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B1E8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1.50 ± 0.55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09FE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1.14 ± 0.38</w:t>
            </w:r>
          </w:p>
        </w:tc>
      </w:tr>
      <w:tr w:rsidR="00CC7589" w:rsidRPr="00B36D06" w14:paraId="081C146D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05609" w14:textId="77777777" w:rsidR="00CC7589" w:rsidRPr="00B36D06" w:rsidRDefault="00CC7589" w:rsidP="00CC7589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Psychiatrist visit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88A4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A83C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E986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B0D1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C7589" w:rsidRPr="00B36D06" w14:paraId="4C036F40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84C8D" w14:textId="77777777" w:rsidR="00CC7589" w:rsidRPr="00B36D06" w:rsidRDefault="00CC7589" w:rsidP="00CC7589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847B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4 (10.00%)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328F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5 (22.73%)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638D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4 (10.26%)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FCA0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5 (11.63%)</w:t>
            </w:r>
          </w:p>
        </w:tc>
      </w:tr>
      <w:tr w:rsidR="00CC7589" w:rsidRPr="00B36D06" w14:paraId="626279DB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FBE18" w14:textId="7E99B825" w:rsidR="00CC7589" w:rsidRPr="00B36D06" w:rsidRDefault="00CC7589" w:rsidP="00CC7589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visits,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825F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4.00 ± 2.31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66AE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7.20 ± 12.76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F7D3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1.00 ± 0.00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58F4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1.20 ± 0.45</w:t>
            </w:r>
          </w:p>
        </w:tc>
      </w:tr>
      <w:tr w:rsidR="00CC7589" w:rsidRPr="00B36D06" w14:paraId="5836808A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9B201" w14:textId="77777777" w:rsidR="00CC7589" w:rsidRPr="00B36D06" w:rsidRDefault="00CC7589" w:rsidP="00CC7589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Physiotherapist visit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BC55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FF58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8D30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4973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C7589" w:rsidRPr="00B36D06" w14:paraId="12A94BED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E1E13" w14:textId="77777777" w:rsidR="00CC7589" w:rsidRPr="00B36D06" w:rsidRDefault="00CC7589" w:rsidP="00CC7589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A6FA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3 (7.14%)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AA20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9 (39.13%)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5748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10 (27.03%)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2DD6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6 (13.95%)</w:t>
            </w:r>
          </w:p>
        </w:tc>
      </w:tr>
      <w:tr w:rsidR="00CC7589" w:rsidRPr="00B36D06" w14:paraId="49D49CD7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28D35" w14:textId="74E753B6" w:rsidR="00CC7589" w:rsidRPr="00B36D06" w:rsidRDefault="00CC7589" w:rsidP="00CC7589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visits, mean ± </w:t>
            </w:r>
            <w:proofErr w:type="spellStart"/>
            <w:r w:rsidRPr="00B36D06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D005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9.33 ± 9.45</w:t>
            </w:r>
          </w:p>
        </w:tc>
        <w:tc>
          <w:tcPr>
            <w:tcW w:w="65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1846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8.56 ± 5.96</w:t>
            </w:r>
          </w:p>
        </w:tc>
        <w:tc>
          <w:tcPr>
            <w:tcW w:w="65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01B5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2.10 ± 2.85</w:t>
            </w:r>
          </w:p>
        </w:tc>
        <w:tc>
          <w:tcPr>
            <w:tcW w:w="65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5326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1.00 ± 0.00</w:t>
            </w:r>
          </w:p>
        </w:tc>
      </w:tr>
      <w:tr w:rsidR="00CC7589" w:rsidRPr="00B36D06" w14:paraId="0AC027B6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1BB3E" w14:textId="77777777" w:rsidR="00CC7589" w:rsidRPr="00B36D06" w:rsidRDefault="00CC7589" w:rsidP="00CC7589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B36D06">
              <w:rPr>
                <w:rFonts w:eastAsia="Times New Roman"/>
                <w:b/>
                <w:bCs/>
                <w:color w:val="000000"/>
                <w:sz w:val="22"/>
              </w:rPr>
              <w:t>Other specialist visit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433D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75F8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79D9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29A3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C7589" w:rsidRPr="00B36D06" w14:paraId="04F52CA8" w14:textId="77777777" w:rsidTr="005E2DDA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02E43" w14:textId="77777777" w:rsidR="00CC7589" w:rsidRPr="00B36D06" w:rsidRDefault="00CC7589" w:rsidP="00CC7589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 Number of patients, n (%)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7C35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 (2.56%)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DC1C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 (5.26%)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1CBB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3 (8.82%)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DD65" w14:textId="77777777" w:rsidR="00CC7589" w:rsidRPr="00B36D06" w:rsidRDefault="00CC7589" w:rsidP="00CC758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6 (14.63%)</w:t>
            </w:r>
          </w:p>
        </w:tc>
      </w:tr>
      <w:tr w:rsidR="005E2DDA" w:rsidRPr="00B36D06" w14:paraId="5BA3738F" w14:textId="77777777" w:rsidTr="00CC7589">
        <w:trPr>
          <w:trHeight w:val="276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13878C" w14:textId="0A6CA78F" w:rsidR="005E2DDA" w:rsidRPr="00B36D06" w:rsidRDefault="005E2DDA" w:rsidP="005E2DDA">
            <w:pPr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   </w:t>
            </w:r>
            <w:r w:rsidRPr="005E2DDA">
              <w:rPr>
                <w:rFonts w:eastAsia="Times New Roman"/>
                <w:color w:val="000000"/>
                <w:sz w:val="22"/>
              </w:rPr>
              <w:t xml:space="preserve">Number of visits, mean ± </w:t>
            </w:r>
            <w:proofErr w:type="spellStart"/>
            <w:r w:rsidRPr="005E2DDA">
              <w:rPr>
                <w:rFonts w:eastAsia="Times New Roman"/>
                <w:color w:val="000000"/>
                <w:sz w:val="22"/>
              </w:rPr>
              <w:t>SD</w:t>
            </w:r>
            <w:r w:rsidR="002442B4">
              <w:rPr>
                <w:rFonts w:eastAsia="Times New Roman"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3E58C" w14:textId="31C4A983" w:rsidR="005E2DDA" w:rsidRPr="00B36D06" w:rsidRDefault="005E2DDA" w:rsidP="005E2DD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 xml:space="preserve">1.00 ± </w:t>
            </w:r>
            <w:r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9DD9C" w14:textId="7E97A4B1" w:rsidR="005E2DDA" w:rsidRPr="00B36D06" w:rsidRDefault="005E2DDA" w:rsidP="005E2DDA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  <w:r w:rsidRPr="00B36D06">
              <w:rPr>
                <w:rFonts w:eastAsia="Times New Roman"/>
                <w:color w:val="000000"/>
                <w:sz w:val="22"/>
              </w:rPr>
              <w:t>.00 ± 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79AE3" w14:textId="27E1F0FA" w:rsidR="005E2DDA" w:rsidRPr="00B36D06" w:rsidRDefault="001E3FF2" w:rsidP="001E3FF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1.67</w:t>
            </w:r>
            <w:r w:rsidR="005E2DDA" w:rsidRPr="00B36D06">
              <w:rPr>
                <w:rFonts w:eastAsia="Times New Roman"/>
                <w:color w:val="000000"/>
                <w:sz w:val="22"/>
              </w:rPr>
              <w:t xml:space="preserve"> ± </w:t>
            </w:r>
            <w:r>
              <w:rPr>
                <w:rFonts w:eastAsia="Times New Roman"/>
                <w:color w:val="000000"/>
                <w:sz w:val="22"/>
              </w:rPr>
              <w:t>1.15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E1FD" w14:textId="1ADA1FB0" w:rsidR="005E2DDA" w:rsidRPr="00B36D06" w:rsidRDefault="005E2DDA" w:rsidP="001E3FF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B36D06">
              <w:rPr>
                <w:rFonts w:eastAsia="Times New Roman"/>
                <w:color w:val="000000"/>
                <w:sz w:val="22"/>
              </w:rPr>
              <w:t>1.</w:t>
            </w:r>
            <w:r w:rsidR="001E3FF2">
              <w:rPr>
                <w:rFonts w:eastAsia="Times New Roman"/>
                <w:color w:val="000000"/>
                <w:sz w:val="22"/>
              </w:rPr>
              <w:t>00 ± 0.00</w:t>
            </w:r>
          </w:p>
        </w:tc>
      </w:tr>
    </w:tbl>
    <w:p w14:paraId="63059A53" w14:textId="4E3D8798" w:rsidR="00AD50A3" w:rsidRDefault="00AD50A3" w:rsidP="001636C7"/>
    <w:p w14:paraId="2987BD85" w14:textId="77777777" w:rsidR="00AD50A3" w:rsidRPr="001636C7" w:rsidRDefault="00AD50A3" w:rsidP="001636C7"/>
    <w:p w14:paraId="794B2988" w14:textId="1F913891" w:rsidR="00B36D06" w:rsidRDefault="00B36D06" w:rsidP="00B36D06">
      <w:pPr>
        <w:spacing w:line="480" w:lineRule="auto"/>
      </w:pPr>
      <w:r w:rsidRPr="00922E97">
        <w:rPr>
          <w:b/>
        </w:rPr>
        <w:t>Caption</w:t>
      </w:r>
      <w:r>
        <w:t xml:space="preserve">: A&amp;E = </w:t>
      </w:r>
      <w:r w:rsidRPr="00922E97">
        <w:rPr>
          <w:lang w:val="en"/>
        </w:rPr>
        <w:t>accident &amp; emergency</w:t>
      </w:r>
      <w:r>
        <w:rPr>
          <w:lang w:val="en"/>
        </w:rPr>
        <w:t>;</w:t>
      </w:r>
      <w:r>
        <w:t xml:space="preserve"> CT = </w:t>
      </w:r>
      <w:r w:rsidRPr="00922E97">
        <w:rPr>
          <w:lang w:val="en"/>
        </w:rPr>
        <w:t>computed tomography</w:t>
      </w:r>
      <w:r>
        <w:rPr>
          <w:lang w:val="en"/>
        </w:rPr>
        <w:t>;</w:t>
      </w:r>
      <w:r w:rsidRPr="00922E97">
        <w:rPr>
          <w:lang w:val="en"/>
        </w:rPr>
        <w:t xml:space="preserve"> </w:t>
      </w:r>
      <w:r>
        <w:t xml:space="preserve">EEG = electroencephalogram; ER = emergency room; HRU = </w:t>
      </w:r>
      <w:r w:rsidR="001C729C">
        <w:t>healthcare</w:t>
      </w:r>
      <w:r>
        <w:t xml:space="preserve"> resource utilization; MRI = magnetic resonance imaging; SD = standard deviation. </w:t>
      </w:r>
    </w:p>
    <w:p w14:paraId="142CFDAE" w14:textId="2D693A64" w:rsidR="00424F97" w:rsidRPr="00A80865" w:rsidRDefault="002442B4" w:rsidP="005E2DDA">
      <w:pPr>
        <w:spacing w:line="480" w:lineRule="auto"/>
      </w:pPr>
      <w:proofErr w:type="gramStart"/>
      <w:r>
        <w:rPr>
          <w:vertAlign w:val="superscript"/>
        </w:rPr>
        <w:t>a</w:t>
      </w:r>
      <w:proofErr w:type="gramEnd"/>
      <w:r w:rsidR="005E2DDA">
        <w:t xml:space="preserve"> Calculated among patients with one or more visits</w:t>
      </w:r>
      <w:r w:rsidR="004379A2">
        <w:t>.</w:t>
      </w:r>
    </w:p>
    <w:sectPr w:rsidR="00424F97" w:rsidRPr="00A80865" w:rsidSect="001D0E2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D9FAB" w14:textId="77777777" w:rsidR="005E2DDA" w:rsidRDefault="005E2DDA" w:rsidP="00310FD3">
      <w:r>
        <w:separator/>
      </w:r>
    </w:p>
  </w:endnote>
  <w:endnote w:type="continuationSeparator" w:id="0">
    <w:p w14:paraId="55BFA182" w14:textId="77777777" w:rsidR="005E2DDA" w:rsidRDefault="005E2DDA" w:rsidP="0031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822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9E92C" w14:textId="2348EFF9" w:rsidR="005E2DDA" w:rsidRDefault="005E2D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0D41327" w14:textId="77777777" w:rsidR="005E2DDA" w:rsidRDefault="005E2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F2B4" w14:textId="77777777" w:rsidR="005E2DDA" w:rsidRDefault="005E2DDA" w:rsidP="00310FD3">
      <w:r>
        <w:separator/>
      </w:r>
    </w:p>
  </w:footnote>
  <w:footnote w:type="continuationSeparator" w:id="0">
    <w:p w14:paraId="438115FC" w14:textId="77777777" w:rsidR="005E2DDA" w:rsidRDefault="005E2DDA" w:rsidP="0031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EAA"/>
    <w:multiLevelType w:val="hybridMultilevel"/>
    <w:tmpl w:val="5BEE1730"/>
    <w:lvl w:ilvl="0" w:tplc="CD2A7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40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4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2A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0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F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C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AC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8B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1820D6"/>
    <w:multiLevelType w:val="hybridMultilevel"/>
    <w:tmpl w:val="D8E8E84A"/>
    <w:lvl w:ilvl="0" w:tplc="0978A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68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44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7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22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8F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AA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60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C4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7D2E6D"/>
    <w:multiLevelType w:val="hybridMultilevel"/>
    <w:tmpl w:val="6C8E0356"/>
    <w:lvl w:ilvl="0" w:tplc="4D042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45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44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AA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4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45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C9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C7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8B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3D7082"/>
    <w:multiLevelType w:val="hybridMultilevel"/>
    <w:tmpl w:val="04069E7E"/>
    <w:lvl w:ilvl="0" w:tplc="CA6ACB9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0AF5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22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0D5C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8A6C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031B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4864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59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6E43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BE6EA2"/>
    <w:multiLevelType w:val="hybridMultilevel"/>
    <w:tmpl w:val="9ECA2C02"/>
    <w:lvl w:ilvl="0" w:tplc="D71AC2C6">
      <w:start w:val="20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C02A8"/>
    <w:multiLevelType w:val="hybridMultilevel"/>
    <w:tmpl w:val="06C2A0E2"/>
    <w:lvl w:ilvl="0" w:tplc="A7B6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6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45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0F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E9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CE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2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06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28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E80B18"/>
    <w:multiLevelType w:val="hybridMultilevel"/>
    <w:tmpl w:val="71D692E0"/>
    <w:lvl w:ilvl="0" w:tplc="3B047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615A2">
      <w:start w:val="210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E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6A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A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3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4B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80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0B1296"/>
    <w:multiLevelType w:val="hybridMultilevel"/>
    <w:tmpl w:val="6FFCA9B4"/>
    <w:lvl w:ilvl="0" w:tplc="EBE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EABCA">
      <w:start w:val="219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0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A7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A9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4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09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2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42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455FE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8A30CE"/>
    <w:multiLevelType w:val="hybridMultilevel"/>
    <w:tmpl w:val="291A43DC"/>
    <w:lvl w:ilvl="0" w:tplc="C0AE8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62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0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E9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8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AB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6E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45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D37C70"/>
    <w:multiLevelType w:val="hybridMultilevel"/>
    <w:tmpl w:val="42DC6EE8"/>
    <w:lvl w:ilvl="0" w:tplc="2A72BBA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6D22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4FD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6440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46F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C289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473F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09C4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57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9A2995"/>
    <w:multiLevelType w:val="hybridMultilevel"/>
    <w:tmpl w:val="022E1CA8"/>
    <w:lvl w:ilvl="0" w:tplc="D09A57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016B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A308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6D4E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8FEE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ADE8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85F0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A825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C0B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A52C4F"/>
    <w:multiLevelType w:val="hybridMultilevel"/>
    <w:tmpl w:val="0BD64D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DC42CEB"/>
    <w:multiLevelType w:val="hybridMultilevel"/>
    <w:tmpl w:val="FCB6675C"/>
    <w:lvl w:ilvl="0" w:tplc="9D14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61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C9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EC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41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05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8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A8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EE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DD6406F"/>
    <w:multiLevelType w:val="hybridMultilevel"/>
    <w:tmpl w:val="4F42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E63B9"/>
    <w:multiLevelType w:val="hybridMultilevel"/>
    <w:tmpl w:val="943429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FE6162"/>
    <w:multiLevelType w:val="hybridMultilevel"/>
    <w:tmpl w:val="576E88DC"/>
    <w:lvl w:ilvl="0" w:tplc="0964C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6D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9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0E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CE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26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0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01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EA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334910"/>
    <w:multiLevelType w:val="hybridMultilevel"/>
    <w:tmpl w:val="5F00F7DE"/>
    <w:lvl w:ilvl="0" w:tplc="C11E4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02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64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2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0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A6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63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8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A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0F474F"/>
    <w:multiLevelType w:val="hybridMultilevel"/>
    <w:tmpl w:val="EF1A66FE"/>
    <w:lvl w:ilvl="0" w:tplc="8D96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A6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63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6C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C0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6B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C6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EF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89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9F126B"/>
    <w:multiLevelType w:val="hybridMultilevel"/>
    <w:tmpl w:val="78A6E092"/>
    <w:lvl w:ilvl="0" w:tplc="CCA4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62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6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E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27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E9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E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4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2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C2780D"/>
    <w:multiLevelType w:val="hybridMultilevel"/>
    <w:tmpl w:val="47840E80"/>
    <w:lvl w:ilvl="0" w:tplc="FB047920">
      <w:start w:val="20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83231B"/>
    <w:multiLevelType w:val="hybridMultilevel"/>
    <w:tmpl w:val="D8CA6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8888AEA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86AE1"/>
    <w:multiLevelType w:val="hybridMultilevel"/>
    <w:tmpl w:val="F844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03BF5"/>
    <w:multiLevelType w:val="hybridMultilevel"/>
    <w:tmpl w:val="B40E2BF2"/>
    <w:lvl w:ilvl="0" w:tplc="6472D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0D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0A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2F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85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81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C8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0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03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F44E1C"/>
    <w:multiLevelType w:val="hybridMultilevel"/>
    <w:tmpl w:val="45923DDA"/>
    <w:lvl w:ilvl="0" w:tplc="AC4C6C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E557E"/>
    <w:multiLevelType w:val="hybridMultilevel"/>
    <w:tmpl w:val="2E32814E"/>
    <w:lvl w:ilvl="0" w:tplc="2742811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CC2C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46A2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224E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6F3E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E63B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431A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8F11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29BA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9F2C19"/>
    <w:multiLevelType w:val="hybridMultilevel"/>
    <w:tmpl w:val="0470B872"/>
    <w:lvl w:ilvl="0" w:tplc="76F6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EB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0B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61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0B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0F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2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09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6556C1"/>
    <w:multiLevelType w:val="hybridMultilevel"/>
    <w:tmpl w:val="FC12CB80"/>
    <w:lvl w:ilvl="0" w:tplc="7B4A4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C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A0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A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2F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6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E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8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41305E"/>
    <w:multiLevelType w:val="hybridMultilevel"/>
    <w:tmpl w:val="3B429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45BD"/>
    <w:multiLevelType w:val="hybridMultilevel"/>
    <w:tmpl w:val="6DD28E34"/>
    <w:lvl w:ilvl="0" w:tplc="C6F41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A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06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60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8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0A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8D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48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20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7C309A"/>
    <w:multiLevelType w:val="hybridMultilevel"/>
    <w:tmpl w:val="6DE41F28"/>
    <w:lvl w:ilvl="0" w:tplc="AD2E7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8C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EB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22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48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8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49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2A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2F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0156E1"/>
    <w:multiLevelType w:val="hybridMultilevel"/>
    <w:tmpl w:val="9D40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A28A6"/>
    <w:multiLevelType w:val="hybridMultilevel"/>
    <w:tmpl w:val="60FC3868"/>
    <w:lvl w:ilvl="0" w:tplc="3F24B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85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E9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64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86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21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0D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4B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8540D5"/>
    <w:multiLevelType w:val="hybridMultilevel"/>
    <w:tmpl w:val="D9EE2C5C"/>
    <w:lvl w:ilvl="0" w:tplc="34CE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4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6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EC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9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47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ED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47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66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BF2B1C"/>
    <w:multiLevelType w:val="hybridMultilevel"/>
    <w:tmpl w:val="E8FA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E8D46">
      <w:start w:val="1"/>
      <w:numFmt w:val="bullet"/>
      <w:lvlText w:val="•"/>
      <w:lvlJc w:val="left"/>
      <w:pPr>
        <w:ind w:left="3600" w:hanging="360"/>
      </w:pPr>
      <w:rPr>
        <w:rFonts w:ascii="Arial" w:hAnsi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A1608"/>
    <w:multiLevelType w:val="hybridMultilevel"/>
    <w:tmpl w:val="E2F469E4"/>
    <w:lvl w:ilvl="0" w:tplc="AC4C6C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0AE8D46">
      <w:start w:val="1"/>
      <w:numFmt w:val="bullet"/>
      <w:lvlText w:val="•"/>
      <w:lvlJc w:val="left"/>
      <w:pPr>
        <w:ind w:left="3600" w:hanging="360"/>
      </w:pPr>
      <w:rPr>
        <w:rFonts w:ascii="Arial" w:hAnsi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B7BCE"/>
    <w:multiLevelType w:val="hybridMultilevel"/>
    <w:tmpl w:val="DFAE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35F23"/>
    <w:multiLevelType w:val="hybridMultilevel"/>
    <w:tmpl w:val="170A48FC"/>
    <w:lvl w:ilvl="0" w:tplc="676CF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6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A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61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2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6E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A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ED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C6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DD18D1"/>
    <w:multiLevelType w:val="hybridMultilevel"/>
    <w:tmpl w:val="6B6EC0C2"/>
    <w:lvl w:ilvl="0" w:tplc="4D9E1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20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E2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C5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C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6B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4E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A8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89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8EB11BB"/>
    <w:multiLevelType w:val="hybridMultilevel"/>
    <w:tmpl w:val="E184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13711"/>
    <w:multiLevelType w:val="hybridMultilevel"/>
    <w:tmpl w:val="ADF64B40"/>
    <w:lvl w:ilvl="0" w:tplc="65A4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F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E2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5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8E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E5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40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E5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150445"/>
    <w:multiLevelType w:val="hybridMultilevel"/>
    <w:tmpl w:val="FB186ABA"/>
    <w:lvl w:ilvl="0" w:tplc="C8FE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D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44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44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C6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68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C2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23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5ED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9B03B7"/>
    <w:multiLevelType w:val="hybridMultilevel"/>
    <w:tmpl w:val="7F1CF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8888AEA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E11D6">
      <w:start w:val="1546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40"/>
  </w:num>
  <w:num w:numId="4">
    <w:abstractNumId w:val="9"/>
  </w:num>
  <w:num w:numId="5">
    <w:abstractNumId w:val="38"/>
  </w:num>
  <w:num w:numId="6">
    <w:abstractNumId w:val="33"/>
  </w:num>
  <w:num w:numId="7">
    <w:abstractNumId w:val="18"/>
  </w:num>
  <w:num w:numId="8">
    <w:abstractNumId w:val="23"/>
  </w:num>
  <w:num w:numId="9">
    <w:abstractNumId w:val="26"/>
  </w:num>
  <w:num w:numId="10">
    <w:abstractNumId w:val="37"/>
  </w:num>
  <w:num w:numId="11">
    <w:abstractNumId w:val="32"/>
  </w:num>
  <w:num w:numId="12">
    <w:abstractNumId w:val="3"/>
  </w:num>
  <w:num w:numId="13">
    <w:abstractNumId w:val="5"/>
  </w:num>
  <w:num w:numId="14">
    <w:abstractNumId w:val="19"/>
  </w:num>
  <w:num w:numId="15">
    <w:abstractNumId w:val="27"/>
  </w:num>
  <w:num w:numId="16">
    <w:abstractNumId w:val="16"/>
  </w:num>
  <w:num w:numId="17">
    <w:abstractNumId w:val="11"/>
  </w:num>
  <w:num w:numId="18">
    <w:abstractNumId w:val="7"/>
  </w:num>
  <w:num w:numId="19">
    <w:abstractNumId w:val="2"/>
  </w:num>
  <w:num w:numId="20">
    <w:abstractNumId w:val="25"/>
  </w:num>
  <w:num w:numId="21">
    <w:abstractNumId w:val="29"/>
  </w:num>
  <w:num w:numId="22">
    <w:abstractNumId w:val="6"/>
  </w:num>
  <w:num w:numId="23">
    <w:abstractNumId w:val="30"/>
  </w:num>
  <w:num w:numId="24">
    <w:abstractNumId w:val="17"/>
  </w:num>
  <w:num w:numId="25">
    <w:abstractNumId w:val="13"/>
  </w:num>
  <w:num w:numId="26">
    <w:abstractNumId w:val="1"/>
  </w:num>
  <w:num w:numId="27">
    <w:abstractNumId w:val="0"/>
  </w:num>
  <w:num w:numId="28">
    <w:abstractNumId w:val="10"/>
  </w:num>
  <w:num w:numId="29">
    <w:abstractNumId w:val="41"/>
  </w:num>
  <w:num w:numId="30">
    <w:abstractNumId w:val="20"/>
  </w:num>
  <w:num w:numId="31">
    <w:abstractNumId w:val="4"/>
  </w:num>
  <w:num w:numId="32">
    <w:abstractNumId w:val="22"/>
  </w:num>
  <w:num w:numId="33">
    <w:abstractNumId w:val="36"/>
  </w:num>
  <w:num w:numId="34">
    <w:abstractNumId w:val="35"/>
  </w:num>
  <w:num w:numId="35">
    <w:abstractNumId w:val="28"/>
  </w:num>
  <w:num w:numId="36">
    <w:abstractNumId w:val="12"/>
  </w:num>
  <w:num w:numId="37">
    <w:abstractNumId w:val="15"/>
  </w:num>
  <w:num w:numId="38">
    <w:abstractNumId w:val="31"/>
  </w:num>
  <w:num w:numId="39">
    <w:abstractNumId w:val="39"/>
  </w:num>
  <w:num w:numId="40">
    <w:abstractNumId w:val="8"/>
  </w:num>
  <w:num w:numId="41">
    <w:abstractNumId w:val="14"/>
  </w:num>
  <w:num w:numId="42">
    <w:abstractNumId w:val="2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B"/>
    <w:rsid w:val="000011A5"/>
    <w:rsid w:val="0001681E"/>
    <w:rsid w:val="00016DAC"/>
    <w:rsid w:val="0001721C"/>
    <w:rsid w:val="00021617"/>
    <w:rsid w:val="00026BD6"/>
    <w:rsid w:val="00037651"/>
    <w:rsid w:val="00041633"/>
    <w:rsid w:val="0004591D"/>
    <w:rsid w:val="000467D6"/>
    <w:rsid w:val="000511D5"/>
    <w:rsid w:val="000550DC"/>
    <w:rsid w:val="000760C8"/>
    <w:rsid w:val="00082D7E"/>
    <w:rsid w:val="0009433E"/>
    <w:rsid w:val="000B6F11"/>
    <w:rsid w:val="000C608C"/>
    <w:rsid w:val="000D0ACC"/>
    <w:rsid w:val="000F2ED1"/>
    <w:rsid w:val="000F43AC"/>
    <w:rsid w:val="00103AAA"/>
    <w:rsid w:val="00110261"/>
    <w:rsid w:val="00113E36"/>
    <w:rsid w:val="00114A33"/>
    <w:rsid w:val="00115C48"/>
    <w:rsid w:val="001163B6"/>
    <w:rsid w:val="00117393"/>
    <w:rsid w:val="0012765C"/>
    <w:rsid w:val="00131BBD"/>
    <w:rsid w:val="0015405A"/>
    <w:rsid w:val="001636C7"/>
    <w:rsid w:val="00163859"/>
    <w:rsid w:val="00180C68"/>
    <w:rsid w:val="0019154F"/>
    <w:rsid w:val="001A0239"/>
    <w:rsid w:val="001A0EF3"/>
    <w:rsid w:val="001B756E"/>
    <w:rsid w:val="001C2483"/>
    <w:rsid w:val="001C34EE"/>
    <w:rsid w:val="001C557F"/>
    <w:rsid w:val="001C5989"/>
    <w:rsid w:val="001C643D"/>
    <w:rsid w:val="001C7238"/>
    <w:rsid w:val="001C729C"/>
    <w:rsid w:val="001D0E21"/>
    <w:rsid w:val="001D10B0"/>
    <w:rsid w:val="001D7A71"/>
    <w:rsid w:val="001E3FF2"/>
    <w:rsid w:val="001E44C0"/>
    <w:rsid w:val="001F0500"/>
    <w:rsid w:val="001F72B1"/>
    <w:rsid w:val="002026A6"/>
    <w:rsid w:val="00210FF2"/>
    <w:rsid w:val="002207B3"/>
    <w:rsid w:val="002235D7"/>
    <w:rsid w:val="002330A7"/>
    <w:rsid w:val="00240F47"/>
    <w:rsid w:val="0024122E"/>
    <w:rsid w:val="002442B4"/>
    <w:rsid w:val="00257D85"/>
    <w:rsid w:val="00265B2A"/>
    <w:rsid w:val="00276AB7"/>
    <w:rsid w:val="002923A9"/>
    <w:rsid w:val="002C0EAE"/>
    <w:rsid w:val="002C1B8C"/>
    <w:rsid w:val="002C1CCC"/>
    <w:rsid w:val="002C5ED3"/>
    <w:rsid w:val="002D1615"/>
    <w:rsid w:val="002D4695"/>
    <w:rsid w:val="002F1F03"/>
    <w:rsid w:val="002F31D0"/>
    <w:rsid w:val="00310FD3"/>
    <w:rsid w:val="00347E9F"/>
    <w:rsid w:val="00352A6A"/>
    <w:rsid w:val="00364EE5"/>
    <w:rsid w:val="003653CD"/>
    <w:rsid w:val="003702E0"/>
    <w:rsid w:val="00386972"/>
    <w:rsid w:val="0039579E"/>
    <w:rsid w:val="00395AA9"/>
    <w:rsid w:val="00396E5D"/>
    <w:rsid w:val="003A5432"/>
    <w:rsid w:val="003A7216"/>
    <w:rsid w:val="003A7B8E"/>
    <w:rsid w:val="003B0AC5"/>
    <w:rsid w:val="003B30E0"/>
    <w:rsid w:val="003B49AE"/>
    <w:rsid w:val="003B4D46"/>
    <w:rsid w:val="003D41A0"/>
    <w:rsid w:val="003D6CD7"/>
    <w:rsid w:val="003E2011"/>
    <w:rsid w:val="003E5C1C"/>
    <w:rsid w:val="003F4A45"/>
    <w:rsid w:val="003F4E90"/>
    <w:rsid w:val="004000AF"/>
    <w:rsid w:val="00412723"/>
    <w:rsid w:val="0042393C"/>
    <w:rsid w:val="0042433F"/>
    <w:rsid w:val="00424F97"/>
    <w:rsid w:val="00430B66"/>
    <w:rsid w:val="00437926"/>
    <w:rsid w:val="004379A2"/>
    <w:rsid w:val="0044081A"/>
    <w:rsid w:val="00443FA4"/>
    <w:rsid w:val="0044556C"/>
    <w:rsid w:val="00451723"/>
    <w:rsid w:val="00457654"/>
    <w:rsid w:val="004677F5"/>
    <w:rsid w:val="00475110"/>
    <w:rsid w:val="00484A22"/>
    <w:rsid w:val="004902A5"/>
    <w:rsid w:val="004A07BD"/>
    <w:rsid w:val="004A5878"/>
    <w:rsid w:val="004A67C4"/>
    <w:rsid w:val="004C1C4C"/>
    <w:rsid w:val="004C5D6A"/>
    <w:rsid w:val="004D7B46"/>
    <w:rsid w:val="004E2635"/>
    <w:rsid w:val="00502B58"/>
    <w:rsid w:val="005034E8"/>
    <w:rsid w:val="0050685F"/>
    <w:rsid w:val="005151D2"/>
    <w:rsid w:val="00533485"/>
    <w:rsid w:val="0053572B"/>
    <w:rsid w:val="00551589"/>
    <w:rsid w:val="005600EA"/>
    <w:rsid w:val="00560705"/>
    <w:rsid w:val="00560F96"/>
    <w:rsid w:val="00571899"/>
    <w:rsid w:val="00580AB0"/>
    <w:rsid w:val="00583A4F"/>
    <w:rsid w:val="0059168D"/>
    <w:rsid w:val="005A0FC6"/>
    <w:rsid w:val="005B2DE7"/>
    <w:rsid w:val="005C55D3"/>
    <w:rsid w:val="005D067E"/>
    <w:rsid w:val="005E1067"/>
    <w:rsid w:val="005E23AF"/>
    <w:rsid w:val="005E2DDA"/>
    <w:rsid w:val="005E41D2"/>
    <w:rsid w:val="005F53CA"/>
    <w:rsid w:val="00605AC7"/>
    <w:rsid w:val="00616853"/>
    <w:rsid w:val="0062395B"/>
    <w:rsid w:val="006321F8"/>
    <w:rsid w:val="006379BC"/>
    <w:rsid w:val="00640E6D"/>
    <w:rsid w:val="0064531F"/>
    <w:rsid w:val="0066021F"/>
    <w:rsid w:val="00664993"/>
    <w:rsid w:val="0067377D"/>
    <w:rsid w:val="006A2CBD"/>
    <w:rsid w:val="006A39A1"/>
    <w:rsid w:val="006B1ABE"/>
    <w:rsid w:val="006B2678"/>
    <w:rsid w:val="006B620B"/>
    <w:rsid w:val="006D0C1F"/>
    <w:rsid w:val="006D29D3"/>
    <w:rsid w:val="006E251E"/>
    <w:rsid w:val="006F12CC"/>
    <w:rsid w:val="006F3742"/>
    <w:rsid w:val="006F768A"/>
    <w:rsid w:val="00704DA3"/>
    <w:rsid w:val="00715667"/>
    <w:rsid w:val="007215E2"/>
    <w:rsid w:val="00726672"/>
    <w:rsid w:val="00731B80"/>
    <w:rsid w:val="00733468"/>
    <w:rsid w:val="0073548C"/>
    <w:rsid w:val="007506AA"/>
    <w:rsid w:val="00750EB8"/>
    <w:rsid w:val="00781F34"/>
    <w:rsid w:val="0078303C"/>
    <w:rsid w:val="007A4D5A"/>
    <w:rsid w:val="007B6EFF"/>
    <w:rsid w:val="007C3898"/>
    <w:rsid w:val="007D19EB"/>
    <w:rsid w:val="007E57F6"/>
    <w:rsid w:val="007E7702"/>
    <w:rsid w:val="007F5E48"/>
    <w:rsid w:val="00805019"/>
    <w:rsid w:val="008161E2"/>
    <w:rsid w:val="0081692E"/>
    <w:rsid w:val="00822737"/>
    <w:rsid w:val="00835E26"/>
    <w:rsid w:val="00836B11"/>
    <w:rsid w:val="008416DC"/>
    <w:rsid w:val="00841C9C"/>
    <w:rsid w:val="0084748B"/>
    <w:rsid w:val="00847FDF"/>
    <w:rsid w:val="00871A92"/>
    <w:rsid w:val="00871A9B"/>
    <w:rsid w:val="0087319A"/>
    <w:rsid w:val="00873DAF"/>
    <w:rsid w:val="00893D6F"/>
    <w:rsid w:val="008B0AA6"/>
    <w:rsid w:val="008B0C33"/>
    <w:rsid w:val="008B704D"/>
    <w:rsid w:val="008C052C"/>
    <w:rsid w:val="008C1BA9"/>
    <w:rsid w:val="008D2250"/>
    <w:rsid w:val="008D548A"/>
    <w:rsid w:val="008E35C8"/>
    <w:rsid w:val="008F0590"/>
    <w:rsid w:val="008F6679"/>
    <w:rsid w:val="009004FE"/>
    <w:rsid w:val="00915462"/>
    <w:rsid w:val="00915D6E"/>
    <w:rsid w:val="009236BE"/>
    <w:rsid w:val="00934DE8"/>
    <w:rsid w:val="00970935"/>
    <w:rsid w:val="009764D7"/>
    <w:rsid w:val="00983699"/>
    <w:rsid w:val="009846BF"/>
    <w:rsid w:val="00985A23"/>
    <w:rsid w:val="009930AC"/>
    <w:rsid w:val="009A1384"/>
    <w:rsid w:val="009B07FB"/>
    <w:rsid w:val="009B35F2"/>
    <w:rsid w:val="009B5FE7"/>
    <w:rsid w:val="009C11D7"/>
    <w:rsid w:val="009C1340"/>
    <w:rsid w:val="009D00CC"/>
    <w:rsid w:val="009D6214"/>
    <w:rsid w:val="009D7E1E"/>
    <w:rsid w:val="009E2A89"/>
    <w:rsid w:val="00A179B0"/>
    <w:rsid w:val="00A228A8"/>
    <w:rsid w:val="00A23322"/>
    <w:rsid w:val="00A31553"/>
    <w:rsid w:val="00A3224F"/>
    <w:rsid w:val="00A34543"/>
    <w:rsid w:val="00A37110"/>
    <w:rsid w:val="00A377E4"/>
    <w:rsid w:val="00A611EF"/>
    <w:rsid w:val="00A61DEE"/>
    <w:rsid w:val="00A6312D"/>
    <w:rsid w:val="00A66296"/>
    <w:rsid w:val="00A6734C"/>
    <w:rsid w:val="00A738BA"/>
    <w:rsid w:val="00A80865"/>
    <w:rsid w:val="00A814BE"/>
    <w:rsid w:val="00A87F22"/>
    <w:rsid w:val="00AA5E5B"/>
    <w:rsid w:val="00AC0308"/>
    <w:rsid w:val="00AD3A14"/>
    <w:rsid w:val="00AD50A3"/>
    <w:rsid w:val="00AE0C54"/>
    <w:rsid w:val="00AE3499"/>
    <w:rsid w:val="00AE4D0A"/>
    <w:rsid w:val="00AF03D3"/>
    <w:rsid w:val="00B05432"/>
    <w:rsid w:val="00B101DB"/>
    <w:rsid w:val="00B2120A"/>
    <w:rsid w:val="00B24D71"/>
    <w:rsid w:val="00B24ED8"/>
    <w:rsid w:val="00B35F85"/>
    <w:rsid w:val="00B36D06"/>
    <w:rsid w:val="00B46A50"/>
    <w:rsid w:val="00B5285B"/>
    <w:rsid w:val="00B56B5E"/>
    <w:rsid w:val="00B6686B"/>
    <w:rsid w:val="00B740C6"/>
    <w:rsid w:val="00B84284"/>
    <w:rsid w:val="00B8484B"/>
    <w:rsid w:val="00B87A64"/>
    <w:rsid w:val="00B90FAA"/>
    <w:rsid w:val="00B92623"/>
    <w:rsid w:val="00BA0A40"/>
    <w:rsid w:val="00BA6C8B"/>
    <w:rsid w:val="00BB4ED1"/>
    <w:rsid w:val="00BB6049"/>
    <w:rsid w:val="00BD7C7D"/>
    <w:rsid w:val="00BF6CCE"/>
    <w:rsid w:val="00C15EA6"/>
    <w:rsid w:val="00C173AA"/>
    <w:rsid w:val="00C27D34"/>
    <w:rsid w:val="00C71067"/>
    <w:rsid w:val="00C845F4"/>
    <w:rsid w:val="00C9360B"/>
    <w:rsid w:val="00CA149F"/>
    <w:rsid w:val="00CA368C"/>
    <w:rsid w:val="00CB0E71"/>
    <w:rsid w:val="00CB1836"/>
    <w:rsid w:val="00CB217E"/>
    <w:rsid w:val="00CB6E67"/>
    <w:rsid w:val="00CC1F04"/>
    <w:rsid w:val="00CC4D3D"/>
    <w:rsid w:val="00CC69F8"/>
    <w:rsid w:val="00CC7589"/>
    <w:rsid w:val="00CE1353"/>
    <w:rsid w:val="00CE1889"/>
    <w:rsid w:val="00CE1E4C"/>
    <w:rsid w:val="00CF248A"/>
    <w:rsid w:val="00CF62DE"/>
    <w:rsid w:val="00CF7699"/>
    <w:rsid w:val="00D15F37"/>
    <w:rsid w:val="00D2068E"/>
    <w:rsid w:val="00D54282"/>
    <w:rsid w:val="00D547C5"/>
    <w:rsid w:val="00D56374"/>
    <w:rsid w:val="00D56CB6"/>
    <w:rsid w:val="00D61DF2"/>
    <w:rsid w:val="00D663C9"/>
    <w:rsid w:val="00D668FA"/>
    <w:rsid w:val="00D851AD"/>
    <w:rsid w:val="00D85C67"/>
    <w:rsid w:val="00D943E9"/>
    <w:rsid w:val="00DA1EA6"/>
    <w:rsid w:val="00DA4045"/>
    <w:rsid w:val="00DC3D6B"/>
    <w:rsid w:val="00DD08BA"/>
    <w:rsid w:val="00DE19EB"/>
    <w:rsid w:val="00DE34FE"/>
    <w:rsid w:val="00DE5DFA"/>
    <w:rsid w:val="00DF0106"/>
    <w:rsid w:val="00DF438C"/>
    <w:rsid w:val="00DF75CB"/>
    <w:rsid w:val="00E0784D"/>
    <w:rsid w:val="00E13160"/>
    <w:rsid w:val="00E20E46"/>
    <w:rsid w:val="00E21555"/>
    <w:rsid w:val="00E21B5B"/>
    <w:rsid w:val="00E247A5"/>
    <w:rsid w:val="00E3531E"/>
    <w:rsid w:val="00E40C30"/>
    <w:rsid w:val="00E44662"/>
    <w:rsid w:val="00E6552C"/>
    <w:rsid w:val="00E7129D"/>
    <w:rsid w:val="00E93097"/>
    <w:rsid w:val="00E94478"/>
    <w:rsid w:val="00E97A91"/>
    <w:rsid w:val="00EA037F"/>
    <w:rsid w:val="00EA0943"/>
    <w:rsid w:val="00EA3549"/>
    <w:rsid w:val="00EB0C67"/>
    <w:rsid w:val="00EC5F7B"/>
    <w:rsid w:val="00EE0FF6"/>
    <w:rsid w:val="00EF017E"/>
    <w:rsid w:val="00EF1A40"/>
    <w:rsid w:val="00EF1E9A"/>
    <w:rsid w:val="00F248BF"/>
    <w:rsid w:val="00F444A2"/>
    <w:rsid w:val="00F4512C"/>
    <w:rsid w:val="00F4687F"/>
    <w:rsid w:val="00F5742F"/>
    <w:rsid w:val="00F62C61"/>
    <w:rsid w:val="00F656D4"/>
    <w:rsid w:val="00F70F41"/>
    <w:rsid w:val="00F847C7"/>
    <w:rsid w:val="00F8674C"/>
    <w:rsid w:val="00FA1173"/>
    <w:rsid w:val="00FA26A0"/>
    <w:rsid w:val="00FA6E95"/>
    <w:rsid w:val="00FB07FC"/>
    <w:rsid w:val="00FB0C7A"/>
    <w:rsid w:val="00FB12DC"/>
    <w:rsid w:val="00FB3F00"/>
    <w:rsid w:val="00FB5EA6"/>
    <w:rsid w:val="00FC0031"/>
    <w:rsid w:val="00FC6AB1"/>
    <w:rsid w:val="00FD0E83"/>
    <w:rsid w:val="00FD4643"/>
    <w:rsid w:val="00FF30E8"/>
    <w:rsid w:val="00FF52D4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81FF7"/>
  <w15:docId w15:val="{D3569742-5EC8-40D2-8FBD-835982B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C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F03"/>
    <w:pPr>
      <w:keepNext/>
      <w:keepLines/>
      <w:spacing w:before="36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F03"/>
    <w:rPr>
      <w:rFonts w:eastAsiaTheme="majorEastAsia" w:cstheme="majorBidi"/>
      <w:b/>
      <w:bCs/>
      <w:szCs w:val="28"/>
    </w:rPr>
  </w:style>
  <w:style w:type="character" w:styleId="Hyperlink">
    <w:name w:val="Hyperlink"/>
    <w:basedOn w:val="DefaultParagraphFont"/>
    <w:uiPriority w:val="99"/>
    <w:unhideWhenUsed/>
    <w:rsid w:val="00CA36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1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2DC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2DC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D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D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D3"/>
    <w:rPr>
      <w:rFonts w:eastAsia="Calibri" w:cs="Times New Roman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E23A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F5742F"/>
  </w:style>
  <w:style w:type="character" w:styleId="FollowedHyperlink">
    <w:name w:val="FollowedHyperlink"/>
    <w:basedOn w:val="DefaultParagraphFont"/>
    <w:uiPriority w:val="99"/>
    <w:semiHidden/>
    <w:unhideWhenUsed/>
    <w:rsid w:val="00F574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168D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Default">
    <w:name w:val="Default"/>
    <w:rsid w:val="00CB217E"/>
    <w:pPr>
      <w:autoSpaceDE w:val="0"/>
      <w:autoSpaceDN w:val="0"/>
      <w:adjustRightInd w:val="0"/>
    </w:pPr>
    <w:rPr>
      <w:rFonts w:ascii="News Gothic Std" w:hAnsi="News Gothic Std" w:cs="News Gothic Std"/>
      <w:color w:val="000000"/>
      <w:szCs w:val="24"/>
    </w:rPr>
  </w:style>
  <w:style w:type="paragraph" w:customStyle="1" w:styleId="Pa9">
    <w:name w:val="Pa9"/>
    <w:basedOn w:val="Default"/>
    <w:next w:val="Default"/>
    <w:uiPriority w:val="99"/>
    <w:rsid w:val="00CB217E"/>
    <w:pPr>
      <w:spacing w:line="44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CB217E"/>
    <w:rPr>
      <w:rFonts w:eastAsia="Calibri" w:cs="Times New Roman"/>
    </w:rPr>
  </w:style>
  <w:style w:type="table" w:styleId="TableGrid">
    <w:name w:val="Table Grid"/>
    <w:basedOn w:val="TableNormal"/>
    <w:rsid w:val="0024122E"/>
    <w:rPr>
      <w:rFonts w:eastAsia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1"/>
    <w:qFormat/>
    <w:rsid w:val="00AC0308"/>
    <w:pPr>
      <w:spacing w:before="120"/>
      <w:jc w:val="both"/>
    </w:pPr>
    <w:rPr>
      <w:rFonts w:eastAsia="MS Mincho"/>
      <w:szCs w:val="20"/>
      <w:lang w:eastAsia="zh-CN"/>
    </w:rPr>
  </w:style>
  <w:style w:type="character" w:customStyle="1" w:styleId="TextChar1">
    <w:name w:val="Text Char1"/>
    <w:link w:val="Text"/>
    <w:rsid w:val="00AC0308"/>
    <w:rPr>
      <w:rFonts w:eastAsia="MS Mincho" w:cs="Times New Roman"/>
      <w:szCs w:val="20"/>
      <w:lang w:eastAsia="zh-CN"/>
    </w:rPr>
  </w:style>
  <w:style w:type="paragraph" w:customStyle="1" w:styleId="msonormal0">
    <w:name w:val="msonormal"/>
    <w:basedOn w:val="Normal"/>
    <w:rsid w:val="00424F9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5">
    <w:name w:val="xl65"/>
    <w:basedOn w:val="Normal"/>
    <w:rsid w:val="00424F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6">
    <w:name w:val="xl66"/>
    <w:basedOn w:val="Normal"/>
    <w:rsid w:val="00424F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7">
    <w:name w:val="xl67"/>
    <w:basedOn w:val="Normal"/>
    <w:rsid w:val="00424F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Normal"/>
    <w:rsid w:val="00424F97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9">
    <w:name w:val="xl69"/>
    <w:basedOn w:val="Normal"/>
    <w:rsid w:val="00424F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424F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424F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Normal"/>
    <w:rsid w:val="00424F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Normal"/>
    <w:rsid w:val="00424F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424F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Normal"/>
    <w:rsid w:val="00424F97"/>
    <w:pP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424F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7">
    <w:name w:val="xl77"/>
    <w:basedOn w:val="Normal"/>
    <w:rsid w:val="00424F9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8">
    <w:name w:val="xl78"/>
    <w:basedOn w:val="Normal"/>
    <w:rsid w:val="00424F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Normal"/>
    <w:rsid w:val="00424F97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Normal"/>
    <w:rsid w:val="00424F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1">
    <w:name w:val="xl81"/>
    <w:basedOn w:val="Normal"/>
    <w:rsid w:val="00424F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Normal"/>
    <w:rsid w:val="00424F97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Normal"/>
    <w:rsid w:val="00424F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424F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424F97"/>
    <w:pPr>
      <w:spacing w:before="100" w:beforeAutospacing="1" w:after="100" w:afterAutospacing="1"/>
    </w:pPr>
    <w:rPr>
      <w:rFonts w:eastAsia="Times New Roman"/>
      <w:szCs w:val="24"/>
    </w:rPr>
  </w:style>
  <w:style w:type="numbering" w:styleId="1ai">
    <w:name w:val="Outline List 1"/>
    <w:basedOn w:val="NoList"/>
    <w:semiHidden/>
    <w:unhideWhenUsed/>
    <w:rsid w:val="00781F34"/>
    <w:pPr>
      <w:numPr>
        <w:numId w:val="40"/>
      </w:numPr>
    </w:pPr>
  </w:style>
  <w:style w:type="character" w:customStyle="1" w:styleId="CaptionChar">
    <w:name w:val="Caption Char"/>
    <w:basedOn w:val="DefaultParagraphFont"/>
    <w:link w:val="Caption"/>
    <w:uiPriority w:val="35"/>
    <w:rsid w:val="00131BBD"/>
    <w:rPr>
      <w:rFonts w:eastAsia="Calibri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908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530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486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2492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625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499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950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277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353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4237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827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971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114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749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5066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03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902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61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280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96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220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47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580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943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4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2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134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0253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572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3557">
          <w:marLeft w:val="3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1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175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156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317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996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75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58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865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987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960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182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51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224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985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4338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195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366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0968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56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3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907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5668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65FD-14CA-40A0-A647-A10C1A10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Emily, Meade</dc:creator>
  <cp:lastModifiedBy>Batts, Shelley</cp:lastModifiedBy>
  <cp:revision>3</cp:revision>
  <cp:lastPrinted>2018-09-07T14:38:00Z</cp:lastPrinted>
  <dcterms:created xsi:type="dcterms:W3CDTF">2019-06-06T16:38:00Z</dcterms:created>
  <dcterms:modified xsi:type="dcterms:W3CDTF">2019-06-06T19:58:00Z</dcterms:modified>
</cp:coreProperties>
</file>