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66A614" w14:textId="2523ABEF" w:rsidR="000C0125" w:rsidRPr="00F0557E" w:rsidRDefault="00F0557E" w:rsidP="000C0125">
      <w:pPr>
        <w:pStyle w:val="NoSpacing"/>
        <w:rPr>
          <w:rFonts w:asciiTheme="majorHAnsi" w:hAnsiTheme="majorHAnsi" w:cstheme="majorHAnsi"/>
          <w:sz w:val="34"/>
          <w:szCs w:val="34"/>
        </w:rPr>
      </w:pPr>
      <w:bookmarkStart w:id="0" w:name="_Toc510634430"/>
      <w:r w:rsidRPr="00F0557E">
        <w:rPr>
          <w:rFonts w:asciiTheme="majorHAnsi" w:hAnsiTheme="majorHAnsi" w:cstheme="majorHAnsi"/>
          <w:sz w:val="34"/>
          <w:szCs w:val="34"/>
        </w:rPr>
        <w:t>Systematic review and meta-analysis of adverse cardiovascular events associated with proton pump inhibitors used alone or in combination with antiplatelet agents</w:t>
      </w:r>
    </w:p>
    <w:p w14:paraId="6487BCC6" w14:textId="77777777" w:rsidR="00F0557E" w:rsidRDefault="00F0557E" w:rsidP="000C0125">
      <w:pPr>
        <w:pStyle w:val="NoSpacing"/>
        <w:rPr>
          <w:rFonts w:asciiTheme="majorHAnsi" w:hAnsiTheme="majorHAnsi" w:cstheme="majorHAnsi"/>
          <w:sz w:val="32"/>
          <w:szCs w:val="32"/>
        </w:rPr>
      </w:pPr>
    </w:p>
    <w:p w14:paraId="5B82A505" w14:textId="77777777" w:rsidR="00F0557E" w:rsidRDefault="00F0557E" w:rsidP="000C0125">
      <w:pPr>
        <w:pStyle w:val="NoSpacing"/>
      </w:pPr>
      <w:bookmarkStart w:id="1" w:name="_GoBack"/>
      <w:bookmarkEnd w:id="1"/>
    </w:p>
    <w:p w14:paraId="4A5FCBC0" w14:textId="57A7BB5C" w:rsidR="0019070D" w:rsidRPr="00323052" w:rsidRDefault="00323052" w:rsidP="00323052">
      <w:pPr>
        <w:rPr>
          <w:rFonts w:asciiTheme="majorHAnsi" w:hAnsiTheme="majorHAnsi" w:cstheme="majorHAnsi"/>
          <w:b/>
          <w:bCs/>
          <w:sz w:val="32"/>
          <w:szCs w:val="32"/>
        </w:rPr>
      </w:pPr>
      <w:bookmarkStart w:id="2" w:name="_Toc536086318"/>
      <w:r w:rsidRPr="00323052">
        <w:rPr>
          <w:rFonts w:asciiTheme="majorHAnsi" w:hAnsiTheme="majorHAnsi" w:cstheme="majorHAnsi"/>
          <w:b/>
          <w:bCs/>
          <w:sz w:val="32"/>
          <w:szCs w:val="32"/>
        </w:rPr>
        <w:t>SUPPLEMENTAL MATERIAL</w:t>
      </w:r>
      <w:bookmarkEnd w:id="0"/>
      <w:bookmarkEnd w:id="2"/>
    </w:p>
    <w:sdt>
      <w:sdtPr>
        <w:rPr>
          <w:rFonts w:asciiTheme="minorHAnsi" w:eastAsiaTheme="minorHAnsi" w:hAnsiTheme="minorHAnsi" w:cstheme="minorBidi"/>
          <w:color w:val="auto"/>
          <w:sz w:val="22"/>
          <w:szCs w:val="22"/>
          <w:lang w:val="en-CA"/>
        </w:rPr>
        <w:id w:val="732828709"/>
        <w:docPartObj>
          <w:docPartGallery w:val="Table of Contents"/>
          <w:docPartUnique/>
        </w:docPartObj>
      </w:sdtPr>
      <w:sdtEndPr>
        <w:rPr>
          <w:b/>
          <w:bCs/>
          <w:noProof/>
          <w:highlight w:val="yellow"/>
        </w:rPr>
      </w:sdtEndPr>
      <w:sdtContent>
        <w:p w14:paraId="5DB53705" w14:textId="481C625E" w:rsidR="00B32A79" w:rsidRDefault="00B32A79">
          <w:pPr>
            <w:pStyle w:val="TOCHeading"/>
          </w:pPr>
        </w:p>
        <w:p w14:paraId="3C44434C" w14:textId="77777777" w:rsidR="00D446D6" w:rsidRDefault="00B32A79">
          <w:pPr>
            <w:pStyle w:val="TOC2"/>
            <w:tabs>
              <w:tab w:val="right" w:leader="dot" w:pos="9350"/>
            </w:tabs>
            <w:rPr>
              <w:rFonts w:eastAsiaTheme="minorEastAsia"/>
              <w:noProof/>
              <w:lang w:eastAsia="en-CA"/>
            </w:rPr>
          </w:pPr>
          <w:r>
            <w:fldChar w:fldCharType="begin"/>
          </w:r>
          <w:r>
            <w:instrText xml:space="preserve"> TOC \o "1-3" \h \z \u </w:instrText>
          </w:r>
          <w:r>
            <w:fldChar w:fldCharType="separate"/>
          </w:r>
          <w:hyperlink w:anchor="_Toc536713780" w:history="1">
            <w:r w:rsidR="00D446D6" w:rsidRPr="004B45A5">
              <w:rPr>
                <w:rStyle w:val="Hyperlink"/>
                <w:noProof/>
              </w:rPr>
              <w:t>Supplemental Material I - Search strategies</w:t>
            </w:r>
            <w:r w:rsidR="00D446D6">
              <w:rPr>
                <w:noProof/>
                <w:webHidden/>
              </w:rPr>
              <w:tab/>
            </w:r>
            <w:r w:rsidR="00D446D6">
              <w:rPr>
                <w:noProof/>
                <w:webHidden/>
              </w:rPr>
              <w:fldChar w:fldCharType="begin"/>
            </w:r>
            <w:r w:rsidR="00D446D6">
              <w:rPr>
                <w:noProof/>
                <w:webHidden/>
              </w:rPr>
              <w:instrText xml:space="preserve"> PAGEREF _Toc536713780 \h </w:instrText>
            </w:r>
            <w:r w:rsidR="00D446D6">
              <w:rPr>
                <w:noProof/>
                <w:webHidden/>
              </w:rPr>
            </w:r>
            <w:r w:rsidR="00D446D6">
              <w:rPr>
                <w:noProof/>
                <w:webHidden/>
              </w:rPr>
              <w:fldChar w:fldCharType="separate"/>
            </w:r>
            <w:r w:rsidR="00D446D6">
              <w:rPr>
                <w:noProof/>
                <w:webHidden/>
              </w:rPr>
              <w:t>2</w:t>
            </w:r>
            <w:r w:rsidR="00D446D6">
              <w:rPr>
                <w:noProof/>
                <w:webHidden/>
              </w:rPr>
              <w:fldChar w:fldCharType="end"/>
            </w:r>
          </w:hyperlink>
        </w:p>
        <w:p w14:paraId="21D683BE" w14:textId="77777777" w:rsidR="00D446D6" w:rsidRDefault="00496930">
          <w:pPr>
            <w:pStyle w:val="TOC3"/>
            <w:tabs>
              <w:tab w:val="right" w:leader="dot" w:pos="9350"/>
            </w:tabs>
            <w:rPr>
              <w:rFonts w:eastAsiaTheme="minorEastAsia"/>
              <w:noProof/>
              <w:lang w:eastAsia="en-CA"/>
            </w:rPr>
          </w:pPr>
          <w:hyperlink w:anchor="_Toc536713781" w:history="1">
            <w:r w:rsidR="00D446D6" w:rsidRPr="004B45A5">
              <w:rPr>
                <w:rStyle w:val="Hyperlink"/>
                <w:noProof/>
              </w:rPr>
              <w:t>Embase  (with Scottish Intercollegiate Guidelines Network filters)</w:t>
            </w:r>
            <w:r w:rsidR="00D446D6">
              <w:rPr>
                <w:noProof/>
                <w:webHidden/>
              </w:rPr>
              <w:tab/>
            </w:r>
            <w:r w:rsidR="00D446D6">
              <w:rPr>
                <w:noProof/>
                <w:webHidden/>
              </w:rPr>
              <w:fldChar w:fldCharType="begin"/>
            </w:r>
            <w:r w:rsidR="00D446D6">
              <w:rPr>
                <w:noProof/>
                <w:webHidden/>
              </w:rPr>
              <w:instrText xml:space="preserve"> PAGEREF _Toc536713781 \h </w:instrText>
            </w:r>
            <w:r w:rsidR="00D446D6">
              <w:rPr>
                <w:noProof/>
                <w:webHidden/>
              </w:rPr>
            </w:r>
            <w:r w:rsidR="00D446D6">
              <w:rPr>
                <w:noProof/>
                <w:webHidden/>
              </w:rPr>
              <w:fldChar w:fldCharType="separate"/>
            </w:r>
            <w:r w:rsidR="00D446D6">
              <w:rPr>
                <w:noProof/>
                <w:webHidden/>
              </w:rPr>
              <w:t>2</w:t>
            </w:r>
            <w:r w:rsidR="00D446D6">
              <w:rPr>
                <w:noProof/>
                <w:webHidden/>
              </w:rPr>
              <w:fldChar w:fldCharType="end"/>
            </w:r>
          </w:hyperlink>
        </w:p>
        <w:p w14:paraId="3D88CE4A" w14:textId="77777777" w:rsidR="00D446D6" w:rsidRDefault="00496930">
          <w:pPr>
            <w:pStyle w:val="TOC3"/>
            <w:tabs>
              <w:tab w:val="right" w:leader="dot" w:pos="9350"/>
            </w:tabs>
            <w:rPr>
              <w:rFonts w:eastAsiaTheme="minorEastAsia"/>
              <w:noProof/>
              <w:lang w:eastAsia="en-CA"/>
            </w:rPr>
          </w:pPr>
          <w:hyperlink w:anchor="_Toc536713782" w:history="1">
            <w:r w:rsidR="00D446D6" w:rsidRPr="004B45A5">
              <w:rPr>
                <w:rStyle w:val="Hyperlink"/>
                <w:noProof/>
              </w:rPr>
              <w:t>Medline (with Scottish Intercollegiate Guidelines Network filters)</w:t>
            </w:r>
            <w:r w:rsidR="00D446D6">
              <w:rPr>
                <w:noProof/>
                <w:webHidden/>
              </w:rPr>
              <w:tab/>
            </w:r>
            <w:r w:rsidR="00D446D6">
              <w:rPr>
                <w:noProof/>
                <w:webHidden/>
              </w:rPr>
              <w:fldChar w:fldCharType="begin"/>
            </w:r>
            <w:r w:rsidR="00D446D6">
              <w:rPr>
                <w:noProof/>
                <w:webHidden/>
              </w:rPr>
              <w:instrText xml:space="preserve"> PAGEREF _Toc536713782 \h </w:instrText>
            </w:r>
            <w:r w:rsidR="00D446D6">
              <w:rPr>
                <w:noProof/>
                <w:webHidden/>
              </w:rPr>
            </w:r>
            <w:r w:rsidR="00D446D6">
              <w:rPr>
                <w:noProof/>
                <w:webHidden/>
              </w:rPr>
              <w:fldChar w:fldCharType="separate"/>
            </w:r>
            <w:r w:rsidR="00D446D6">
              <w:rPr>
                <w:noProof/>
                <w:webHidden/>
              </w:rPr>
              <w:t>4</w:t>
            </w:r>
            <w:r w:rsidR="00D446D6">
              <w:rPr>
                <w:noProof/>
                <w:webHidden/>
              </w:rPr>
              <w:fldChar w:fldCharType="end"/>
            </w:r>
          </w:hyperlink>
        </w:p>
        <w:p w14:paraId="445EC48D" w14:textId="77777777" w:rsidR="00D446D6" w:rsidRDefault="00496930">
          <w:pPr>
            <w:pStyle w:val="TOC3"/>
            <w:tabs>
              <w:tab w:val="right" w:leader="dot" w:pos="9350"/>
            </w:tabs>
            <w:rPr>
              <w:rFonts w:eastAsiaTheme="minorEastAsia"/>
              <w:noProof/>
              <w:lang w:eastAsia="en-CA"/>
            </w:rPr>
          </w:pPr>
          <w:hyperlink w:anchor="_Toc536713783" w:history="1">
            <w:r w:rsidR="00D446D6" w:rsidRPr="004B45A5">
              <w:rPr>
                <w:rStyle w:val="Hyperlink"/>
                <w:noProof/>
              </w:rPr>
              <w:t>Cochrane Central Register for Controlled Trials (with Scottish Intercollegiate Guidelines Network filters)</w:t>
            </w:r>
            <w:r w:rsidR="00D446D6">
              <w:rPr>
                <w:noProof/>
                <w:webHidden/>
              </w:rPr>
              <w:tab/>
            </w:r>
            <w:r w:rsidR="00D446D6">
              <w:rPr>
                <w:noProof/>
                <w:webHidden/>
              </w:rPr>
              <w:fldChar w:fldCharType="begin"/>
            </w:r>
            <w:r w:rsidR="00D446D6">
              <w:rPr>
                <w:noProof/>
                <w:webHidden/>
              </w:rPr>
              <w:instrText xml:space="preserve"> PAGEREF _Toc536713783 \h </w:instrText>
            </w:r>
            <w:r w:rsidR="00D446D6">
              <w:rPr>
                <w:noProof/>
                <w:webHidden/>
              </w:rPr>
            </w:r>
            <w:r w:rsidR="00D446D6">
              <w:rPr>
                <w:noProof/>
                <w:webHidden/>
              </w:rPr>
              <w:fldChar w:fldCharType="separate"/>
            </w:r>
            <w:r w:rsidR="00D446D6">
              <w:rPr>
                <w:noProof/>
                <w:webHidden/>
              </w:rPr>
              <w:t>6</w:t>
            </w:r>
            <w:r w:rsidR="00D446D6">
              <w:rPr>
                <w:noProof/>
                <w:webHidden/>
              </w:rPr>
              <w:fldChar w:fldCharType="end"/>
            </w:r>
          </w:hyperlink>
        </w:p>
        <w:p w14:paraId="02A71CA2" w14:textId="77777777" w:rsidR="00D446D6" w:rsidRDefault="00496930">
          <w:pPr>
            <w:pStyle w:val="TOC2"/>
            <w:tabs>
              <w:tab w:val="right" w:leader="dot" w:pos="9350"/>
            </w:tabs>
            <w:rPr>
              <w:rFonts w:eastAsiaTheme="minorEastAsia"/>
              <w:noProof/>
              <w:lang w:eastAsia="en-CA"/>
            </w:rPr>
          </w:pPr>
          <w:hyperlink w:anchor="_Toc536713784" w:history="1">
            <w:r w:rsidR="00D446D6" w:rsidRPr="004B45A5">
              <w:rPr>
                <w:rStyle w:val="Hyperlink"/>
                <w:noProof/>
              </w:rPr>
              <w:t>Supplemental Material II - Screening forms</w:t>
            </w:r>
            <w:r w:rsidR="00D446D6">
              <w:rPr>
                <w:noProof/>
                <w:webHidden/>
              </w:rPr>
              <w:tab/>
            </w:r>
            <w:r w:rsidR="00D446D6">
              <w:rPr>
                <w:noProof/>
                <w:webHidden/>
              </w:rPr>
              <w:fldChar w:fldCharType="begin"/>
            </w:r>
            <w:r w:rsidR="00D446D6">
              <w:rPr>
                <w:noProof/>
                <w:webHidden/>
              </w:rPr>
              <w:instrText xml:space="preserve"> PAGEREF _Toc536713784 \h </w:instrText>
            </w:r>
            <w:r w:rsidR="00D446D6">
              <w:rPr>
                <w:noProof/>
                <w:webHidden/>
              </w:rPr>
            </w:r>
            <w:r w:rsidR="00D446D6">
              <w:rPr>
                <w:noProof/>
                <w:webHidden/>
              </w:rPr>
              <w:fldChar w:fldCharType="separate"/>
            </w:r>
            <w:r w:rsidR="00D446D6">
              <w:rPr>
                <w:noProof/>
                <w:webHidden/>
              </w:rPr>
              <w:t>8</w:t>
            </w:r>
            <w:r w:rsidR="00D446D6">
              <w:rPr>
                <w:noProof/>
                <w:webHidden/>
              </w:rPr>
              <w:fldChar w:fldCharType="end"/>
            </w:r>
          </w:hyperlink>
        </w:p>
        <w:p w14:paraId="60022A4C" w14:textId="77777777" w:rsidR="00D446D6" w:rsidRDefault="00496930">
          <w:pPr>
            <w:pStyle w:val="TOC2"/>
            <w:tabs>
              <w:tab w:val="right" w:leader="dot" w:pos="9350"/>
            </w:tabs>
            <w:rPr>
              <w:rFonts w:eastAsiaTheme="minorEastAsia"/>
              <w:noProof/>
              <w:lang w:eastAsia="en-CA"/>
            </w:rPr>
          </w:pPr>
          <w:hyperlink w:anchor="_Toc536713785" w:history="1">
            <w:r w:rsidR="00D446D6" w:rsidRPr="004B45A5">
              <w:rPr>
                <w:rStyle w:val="Hyperlink"/>
                <w:noProof/>
              </w:rPr>
              <w:t>Supplemental Material III - Data extraction form</w:t>
            </w:r>
            <w:r w:rsidR="00D446D6">
              <w:rPr>
                <w:noProof/>
                <w:webHidden/>
              </w:rPr>
              <w:tab/>
            </w:r>
            <w:r w:rsidR="00D446D6">
              <w:rPr>
                <w:noProof/>
                <w:webHidden/>
              </w:rPr>
              <w:fldChar w:fldCharType="begin"/>
            </w:r>
            <w:r w:rsidR="00D446D6">
              <w:rPr>
                <w:noProof/>
                <w:webHidden/>
              </w:rPr>
              <w:instrText xml:space="preserve"> PAGEREF _Toc536713785 \h </w:instrText>
            </w:r>
            <w:r w:rsidR="00D446D6">
              <w:rPr>
                <w:noProof/>
                <w:webHidden/>
              </w:rPr>
            </w:r>
            <w:r w:rsidR="00D446D6">
              <w:rPr>
                <w:noProof/>
                <w:webHidden/>
              </w:rPr>
              <w:fldChar w:fldCharType="separate"/>
            </w:r>
            <w:r w:rsidR="00D446D6">
              <w:rPr>
                <w:noProof/>
                <w:webHidden/>
              </w:rPr>
              <w:t>10</w:t>
            </w:r>
            <w:r w:rsidR="00D446D6">
              <w:rPr>
                <w:noProof/>
                <w:webHidden/>
              </w:rPr>
              <w:fldChar w:fldCharType="end"/>
            </w:r>
          </w:hyperlink>
        </w:p>
        <w:p w14:paraId="4E1D8F56" w14:textId="77777777" w:rsidR="00D446D6" w:rsidRDefault="00496930">
          <w:pPr>
            <w:pStyle w:val="TOC2"/>
            <w:tabs>
              <w:tab w:val="right" w:leader="dot" w:pos="9350"/>
            </w:tabs>
            <w:rPr>
              <w:rFonts w:eastAsiaTheme="minorEastAsia"/>
              <w:noProof/>
              <w:lang w:eastAsia="en-CA"/>
            </w:rPr>
          </w:pPr>
          <w:hyperlink w:anchor="_Toc536713786" w:history="1">
            <w:r w:rsidR="00D446D6" w:rsidRPr="004B45A5">
              <w:rPr>
                <w:rStyle w:val="Hyperlink"/>
                <w:noProof/>
                <w:lang w:eastAsia="en-CA"/>
              </w:rPr>
              <w:t>Supplemental Material IV - Characteristics of included studies</w:t>
            </w:r>
            <w:r w:rsidR="00D446D6">
              <w:rPr>
                <w:noProof/>
                <w:webHidden/>
              </w:rPr>
              <w:tab/>
            </w:r>
            <w:r w:rsidR="00D446D6">
              <w:rPr>
                <w:noProof/>
                <w:webHidden/>
              </w:rPr>
              <w:fldChar w:fldCharType="begin"/>
            </w:r>
            <w:r w:rsidR="00D446D6">
              <w:rPr>
                <w:noProof/>
                <w:webHidden/>
              </w:rPr>
              <w:instrText xml:space="preserve"> PAGEREF _Toc536713786 \h </w:instrText>
            </w:r>
            <w:r w:rsidR="00D446D6">
              <w:rPr>
                <w:noProof/>
                <w:webHidden/>
              </w:rPr>
            </w:r>
            <w:r w:rsidR="00D446D6">
              <w:rPr>
                <w:noProof/>
                <w:webHidden/>
              </w:rPr>
              <w:fldChar w:fldCharType="separate"/>
            </w:r>
            <w:r w:rsidR="00D446D6">
              <w:rPr>
                <w:noProof/>
                <w:webHidden/>
              </w:rPr>
              <w:t>20</w:t>
            </w:r>
            <w:r w:rsidR="00D446D6">
              <w:rPr>
                <w:noProof/>
                <w:webHidden/>
              </w:rPr>
              <w:fldChar w:fldCharType="end"/>
            </w:r>
          </w:hyperlink>
        </w:p>
        <w:p w14:paraId="5F10AC09" w14:textId="77777777" w:rsidR="00D446D6" w:rsidRDefault="00496930">
          <w:pPr>
            <w:pStyle w:val="TOC2"/>
            <w:tabs>
              <w:tab w:val="right" w:leader="dot" w:pos="9350"/>
            </w:tabs>
            <w:rPr>
              <w:rFonts w:eastAsiaTheme="minorEastAsia"/>
              <w:noProof/>
              <w:lang w:eastAsia="en-CA"/>
            </w:rPr>
          </w:pPr>
          <w:hyperlink w:anchor="_Toc536713787" w:history="1">
            <w:r w:rsidR="00D446D6" w:rsidRPr="004B45A5">
              <w:rPr>
                <w:rStyle w:val="Hyperlink"/>
                <w:noProof/>
                <w:lang w:eastAsia="en-CA"/>
              </w:rPr>
              <w:t>Supplemental Material V - Reasons for exclusion of studies from meta-analysis</w:t>
            </w:r>
            <w:r w:rsidR="00D446D6">
              <w:rPr>
                <w:noProof/>
                <w:webHidden/>
              </w:rPr>
              <w:tab/>
            </w:r>
            <w:r w:rsidR="00D446D6">
              <w:rPr>
                <w:noProof/>
                <w:webHidden/>
              </w:rPr>
              <w:fldChar w:fldCharType="begin"/>
            </w:r>
            <w:r w:rsidR="00D446D6">
              <w:rPr>
                <w:noProof/>
                <w:webHidden/>
              </w:rPr>
              <w:instrText xml:space="preserve"> PAGEREF _Toc536713787 \h </w:instrText>
            </w:r>
            <w:r w:rsidR="00D446D6">
              <w:rPr>
                <w:noProof/>
                <w:webHidden/>
              </w:rPr>
            </w:r>
            <w:r w:rsidR="00D446D6">
              <w:rPr>
                <w:noProof/>
                <w:webHidden/>
              </w:rPr>
              <w:fldChar w:fldCharType="separate"/>
            </w:r>
            <w:r w:rsidR="00D446D6">
              <w:rPr>
                <w:noProof/>
                <w:webHidden/>
              </w:rPr>
              <w:t>75</w:t>
            </w:r>
            <w:r w:rsidR="00D446D6">
              <w:rPr>
                <w:noProof/>
                <w:webHidden/>
              </w:rPr>
              <w:fldChar w:fldCharType="end"/>
            </w:r>
          </w:hyperlink>
        </w:p>
        <w:p w14:paraId="1DA4AE49" w14:textId="77777777" w:rsidR="00D446D6" w:rsidRDefault="00496930">
          <w:pPr>
            <w:pStyle w:val="TOC2"/>
            <w:tabs>
              <w:tab w:val="right" w:leader="dot" w:pos="9350"/>
            </w:tabs>
            <w:rPr>
              <w:rFonts w:eastAsiaTheme="minorEastAsia"/>
              <w:noProof/>
              <w:lang w:eastAsia="en-CA"/>
            </w:rPr>
          </w:pPr>
          <w:hyperlink w:anchor="_Toc536713788" w:history="1">
            <w:r w:rsidR="00D446D6" w:rsidRPr="004B45A5">
              <w:rPr>
                <w:rStyle w:val="Hyperlink"/>
                <w:noProof/>
                <w:lang w:eastAsia="en-CA"/>
              </w:rPr>
              <w:t>Supplemental Material VI - Group B Subgroup and sensitivity analyses</w:t>
            </w:r>
            <w:r w:rsidR="00D446D6">
              <w:rPr>
                <w:noProof/>
                <w:webHidden/>
              </w:rPr>
              <w:tab/>
            </w:r>
            <w:r w:rsidR="00D446D6">
              <w:rPr>
                <w:noProof/>
                <w:webHidden/>
              </w:rPr>
              <w:fldChar w:fldCharType="begin"/>
            </w:r>
            <w:r w:rsidR="00D446D6">
              <w:rPr>
                <w:noProof/>
                <w:webHidden/>
              </w:rPr>
              <w:instrText xml:space="preserve"> PAGEREF _Toc536713788 \h </w:instrText>
            </w:r>
            <w:r w:rsidR="00D446D6">
              <w:rPr>
                <w:noProof/>
                <w:webHidden/>
              </w:rPr>
            </w:r>
            <w:r w:rsidR="00D446D6">
              <w:rPr>
                <w:noProof/>
                <w:webHidden/>
              </w:rPr>
              <w:fldChar w:fldCharType="separate"/>
            </w:r>
            <w:r w:rsidR="00D446D6">
              <w:rPr>
                <w:noProof/>
                <w:webHidden/>
              </w:rPr>
              <w:t>77</w:t>
            </w:r>
            <w:r w:rsidR="00D446D6">
              <w:rPr>
                <w:noProof/>
                <w:webHidden/>
              </w:rPr>
              <w:fldChar w:fldCharType="end"/>
            </w:r>
          </w:hyperlink>
        </w:p>
        <w:p w14:paraId="51BEF844" w14:textId="77777777" w:rsidR="00D446D6" w:rsidRDefault="00496930">
          <w:pPr>
            <w:pStyle w:val="TOC2"/>
            <w:tabs>
              <w:tab w:val="right" w:leader="dot" w:pos="9350"/>
            </w:tabs>
            <w:rPr>
              <w:rFonts w:eastAsiaTheme="minorEastAsia"/>
              <w:noProof/>
              <w:lang w:eastAsia="en-CA"/>
            </w:rPr>
          </w:pPr>
          <w:hyperlink w:anchor="_Toc536713789" w:history="1">
            <w:r w:rsidR="00D446D6" w:rsidRPr="004B45A5">
              <w:rPr>
                <w:rStyle w:val="Hyperlink"/>
                <w:noProof/>
              </w:rPr>
              <w:t>Supplemental Material VII – Quality of observational studies included in the meta-analysis</w:t>
            </w:r>
            <w:r w:rsidR="00D446D6">
              <w:rPr>
                <w:noProof/>
                <w:webHidden/>
              </w:rPr>
              <w:tab/>
            </w:r>
            <w:r w:rsidR="00D446D6">
              <w:rPr>
                <w:noProof/>
                <w:webHidden/>
              </w:rPr>
              <w:fldChar w:fldCharType="begin"/>
            </w:r>
            <w:r w:rsidR="00D446D6">
              <w:rPr>
                <w:noProof/>
                <w:webHidden/>
              </w:rPr>
              <w:instrText xml:space="preserve"> PAGEREF _Toc536713789 \h </w:instrText>
            </w:r>
            <w:r w:rsidR="00D446D6">
              <w:rPr>
                <w:noProof/>
                <w:webHidden/>
              </w:rPr>
            </w:r>
            <w:r w:rsidR="00D446D6">
              <w:rPr>
                <w:noProof/>
                <w:webHidden/>
              </w:rPr>
              <w:fldChar w:fldCharType="separate"/>
            </w:r>
            <w:r w:rsidR="00D446D6">
              <w:rPr>
                <w:noProof/>
                <w:webHidden/>
              </w:rPr>
              <w:t>84</w:t>
            </w:r>
            <w:r w:rsidR="00D446D6">
              <w:rPr>
                <w:noProof/>
                <w:webHidden/>
              </w:rPr>
              <w:fldChar w:fldCharType="end"/>
            </w:r>
          </w:hyperlink>
        </w:p>
        <w:p w14:paraId="26472910" w14:textId="77777777" w:rsidR="00D446D6" w:rsidRDefault="00496930">
          <w:pPr>
            <w:pStyle w:val="TOC2"/>
            <w:tabs>
              <w:tab w:val="right" w:leader="dot" w:pos="9350"/>
            </w:tabs>
            <w:rPr>
              <w:rFonts w:eastAsiaTheme="minorEastAsia"/>
              <w:noProof/>
              <w:lang w:eastAsia="en-CA"/>
            </w:rPr>
          </w:pPr>
          <w:hyperlink w:anchor="_Toc536713790" w:history="1">
            <w:r w:rsidR="00D446D6" w:rsidRPr="004B45A5">
              <w:rPr>
                <w:rStyle w:val="Hyperlink"/>
                <w:noProof/>
              </w:rPr>
              <w:t>Supplemental Material IX – Funnel plots</w:t>
            </w:r>
            <w:r w:rsidR="00D446D6">
              <w:rPr>
                <w:noProof/>
                <w:webHidden/>
              </w:rPr>
              <w:tab/>
            </w:r>
            <w:r w:rsidR="00D446D6">
              <w:rPr>
                <w:noProof/>
                <w:webHidden/>
              </w:rPr>
              <w:fldChar w:fldCharType="begin"/>
            </w:r>
            <w:r w:rsidR="00D446D6">
              <w:rPr>
                <w:noProof/>
                <w:webHidden/>
              </w:rPr>
              <w:instrText xml:space="preserve"> PAGEREF _Toc536713790 \h </w:instrText>
            </w:r>
            <w:r w:rsidR="00D446D6">
              <w:rPr>
                <w:noProof/>
                <w:webHidden/>
              </w:rPr>
            </w:r>
            <w:r w:rsidR="00D446D6">
              <w:rPr>
                <w:noProof/>
                <w:webHidden/>
              </w:rPr>
              <w:fldChar w:fldCharType="separate"/>
            </w:r>
            <w:r w:rsidR="00D446D6">
              <w:rPr>
                <w:noProof/>
                <w:webHidden/>
              </w:rPr>
              <w:t>92</w:t>
            </w:r>
            <w:r w:rsidR="00D446D6">
              <w:rPr>
                <w:noProof/>
                <w:webHidden/>
              </w:rPr>
              <w:fldChar w:fldCharType="end"/>
            </w:r>
          </w:hyperlink>
        </w:p>
        <w:p w14:paraId="0C0CA07F" w14:textId="70391AA9" w:rsidR="00B32A79" w:rsidRDefault="00B32A79" w:rsidP="00ED5C5B">
          <w:r>
            <w:rPr>
              <w:b/>
              <w:bCs/>
              <w:noProof/>
            </w:rPr>
            <w:fldChar w:fldCharType="end"/>
          </w:r>
        </w:p>
      </w:sdtContent>
    </w:sdt>
    <w:p w14:paraId="4D7F7841" w14:textId="77777777" w:rsidR="00B32A79" w:rsidRDefault="00B32A79"/>
    <w:p w14:paraId="581852AD" w14:textId="77777777" w:rsidR="00D04405" w:rsidRDefault="00D04405">
      <w:r>
        <w:br w:type="page"/>
      </w:r>
    </w:p>
    <w:p w14:paraId="38288D17" w14:textId="541B9DE8" w:rsidR="00AE77B9" w:rsidRDefault="00E63313" w:rsidP="00323052">
      <w:pPr>
        <w:pStyle w:val="Heading2"/>
      </w:pPr>
      <w:bookmarkStart w:id="3" w:name="_Toc510634431"/>
      <w:bookmarkStart w:id="4" w:name="_Toc536713780"/>
      <w:r>
        <w:lastRenderedPageBreak/>
        <w:t>Supplemental</w:t>
      </w:r>
      <w:r w:rsidR="000C1758">
        <w:t xml:space="preserve"> Material I</w:t>
      </w:r>
      <w:r w:rsidR="00323052">
        <w:t xml:space="preserve"> - </w:t>
      </w:r>
      <w:r w:rsidR="00D04405">
        <w:t>Search strateg</w:t>
      </w:r>
      <w:r w:rsidR="00CA7674">
        <w:t>ies</w:t>
      </w:r>
      <w:bookmarkEnd w:id="3"/>
      <w:bookmarkEnd w:id="4"/>
    </w:p>
    <w:p w14:paraId="6AD604DF" w14:textId="26FC6911" w:rsidR="00085F3B" w:rsidRPr="00085F3B" w:rsidRDefault="00085F3B" w:rsidP="00085F3B">
      <w:pPr>
        <w:pStyle w:val="Heading3"/>
      </w:pPr>
      <w:bookmarkStart w:id="5" w:name="_Toc510634432"/>
      <w:bookmarkStart w:id="6" w:name="_Toc536713781"/>
      <w:r w:rsidRPr="00085F3B">
        <w:t>Embase</w:t>
      </w:r>
      <w:bookmarkEnd w:id="5"/>
      <w:r w:rsidR="008F1453">
        <w:t xml:space="preserve">  (with </w:t>
      </w:r>
      <w:r w:rsidR="008F1453" w:rsidRPr="008F1453">
        <w:t>Scottish Intercollegiate Guidelines Network</w:t>
      </w:r>
      <w:r w:rsidR="008F1453">
        <w:t xml:space="preserve"> filters)</w:t>
      </w:r>
      <w:bookmarkEnd w:id="6"/>
    </w:p>
    <w:tbl>
      <w:tblPr>
        <w:tblStyle w:val="PlainTable2"/>
        <w:tblW w:w="0" w:type="auto"/>
        <w:tblBorders>
          <w:insideH w:val="dotted" w:sz="4" w:space="0" w:color="7F7F7F" w:themeColor="text1" w:themeTint="80"/>
        </w:tblBorders>
        <w:tblLook w:val="04A0" w:firstRow="1" w:lastRow="0" w:firstColumn="1" w:lastColumn="0" w:noHBand="0" w:noVBand="1"/>
      </w:tblPr>
      <w:tblGrid>
        <w:gridCol w:w="988"/>
        <w:gridCol w:w="5958"/>
        <w:gridCol w:w="1227"/>
      </w:tblGrid>
      <w:tr w:rsidR="00085F3B" w:rsidRPr="00BA50D2" w14:paraId="3C85EDE3" w14:textId="77777777" w:rsidTr="00BA50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8" w:type="dxa"/>
          </w:tcPr>
          <w:p w14:paraId="017924BD" w14:textId="77777777" w:rsidR="00085F3B" w:rsidRPr="00BA50D2" w:rsidRDefault="00085F3B" w:rsidP="00085F3B">
            <w:pPr>
              <w:pStyle w:val="NormalWeb"/>
              <w:spacing w:before="0" w:beforeAutospacing="0" w:after="0" w:afterAutospacing="0"/>
              <w:rPr>
                <w:rFonts w:ascii="Calibri" w:hAnsi="Calibri" w:cs="Calibri"/>
                <w:color w:val="2D2D2D"/>
                <w:sz w:val="20"/>
                <w:szCs w:val="20"/>
              </w:rPr>
            </w:pPr>
          </w:p>
        </w:tc>
        <w:tc>
          <w:tcPr>
            <w:tcW w:w="5958" w:type="dxa"/>
          </w:tcPr>
          <w:p w14:paraId="1F8316B1" w14:textId="26BE02AE" w:rsidR="00085F3B" w:rsidRPr="00BA50D2" w:rsidRDefault="00BA50D2" w:rsidP="00BA50D2">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cs="Calibri"/>
                <w:color w:val="2D2D2D"/>
                <w:sz w:val="20"/>
                <w:szCs w:val="20"/>
              </w:rPr>
            </w:pPr>
            <w:r>
              <w:rPr>
                <w:rFonts w:ascii="Calibri" w:hAnsi="Calibri" w:cs="Calibri"/>
                <w:color w:val="2D2D2D"/>
                <w:sz w:val="20"/>
                <w:szCs w:val="20"/>
              </w:rPr>
              <w:t>Search terms</w:t>
            </w:r>
          </w:p>
        </w:tc>
        <w:tc>
          <w:tcPr>
            <w:tcW w:w="1227" w:type="dxa"/>
            <w:hideMark/>
          </w:tcPr>
          <w:p w14:paraId="030A4857" w14:textId="77777777" w:rsidR="00085F3B" w:rsidRPr="00BA50D2" w:rsidRDefault="00085F3B" w:rsidP="00085F3B">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BA50D2">
              <w:rPr>
                <w:rFonts w:ascii="Calibri" w:hAnsi="Calibri" w:cs="Calibri"/>
                <w:color w:val="2D2D2D"/>
                <w:sz w:val="20"/>
                <w:szCs w:val="20"/>
              </w:rPr>
              <w:t>Results</w:t>
            </w:r>
          </w:p>
        </w:tc>
      </w:tr>
      <w:tr w:rsidR="00085F3B" w:rsidRPr="00085F3B" w14:paraId="2013490F"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7903E91B"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1</w:t>
            </w:r>
          </w:p>
        </w:tc>
        <w:tc>
          <w:tcPr>
            <w:tcW w:w="5958" w:type="dxa"/>
            <w:hideMark/>
          </w:tcPr>
          <w:p w14:paraId="26129C7C"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Proton pump inhibitor$.tw.</w:t>
            </w:r>
          </w:p>
        </w:tc>
        <w:tc>
          <w:tcPr>
            <w:tcW w:w="1227" w:type="dxa"/>
            <w:hideMark/>
          </w:tcPr>
          <w:p w14:paraId="3309F546"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15682</w:t>
            </w:r>
          </w:p>
        </w:tc>
      </w:tr>
      <w:tr w:rsidR="00085F3B" w:rsidRPr="00085F3B" w14:paraId="7A385A1F"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1EE69AFE"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2</w:t>
            </w:r>
          </w:p>
        </w:tc>
        <w:tc>
          <w:tcPr>
            <w:tcW w:w="5958" w:type="dxa"/>
            <w:hideMark/>
          </w:tcPr>
          <w:p w14:paraId="0FD4D440"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Ppi$.tw.</w:t>
            </w:r>
          </w:p>
        </w:tc>
        <w:tc>
          <w:tcPr>
            <w:tcW w:w="1227" w:type="dxa"/>
            <w:hideMark/>
          </w:tcPr>
          <w:p w14:paraId="72DF43C9"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22015</w:t>
            </w:r>
          </w:p>
        </w:tc>
      </w:tr>
      <w:tr w:rsidR="00085F3B" w:rsidRPr="00085F3B" w14:paraId="1448B0C1"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5EE64AE0"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3</w:t>
            </w:r>
          </w:p>
        </w:tc>
        <w:tc>
          <w:tcPr>
            <w:tcW w:w="5958" w:type="dxa"/>
            <w:hideMark/>
          </w:tcPr>
          <w:p w14:paraId="43D357B4"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*proton pump inhibitor/</w:t>
            </w:r>
          </w:p>
        </w:tc>
        <w:tc>
          <w:tcPr>
            <w:tcW w:w="1227" w:type="dxa"/>
            <w:hideMark/>
          </w:tcPr>
          <w:p w14:paraId="1DD8768D"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6465</w:t>
            </w:r>
          </w:p>
        </w:tc>
      </w:tr>
      <w:tr w:rsidR="00085F3B" w:rsidRPr="00085F3B" w14:paraId="3B1E583E"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43B19210"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4</w:t>
            </w:r>
          </w:p>
        </w:tc>
        <w:tc>
          <w:tcPr>
            <w:tcW w:w="5958" w:type="dxa"/>
            <w:hideMark/>
          </w:tcPr>
          <w:p w14:paraId="0E3D4143"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Esomeprazole.tw.</w:t>
            </w:r>
          </w:p>
        </w:tc>
        <w:tc>
          <w:tcPr>
            <w:tcW w:w="1227" w:type="dxa"/>
            <w:hideMark/>
          </w:tcPr>
          <w:p w14:paraId="5EFD6BD3"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2064</w:t>
            </w:r>
          </w:p>
        </w:tc>
      </w:tr>
      <w:tr w:rsidR="00085F3B" w:rsidRPr="00085F3B" w14:paraId="5A55D841"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162C0D28"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5</w:t>
            </w:r>
          </w:p>
        </w:tc>
        <w:tc>
          <w:tcPr>
            <w:tcW w:w="5958" w:type="dxa"/>
            <w:hideMark/>
          </w:tcPr>
          <w:p w14:paraId="330167B6"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Pantoprazole.tw.</w:t>
            </w:r>
          </w:p>
        </w:tc>
        <w:tc>
          <w:tcPr>
            <w:tcW w:w="1227" w:type="dxa"/>
            <w:hideMark/>
          </w:tcPr>
          <w:p w14:paraId="57F48316"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2307</w:t>
            </w:r>
          </w:p>
        </w:tc>
      </w:tr>
      <w:tr w:rsidR="00085F3B" w:rsidRPr="00085F3B" w14:paraId="566114A5"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2A5619B8"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6</w:t>
            </w:r>
          </w:p>
        </w:tc>
        <w:tc>
          <w:tcPr>
            <w:tcW w:w="5958" w:type="dxa"/>
            <w:hideMark/>
          </w:tcPr>
          <w:p w14:paraId="44257518"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Lansoprazole.tw.</w:t>
            </w:r>
          </w:p>
        </w:tc>
        <w:tc>
          <w:tcPr>
            <w:tcW w:w="1227" w:type="dxa"/>
            <w:hideMark/>
          </w:tcPr>
          <w:p w14:paraId="6C09FDF8"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2985</w:t>
            </w:r>
          </w:p>
        </w:tc>
      </w:tr>
      <w:tr w:rsidR="00085F3B" w:rsidRPr="00085F3B" w14:paraId="5E7418AA"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6561DA07"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7</w:t>
            </w:r>
          </w:p>
        </w:tc>
        <w:tc>
          <w:tcPr>
            <w:tcW w:w="5958" w:type="dxa"/>
            <w:hideMark/>
          </w:tcPr>
          <w:p w14:paraId="75F62172"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Omeprazole.tw.</w:t>
            </w:r>
          </w:p>
        </w:tc>
        <w:tc>
          <w:tcPr>
            <w:tcW w:w="1227" w:type="dxa"/>
            <w:hideMark/>
          </w:tcPr>
          <w:p w14:paraId="7E6E099F"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10010</w:t>
            </w:r>
          </w:p>
        </w:tc>
      </w:tr>
      <w:tr w:rsidR="00085F3B" w:rsidRPr="00085F3B" w14:paraId="1E510427"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26E30DFF"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8</w:t>
            </w:r>
          </w:p>
        </w:tc>
        <w:tc>
          <w:tcPr>
            <w:tcW w:w="5958" w:type="dxa"/>
            <w:hideMark/>
          </w:tcPr>
          <w:p w14:paraId="6F9CBA1D"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Rabeprazole.tw.</w:t>
            </w:r>
          </w:p>
        </w:tc>
        <w:tc>
          <w:tcPr>
            <w:tcW w:w="1227" w:type="dxa"/>
            <w:hideMark/>
          </w:tcPr>
          <w:p w14:paraId="6A9CD980"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1583</w:t>
            </w:r>
          </w:p>
        </w:tc>
      </w:tr>
      <w:tr w:rsidR="00085F3B" w:rsidRPr="00085F3B" w14:paraId="513ACCDD"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2519214A"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9</w:t>
            </w:r>
          </w:p>
        </w:tc>
        <w:tc>
          <w:tcPr>
            <w:tcW w:w="5958" w:type="dxa"/>
            <w:hideMark/>
          </w:tcPr>
          <w:p w14:paraId="501ED48C"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*Esomeprazole/</w:t>
            </w:r>
          </w:p>
        </w:tc>
        <w:tc>
          <w:tcPr>
            <w:tcW w:w="1227" w:type="dxa"/>
            <w:hideMark/>
          </w:tcPr>
          <w:p w14:paraId="49CCCF55"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1254</w:t>
            </w:r>
          </w:p>
        </w:tc>
      </w:tr>
      <w:tr w:rsidR="00085F3B" w:rsidRPr="00085F3B" w14:paraId="01DF5B6B"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57D22415"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10</w:t>
            </w:r>
          </w:p>
        </w:tc>
        <w:tc>
          <w:tcPr>
            <w:tcW w:w="5958" w:type="dxa"/>
            <w:hideMark/>
          </w:tcPr>
          <w:p w14:paraId="33BF25C0"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*Pantoprazole/</w:t>
            </w:r>
          </w:p>
        </w:tc>
        <w:tc>
          <w:tcPr>
            <w:tcW w:w="1227" w:type="dxa"/>
            <w:hideMark/>
          </w:tcPr>
          <w:p w14:paraId="471814B6"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1483</w:t>
            </w:r>
          </w:p>
        </w:tc>
      </w:tr>
      <w:tr w:rsidR="00085F3B" w:rsidRPr="00085F3B" w14:paraId="09DF0D07"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70C2CE6B"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11</w:t>
            </w:r>
          </w:p>
        </w:tc>
        <w:tc>
          <w:tcPr>
            <w:tcW w:w="5958" w:type="dxa"/>
            <w:hideMark/>
          </w:tcPr>
          <w:p w14:paraId="7C75C1B3"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*Lansoprazole/</w:t>
            </w:r>
          </w:p>
        </w:tc>
        <w:tc>
          <w:tcPr>
            <w:tcW w:w="1227" w:type="dxa"/>
            <w:hideMark/>
          </w:tcPr>
          <w:p w14:paraId="4C94F746"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2238</w:t>
            </w:r>
          </w:p>
        </w:tc>
      </w:tr>
      <w:tr w:rsidR="00085F3B" w:rsidRPr="00085F3B" w14:paraId="02F11834"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4D037BCA"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12</w:t>
            </w:r>
          </w:p>
        </w:tc>
        <w:tc>
          <w:tcPr>
            <w:tcW w:w="5958" w:type="dxa"/>
            <w:hideMark/>
          </w:tcPr>
          <w:p w14:paraId="19B0E1B5"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*omeprazole/</w:t>
            </w:r>
          </w:p>
        </w:tc>
        <w:tc>
          <w:tcPr>
            <w:tcW w:w="1227" w:type="dxa"/>
            <w:hideMark/>
          </w:tcPr>
          <w:p w14:paraId="31CF90C1"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8388</w:t>
            </w:r>
          </w:p>
        </w:tc>
      </w:tr>
      <w:tr w:rsidR="00085F3B" w:rsidRPr="00085F3B" w14:paraId="69C81C44"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763A3F6E"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13</w:t>
            </w:r>
          </w:p>
        </w:tc>
        <w:tc>
          <w:tcPr>
            <w:tcW w:w="5958" w:type="dxa"/>
            <w:hideMark/>
          </w:tcPr>
          <w:p w14:paraId="33A0562D"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*Rabeprazole/</w:t>
            </w:r>
          </w:p>
        </w:tc>
        <w:tc>
          <w:tcPr>
            <w:tcW w:w="1227" w:type="dxa"/>
            <w:hideMark/>
          </w:tcPr>
          <w:p w14:paraId="2916C674"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1115</w:t>
            </w:r>
          </w:p>
        </w:tc>
      </w:tr>
      <w:tr w:rsidR="00085F3B" w:rsidRPr="00085F3B" w14:paraId="0D889D18"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3CF14B86"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14</w:t>
            </w:r>
          </w:p>
        </w:tc>
        <w:tc>
          <w:tcPr>
            <w:tcW w:w="5958" w:type="dxa"/>
            <w:hideMark/>
          </w:tcPr>
          <w:p w14:paraId="0FEB1FF6"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or/1-13</w:t>
            </w:r>
          </w:p>
        </w:tc>
        <w:tc>
          <w:tcPr>
            <w:tcW w:w="1227" w:type="dxa"/>
            <w:hideMark/>
          </w:tcPr>
          <w:p w14:paraId="4A35D065"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45500</w:t>
            </w:r>
          </w:p>
        </w:tc>
      </w:tr>
      <w:tr w:rsidR="00085F3B" w:rsidRPr="00085F3B" w14:paraId="6B33AE5A"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4CFF527F"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15</w:t>
            </w:r>
          </w:p>
        </w:tc>
        <w:tc>
          <w:tcPr>
            <w:tcW w:w="5958" w:type="dxa"/>
            <w:hideMark/>
          </w:tcPr>
          <w:p w14:paraId="7A0CB57D"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myocardial infarction$.tw.</w:t>
            </w:r>
          </w:p>
        </w:tc>
        <w:tc>
          <w:tcPr>
            <w:tcW w:w="1227" w:type="dxa"/>
            <w:hideMark/>
          </w:tcPr>
          <w:p w14:paraId="549B7711"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195179</w:t>
            </w:r>
          </w:p>
        </w:tc>
      </w:tr>
      <w:tr w:rsidR="00085F3B" w:rsidRPr="00085F3B" w14:paraId="09991EA7"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38B4911B"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16</w:t>
            </w:r>
          </w:p>
        </w:tc>
        <w:tc>
          <w:tcPr>
            <w:tcW w:w="5958" w:type="dxa"/>
            <w:hideMark/>
          </w:tcPr>
          <w:p w14:paraId="022F8D8E"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heart infarction$.tw.</w:t>
            </w:r>
          </w:p>
        </w:tc>
        <w:tc>
          <w:tcPr>
            <w:tcW w:w="1227" w:type="dxa"/>
            <w:hideMark/>
          </w:tcPr>
          <w:p w14:paraId="755644C5"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977</w:t>
            </w:r>
          </w:p>
        </w:tc>
      </w:tr>
      <w:tr w:rsidR="00085F3B" w:rsidRPr="00085F3B" w14:paraId="44DE5E34"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5239920E"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17</w:t>
            </w:r>
          </w:p>
        </w:tc>
        <w:tc>
          <w:tcPr>
            <w:tcW w:w="5958" w:type="dxa"/>
            <w:hideMark/>
          </w:tcPr>
          <w:p w14:paraId="05A5156E"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heart attack$.tw.</w:t>
            </w:r>
          </w:p>
        </w:tc>
        <w:tc>
          <w:tcPr>
            <w:tcW w:w="1227" w:type="dxa"/>
            <w:hideMark/>
          </w:tcPr>
          <w:p w14:paraId="2933D77B"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5719</w:t>
            </w:r>
          </w:p>
        </w:tc>
      </w:tr>
      <w:tr w:rsidR="00085F3B" w:rsidRPr="00085F3B" w14:paraId="4112BDE6"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21D0C689"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18</w:t>
            </w:r>
          </w:p>
        </w:tc>
        <w:tc>
          <w:tcPr>
            <w:tcW w:w="5958" w:type="dxa"/>
            <w:hideMark/>
          </w:tcPr>
          <w:p w14:paraId="615D40D9"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heart infarction/</w:t>
            </w:r>
          </w:p>
        </w:tc>
        <w:tc>
          <w:tcPr>
            <w:tcW w:w="1227" w:type="dxa"/>
            <w:hideMark/>
          </w:tcPr>
          <w:p w14:paraId="518D9ED2"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217265</w:t>
            </w:r>
          </w:p>
        </w:tc>
      </w:tr>
      <w:tr w:rsidR="00085F3B" w:rsidRPr="00085F3B" w14:paraId="73B2B020"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070BF1B5"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19</w:t>
            </w:r>
          </w:p>
        </w:tc>
        <w:tc>
          <w:tcPr>
            <w:tcW w:w="5958" w:type="dxa"/>
            <w:hideMark/>
          </w:tcPr>
          <w:p w14:paraId="7044555D"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cerebrovascular accident$.tw.</w:t>
            </w:r>
          </w:p>
        </w:tc>
        <w:tc>
          <w:tcPr>
            <w:tcW w:w="1227" w:type="dxa"/>
            <w:hideMark/>
          </w:tcPr>
          <w:p w14:paraId="088BBBDD"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7478</w:t>
            </w:r>
          </w:p>
        </w:tc>
      </w:tr>
      <w:tr w:rsidR="00085F3B" w:rsidRPr="00085F3B" w14:paraId="03375EFC"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291BA739"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20</w:t>
            </w:r>
          </w:p>
        </w:tc>
        <w:tc>
          <w:tcPr>
            <w:tcW w:w="5958" w:type="dxa"/>
            <w:hideMark/>
          </w:tcPr>
          <w:p w14:paraId="24EB0941"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stroke$.tw.</w:t>
            </w:r>
          </w:p>
        </w:tc>
        <w:tc>
          <w:tcPr>
            <w:tcW w:w="1227" w:type="dxa"/>
            <w:hideMark/>
          </w:tcPr>
          <w:p w14:paraId="67CECA64"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251045</w:t>
            </w:r>
          </w:p>
        </w:tc>
      </w:tr>
      <w:tr w:rsidR="00085F3B" w:rsidRPr="00085F3B" w14:paraId="07C8B83F"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7E43984C"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21</w:t>
            </w:r>
          </w:p>
        </w:tc>
        <w:tc>
          <w:tcPr>
            <w:tcW w:w="5958" w:type="dxa"/>
            <w:hideMark/>
          </w:tcPr>
          <w:p w14:paraId="0236A901"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cerebrovascular accident/</w:t>
            </w:r>
          </w:p>
        </w:tc>
        <w:tc>
          <w:tcPr>
            <w:tcW w:w="1227" w:type="dxa"/>
            <w:hideMark/>
          </w:tcPr>
          <w:p w14:paraId="05FE4C7B"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111017</w:t>
            </w:r>
          </w:p>
        </w:tc>
      </w:tr>
      <w:tr w:rsidR="00085F3B" w:rsidRPr="00085F3B" w14:paraId="09D2973B"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3A50FDC7"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22</w:t>
            </w:r>
          </w:p>
        </w:tc>
        <w:tc>
          <w:tcPr>
            <w:tcW w:w="5958" w:type="dxa"/>
            <w:hideMark/>
          </w:tcPr>
          <w:p w14:paraId="50248F04"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mortality.tw.</w:t>
            </w:r>
          </w:p>
        </w:tc>
        <w:tc>
          <w:tcPr>
            <w:tcW w:w="1227" w:type="dxa"/>
            <w:hideMark/>
          </w:tcPr>
          <w:p w14:paraId="258F6997"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705132</w:t>
            </w:r>
          </w:p>
        </w:tc>
      </w:tr>
      <w:tr w:rsidR="00085F3B" w:rsidRPr="00085F3B" w14:paraId="75CA3C65"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6F006FF2"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23</w:t>
            </w:r>
          </w:p>
        </w:tc>
        <w:tc>
          <w:tcPr>
            <w:tcW w:w="5958" w:type="dxa"/>
            <w:hideMark/>
          </w:tcPr>
          <w:p w14:paraId="7ED39BFC"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mortality/</w:t>
            </w:r>
          </w:p>
        </w:tc>
        <w:tc>
          <w:tcPr>
            <w:tcW w:w="1227" w:type="dxa"/>
            <w:hideMark/>
          </w:tcPr>
          <w:p w14:paraId="1714032B"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594725</w:t>
            </w:r>
          </w:p>
        </w:tc>
      </w:tr>
      <w:tr w:rsidR="00085F3B" w:rsidRPr="00085F3B" w14:paraId="074D9F5E"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6A7BDC3C"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24</w:t>
            </w:r>
          </w:p>
        </w:tc>
        <w:tc>
          <w:tcPr>
            <w:tcW w:w="5958" w:type="dxa"/>
            <w:hideMark/>
          </w:tcPr>
          <w:p w14:paraId="2CBCD937"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death$.tw.</w:t>
            </w:r>
          </w:p>
        </w:tc>
        <w:tc>
          <w:tcPr>
            <w:tcW w:w="1227" w:type="dxa"/>
            <w:hideMark/>
          </w:tcPr>
          <w:p w14:paraId="63E5F0A4"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776905</w:t>
            </w:r>
          </w:p>
        </w:tc>
      </w:tr>
      <w:tr w:rsidR="00085F3B" w:rsidRPr="00085F3B" w14:paraId="683DBFA5"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47E7A02E"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25</w:t>
            </w:r>
          </w:p>
        </w:tc>
        <w:tc>
          <w:tcPr>
            <w:tcW w:w="5958" w:type="dxa"/>
            <w:hideMark/>
          </w:tcPr>
          <w:p w14:paraId="1BF8E60C"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death/</w:t>
            </w:r>
          </w:p>
        </w:tc>
        <w:tc>
          <w:tcPr>
            <w:tcW w:w="1227" w:type="dxa"/>
            <w:hideMark/>
          </w:tcPr>
          <w:p w14:paraId="369E0BF6"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182715</w:t>
            </w:r>
          </w:p>
        </w:tc>
      </w:tr>
      <w:tr w:rsidR="00085F3B" w:rsidRPr="00085F3B" w14:paraId="2B4F639D"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23EE10A2"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26</w:t>
            </w:r>
          </w:p>
        </w:tc>
        <w:tc>
          <w:tcPr>
            <w:tcW w:w="5958" w:type="dxa"/>
            <w:hideMark/>
          </w:tcPr>
          <w:p w14:paraId="7F00DBB5"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cardiovascular mortality/</w:t>
            </w:r>
          </w:p>
        </w:tc>
        <w:tc>
          <w:tcPr>
            <w:tcW w:w="1227" w:type="dxa"/>
            <w:hideMark/>
          </w:tcPr>
          <w:p w14:paraId="5EF9AC2F"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16475</w:t>
            </w:r>
          </w:p>
        </w:tc>
      </w:tr>
      <w:tr w:rsidR="00085F3B" w:rsidRPr="00085F3B" w14:paraId="5CFEDD05"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1FAD3E07"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27</w:t>
            </w:r>
          </w:p>
        </w:tc>
        <w:tc>
          <w:tcPr>
            <w:tcW w:w="5958" w:type="dxa"/>
            <w:hideMark/>
          </w:tcPr>
          <w:p w14:paraId="54314AAA"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or/15-26</w:t>
            </w:r>
          </w:p>
        </w:tc>
        <w:tc>
          <w:tcPr>
            <w:tcW w:w="1227" w:type="dxa"/>
            <w:hideMark/>
          </w:tcPr>
          <w:p w14:paraId="020A3779"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1921157</w:t>
            </w:r>
          </w:p>
        </w:tc>
      </w:tr>
      <w:tr w:rsidR="00085F3B" w:rsidRPr="00085F3B" w14:paraId="579774BE"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3871EE46"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28</w:t>
            </w:r>
          </w:p>
        </w:tc>
        <w:tc>
          <w:tcPr>
            <w:tcW w:w="5958" w:type="dxa"/>
            <w:hideMark/>
          </w:tcPr>
          <w:p w14:paraId="05CEBBAA"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14 and 27</w:t>
            </w:r>
          </w:p>
        </w:tc>
        <w:tc>
          <w:tcPr>
            <w:tcW w:w="1227" w:type="dxa"/>
            <w:hideMark/>
          </w:tcPr>
          <w:p w14:paraId="67022021"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3260</w:t>
            </w:r>
          </w:p>
        </w:tc>
      </w:tr>
      <w:tr w:rsidR="00085F3B" w:rsidRPr="00085F3B" w14:paraId="6899BFAF"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6866864C"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29</w:t>
            </w:r>
          </w:p>
        </w:tc>
        <w:tc>
          <w:tcPr>
            <w:tcW w:w="5958" w:type="dxa"/>
            <w:hideMark/>
          </w:tcPr>
          <w:p w14:paraId="403AF351" w14:textId="440DC1F5" w:rsidR="00085F3B" w:rsidRPr="00085F3B" w:rsidRDefault="00D446D6"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Pr>
                <w:rFonts w:ascii="Calibri" w:hAnsi="Calibri" w:cs="Calibri"/>
                <w:color w:val="2D2D2D"/>
                <w:sz w:val="20"/>
                <w:szCs w:val="20"/>
              </w:rPr>
              <w:t>limit 28 to (human and E</w:t>
            </w:r>
            <w:r w:rsidR="00085F3B" w:rsidRPr="00085F3B">
              <w:rPr>
                <w:rFonts w:ascii="Calibri" w:hAnsi="Calibri" w:cs="Calibri"/>
                <w:color w:val="2D2D2D"/>
                <w:sz w:val="20"/>
                <w:szCs w:val="20"/>
              </w:rPr>
              <w:t>nglish language)</w:t>
            </w:r>
          </w:p>
        </w:tc>
        <w:tc>
          <w:tcPr>
            <w:tcW w:w="1227" w:type="dxa"/>
            <w:hideMark/>
          </w:tcPr>
          <w:p w14:paraId="30953EDF"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2519</w:t>
            </w:r>
          </w:p>
        </w:tc>
      </w:tr>
      <w:tr w:rsidR="00085F3B" w:rsidRPr="00085F3B" w14:paraId="432346C5"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6D5B9222"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30</w:t>
            </w:r>
          </w:p>
        </w:tc>
        <w:tc>
          <w:tcPr>
            <w:tcW w:w="5958" w:type="dxa"/>
            <w:hideMark/>
          </w:tcPr>
          <w:p w14:paraId="6D022254"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Clinical trial/</w:t>
            </w:r>
          </w:p>
        </w:tc>
        <w:tc>
          <w:tcPr>
            <w:tcW w:w="1227" w:type="dxa"/>
            <w:hideMark/>
          </w:tcPr>
          <w:p w14:paraId="05EBD3A6"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852915</w:t>
            </w:r>
          </w:p>
        </w:tc>
      </w:tr>
      <w:tr w:rsidR="00085F3B" w:rsidRPr="00085F3B" w14:paraId="3E445F05"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3B5EC7A3"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31</w:t>
            </w:r>
          </w:p>
        </w:tc>
        <w:tc>
          <w:tcPr>
            <w:tcW w:w="5958" w:type="dxa"/>
            <w:hideMark/>
          </w:tcPr>
          <w:p w14:paraId="3E1D8A69"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Randomized controlled trial/</w:t>
            </w:r>
          </w:p>
        </w:tc>
        <w:tc>
          <w:tcPr>
            <w:tcW w:w="1227" w:type="dxa"/>
            <w:hideMark/>
          </w:tcPr>
          <w:p w14:paraId="0E53C1F4"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388215</w:t>
            </w:r>
          </w:p>
        </w:tc>
      </w:tr>
      <w:tr w:rsidR="00085F3B" w:rsidRPr="00085F3B" w14:paraId="42631BDC"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5FFE1131"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32</w:t>
            </w:r>
          </w:p>
        </w:tc>
        <w:tc>
          <w:tcPr>
            <w:tcW w:w="5958" w:type="dxa"/>
            <w:hideMark/>
          </w:tcPr>
          <w:p w14:paraId="30E65E7E"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Randomization/</w:t>
            </w:r>
          </w:p>
        </w:tc>
        <w:tc>
          <w:tcPr>
            <w:tcW w:w="1227" w:type="dxa"/>
            <w:hideMark/>
          </w:tcPr>
          <w:p w14:paraId="10C3CB83"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68660</w:t>
            </w:r>
          </w:p>
        </w:tc>
      </w:tr>
      <w:tr w:rsidR="00085F3B" w:rsidRPr="00085F3B" w14:paraId="0444E5D4"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6F309465"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33</w:t>
            </w:r>
          </w:p>
        </w:tc>
        <w:tc>
          <w:tcPr>
            <w:tcW w:w="5958" w:type="dxa"/>
            <w:hideMark/>
          </w:tcPr>
          <w:p w14:paraId="35B9DFDA"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Single blind procedure/</w:t>
            </w:r>
          </w:p>
        </w:tc>
        <w:tc>
          <w:tcPr>
            <w:tcW w:w="1227" w:type="dxa"/>
            <w:hideMark/>
          </w:tcPr>
          <w:p w14:paraId="36CD7D18"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21256</w:t>
            </w:r>
          </w:p>
        </w:tc>
      </w:tr>
      <w:tr w:rsidR="00085F3B" w:rsidRPr="00085F3B" w14:paraId="7E5558FE"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62319CE7"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34</w:t>
            </w:r>
          </w:p>
        </w:tc>
        <w:tc>
          <w:tcPr>
            <w:tcW w:w="5958" w:type="dxa"/>
            <w:hideMark/>
          </w:tcPr>
          <w:p w14:paraId="245D2E2D"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Double blind procedure/</w:t>
            </w:r>
          </w:p>
        </w:tc>
        <w:tc>
          <w:tcPr>
            <w:tcW w:w="1227" w:type="dxa"/>
            <w:hideMark/>
          </w:tcPr>
          <w:p w14:paraId="25C1292D"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124707</w:t>
            </w:r>
          </w:p>
        </w:tc>
      </w:tr>
      <w:tr w:rsidR="00085F3B" w:rsidRPr="00085F3B" w14:paraId="544DE5B3"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2B440A93"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35</w:t>
            </w:r>
          </w:p>
        </w:tc>
        <w:tc>
          <w:tcPr>
            <w:tcW w:w="5958" w:type="dxa"/>
            <w:hideMark/>
          </w:tcPr>
          <w:p w14:paraId="6C567E72"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Crossover procedure/</w:t>
            </w:r>
          </w:p>
        </w:tc>
        <w:tc>
          <w:tcPr>
            <w:tcW w:w="1227" w:type="dxa"/>
            <w:hideMark/>
          </w:tcPr>
          <w:p w14:paraId="4D3DBB79"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45093</w:t>
            </w:r>
          </w:p>
        </w:tc>
      </w:tr>
      <w:tr w:rsidR="00085F3B" w:rsidRPr="00085F3B" w14:paraId="6A2FDE27"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4B71EE93"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36</w:t>
            </w:r>
          </w:p>
        </w:tc>
        <w:tc>
          <w:tcPr>
            <w:tcW w:w="5958" w:type="dxa"/>
            <w:hideMark/>
          </w:tcPr>
          <w:p w14:paraId="6CDA627A"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Placebo/</w:t>
            </w:r>
          </w:p>
        </w:tc>
        <w:tc>
          <w:tcPr>
            <w:tcW w:w="1227" w:type="dxa"/>
            <w:hideMark/>
          </w:tcPr>
          <w:p w14:paraId="1100E3CD"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266122</w:t>
            </w:r>
          </w:p>
        </w:tc>
      </w:tr>
      <w:tr w:rsidR="00085F3B" w:rsidRPr="00085F3B" w14:paraId="0D668479"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496A5E3A"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37</w:t>
            </w:r>
          </w:p>
        </w:tc>
        <w:tc>
          <w:tcPr>
            <w:tcW w:w="5958" w:type="dxa"/>
            <w:hideMark/>
          </w:tcPr>
          <w:p w14:paraId="10ADABAB"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Randomi?ed controlled trial$.tw.</w:t>
            </w:r>
          </w:p>
        </w:tc>
        <w:tc>
          <w:tcPr>
            <w:tcW w:w="1227" w:type="dxa"/>
            <w:hideMark/>
          </w:tcPr>
          <w:p w14:paraId="719F755E"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126586</w:t>
            </w:r>
          </w:p>
        </w:tc>
      </w:tr>
      <w:tr w:rsidR="00085F3B" w:rsidRPr="00085F3B" w14:paraId="5D336464"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30F4CA09"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38</w:t>
            </w:r>
          </w:p>
        </w:tc>
        <w:tc>
          <w:tcPr>
            <w:tcW w:w="5958" w:type="dxa"/>
            <w:hideMark/>
          </w:tcPr>
          <w:p w14:paraId="39F777F6"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Rct.tw.</w:t>
            </w:r>
          </w:p>
        </w:tc>
        <w:tc>
          <w:tcPr>
            <w:tcW w:w="1227" w:type="dxa"/>
            <w:hideMark/>
          </w:tcPr>
          <w:p w14:paraId="65C1F726"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18750</w:t>
            </w:r>
          </w:p>
        </w:tc>
      </w:tr>
      <w:tr w:rsidR="00085F3B" w:rsidRPr="00085F3B" w14:paraId="3F2B5BE6"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179F2646"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39</w:t>
            </w:r>
          </w:p>
        </w:tc>
        <w:tc>
          <w:tcPr>
            <w:tcW w:w="5958" w:type="dxa"/>
            <w:hideMark/>
          </w:tcPr>
          <w:p w14:paraId="4F8C0C04"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Random allocation.tw.</w:t>
            </w:r>
          </w:p>
        </w:tc>
        <w:tc>
          <w:tcPr>
            <w:tcW w:w="1227" w:type="dxa"/>
            <w:hideMark/>
          </w:tcPr>
          <w:p w14:paraId="4AB5E552"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1466</w:t>
            </w:r>
          </w:p>
        </w:tc>
      </w:tr>
      <w:tr w:rsidR="00085F3B" w:rsidRPr="00085F3B" w14:paraId="215887C0"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7D71499D"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40</w:t>
            </w:r>
          </w:p>
        </w:tc>
        <w:tc>
          <w:tcPr>
            <w:tcW w:w="5958" w:type="dxa"/>
            <w:hideMark/>
          </w:tcPr>
          <w:p w14:paraId="7E21FBAD"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Allocated randomly.tw.</w:t>
            </w:r>
          </w:p>
        </w:tc>
        <w:tc>
          <w:tcPr>
            <w:tcW w:w="1227" w:type="dxa"/>
            <w:hideMark/>
          </w:tcPr>
          <w:p w14:paraId="78C10E8F"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2073</w:t>
            </w:r>
          </w:p>
        </w:tc>
      </w:tr>
      <w:tr w:rsidR="00085F3B" w:rsidRPr="00085F3B" w14:paraId="78989573"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5C5C97B5"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41</w:t>
            </w:r>
          </w:p>
        </w:tc>
        <w:tc>
          <w:tcPr>
            <w:tcW w:w="5958" w:type="dxa"/>
            <w:hideMark/>
          </w:tcPr>
          <w:p w14:paraId="6734D51E"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Randomly allocated.tw.</w:t>
            </w:r>
          </w:p>
        </w:tc>
        <w:tc>
          <w:tcPr>
            <w:tcW w:w="1227" w:type="dxa"/>
            <w:hideMark/>
          </w:tcPr>
          <w:p w14:paraId="70E0BBFC"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23605</w:t>
            </w:r>
          </w:p>
        </w:tc>
      </w:tr>
      <w:tr w:rsidR="00085F3B" w:rsidRPr="00085F3B" w14:paraId="0B86F637"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10AA53FE"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42</w:t>
            </w:r>
          </w:p>
        </w:tc>
        <w:tc>
          <w:tcPr>
            <w:tcW w:w="5958" w:type="dxa"/>
            <w:hideMark/>
          </w:tcPr>
          <w:p w14:paraId="7164EA72"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(allocated adj2 random).tw.</w:t>
            </w:r>
          </w:p>
        </w:tc>
        <w:tc>
          <w:tcPr>
            <w:tcW w:w="1227" w:type="dxa"/>
            <w:hideMark/>
          </w:tcPr>
          <w:p w14:paraId="478319F0"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741</w:t>
            </w:r>
          </w:p>
        </w:tc>
      </w:tr>
      <w:tr w:rsidR="00085F3B" w:rsidRPr="00085F3B" w14:paraId="5418A31D"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53A05048"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43</w:t>
            </w:r>
          </w:p>
        </w:tc>
        <w:tc>
          <w:tcPr>
            <w:tcW w:w="5958" w:type="dxa"/>
            <w:hideMark/>
          </w:tcPr>
          <w:p w14:paraId="4834ABC1"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Single blind$.tw.</w:t>
            </w:r>
          </w:p>
        </w:tc>
        <w:tc>
          <w:tcPr>
            <w:tcW w:w="1227" w:type="dxa"/>
            <w:hideMark/>
          </w:tcPr>
          <w:p w14:paraId="27ADDD89"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16593</w:t>
            </w:r>
          </w:p>
        </w:tc>
      </w:tr>
      <w:tr w:rsidR="00085F3B" w:rsidRPr="00085F3B" w14:paraId="5FC83B28"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50368147"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44</w:t>
            </w:r>
          </w:p>
        </w:tc>
        <w:tc>
          <w:tcPr>
            <w:tcW w:w="5958" w:type="dxa"/>
            <w:hideMark/>
          </w:tcPr>
          <w:p w14:paraId="560A504A"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Double blind$.tw.</w:t>
            </w:r>
          </w:p>
        </w:tc>
        <w:tc>
          <w:tcPr>
            <w:tcW w:w="1227" w:type="dxa"/>
            <w:hideMark/>
          </w:tcPr>
          <w:p w14:paraId="64B71C5E"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156454</w:t>
            </w:r>
          </w:p>
        </w:tc>
      </w:tr>
      <w:tr w:rsidR="00085F3B" w:rsidRPr="00085F3B" w14:paraId="5173ECC0"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1F9254C9"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45</w:t>
            </w:r>
          </w:p>
        </w:tc>
        <w:tc>
          <w:tcPr>
            <w:tcW w:w="5958" w:type="dxa"/>
            <w:hideMark/>
          </w:tcPr>
          <w:p w14:paraId="4BCB6209"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((treble or triple) adj blind$).tw.</w:t>
            </w:r>
          </w:p>
        </w:tc>
        <w:tc>
          <w:tcPr>
            <w:tcW w:w="1227" w:type="dxa"/>
            <w:hideMark/>
          </w:tcPr>
          <w:p w14:paraId="547CC3E4"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502</w:t>
            </w:r>
          </w:p>
        </w:tc>
      </w:tr>
      <w:tr w:rsidR="00085F3B" w:rsidRPr="00085F3B" w14:paraId="776C426E"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674E634E"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lastRenderedPageBreak/>
              <w:t>46</w:t>
            </w:r>
          </w:p>
        </w:tc>
        <w:tc>
          <w:tcPr>
            <w:tcW w:w="5958" w:type="dxa"/>
            <w:hideMark/>
          </w:tcPr>
          <w:p w14:paraId="45449435"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Placebo$.tw.</w:t>
            </w:r>
          </w:p>
        </w:tc>
        <w:tc>
          <w:tcPr>
            <w:tcW w:w="1227" w:type="dxa"/>
            <w:hideMark/>
          </w:tcPr>
          <w:p w14:paraId="72F68C2B"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223606</w:t>
            </w:r>
          </w:p>
        </w:tc>
      </w:tr>
      <w:tr w:rsidR="00085F3B" w:rsidRPr="00085F3B" w14:paraId="210296F8"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0F3D7D0F"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47</w:t>
            </w:r>
          </w:p>
        </w:tc>
        <w:tc>
          <w:tcPr>
            <w:tcW w:w="5958" w:type="dxa"/>
            <w:hideMark/>
          </w:tcPr>
          <w:p w14:paraId="44F36F1B"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Prospective study/</w:t>
            </w:r>
          </w:p>
        </w:tc>
        <w:tc>
          <w:tcPr>
            <w:tcW w:w="1227" w:type="dxa"/>
            <w:hideMark/>
          </w:tcPr>
          <w:p w14:paraId="49FA43A9"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313531</w:t>
            </w:r>
          </w:p>
        </w:tc>
      </w:tr>
      <w:tr w:rsidR="00085F3B" w:rsidRPr="00085F3B" w14:paraId="552B99CD"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7B666322"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48</w:t>
            </w:r>
          </w:p>
        </w:tc>
        <w:tc>
          <w:tcPr>
            <w:tcW w:w="5958" w:type="dxa"/>
            <w:hideMark/>
          </w:tcPr>
          <w:p w14:paraId="21F614A7"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or/30-47</w:t>
            </w:r>
          </w:p>
        </w:tc>
        <w:tc>
          <w:tcPr>
            <w:tcW w:w="1227" w:type="dxa"/>
            <w:hideMark/>
          </w:tcPr>
          <w:p w14:paraId="78830389"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1520035</w:t>
            </w:r>
          </w:p>
        </w:tc>
      </w:tr>
      <w:tr w:rsidR="00085F3B" w:rsidRPr="00085F3B" w14:paraId="26C5DAEE"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04B83135"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49</w:t>
            </w:r>
          </w:p>
        </w:tc>
        <w:tc>
          <w:tcPr>
            <w:tcW w:w="5958" w:type="dxa"/>
            <w:hideMark/>
          </w:tcPr>
          <w:p w14:paraId="294468AA"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Case study/</w:t>
            </w:r>
          </w:p>
        </w:tc>
        <w:tc>
          <w:tcPr>
            <w:tcW w:w="1227" w:type="dxa"/>
            <w:hideMark/>
          </w:tcPr>
          <w:p w14:paraId="40701441"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34656</w:t>
            </w:r>
          </w:p>
        </w:tc>
      </w:tr>
      <w:tr w:rsidR="00085F3B" w:rsidRPr="00085F3B" w14:paraId="3D4240D2"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0F6CA3B9"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50</w:t>
            </w:r>
          </w:p>
        </w:tc>
        <w:tc>
          <w:tcPr>
            <w:tcW w:w="5958" w:type="dxa"/>
            <w:hideMark/>
          </w:tcPr>
          <w:p w14:paraId="55D199B7"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Case report.tw.</w:t>
            </w:r>
          </w:p>
        </w:tc>
        <w:tc>
          <w:tcPr>
            <w:tcW w:w="1227" w:type="dxa"/>
            <w:hideMark/>
          </w:tcPr>
          <w:p w14:paraId="6502F372"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294365</w:t>
            </w:r>
          </w:p>
        </w:tc>
      </w:tr>
      <w:tr w:rsidR="00085F3B" w:rsidRPr="00085F3B" w14:paraId="6E6D5FCA"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31BD7B0D"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51</w:t>
            </w:r>
          </w:p>
        </w:tc>
        <w:tc>
          <w:tcPr>
            <w:tcW w:w="5958" w:type="dxa"/>
            <w:hideMark/>
          </w:tcPr>
          <w:p w14:paraId="4D26757E"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Abstract report/ or letter/</w:t>
            </w:r>
          </w:p>
        </w:tc>
        <w:tc>
          <w:tcPr>
            <w:tcW w:w="1227" w:type="dxa"/>
            <w:hideMark/>
          </w:tcPr>
          <w:p w14:paraId="57763F75"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944138</w:t>
            </w:r>
          </w:p>
        </w:tc>
      </w:tr>
      <w:tr w:rsidR="00085F3B" w:rsidRPr="00085F3B" w14:paraId="6782968E"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7500C4FC"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52</w:t>
            </w:r>
          </w:p>
        </w:tc>
        <w:tc>
          <w:tcPr>
            <w:tcW w:w="5958" w:type="dxa"/>
            <w:hideMark/>
          </w:tcPr>
          <w:p w14:paraId="3991FA73"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or/49-51</w:t>
            </w:r>
          </w:p>
        </w:tc>
        <w:tc>
          <w:tcPr>
            <w:tcW w:w="1227" w:type="dxa"/>
            <w:hideMark/>
          </w:tcPr>
          <w:p w14:paraId="3041CDD8"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1266554</w:t>
            </w:r>
          </w:p>
        </w:tc>
      </w:tr>
      <w:tr w:rsidR="00085F3B" w:rsidRPr="00085F3B" w14:paraId="32718277"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17D6C38B"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53</w:t>
            </w:r>
          </w:p>
        </w:tc>
        <w:tc>
          <w:tcPr>
            <w:tcW w:w="5958" w:type="dxa"/>
            <w:hideMark/>
          </w:tcPr>
          <w:p w14:paraId="25186BF0"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48 not 52</w:t>
            </w:r>
          </w:p>
        </w:tc>
        <w:tc>
          <w:tcPr>
            <w:tcW w:w="1227" w:type="dxa"/>
            <w:hideMark/>
          </w:tcPr>
          <w:p w14:paraId="34F191C2"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1479906</w:t>
            </w:r>
          </w:p>
        </w:tc>
      </w:tr>
      <w:tr w:rsidR="00085F3B" w:rsidRPr="00085F3B" w14:paraId="08C17949"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47A6D18B"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54</w:t>
            </w:r>
          </w:p>
        </w:tc>
        <w:tc>
          <w:tcPr>
            <w:tcW w:w="5958" w:type="dxa"/>
            <w:hideMark/>
          </w:tcPr>
          <w:p w14:paraId="65C191D1"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Clinical study/</w:t>
            </w:r>
          </w:p>
        </w:tc>
        <w:tc>
          <w:tcPr>
            <w:tcW w:w="1227" w:type="dxa"/>
            <w:hideMark/>
          </w:tcPr>
          <w:p w14:paraId="4E03F456"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71067</w:t>
            </w:r>
          </w:p>
        </w:tc>
      </w:tr>
      <w:tr w:rsidR="00085F3B" w:rsidRPr="00085F3B" w14:paraId="1653CBA5"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0156AA88"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55</w:t>
            </w:r>
          </w:p>
        </w:tc>
        <w:tc>
          <w:tcPr>
            <w:tcW w:w="5958" w:type="dxa"/>
            <w:hideMark/>
          </w:tcPr>
          <w:p w14:paraId="74D8E20B"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case control study/</w:t>
            </w:r>
          </w:p>
        </w:tc>
        <w:tc>
          <w:tcPr>
            <w:tcW w:w="1227" w:type="dxa"/>
            <w:hideMark/>
          </w:tcPr>
          <w:p w14:paraId="3F64BA81"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99837</w:t>
            </w:r>
          </w:p>
        </w:tc>
      </w:tr>
      <w:tr w:rsidR="00085F3B" w:rsidRPr="00085F3B" w14:paraId="2577E187"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27B8382F"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56</w:t>
            </w:r>
          </w:p>
        </w:tc>
        <w:tc>
          <w:tcPr>
            <w:tcW w:w="5958" w:type="dxa"/>
            <w:hideMark/>
          </w:tcPr>
          <w:p w14:paraId="6150223D"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Family study/</w:t>
            </w:r>
          </w:p>
        </w:tc>
        <w:tc>
          <w:tcPr>
            <w:tcW w:w="1227" w:type="dxa"/>
            <w:hideMark/>
          </w:tcPr>
          <w:p w14:paraId="5A3E5CB8"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10950</w:t>
            </w:r>
          </w:p>
        </w:tc>
      </w:tr>
      <w:tr w:rsidR="00085F3B" w:rsidRPr="00085F3B" w14:paraId="52DDFB1D"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0313B3FD"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57</w:t>
            </w:r>
          </w:p>
        </w:tc>
        <w:tc>
          <w:tcPr>
            <w:tcW w:w="5958" w:type="dxa"/>
            <w:hideMark/>
          </w:tcPr>
          <w:p w14:paraId="25ECB060"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Longitudinal study/</w:t>
            </w:r>
          </w:p>
        </w:tc>
        <w:tc>
          <w:tcPr>
            <w:tcW w:w="1227" w:type="dxa"/>
            <w:hideMark/>
          </w:tcPr>
          <w:p w14:paraId="043726F3"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82996</w:t>
            </w:r>
          </w:p>
        </w:tc>
      </w:tr>
      <w:tr w:rsidR="00085F3B" w:rsidRPr="00085F3B" w14:paraId="50C8E4E8"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28F76246"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58</w:t>
            </w:r>
          </w:p>
        </w:tc>
        <w:tc>
          <w:tcPr>
            <w:tcW w:w="5958" w:type="dxa"/>
            <w:hideMark/>
          </w:tcPr>
          <w:p w14:paraId="3581EFFF"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Retrospective study/</w:t>
            </w:r>
          </w:p>
        </w:tc>
        <w:tc>
          <w:tcPr>
            <w:tcW w:w="1227" w:type="dxa"/>
            <w:hideMark/>
          </w:tcPr>
          <w:p w14:paraId="54E0D7F0"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435645</w:t>
            </w:r>
          </w:p>
        </w:tc>
      </w:tr>
      <w:tr w:rsidR="00085F3B" w:rsidRPr="00085F3B" w14:paraId="2203E55C"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46028680"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59</w:t>
            </w:r>
          </w:p>
        </w:tc>
        <w:tc>
          <w:tcPr>
            <w:tcW w:w="5958" w:type="dxa"/>
            <w:hideMark/>
          </w:tcPr>
          <w:p w14:paraId="69EEBDC1"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Prospective study/</w:t>
            </w:r>
          </w:p>
        </w:tc>
        <w:tc>
          <w:tcPr>
            <w:tcW w:w="1227" w:type="dxa"/>
            <w:hideMark/>
          </w:tcPr>
          <w:p w14:paraId="06F28C7A"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313531</w:t>
            </w:r>
          </w:p>
        </w:tc>
      </w:tr>
      <w:tr w:rsidR="00085F3B" w:rsidRPr="00085F3B" w14:paraId="2082D609"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0A82C760"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60</w:t>
            </w:r>
          </w:p>
        </w:tc>
        <w:tc>
          <w:tcPr>
            <w:tcW w:w="5958" w:type="dxa"/>
            <w:hideMark/>
          </w:tcPr>
          <w:p w14:paraId="56277641"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Randomized controlled trials/</w:t>
            </w:r>
          </w:p>
        </w:tc>
        <w:tc>
          <w:tcPr>
            <w:tcW w:w="1227" w:type="dxa"/>
            <w:hideMark/>
          </w:tcPr>
          <w:p w14:paraId="42F08749"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86770</w:t>
            </w:r>
          </w:p>
        </w:tc>
      </w:tr>
      <w:tr w:rsidR="00085F3B" w:rsidRPr="00085F3B" w14:paraId="04241522"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5659DAEE"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61</w:t>
            </w:r>
          </w:p>
        </w:tc>
        <w:tc>
          <w:tcPr>
            <w:tcW w:w="5958" w:type="dxa"/>
            <w:hideMark/>
          </w:tcPr>
          <w:p w14:paraId="5030B720"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59 not 60</w:t>
            </w:r>
          </w:p>
        </w:tc>
        <w:tc>
          <w:tcPr>
            <w:tcW w:w="1227" w:type="dxa"/>
            <w:hideMark/>
          </w:tcPr>
          <w:p w14:paraId="77EE1838"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311111</w:t>
            </w:r>
          </w:p>
        </w:tc>
      </w:tr>
      <w:tr w:rsidR="00085F3B" w:rsidRPr="00085F3B" w14:paraId="709E6734"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774B6555"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62</w:t>
            </w:r>
          </w:p>
        </w:tc>
        <w:tc>
          <w:tcPr>
            <w:tcW w:w="5958" w:type="dxa"/>
            <w:hideMark/>
          </w:tcPr>
          <w:p w14:paraId="227B5F9F"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Cohort analysis/</w:t>
            </w:r>
          </w:p>
        </w:tc>
        <w:tc>
          <w:tcPr>
            <w:tcW w:w="1227" w:type="dxa"/>
            <w:hideMark/>
          </w:tcPr>
          <w:p w14:paraId="72102668"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222382</w:t>
            </w:r>
          </w:p>
        </w:tc>
      </w:tr>
      <w:tr w:rsidR="00085F3B" w:rsidRPr="00085F3B" w14:paraId="7B418A98"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07EA26D0"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63</w:t>
            </w:r>
          </w:p>
        </w:tc>
        <w:tc>
          <w:tcPr>
            <w:tcW w:w="5958" w:type="dxa"/>
            <w:hideMark/>
          </w:tcPr>
          <w:p w14:paraId="3CDFA2D9"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(Cohort adj (study or studies)).mp.</w:t>
            </w:r>
          </w:p>
        </w:tc>
        <w:tc>
          <w:tcPr>
            <w:tcW w:w="1227" w:type="dxa"/>
            <w:hideMark/>
          </w:tcPr>
          <w:p w14:paraId="6A773BE4"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151743</w:t>
            </w:r>
          </w:p>
        </w:tc>
      </w:tr>
      <w:tr w:rsidR="00085F3B" w:rsidRPr="00085F3B" w14:paraId="556EF937"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1C6ED139"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64</w:t>
            </w:r>
          </w:p>
        </w:tc>
        <w:tc>
          <w:tcPr>
            <w:tcW w:w="5958" w:type="dxa"/>
            <w:hideMark/>
          </w:tcPr>
          <w:p w14:paraId="625D2FAD"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(Case control adj (study or studies)).tw.</w:t>
            </w:r>
          </w:p>
        </w:tc>
        <w:tc>
          <w:tcPr>
            <w:tcW w:w="1227" w:type="dxa"/>
            <w:hideMark/>
          </w:tcPr>
          <w:p w14:paraId="2BFAF3FD"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89202</w:t>
            </w:r>
          </w:p>
        </w:tc>
      </w:tr>
      <w:tr w:rsidR="00085F3B" w:rsidRPr="00085F3B" w14:paraId="364A791B"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1D5B97B0"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65</w:t>
            </w:r>
          </w:p>
        </w:tc>
        <w:tc>
          <w:tcPr>
            <w:tcW w:w="5958" w:type="dxa"/>
            <w:hideMark/>
          </w:tcPr>
          <w:p w14:paraId="5DD6F335"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(follow up adj (study or studies)).tw.</w:t>
            </w:r>
          </w:p>
        </w:tc>
        <w:tc>
          <w:tcPr>
            <w:tcW w:w="1227" w:type="dxa"/>
            <w:hideMark/>
          </w:tcPr>
          <w:p w14:paraId="1A3D21E8"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48109</w:t>
            </w:r>
          </w:p>
        </w:tc>
      </w:tr>
      <w:tr w:rsidR="00085F3B" w:rsidRPr="00085F3B" w14:paraId="11C87A7C"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6214C0A5"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66</w:t>
            </w:r>
          </w:p>
        </w:tc>
        <w:tc>
          <w:tcPr>
            <w:tcW w:w="5958" w:type="dxa"/>
            <w:hideMark/>
          </w:tcPr>
          <w:p w14:paraId="512F70DA"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(observational adj (study or studies)).tw.</w:t>
            </w:r>
          </w:p>
        </w:tc>
        <w:tc>
          <w:tcPr>
            <w:tcW w:w="1227" w:type="dxa"/>
            <w:hideMark/>
          </w:tcPr>
          <w:p w14:paraId="24093F27"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83399</w:t>
            </w:r>
          </w:p>
        </w:tc>
      </w:tr>
      <w:tr w:rsidR="00085F3B" w:rsidRPr="00085F3B" w14:paraId="7FDFF2B4"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530FAD2E"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67</w:t>
            </w:r>
          </w:p>
        </w:tc>
        <w:tc>
          <w:tcPr>
            <w:tcW w:w="5958" w:type="dxa"/>
            <w:hideMark/>
          </w:tcPr>
          <w:p w14:paraId="1B739827"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(epidemiologic$ adj (study or studies)).tw.</w:t>
            </w:r>
          </w:p>
        </w:tc>
        <w:tc>
          <w:tcPr>
            <w:tcW w:w="1227" w:type="dxa"/>
            <w:hideMark/>
          </w:tcPr>
          <w:p w14:paraId="3CA0CCDC"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81050</w:t>
            </w:r>
          </w:p>
        </w:tc>
      </w:tr>
      <w:tr w:rsidR="00085F3B" w:rsidRPr="00085F3B" w14:paraId="36266640"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4D6EDAFA"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68</w:t>
            </w:r>
          </w:p>
        </w:tc>
        <w:tc>
          <w:tcPr>
            <w:tcW w:w="5958" w:type="dxa"/>
            <w:hideMark/>
          </w:tcPr>
          <w:p w14:paraId="30D37EC4"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(cross sectional adj (study or studies)).tw.</w:t>
            </w:r>
          </w:p>
        </w:tc>
        <w:tc>
          <w:tcPr>
            <w:tcW w:w="1227" w:type="dxa"/>
            <w:hideMark/>
          </w:tcPr>
          <w:p w14:paraId="3CB2E5CB"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110429</w:t>
            </w:r>
          </w:p>
        </w:tc>
      </w:tr>
      <w:tr w:rsidR="00085F3B" w:rsidRPr="00085F3B" w14:paraId="583CF296"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7A2D865B"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69</w:t>
            </w:r>
          </w:p>
        </w:tc>
        <w:tc>
          <w:tcPr>
            <w:tcW w:w="5958" w:type="dxa"/>
            <w:hideMark/>
          </w:tcPr>
          <w:p w14:paraId="3F883A7C"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or/54-58,61-68</w:t>
            </w:r>
          </w:p>
        </w:tc>
        <w:tc>
          <w:tcPr>
            <w:tcW w:w="1227" w:type="dxa"/>
            <w:hideMark/>
          </w:tcPr>
          <w:p w14:paraId="68387066"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1428334</w:t>
            </w:r>
          </w:p>
        </w:tc>
      </w:tr>
      <w:tr w:rsidR="00085F3B" w:rsidRPr="00085F3B" w14:paraId="5DBA7BBD"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35335629"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70</w:t>
            </w:r>
          </w:p>
        </w:tc>
        <w:tc>
          <w:tcPr>
            <w:tcW w:w="5958" w:type="dxa"/>
            <w:hideMark/>
          </w:tcPr>
          <w:p w14:paraId="0D7D2B6E"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exp Meta Analysis/</w:t>
            </w:r>
          </w:p>
        </w:tc>
        <w:tc>
          <w:tcPr>
            <w:tcW w:w="1227" w:type="dxa"/>
            <w:hideMark/>
          </w:tcPr>
          <w:p w14:paraId="15F7C7D9"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101478</w:t>
            </w:r>
          </w:p>
        </w:tc>
      </w:tr>
      <w:tr w:rsidR="00085F3B" w:rsidRPr="00085F3B" w14:paraId="0C5952EE"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5629EC6F"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71</w:t>
            </w:r>
          </w:p>
        </w:tc>
        <w:tc>
          <w:tcPr>
            <w:tcW w:w="5958" w:type="dxa"/>
            <w:hideMark/>
          </w:tcPr>
          <w:p w14:paraId="216031F2"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((meta adj analy$) or metaanalys$).tw.</w:t>
            </w:r>
          </w:p>
        </w:tc>
        <w:tc>
          <w:tcPr>
            <w:tcW w:w="1227" w:type="dxa"/>
            <w:hideMark/>
          </w:tcPr>
          <w:p w14:paraId="0268DFAB"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109987</w:t>
            </w:r>
          </w:p>
        </w:tc>
      </w:tr>
      <w:tr w:rsidR="00085F3B" w:rsidRPr="00085F3B" w14:paraId="0A9972ED"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59CF2398"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72</w:t>
            </w:r>
          </w:p>
        </w:tc>
        <w:tc>
          <w:tcPr>
            <w:tcW w:w="5958" w:type="dxa"/>
            <w:hideMark/>
          </w:tcPr>
          <w:p w14:paraId="7A95525A"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(systematic adj (review$1 or overview$1)).tw.</w:t>
            </w:r>
          </w:p>
        </w:tc>
        <w:tc>
          <w:tcPr>
            <w:tcW w:w="1227" w:type="dxa"/>
            <w:hideMark/>
          </w:tcPr>
          <w:p w14:paraId="4D8536F0"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90438</w:t>
            </w:r>
          </w:p>
        </w:tc>
      </w:tr>
      <w:tr w:rsidR="00085F3B" w:rsidRPr="00085F3B" w14:paraId="684F8399"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3BDAAA7E"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73</w:t>
            </w:r>
          </w:p>
        </w:tc>
        <w:tc>
          <w:tcPr>
            <w:tcW w:w="5958" w:type="dxa"/>
            <w:hideMark/>
          </w:tcPr>
          <w:p w14:paraId="4ECB66AF"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or/70-72</w:t>
            </w:r>
          </w:p>
        </w:tc>
        <w:tc>
          <w:tcPr>
            <w:tcW w:w="1227" w:type="dxa"/>
            <w:hideMark/>
          </w:tcPr>
          <w:p w14:paraId="6C2F2947"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197971</w:t>
            </w:r>
          </w:p>
        </w:tc>
      </w:tr>
      <w:tr w:rsidR="00085F3B" w:rsidRPr="00085F3B" w14:paraId="76D17D83"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4D7879B2"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74</w:t>
            </w:r>
          </w:p>
        </w:tc>
        <w:tc>
          <w:tcPr>
            <w:tcW w:w="5958" w:type="dxa"/>
            <w:hideMark/>
          </w:tcPr>
          <w:p w14:paraId="21E177D5"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cancerlit.ab.</w:t>
            </w:r>
          </w:p>
        </w:tc>
        <w:tc>
          <w:tcPr>
            <w:tcW w:w="1227" w:type="dxa"/>
            <w:hideMark/>
          </w:tcPr>
          <w:p w14:paraId="61BEFBDF"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674</w:t>
            </w:r>
          </w:p>
        </w:tc>
      </w:tr>
      <w:tr w:rsidR="00085F3B" w:rsidRPr="00085F3B" w14:paraId="04838A2B"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5DC9132F"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75</w:t>
            </w:r>
          </w:p>
        </w:tc>
        <w:tc>
          <w:tcPr>
            <w:tcW w:w="5958" w:type="dxa"/>
            <w:hideMark/>
          </w:tcPr>
          <w:p w14:paraId="05F1D103"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cochrane.ab.</w:t>
            </w:r>
          </w:p>
        </w:tc>
        <w:tc>
          <w:tcPr>
            <w:tcW w:w="1227" w:type="dxa"/>
            <w:hideMark/>
          </w:tcPr>
          <w:p w14:paraId="28EC18E3"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48937</w:t>
            </w:r>
          </w:p>
        </w:tc>
      </w:tr>
      <w:tr w:rsidR="00085F3B" w:rsidRPr="00085F3B" w14:paraId="50331C99"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455854F5"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76</w:t>
            </w:r>
          </w:p>
        </w:tc>
        <w:tc>
          <w:tcPr>
            <w:tcW w:w="5958" w:type="dxa"/>
            <w:hideMark/>
          </w:tcPr>
          <w:p w14:paraId="68C023D4"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embase.ab.</w:t>
            </w:r>
          </w:p>
        </w:tc>
        <w:tc>
          <w:tcPr>
            <w:tcW w:w="1227" w:type="dxa"/>
            <w:hideMark/>
          </w:tcPr>
          <w:p w14:paraId="2E2B5A47"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48668</w:t>
            </w:r>
          </w:p>
        </w:tc>
      </w:tr>
      <w:tr w:rsidR="00085F3B" w:rsidRPr="00085F3B" w14:paraId="13F2B03C"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53DD0C5F"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77</w:t>
            </w:r>
          </w:p>
        </w:tc>
        <w:tc>
          <w:tcPr>
            <w:tcW w:w="5958" w:type="dxa"/>
            <w:hideMark/>
          </w:tcPr>
          <w:p w14:paraId="62307CD7"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(psychlit or psyclit).ab.</w:t>
            </w:r>
          </w:p>
        </w:tc>
        <w:tc>
          <w:tcPr>
            <w:tcW w:w="1227" w:type="dxa"/>
            <w:hideMark/>
          </w:tcPr>
          <w:p w14:paraId="79322642"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963</w:t>
            </w:r>
          </w:p>
        </w:tc>
      </w:tr>
      <w:tr w:rsidR="00085F3B" w:rsidRPr="00085F3B" w14:paraId="12DEB8DD"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605FA3D2"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78</w:t>
            </w:r>
          </w:p>
        </w:tc>
        <w:tc>
          <w:tcPr>
            <w:tcW w:w="5958" w:type="dxa"/>
            <w:hideMark/>
          </w:tcPr>
          <w:p w14:paraId="501C87B4"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(psychinfo or psycinfo).ab.</w:t>
            </w:r>
          </w:p>
        </w:tc>
        <w:tc>
          <w:tcPr>
            <w:tcW w:w="1227" w:type="dxa"/>
            <w:hideMark/>
          </w:tcPr>
          <w:p w14:paraId="718EEB1D"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11510</w:t>
            </w:r>
          </w:p>
        </w:tc>
      </w:tr>
      <w:tr w:rsidR="00085F3B" w:rsidRPr="00085F3B" w14:paraId="1C3A99F1"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0566BD8C"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79</w:t>
            </w:r>
          </w:p>
        </w:tc>
        <w:tc>
          <w:tcPr>
            <w:tcW w:w="5958" w:type="dxa"/>
            <w:hideMark/>
          </w:tcPr>
          <w:p w14:paraId="51824D5E"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(cinahl or cinhal).ab.</w:t>
            </w:r>
          </w:p>
        </w:tc>
        <w:tc>
          <w:tcPr>
            <w:tcW w:w="1227" w:type="dxa"/>
            <w:hideMark/>
          </w:tcPr>
          <w:p w14:paraId="0EDF011E"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14940</w:t>
            </w:r>
          </w:p>
        </w:tc>
      </w:tr>
      <w:tr w:rsidR="00085F3B" w:rsidRPr="00085F3B" w14:paraId="7E699B19"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0F307551"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80</w:t>
            </w:r>
          </w:p>
        </w:tc>
        <w:tc>
          <w:tcPr>
            <w:tcW w:w="5958" w:type="dxa"/>
            <w:hideMark/>
          </w:tcPr>
          <w:p w14:paraId="511151D5"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science citation index.ab.</w:t>
            </w:r>
          </w:p>
        </w:tc>
        <w:tc>
          <w:tcPr>
            <w:tcW w:w="1227" w:type="dxa"/>
            <w:hideMark/>
          </w:tcPr>
          <w:p w14:paraId="207D3511"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2518</w:t>
            </w:r>
          </w:p>
        </w:tc>
      </w:tr>
      <w:tr w:rsidR="00085F3B" w:rsidRPr="00085F3B" w14:paraId="69A8EB2E"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34700AB0"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81</w:t>
            </w:r>
          </w:p>
        </w:tc>
        <w:tc>
          <w:tcPr>
            <w:tcW w:w="5958" w:type="dxa"/>
            <w:hideMark/>
          </w:tcPr>
          <w:p w14:paraId="4956DE79"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bids.ab.</w:t>
            </w:r>
          </w:p>
        </w:tc>
        <w:tc>
          <w:tcPr>
            <w:tcW w:w="1227" w:type="dxa"/>
            <w:hideMark/>
          </w:tcPr>
          <w:p w14:paraId="24A1AE50"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482</w:t>
            </w:r>
          </w:p>
        </w:tc>
      </w:tr>
      <w:tr w:rsidR="00085F3B" w:rsidRPr="00085F3B" w14:paraId="792E343D"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105345CA"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82</w:t>
            </w:r>
          </w:p>
        </w:tc>
        <w:tc>
          <w:tcPr>
            <w:tcW w:w="5958" w:type="dxa"/>
            <w:hideMark/>
          </w:tcPr>
          <w:p w14:paraId="65A91672"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or/74-81</w:t>
            </w:r>
          </w:p>
        </w:tc>
        <w:tc>
          <w:tcPr>
            <w:tcW w:w="1227" w:type="dxa"/>
            <w:hideMark/>
          </w:tcPr>
          <w:p w14:paraId="22CEF8DE"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77679</w:t>
            </w:r>
          </w:p>
        </w:tc>
      </w:tr>
      <w:tr w:rsidR="00085F3B" w:rsidRPr="00085F3B" w14:paraId="2644B88D"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7C96EEF5"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83</w:t>
            </w:r>
          </w:p>
        </w:tc>
        <w:tc>
          <w:tcPr>
            <w:tcW w:w="5958" w:type="dxa"/>
            <w:hideMark/>
          </w:tcPr>
          <w:p w14:paraId="455A354C"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reference lists.ab.</w:t>
            </w:r>
          </w:p>
        </w:tc>
        <w:tc>
          <w:tcPr>
            <w:tcW w:w="1227" w:type="dxa"/>
            <w:hideMark/>
          </w:tcPr>
          <w:p w14:paraId="30BB8E09"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11930</w:t>
            </w:r>
          </w:p>
        </w:tc>
      </w:tr>
      <w:tr w:rsidR="00085F3B" w:rsidRPr="00085F3B" w14:paraId="240CD603"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3568C56D"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84</w:t>
            </w:r>
          </w:p>
        </w:tc>
        <w:tc>
          <w:tcPr>
            <w:tcW w:w="5958" w:type="dxa"/>
            <w:hideMark/>
          </w:tcPr>
          <w:p w14:paraId="0F6AB606"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bibliograph$.ab.</w:t>
            </w:r>
          </w:p>
        </w:tc>
        <w:tc>
          <w:tcPr>
            <w:tcW w:w="1227" w:type="dxa"/>
            <w:hideMark/>
          </w:tcPr>
          <w:p w14:paraId="0BD5CC57"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15793</w:t>
            </w:r>
          </w:p>
        </w:tc>
      </w:tr>
      <w:tr w:rsidR="00085F3B" w:rsidRPr="00085F3B" w14:paraId="4F867DB7"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1B7AF19B"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85</w:t>
            </w:r>
          </w:p>
        </w:tc>
        <w:tc>
          <w:tcPr>
            <w:tcW w:w="5958" w:type="dxa"/>
            <w:hideMark/>
          </w:tcPr>
          <w:p w14:paraId="569389D8"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hand-search$.ab.</w:t>
            </w:r>
          </w:p>
        </w:tc>
        <w:tc>
          <w:tcPr>
            <w:tcW w:w="1227" w:type="dxa"/>
            <w:hideMark/>
          </w:tcPr>
          <w:p w14:paraId="751C08B2"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5446</w:t>
            </w:r>
          </w:p>
        </w:tc>
      </w:tr>
      <w:tr w:rsidR="00085F3B" w:rsidRPr="00085F3B" w14:paraId="14539525"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7591A26E"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86</w:t>
            </w:r>
          </w:p>
        </w:tc>
        <w:tc>
          <w:tcPr>
            <w:tcW w:w="5958" w:type="dxa"/>
            <w:hideMark/>
          </w:tcPr>
          <w:p w14:paraId="6F1144B4"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manual search$.ab.</w:t>
            </w:r>
          </w:p>
        </w:tc>
        <w:tc>
          <w:tcPr>
            <w:tcW w:w="1227" w:type="dxa"/>
            <w:hideMark/>
          </w:tcPr>
          <w:p w14:paraId="04859937"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3307</w:t>
            </w:r>
          </w:p>
        </w:tc>
      </w:tr>
      <w:tr w:rsidR="00085F3B" w:rsidRPr="00085F3B" w14:paraId="67E30B8A"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658D6ED3"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87</w:t>
            </w:r>
          </w:p>
        </w:tc>
        <w:tc>
          <w:tcPr>
            <w:tcW w:w="5958" w:type="dxa"/>
            <w:hideMark/>
          </w:tcPr>
          <w:p w14:paraId="7DE1924E"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relevant journals.ab.</w:t>
            </w:r>
          </w:p>
        </w:tc>
        <w:tc>
          <w:tcPr>
            <w:tcW w:w="1227" w:type="dxa"/>
            <w:hideMark/>
          </w:tcPr>
          <w:p w14:paraId="51B6ABA0"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960</w:t>
            </w:r>
          </w:p>
        </w:tc>
      </w:tr>
      <w:tr w:rsidR="00085F3B" w:rsidRPr="00085F3B" w14:paraId="40D1FC62"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0C3E94FD"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88</w:t>
            </w:r>
          </w:p>
        </w:tc>
        <w:tc>
          <w:tcPr>
            <w:tcW w:w="5958" w:type="dxa"/>
            <w:hideMark/>
          </w:tcPr>
          <w:p w14:paraId="57E657F2"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or/83-87</w:t>
            </w:r>
          </w:p>
        </w:tc>
        <w:tc>
          <w:tcPr>
            <w:tcW w:w="1227" w:type="dxa"/>
            <w:hideMark/>
          </w:tcPr>
          <w:p w14:paraId="3AC8B4EF"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33648</w:t>
            </w:r>
          </w:p>
        </w:tc>
      </w:tr>
      <w:tr w:rsidR="00085F3B" w:rsidRPr="00085F3B" w14:paraId="58AB6773"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52CC00FC"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89</w:t>
            </w:r>
          </w:p>
        </w:tc>
        <w:tc>
          <w:tcPr>
            <w:tcW w:w="5958" w:type="dxa"/>
            <w:hideMark/>
          </w:tcPr>
          <w:p w14:paraId="774EA507"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data extraction.ab.</w:t>
            </w:r>
          </w:p>
        </w:tc>
        <w:tc>
          <w:tcPr>
            <w:tcW w:w="1227" w:type="dxa"/>
            <w:hideMark/>
          </w:tcPr>
          <w:p w14:paraId="1F1DE373"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14316</w:t>
            </w:r>
          </w:p>
        </w:tc>
      </w:tr>
      <w:tr w:rsidR="00085F3B" w:rsidRPr="00085F3B" w14:paraId="651466AB"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42AC9B37"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90</w:t>
            </w:r>
          </w:p>
        </w:tc>
        <w:tc>
          <w:tcPr>
            <w:tcW w:w="5958" w:type="dxa"/>
            <w:hideMark/>
          </w:tcPr>
          <w:p w14:paraId="72CB7128"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selection criteria.ab.</w:t>
            </w:r>
          </w:p>
        </w:tc>
        <w:tc>
          <w:tcPr>
            <w:tcW w:w="1227" w:type="dxa"/>
            <w:hideMark/>
          </w:tcPr>
          <w:p w14:paraId="01C1061E"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23030</w:t>
            </w:r>
          </w:p>
        </w:tc>
      </w:tr>
      <w:tr w:rsidR="00085F3B" w:rsidRPr="00085F3B" w14:paraId="7FF54480"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5AB389AF"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91</w:t>
            </w:r>
          </w:p>
        </w:tc>
        <w:tc>
          <w:tcPr>
            <w:tcW w:w="5958" w:type="dxa"/>
            <w:hideMark/>
          </w:tcPr>
          <w:p w14:paraId="34B5EE12"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89 or 90</w:t>
            </w:r>
          </w:p>
        </w:tc>
        <w:tc>
          <w:tcPr>
            <w:tcW w:w="1227" w:type="dxa"/>
            <w:hideMark/>
          </w:tcPr>
          <w:p w14:paraId="427AE6CE"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35974</w:t>
            </w:r>
          </w:p>
        </w:tc>
      </w:tr>
      <w:tr w:rsidR="00085F3B" w:rsidRPr="00085F3B" w14:paraId="593380FF"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7F51D044"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92</w:t>
            </w:r>
          </w:p>
        </w:tc>
        <w:tc>
          <w:tcPr>
            <w:tcW w:w="5958" w:type="dxa"/>
            <w:hideMark/>
          </w:tcPr>
          <w:p w14:paraId="00AFC4F5"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review.pt.</w:t>
            </w:r>
          </w:p>
        </w:tc>
        <w:tc>
          <w:tcPr>
            <w:tcW w:w="1227" w:type="dxa"/>
            <w:hideMark/>
          </w:tcPr>
          <w:p w14:paraId="72238F0B"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2096963</w:t>
            </w:r>
          </w:p>
        </w:tc>
      </w:tr>
      <w:tr w:rsidR="00085F3B" w:rsidRPr="00085F3B" w14:paraId="5CF06960"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27E8A083"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93</w:t>
            </w:r>
          </w:p>
        </w:tc>
        <w:tc>
          <w:tcPr>
            <w:tcW w:w="5958" w:type="dxa"/>
            <w:hideMark/>
          </w:tcPr>
          <w:p w14:paraId="22628E52"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91 and 92</w:t>
            </w:r>
          </w:p>
        </w:tc>
        <w:tc>
          <w:tcPr>
            <w:tcW w:w="1227" w:type="dxa"/>
            <w:hideMark/>
          </w:tcPr>
          <w:p w14:paraId="39FA9344"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17606</w:t>
            </w:r>
          </w:p>
        </w:tc>
      </w:tr>
      <w:tr w:rsidR="00085F3B" w:rsidRPr="00085F3B" w14:paraId="6AB43AF5"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0E076145"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94</w:t>
            </w:r>
          </w:p>
        </w:tc>
        <w:tc>
          <w:tcPr>
            <w:tcW w:w="5958" w:type="dxa"/>
            <w:hideMark/>
          </w:tcPr>
          <w:p w14:paraId="4C2B3BEE"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letter.pt.</w:t>
            </w:r>
          </w:p>
        </w:tc>
        <w:tc>
          <w:tcPr>
            <w:tcW w:w="1227" w:type="dxa"/>
            <w:hideMark/>
          </w:tcPr>
          <w:p w14:paraId="31A6E537"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909295</w:t>
            </w:r>
          </w:p>
        </w:tc>
      </w:tr>
      <w:tr w:rsidR="00085F3B" w:rsidRPr="00085F3B" w14:paraId="2FD49CF5"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1F46A9E3"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lastRenderedPageBreak/>
              <w:t>95</w:t>
            </w:r>
          </w:p>
        </w:tc>
        <w:tc>
          <w:tcPr>
            <w:tcW w:w="5958" w:type="dxa"/>
            <w:hideMark/>
          </w:tcPr>
          <w:p w14:paraId="74F03DFB"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editorial.pt.</w:t>
            </w:r>
          </w:p>
        </w:tc>
        <w:tc>
          <w:tcPr>
            <w:tcW w:w="1227" w:type="dxa"/>
            <w:hideMark/>
          </w:tcPr>
          <w:p w14:paraId="3F86C231"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492388</w:t>
            </w:r>
          </w:p>
        </w:tc>
      </w:tr>
      <w:tr w:rsidR="00085F3B" w:rsidRPr="00085F3B" w14:paraId="515E8744"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0A961D9A"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96</w:t>
            </w:r>
          </w:p>
        </w:tc>
        <w:tc>
          <w:tcPr>
            <w:tcW w:w="5958" w:type="dxa"/>
            <w:hideMark/>
          </w:tcPr>
          <w:p w14:paraId="3BFA5212"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animal/</w:t>
            </w:r>
          </w:p>
        </w:tc>
        <w:tc>
          <w:tcPr>
            <w:tcW w:w="1227" w:type="dxa"/>
            <w:hideMark/>
          </w:tcPr>
          <w:p w14:paraId="0D2B4E11"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1695032</w:t>
            </w:r>
          </w:p>
        </w:tc>
      </w:tr>
      <w:tr w:rsidR="00085F3B" w:rsidRPr="00085F3B" w14:paraId="54812631"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3278122C"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97</w:t>
            </w:r>
          </w:p>
        </w:tc>
        <w:tc>
          <w:tcPr>
            <w:tcW w:w="5958" w:type="dxa"/>
            <w:hideMark/>
          </w:tcPr>
          <w:p w14:paraId="435DECFD"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human/</w:t>
            </w:r>
          </w:p>
        </w:tc>
        <w:tc>
          <w:tcPr>
            <w:tcW w:w="1227" w:type="dxa"/>
            <w:hideMark/>
          </w:tcPr>
          <w:p w14:paraId="055978EF"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16366505</w:t>
            </w:r>
          </w:p>
        </w:tc>
      </w:tr>
      <w:tr w:rsidR="00085F3B" w:rsidRPr="00085F3B" w14:paraId="63315136"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79A2F692"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98</w:t>
            </w:r>
          </w:p>
        </w:tc>
        <w:tc>
          <w:tcPr>
            <w:tcW w:w="5958" w:type="dxa"/>
            <w:hideMark/>
          </w:tcPr>
          <w:p w14:paraId="7BDA37E5"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96 not (96 and 97)</w:t>
            </w:r>
          </w:p>
        </w:tc>
        <w:tc>
          <w:tcPr>
            <w:tcW w:w="1227" w:type="dxa"/>
            <w:hideMark/>
          </w:tcPr>
          <w:p w14:paraId="7D9F4BF1"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1271960</w:t>
            </w:r>
          </w:p>
        </w:tc>
      </w:tr>
      <w:tr w:rsidR="00085F3B" w:rsidRPr="00085F3B" w14:paraId="0F1D70A5"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76057DC6"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99</w:t>
            </w:r>
          </w:p>
        </w:tc>
        <w:tc>
          <w:tcPr>
            <w:tcW w:w="5958" w:type="dxa"/>
            <w:hideMark/>
          </w:tcPr>
          <w:p w14:paraId="4BB70A1E"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or/94-95,98</w:t>
            </w:r>
          </w:p>
        </w:tc>
        <w:tc>
          <w:tcPr>
            <w:tcW w:w="1227" w:type="dxa"/>
            <w:hideMark/>
          </w:tcPr>
          <w:p w14:paraId="480BFE09"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2658216</w:t>
            </w:r>
          </w:p>
        </w:tc>
      </w:tr>
      <w:tr w:rsidR="00085F3B" w:rsidRPr="00085F3B" w14:paraId="379F61DD"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77772774"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100</w:t>
            </w:r>
          </w:p>
        </w:tc>
        <w:tc>
          <w:tcPr>
            <w:tcW w:w="5958" w:type="dxa"/>
            <w:hideMark/>
          </w:tcPr>
          <w:p w14:paraId="31319237"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73 or 82 or 88 or 93</w:t>
            </w:r>
          </w:p>
        </w:tc>
        <w:tc>
          <w:tcPr>
            <w:tcW w:w="1227" w:type="dxa"/>
            <w:hideMark/>
          </w:tcPr>
          <w:p w14:paraId="55C3123C"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237029</w:t>
            </w:r>
          </w:p>
        </w:tc>
      </w:tr>
      <w:tr w:rsidR="00085F3B" w:rsidRPr="00085F3B" w14:paraId="0B7E1FF5"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787A1B7F"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101</w:t>
            </w:r>
          </w:p>
        </w:tc>
        <w:tc>
          <w:tcPr>
            <w:tcW w:w="5958" w:type="dxa"/>
            <w:hideMark/>
          </w:tcPr>
          <w:p w14:paraId="7F7DCA86"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100 not 99</w:t>
            </w:r>
          </w:p>
        </w:tc>
        <w:tc>
          <w:tcPr>
            <w:tcW w:w="1227" w:type="dxa"/>
            <w:hideMark/>
          </w:tcPr>
          <w:p w14:paraId="17CF6C65"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229519</w:t>
            </w:r>
          </w:p>
        </w:tc>
      </w:tr>
      <w:tr w:rsidR="00085F3B" w:rsidRPr="00085F3B" w14:paraId="620B4833" w14:textId="77777777" w:rsidTr="00BA50D2">
        <w:tc>
          <w:tcPr>
            <w:cnfStyle w:val="001000000000" w:firstRow="0" w:lastRow="0" w:firstColumn="1" w:lastColumn="0" w:oddVBand="0" w:evenVBand="0" w:oddHBand="0" w:evenHBand="0" w:firstRowFirstColumn="0" w:firstRowLastColumn="0" w:lastRowFirstColumn="0" w:lastRowLastColumn="0"/>
            <w:tcW w:w="988" w:type="dxa"/>
            <w:hideMark/>
          </w:tcPr>
          <w:p w14:paraId="009CB580"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102</w:t>
            </w:r>
          </w:p>
        </w:tc>
        <w:tc>
          <w:tcPr>
            <w:tcW w:w="5958" w:type="dxa"/>
            <w:hideMark/>
          </w:tcPr>
          <w:p w14:paraId="16EBAB85"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48 or 69 or 101</w:t>
            </w:r>
          </w:p>
        </w:tc>
        <w:tc>
          <w:tcPr>
            <w:tcW w:w="1227" w:type="dxa"/>
            <w:hideMark/>
          </w:tcPr>
          <w:p w14:paraId="6A1FD3BF" w14:textId="77777777" w:rsidR="00085F3B" w:rsidRPr="00085F3B" w:rsidRDefault="00085F3B"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2680283</w:t>
            </w:r>
          </w:p>
        </w:tc>
      </w:tr>
      <w:tr w:rsidR="00085F3B" w:rsidRPr="00085F3B" w14:paraId="4B77EF82"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hideMark/>
          </w:tcPr>
          <w:p w14:paraId="65DDADC8" w14:textId="77777777" w:rsidR="00085F3B" w:rsidRPr="00085F3B" w:rsidRDefault="00085F3B" w:rsidP="00085F3B">
            <w:pPr>
              <w:pStyle w:val="NormalWeb"/>
              <w:spacing w:before="0" w:beforeAutospacing="0" w:after="0" w:afterAutospacing="0"/>
              <w:rPr>
                <w:rFonts w:ascii="Calibri" w:hAnsi="Calibri" w:cs="Calibri"/>
                <w:color w:val="2D2D2D"/>
                <w:sz w:val="20"/>
                <w:szCs w:val="20"/>
              </w:rPr>
            </w:pPr>
            <w:r w:rsidRPr="00085F3B">
              <w:rPr>
                <w:rFonts w:ascii="Calibri" w:hAnsi="Calibri" w:cs="Calibri"/>
                <w:color w:val="2D2D2D"/>
                <w:sz w:val="20"/>
                <w:szCs w:val="20"/>
              </w:rPr>
              <w:t>103</w:t>
            </w:r>
          </w:p>
        </w:tc>
        <w:tc>
          <w:tcPr>
            <w:tcW w:w="5958" w:type="dxa"/>
            <w:hideMark/>
          </w:tcPr>
          <w:p w14:paraId="0460C905"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29 and 102</w:t>
            </w:r>
          </w:p>
        </w:tc>
        <w:tc>
          <w:tcPr>
            <w:tcW w:w="1227" w:type="dxa"/>
            <w:hideMark/>
          </w:tcPr>
          <w:p w14:paraId="100C85DB" w14:textId="77777777" w:rsidR="00085F3B" w:rsidRPr="00085F3B" w:rsidRDefault="00085F3B"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color w:val="2D2D2D"/>
                <w:sz w:val="20"/>
                <w:szCs w:val="20"/>
              </w:rPr>
            </w:pPr>
            <w:r w:rsidRPr="00085F3B">
              <w:rPr>
                <w:rFonts w:ascii="Calibri" w:hAnsi="Calibri" w:cs="Calibri"/>
                <w:color w:val="2D2D2D"/>
                <w:sz w:val="20"/>
                <w:szCs w:val="20"/>
              </w:rPr>
              <w:t>1105</w:t>
            </w:r>
          </w:p>
        </w:tc>
      </w:tr>
    </w:tbl>
    <w:p w14:paraId="532C3CF8" w14:textId="77777777" w:rsidR="00D04405" w:rsidRDefault="00D04405" w:rsidP="00D04405"/>
    <w:p w14:paraId="535EB35F" w14:textId="77777777" w:rsidR="00323052" w:rsidRPr="00323052" w:rsidRDefault="00323052" w:rsidP="00323052">
      <w:pPr>
        <w:rPr>
          <w:lang w:eastAsia="en-CA"/>
        </w:rPr>
      </w:pPr>
      <w:bookmarkStart w:id="7" w:name="_Toc510634433"/>
    </w:p>
    <w:p w14:paraId="44D6ED55" w14:textId="77777777" w:rsidR="008F1453" w:rsidRPr="00085F3B" w:rsidRDefault="00CA7674" w:rsidP="008F1453">
      <w:pPr>
        <w:pStyle w:val="Heading3"/>
      </w:pPr>
      <w:bookmarkStart w:id="8" w:name="_Toc536713782"/>
      <w:r>
        <w:t>Medline</w:t>
      </w:r>
      <w:bookmarkEnd w:id="7"/>
      <w:r w:rsidR="008F1453">
        <w:t xml:space="preserve"> (with </w:t>
      </w:r>
      <w:r w:rsidR="008F1453" w:rsidRPr="008F1453">
        <w:t>Scottish Intercollegiate Guidelines Network</w:t>
      </w:r>
      <w:r w:rsidR="008F1453">
        <w:t xml:space="preserve"> filters)</w:t>
      </w:r>
      <w:bookmarkEnd w:id="8"/>
    </w:p>
    <w:p w14:paraId="2580F6B8" w14:textId="379C72F0" w:rsidR="00085F3B" w:rsidRDefault="00760B64" w:rsidP="00CA7674">
      <w:r>
        <w:t xml:space="preserve">Searched </w:t>
      </w:r>
      <w:r w:rsidR="00085F3B">
        <w:t xml:space="preserve">Ovid MEDLINE(R) In-Process &amp; Other Non-Indexed Citations and Ovid MEDLINE(R) </w:t>
      </w:r>
    </w:p>
    <w:tbl>
      <w:tblPr>
        <w:tblStyle w:val="PlainTable2"/>
        <w:tblW w:w="0" w:type="auto"/>
        <w:tblBorders>
          <w:insideH w:val="dotted" w:sz="4" w:space="0" w:color="7F7F7F" w:themeColor="text1" w:themeTint="80"/>
        </w:tblBorders>
        <w:tblLook w:val="04A0" w:firstRow="1" w:lastRow="0" w:firstColumn="1" w:lastColumn="0" w:noHBand="0" w:noVBand="1"/>
      </w:tblPr>
      <w:tblGrid>
        <w:gridCol w:w="1211"/>
        <w:gridCol w:w="5593"/>
        <w:gridCol w:w="1474"/>
      </w:tblGrid>
      <w:tr w:rsidR="00085F3B" w:rsidRPr="00085F3B" w14:paraId="2C232D00" w14:textId="77777777" w:rsidTr="00BA50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1" w:type="dxa"/>
            <w:hideMark/>
          </w:tcPr>
          <w:p w14:paraId="5F85B481" w14:textId="77777777" w:rsidR="00085F3B" w:rsidRPr="00085F3B" w:rsidRDefault="00085F3B">
            <w:pPr>
              <w:pStyle w:val="NormalWeb"/>
              <w:spacing w:before="0" w:beforeAutospacing="0" w:after="0" w:afterAutospacing="0"/>
              <w:rPr>
                <w:rFonts w:ascii="Calibri" w:hAnsi="Calibri" w:cs="Calibri"/>
                <w:sz w:val="20"/>
                <w:szCs w:val="20"/>
              </w:rPr>
            </w:pPr>
          </w:p>
        </w:tc>
        <w:tc>
          <w:tcPr>
            <w:tcW w:w="5593" w:type="dxa"/>
            <w:hideMark/>
          </w:tcPr>
          <w:p w14:paraId="276A9387" w14:textId="6904272D" w:rsidR="00085F3B" w:rsidRPr="00085F3B" w:rsidRDefault="00BA50D2">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Pr>
                <w:rFonts w:ascii="Calibri" w:hAnsi="Calibri" w:cs="Calibri"/>
                <w:sz w:val="20"/>
                <w:szCs w:val="20"/>
              </w:rPr>
              <w:t>Search terms</w:t>
            </w:r>
          </w:p>
        </w:tc>
        <w:tc>
          <w:tcPr>
            <w:tcW w:w="1474" w:type="dxa"/>
            <w:hideMark/>
          </w:tcPr>
          <w:p w14:paraId="3EAA73A4" w14:textId="77777777" w:rsidR="00085F3B" w:rsidRPr="00085F3B" w:rsidRDefault="00085F3B">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Results</w:t>
            </w:r>
          </w:p>
        </w:tc>
      </w:tr>
      <w:tr w:rsidR="00085F3B" w:rsidRPr="00085F3B" w14:paraId="0DD5DD87"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5C822B58"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w:t>
            </w:r>
          </w:p>
        </w:tc>
        <w:tc>
          <w:tcPr>
            <w:tcW w:w="5593" w:type="dxa"/>
            <w:hideMark/>
          </w:tcPr>
          <w:p w14:paraId="08C5C0B7"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proton pump inhibitor$.tw.</w:t>
            </w:r>
          </w:p>
        </w:tc>
        <w:tc>
          <w:tcPr>
            <w:tcW w:w="1474" w:type="dxa"/>
            <w:hideMark/>
          </w:tcPr>
          <w:p w14:paraId="257ED59E"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10107 </w:t>
            </w:r>
          </w:p>
        </w:tc>
      </w:tr>
      <w:tr w:rsidR="00085F3B" w:rsidRPr="00085F3B" w14:paraId="26AF25CF"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60A03053"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2</w:t>
            </w:r>
          </w:p>
        </w:tc>
        <w:tc>
          <w:tcPr>
            <w:tcW w:w="5593" w:type="dxa"/>
            <w:hideMark/>
          </w:tcPr>
          <w:p w14:paraId="7C6AC766"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ppi$.tw.</w:t>
            </w:r>
          </w:p>
        </w:tc>
        <w:tc>
          <w:tcPr>
            <w:tcW w:w="1474" w:type="dxa"/>
            <w:hideMark/>
          </w:tcPr>
          <w:p w14:paraId="27709FCC"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15427 </w:t>
            </w:r>
          </w:p>
        </w:tc>
      </w:tr>
      <w:tr w:rsidR="00085F3B" w:rsidRPr="00085F3B" w14:paraId="2876C512"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284A41BB"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3</w:t>
            </w:r>
          </w:p>
        </w:tc>
        <w:tc>
          <w:tcPr>
            <w:tcW w:w="5593" w:type="dxa"/>
            <w:hideMark/>
          </w:tcPr>
          <w:p w14:paraId="43C85A02"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esomeprazole.tw.</w:t>
            </w:r>
          </w:p>
        </w:tc>
        <w:tc>
          <w:tcPr>
            <w:tcW w:w="1474" w:type="dxa"/>
            <w:hideMark/>
          </w:tcPr>
          <w:p w14:paraId="7831C59B"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1122 </w:t>
            </w:r>
          </w:p>
        </w:tc>
      </w:tr>
      <w:tr w:rsidR="00085F3B" w:rsidRPr="00085F3B" w14:paraId="3856201E"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6F72FD75"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4</w:t>
            </w:r>
          </w:p>
        </w:tc>
        <w:tc>
          <w:tcPr>
            <w:tcW w:w="5593" w:type="dxa"/>
            <w:hideMark/>
          </w:tcPr>
          <w:p w14:paraId="29725B01"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pantoprazole.tw.</w:t>
            </w:r>
          </w:p>
        </w:tc>
        <w:tc>
          <w:tcPr>
            <w:tcW w:w="1474" w:type="dxa"/>
            <w:hideMark/>
          </w:tcPr>
          <w:p w14:paraId="231A059D"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1346 </w:t>
            </w:r>
          </w:p>
        </w:tc>
      </w:tr>
      <w:tr w:rsidR="00085F3B" w:rsidRPr="00085F3B" w14:paraId="55DCC41F"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5B1AEEB2"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5</w:t>
            </w:r>
          </w:p>
        </w:tc>
        <w:tc>
          <w:tcPr>
            <w:tcW w:w="5593" w:type="dxa"/>
            <w:hideMark/>
          </w:tcPr>
          <w:p w14:paraId="33440DAA"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lansoprazole.tw.</w:t>
            </w:r>
          </w:p>
        </w:tc>
        <w:tc>
          <w:tcPr>
            <w:tcW w:w="1474" w:type="dxa"/>
            <w:hideMark/>
          </w:tcPr>
          <w:p w14:paraId="54CCF4EB"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2083 </w:t>
            </w:r>
          </w:p>
        </w:tc>
      </w:tr>
      <w:tr w:rsidR="00085F3B" w:rsidRPr="00085F3B" w14:paraId="7F346436"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115CB08E"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6</w:t>
            </w:r>
          </w:p>
        </w:tc>
        <w:tc>
          <w:tcPr>
            <w:tcW w:w="5593" w:type="dxa"/>
            <w:hideMark/>
          </w:tcPr>
          <w:p w14:paraId="2BEE0284"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omeprazole.tw.</w:t>
            </w:r>
          </w:p>
        </w:tc>
        <w:tc>
          <w:tcPr>
            <w:tcW w:w="1474" w:type="dxa"/>
            <w:hideMark/>
          </w:tcPr>
          <w:p w14:paraId="64E34E01"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7292 </w:t>
            </w:r>
          </w:p>
        </w:tc>
      </w:tr>
      <w:tr w:rsidR="00085F3B" w:rsidRPr="00085F3B" w14:paraId="0F01570C"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17F56262"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7</w:t>
            </w:r>
          </w:p>
        </w:tc>
        <w:tc>
          <w:tcPr>
            <w:tcW w:w="5593" w:type="dxa"/>
            <w:hideMark/>
          </w:tcPr>
          <w:p w14:paraId="3BCBF955"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rabeprazole.tw.</w:t>
            </w:r>
          </w:p>
        </w:tc>
        <w:tc>
          <w:tcPr>
            <w:tcW w:w="1474" w:type="dxa"/>
            <w:hideMark/>
          </w:tcPr>
          <w:p w14:paraId="1B290068"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969 </w:t>
            </w:r>
          </w:p>
        </w:tc>
      </w:tr>
      <w:tr w:rsidR="00085F3B" w:rsidRPr="00085F3B" w14:paraId="21B5777A"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417522DA"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8</w:t>
            </w:r>
          </w:p>
        </w:tc>
        <w:tc>
          <w:tcPr>
            <w:tcW w:w="5593" w:type="dxa"/>
            <w:hideMark/>
          </w:tcPr>
          <w:p w14:paraId="45C6E793"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Proton Pump Inhibitors/</w:t>
            </w:r>
          </w:p>
        </w:tc>
        <w:tc>
          <w:tcPr>
            <w:tcW w:w="1474" w:type="dxa"/>
            <w:hideMark/>
          </w:tcPr>
          <w:p w14:paraId="7AAEDF32"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8279 </w:t>
            </w:r>
          </w:p>
        </w:tc>
      </w:tr>
      <w:tr w:rsidR="00085F3B" w:rsidRPr="00085F3B" w14:paraId="6FAD01EF"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49B555F7"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9</w:t>
            </w:r>
          </w:p>
        </w:tc>
        <w:tc>
          <w:tcPr>
            <w:tcW w:w="5593" w:type="dxa"/>
            <w:hideMark/>
          </w:tcPr>
          <w:p w14:paraId="4CAFCBFB"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esomeprazole/</w:t>
            </w:r>
          </w:p>
        </w:tc>
        <w:tc>
          <w:tcPr>
            <w:tcW w:w="1474" w:type="dxa"/>
            <w:hideMark/>
          </w:tcPr>
          <w:p w14:paraId="0F314191"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781 </w:t>
            </w:r>
          </w:p>
        </w:tc>
      </w:tr>
      <w:tr w:rsidR="00085F3B" w:rsidRPr="00085F3B" w14:paraId="4B760A0B"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5B3018BF"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10</w:t>
            </w:r>
          </w:p>
        </w:tc>
        <w:tc>
          <w:tcPr>
            <w:tcW w:w="5593" w:type="dxa"/>
            <w:hideMark/>
          </w:tcPr>
          <w:p w14:paraId="5F323904"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pantoprazole/</w:t>
            </w:r>
          </w:p>
        </w:tc>
        <w:tc>
          <w:tcPr>
            <w:tcW w:w="1474" w:type="dxa"/>
            <w:hideMark/>
          </w:tcPr>
          <w:p w14:paraId="24C2424B"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0 </w:t>
            </w:r>
          </w:p>
        </w:tc>
      </w:tr>
      <w:tr w:rsidR="00085F3B" w:rsidRPr="00085F3B" w14:paraId="0B490720"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0A6C16D3"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11</w:t>
            </w:r>
          </w:p>
        </w:tc>
        <w:tc>
          <w:tcPr>
            <w:tcW w:w="5593" w:type="dxa"/>
            <w:hideMark/>
          </w:tcPr>
          <w:p w14:paraId="6FB4536C"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lansoprazole/</w:t>
            </w:r>
          </w:p>
        </w:tc>
        <w:tc>
          <w:tcPr>
            <w:tcW w:w="1474" w:type="dxa"/>
            <w:hideMark/>
          </w:tcPr>
          <w:p w14:paraId="73F14DF8"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1973 </w:t>
            </w:r>
          </w:p>
        </w:tc>
      </w:tr>
      <w:tr w:rsidR="00085F3B" w:rsidRPr="00085F3B" w14:paraId="3ACDB135"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0BA31CFC"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12</w:t>
            </w:r>
          </w:p>
        </w:tc>
        <w:tc>
          <w:tcPr>
            <w:tcW w:w="5593" w:type="dxa"/>
            <w:hideMark/>
          </w:tcPr>
          <w:p w14:paraId="0B9BB888"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omeprazole/</w:t>
            </w:r>
          </w:p>
        </w:tc>
        <w:tc>
          <w:tcPr>
            <w:tcW w:w="1474" w:type="dxa"/>
            <w:hideMark/>
          </w:tcPr>
          <w:p w14:paraId="7002E9BB"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8346 </w:t>
            </w:r>
          </w:p>
        </w:tc>
      </w:tr>
      <w:tr w:rsidR="00085F3B" w:rsidRPr="00085F3B" w14:paraId="38DC4DCC"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001404EA"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13</w:t>
            </w:r>
          </w:p>
        </w:tc>
        <w:tc>
          <w:tcPr>
            <w:tcW w:w="5593" w:type="dxa"/>
            <w:hideMark/>
          </w:tcPr>
          <w:p w14:paraId="1B0D4380"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rabeprazole/</w:t>
            </w:r>
          </w:p>
        </w:tc>
        <w:tc>
          <w:tcPr>
            <w:tcW w:w="1474" w:type="dxa"/>
            <w:hideMark/>
          </w:tcPr>
          <w:p w14:paraId="66E34BB5"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869 </w:t>
            </w:r>
          </w:p>
        </w:tc>
      </w:tr>
      <w:tr w:rsidR="00085F3B" w:rsidRPr="00085F3B" w14:paraId="19B1C038"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76A16C4A"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14</w:t>
            </w:r>
          </w:p>
        </w:tc>
        <w:tc>
          <w:tcPr>
            <w:tcW w:w="5593" w:type="dxa"/>
            <w:hideMark/>
          </w:tcPr>
          <w:p w14:paraId="29C44347"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or/1-13</w:t>
            </w:r>
          </w:p>
        </w:tc>
        <w:tc>
          <w:tcPr>
            <w:tcW w:w="1474" w:type="dxa"/>
            <w:hideMark/>
          </w:tcPr>
          <w:p w14:paraId="6955BFF3"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32654 </w:t>
            </w:r>
          </w:p>
        </w:tc>
      </w:tr>
      <w:tr w:rsidR="00085F3B" w:rsidRPr="00085F3B" w14:paraId="03D4A4CF"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5327F03F"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15</w:t>
            </w:r>
          </w:p>
        </w:tc>
        <w:tc>
          <w:tcPr>
            <w:tcW w:w="5593" w:type="dxa"/>
            <w:hideMark/>
          </w:tcPr>
          <w:p w14:paraId="3E387ACD"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myocardial infarction$.tw.</w:t>
            </w:r>
          </w:p>
        </w:tc>
        <w:tc>
          <w:tcPr>
            <w:tcW w:w="1474" w:type="dxa"/>
            <w:hideMark/>
          </w:tcPr>
          <w:p w14:paraId="17CBE31E"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145835 </w:t>
            </w:r>
          </w:p>
        </w:tc>
      </w:tr>
      <w:tr w:rsidR="00085F3B" w:rsidRPr="00085F3B" w14:paraId="18C4E491"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0FC34170"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16</w:t>
            </w:r>
          </w:p>
        </w:tc>
        <w:tc>
          <w:tcPr>
            <w:tcW w:w="5593" w:type="dxa"/>
            <w:hideMark/>
          </w:tcPr>
          <w:p w14:paraId="50B22DEB"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heart infarction$.tw.</w:t>
            </w:r>
          </w:p>
        </w:tc>
        <w:tc>
          <w:tcPr>
            <w:tcW w:w="1474" w:type="dxa"/>
            <w:hideMark/>
          </w:tcPr>
          <w:p w14:paraId="5E986E1B"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218 </w:t>
            </w:r>
          </w:p>
        </w:tc>
      </w:tr>
      <w:tr w:rsidR="00085F3B" w:rsidRPr="00085F3B" w14:paraId="79EF8821"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54815196"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17</w:t>
            </w:r>
          </w:p>
        </w:tc>
        <w:tc>
          <w:tcPr>
            <w:tcW w:w="5593" w:type="dxa"/>
            <w:hideMark/>
          </w:tcPr>
          <w:p w14:paraId="0023C934"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heart attack$.tw.</w:t>
            </w:r>
          </w:p>
        </w:tc>
        <w:tc>
          <w:tcPr>
            <w:tcW w:w="1474" w:type="dxa"/>
            <w:hideMark/>
          </w:tcPr>
          <w:p w14:paraId="77EA7DF8"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4376 </w:t>
            </w:r>
          </w:p>
        </w:tc>
      </w:tr>
      <w:tr w:rsidR="00085F3B" w:rsidRPr="00085F3B" w14:paraId="4C973A75"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75465DEF"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18</w:t>
            </w:r>
          </w:p>
        </w:tc>
        <w:tc>
          <w:tcPr>
            <w:tcW w:w="5593" w:type="dxa"/>
            <w:hideMark/>
          </w:tcPr>
          <w:p w14:paraId="278E9515"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myocardial infarction/</w:t>
            </w:r>
          </w:p>
        </w:tc>
        <w:tc>
          <w:tcPr>
            <w:tcW w:w="1474" w:type="dxa"/>
            <w:hideMark/>
          </w:tcPr>
          <w:p w14:paraId="23FA18D4"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149423 </w:t>
            </w:r>
          </w:p>
        </w:tc>
      </w:tr>
      <w:tr w:rsidR="00085F3B" w:rsidRPr="00085F3B" w14:paraId="0C957BA5"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60AA723E"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19</w:t>
            </w:r>
          </w:p>
        </w:tc>
        <w:tc>
          <w:tcPr>
            <w:tcW w:w="5593" w:type="dxa"/>
            <w:hideMark/>
          </w:tcPr>
          <w:p w14:paraId="05EDA944"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cerebrovascular accident$.tw.</w:t>
            </w:r>
          </w:p>
        </w:tc>
        <w:tc>
          <w:tcPr>
            <w:tcW w:w="1474" w:type="dxa"/>
            <w:hideMark/>
          </w:tcPr>
          <w:p w14:paraId="09834908"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5550 </w:t>
            </w:r>
          </w:p>
        </w:tc>
      </w:tr>
      <w:tr w:rsidR="00085F3B" w:rsidRPr="00085F3B" w14:paraId="701BF6C6"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5DB52435"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20</w:t>
            </w:r>
          </w:p>
        </w:tc>
        <w:tc>
          <w:tcPr>
            <w:tcW w:w="5593" w:type="dxa"/>
            <w:hideMark/>
          </w:tcPr>
          <w:p w14:paraId="093AF919"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stroke$.tw.</w:t>
            </w:r>
          </w:p>
        </w:tc>
        <w:tc>
          <w:tcPr>
            <w:tcW w:w="1474" w:type="dxa"/>
            <w:hideMark/>
          </w:tcPr>
          <w:p w14:paraId="3672E084"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173130 </w:t>
            </w:r>
          </w:p>
        </w:tc>
      </w:tr>
      <w:tr w:rsidR="00085F3B" w:rsidRPr="00085F3B" w14:paraId="32B810F3"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7BD70D6D"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21</w:t>
            </w:r>
          </w:p>
        </w:tc>
        <w:tc>
          <w:tcPr>
            <w:tcW w:w="5593" w:type="dxa"/>
            <w:hideMark/>
          </w:tcPr>
          <w:p w14:paraId="042B0669"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stroke/</w:t>
            </w:r>
          </w:p>
        </w:tc>
        <w:tc>
          <w:tcPr>
            <w:tcW w:w="1474" w:type="dxa"/>
            <w:hideMark/>
          </w:tcPr>
          <w:p w14:paraId="01A1AEB5"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69428 </w:t>
            </w:r>
          </w:p>
        </w:tc>
      </w:tr>
      <w:tr w:rsidR="00085F3B" w:rsidRPr="00085F3B" w14:paraId="2B184A4E"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5A6F00C9"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22</w:t>
            </w:r>
          </w:p>
        </w:tc>
        <w:tc>
          <w:tcPr>
            <w:tcW w:w="5593" w:type="dxa"/>
            <w:hideMark/>
          </w:tcPr>
          <w:p w14:paraId="6F7E016F"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mortality.tw.</w:t>
            </w:r>
          </w:p>
        </w:tc>
        <w:tc>
          <w:tcPr>
            <w:tcW w:w="1474" w:type="dxa"/>
            <w:hideMark/>
          </w:tcPr>
          <w:p w14:paraId="500A02BF"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530062 </w:t>
            </w:r>
          </w:p>
        </w:tc>
      </w:tr>
      <w:tr w:rsidR="00085F3B" w:rsidRPr="00085F3B" w14:paraId="797594B2"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5DE761E9"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23</w:t>
            </w:r>
          </w:p>
        </w:tc>
        <w:tc>
          <w:tcPr>
            <w:tcW w:w="5593" w:type="dxa"/>
            <w:hideMark/>
          </w:tcPr>
          <w:p w14:paraId="10A3FDBE"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mortality/</w:t>
            </w:r>
          </w:p>
        </w:tc>
        <w:tc>
          <w:tcPr>
            <w:tcW w:w="1474" w:type="dxa"/>
            <w:hideMark/>
          </w:tcPr>
          <w:p w14:paraId="7E4A0A2E"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36648 </w:t>
            </w:r>
          </w:p>
        </w:tc>
      </w:tr>
      <w:tr w:rsidR="00085F3B" w:rsidRPr="00085F3B" w14:paraId="09FD1FE1"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2ED678F6"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24</w:t>
            </w:r>
          </w:p>
        </w:tc>
        <w:tc>
          <w:tcPr>
            <w:tcW w:w="5593" w:type="dxa"/>
            <w:hideMark/>
          </w:tcPr>
          <w:p w14:paraId="74EB386D"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death$.tw.</w:t>
            </w:r>
          </w:p>
        </w:tc>
        <w:tc>
          <w:tcPr>
            <w:tcW w:w="1474" w:type="dxa"/>
            <w:hideMark/>
          </w:tcPr>
          <w:p w14:paraId="7EE09D3D"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606795 </w:t>
            </w:r>
          </w:p>
        </w:tc>
      </w:tr>
      <w:tr w:rsidR="00085F3B" w:rsidRPr="00085F3B" w14:paraId="119BA469"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4EBCB1CF"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25</w:t>
            </w:r>
          </w:p>
        </w:tc>
        <w:tc>
          <w:tcPr>
            <w:tcW w:w="5593" w:type="dxa"/>
            <w:hideMark/>
          </w:tcPr>
          <w:p w14:paraId="37FE3F72"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death/</w:t>
            </w:r>
          </w:p>
        </w:tc>
        <w:tc>
          <w:tcPr>
            <w:tcW w:w="1474" w:type="dxa"/>
            <w:hideMark/>
          </w:tcPr>
          <w:p w14:paraId="2FD4CBD0"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12620 </w:t>
            </w:r>
          </w:p>
        </w:tc>
      </w:tr>
      <w:tr w:rsidR="00085F3B" w:rsidRPr="00085F3B" w14:paraId="069DDD3B"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1AFF0C51"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26</w:t>
            </w:r>
          </w:p>
        </w:tc>
        <w:tc>
          <w:tcPr>
            <w:tcW w:w="5593" w:type="dxa"/>
            <w:hideMark/>
          </w:tcPr>
          <w:p w14:paraId="45882D6F"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cardiovascular mortality/</w:t>
            </w:r>
          </w:p>
        </w:tc>
        <w:tc>
          <w:tcPr>
            <w:tcW w:w="1474" w:type="dxa"/>
            <w:hideMark/>
          </w:tcPr>
          <w:p w14:paraId="1443C309"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0 </w:t>
            </w:r>
          </w:p>
        </w:tc>
      </w:tr>
      <w:tr w:rsidR="00085F3B" w:rsidRPr="00085F3B" w14:paraId="0C99A546"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713CD34F"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27</w:t>
            </w:r>
          </w:p>
        </w:tc>
        <w:tc>
          <w:tcPr>
            <w:tcW w:w="5593" w:type="dxa"/>
            <w:hideMark/>
          </w:tcPr>
          <w:p w14:paraId="4583645A"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or/15-26</w:t>
            </w:r>
          </w:p>
        </w:tc>
        <w:tc>
          <w:tcPr>
            <w:tcW w:w="1474" w:type="dxa"/>
            <w:hideMark/>
          </w:tcPr>
          <w:p w14:paraId="5CADA4D7"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1318764 </w:t>
            </w:r>
          </w:p>
        </w:tc>
      </w:tr>
      <w:tr w:rsidR="00085F3B" w:rsidRPr="00085F3B" w14:paraId="672194F2"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7D6627BF"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28</w:t>
            </w:r>
          </w:p>
        </w:tc>
        <w:tc>
          <w:tcPr>
            <w:tcW w:w="5593" w:type="dxa"/>
            <w:hideMark/>
          </w:tcPr>
          <w:p w14:paraId="530FC8DD"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14 and 27</w:t>
            </w:r>
          </w:p>
        </w:tc>
        <w:tc>
          <w:tcPr>
            <w:tcW w:w="1474" w:type="dxa"/>
            <w:hideMark/>
          </w:tcPr>
          <w:p w14:paraId="1F99B781"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1601 </w:t>
            </w:r>
          </w:p>
        </w:tc>
      </w:tr>
      <w:tr w:rsidR="00085F3B" w:rsidRPr="00085F3B" w14:paraId="228E3D84"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0E5BF3E4"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29</w:t>
            </w:r>
          </w:p>
        </w:tc>
        <w:tc>
          <w:tcPr>
            <w:tcW w:w="5593" w:type="dxa"/>
            <w:hideMark/>
          </w:tcPr>
          <w:p w14:paraId="78A81B7C"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limit 28 to (english language and humans)</w:t>
            </w:r>
          </w:p>
        </w:tc>
        <w:tc>
          <w:tcPr>
            <w:tcW w:w="1474" w:type="dxa"/>
            <w:hideMark/>
          </w:tcPr>
          <w:p w14:paraId="643363F3"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1188 </w:t>
            </w:r>
          </w:p>
        </w:tc>
      </w:tr>
      <w:tr w:rsidR="00085F3B" w:rsidRPr="00085F3B" w14:paraId="27169000"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45DABB6F"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30</w:t>
            </w:r>
          </w:p>
        </w:tc>
        <w:tc>
          <w:tcPr>
            <w:tcW w:w="5593" w:type="dxa"/>
            <w:hideMark/>
          </w:tcPr>
          <w:p w14:paraId="735559ED"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limit 29 to yr="1980 -Current"</w:t>
            </w:r>
          </w:p>
        </w:tc>
        <w:tc>
          <w:tcPr>
            <w:tcW w:w="1474" w:type="dxa"/>
            <w:hideMark/>
          </w:tcPr>
          <w:p w14:paraId="2C67D9AD"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1182 </w:t>
            </w:r>
          </w:p>
        </w:tc>
      </w:tr>
      <w:tr w:rsidR="00085F3B" w:rsidRPr="00085F3B" w14:paraId="6669FBD2"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279F14C9"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31</w:t>
            </w:r>
          </w:p>
        </w:tc>
        <w:tc>
          <w:tcPr>
            <w:tcW w:w="5593" w:type="dxa"/>
            <w:hideMark/>
          </w:tcPr>
          <w:p w14:paraId="1CED331F"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Epidemiologic studies/</w:t>
            </w:r>
          </w:p>
        </w:tc>
        <w:tc>
          <w:tcPr>
            <w:tcW w:w="1474" w:type="dxa"/>
            <w:hideMark/>
          </w:tcPr>
          <w:p w14:paraId="52CEE668"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6448 </w:t>
            </w:r>
          </w:p>
        </w:tc>
      </w:tr>
      <w:tr w:rsidR="00085F3B" w:rsidRPr="00085F3B" w14:paraId="2E3325A7"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0AEE918A"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32</w:t>
            </w:r>
          </w:p>
        </w:tc>
        <w:tc>
          <w:tcPr>
            <w:tcW w:w="5593" w:type="dxa"/>
            <w:hideMark/>
          </w:tcPr>
          <w:p w14:paraId="7D522456"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exp case control studies/</w:t>
            </w:r>
          </w:p>
        </w:tc>
        <w:tc>
          <w:tcPr>
            <w:tcW w:w="1474" w:type="dxa"/>
            <w:hideMark/>
          </w:tcPr>
          <w:p w14:paraId="5348E2D7"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762625 </w:t>
            </w:r>
          </w:p>
        </w:tc>
      </w:tr>
      <w:tr w:rsidR="00085F3B" w:rsidRPr="00085F3B" w14:paraId="6945C224"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7B383F72"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lastRenderedPageBreak/>
              <w:t>33</w:t>
            </w:r>
          </w:p>
        </w:tc>
        <w:tc>
          <w:tcPr>
            <w:tcW w:w="5593" w:type="dxa"/>
            <w:hideMark/>
          </w:tcPr>
          <w:p w14:paraId="37E6F911"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exp cohort studies/</w:t>
            </w:r>
          </w:p>
        </w:tc>
        <w:tc>
          <w:tcPr>
            <w:tcW w:w="1474" w:type="dxa"/>
            <w:hideMark/>
          </w:tcPr>
          <w:p w14:paraId="32EDD65F"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1512988 </w:t>
            </w:r>
          </w:p>
        </w:tc>
      </w:tr>
      <w:tr w:rsidR="00085F3B" w:rsidRPr="00085F3B" w14:paraId="085A7383"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3435D1CB"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34</w:t>
            </w:r>
          </w:p>
        </w:tc>
        <w:tc>
          <w:tcPr>
            <w:tcW w:w="5593" w:type="dxa"/>
            <w:hideMark/>
          </w:tcPr>
          <w:p w14:paraId="0FBE361C"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Case control.tw.</w:t>
            </w:r>
          </w:p>
        </w:tc>
        <w:tc>
          <w:tcPr>
            <w:tcW w:w="1474" w:type="dxa"/>
            <w:hideMark/>
          </w:tcPr>
          <w:p w14:paraId="0F2E9017"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90849 </w:t>
            </w:r>
          </w:p>
        </w:tc>
      </w:tr>
      <w:tr w:rsidR="00085F3B" w:rsidRPr="00085F3B" w14:paraId="273D2028"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110E2210"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35</w:t>
            </w:r>
          </w:p>
        </w:tc>
        <w:tc>
          <w:tcPr>
            <w:tcW w:w="5593" w:type="dxa"/>
            <w:hideMark/>
          </w:tcPr>
          <w:p w14:paraId="663D7F80"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(cohort adj (study or studies)).tw.</w:t>
            </w:r>
          </w:p>
        </w:tc>
        <w:tc>
          <w:tcPr>
            <w:tcW w:w="1474" w:type="dxa"/>
            <w:hideMark/>
          </w:tcPr>
          <w:p w14:paraId="60513A79"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110344 </w:t>
            </w:r>
          </w:p>
        </w:tc>
      </w:tr>
      <w:tr w:rsidR="00085F3B" w:rsidRPr="00085F3B" w14:paraId="512D8364"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6F075D18"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36</w:t>
            </w:r>
          </w:p>
        </w:tc>
        <w:tc>
          <w:tcPr>
            <w:tcW w:w="5593" w:type="dxa"/>
            <w:hideMark/>
          </w:tcPr>
          <w:p w14:paraId="088B5543"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Cohort analy$.tw.</w:t>
            </w:r>
          </w:p>
        </w:tc>
        <w:tc>
          <w:tcPr>
            <w:tcW w:w="1474" w:type="dxa"/>
            <w:hideMark/>
          </w:tcPr>
          <w:p w14:paraId="6452A269"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4554 </w:t>
            </w:r>
          </w:p>
        </w:tc>
      </w:tr>
      <w:tr w:rsidR="00085F3B" w:rsidRPr="00085F3B" w14:paraId="00B50402"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5A1666B9"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37</w:t>
            </w:r>
          </w:p>
        </w:tc>
        <w:tc>
          <w:tcPr>
            <w:tcW w:w="5593" w:type="dxa"/>
            <w:hideMark/>
          </w:tcPr>
          <w:p w14:paraId="286FA76B"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(Follow up adj (study or studies)).tw.</w:t>
            </w:r>
          </w:p>
        </w:tc>
        <w:tc>
          <w:tcPr>
            <w:tcW w:w="1474" w:type="dxa"/>
            <w:hideMark/>
          </w:tcPr>
          <w:p w14:paraId="5E767009"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40507 </w:t>
            </w:r>
          </w:p>
        </w:tc>
      </w:tr>
      <w:tr w:rsidR="00085F3B" w:rsidRPr="00085F3B" w14:paraId="6C6B1BC2"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3B676212"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38</w:t>
            </w:r>
          </w:p>
        </w:tc>
        <w:tc>
          <w:tcPr>
            <w:tcW w:w="5593" w:type="dxa"/>
            <w:hideMark/>
          </w:tcPr>
          <w:p w14:paraId="082A1FDD"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(observational adj (study or studies)).tw.</w:t>
            </w:r>
          </w:p>
        </w:tc>
        <w:tc>
          <w:tcPr>
            <w:tcW w:w="1474" w:type="dxa"/>
            <w:hideMark/>
          </w:tcPr>
          <w:p w14:paraId="53151FA0"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57146 </w:t>
            </w:r>
          </w:p>
        </w:tc>
      </w:tr>
      <w:tr w:rsidR="00085F3B" w:rsidRPr="00085F3B" w14:paraId="41221ABF"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6414CB20"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39</w:t>
            </w:r>
          </w:p>
        </w:tc>
        <w:tc>
          <w:tcPr>
            <w:tcW w:w="5593" w:type="dxa"/>
            <w:hideMark/>
          </w:tcPr>
          <w:p w14:paraId="0CC168F7"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Longitudinal.tw.</w:t>
            </w:r>
          </w:p>
        </w:tc>
        <w:tc>
          <w:tcPr>
            <w:tcW w:w="1474" w:type="dxa"/>
            <w:hideMark/>
          </w:tcPr>
          <w:p w14:paraId="72E47324"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164309 </w:t>
            </w:r>
          </w:p>
        </w:tc>
      </w:tr>
      <w:tr w:rsidR="00085F3B" w:rsidRPr="00085F3B" w14:paraId="6E52E156"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5468F62A"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40</w:t>
            </w:r>
          </w:p>
        </w:tc>
        <w:tc>
          <w:tcPr>
            <w:tcW w:w="5593" w:type="dxa"/>
            <w:hideMark/>
          </w:tcPr>
          <w:p w14:paraId="59B88EDC"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Retrospective.tw.</w:t>
            </w:r>
          </w:p>
        </w:tc>
        <w:tc>
          <w:tcPr>
            <w:tcW w:w="1474" w:type="dxa"/>
            <w:hideMark/>
          </w:tcPr>
          <w:p w14:paraId="184D7374"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327471 </w:t>
            </w:r>
          </w:p>
        </w:tc>
      </w:tr>
      <w:tr w:rsidR="00085F3B" w:rsidRPr="00085F3B" w14:paraId="4B5C47C6"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7C9B82EB"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41</w:t>
            </w:r>
          </w:p>
        </w:tc>
        <w:tc>
          <w:tcPr>
            <w:tcW w:w="5593" w:type="dxa"/>
            <w:hideMark/>
          </w:tcPr>
          <w:p w14:paraId="74FA7A1D"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Cross sectional.tw.</w:t>
            </w:r>
          </w:p>
        </w:tc>
        <w:tc>
          <w:tcPr>
            <w:tcW w:w="1474" w:type="dxa"/>
            <w:hideMark/>
          </w:tcPr>
          <w:p w14:paraId="482B9768"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207413 </w:t>
            </w:r>
          </w:p>
        </w:tc>
      </w:tr>
      <w:tr w:rsidR="00085F3B" w:rsidRPr="00085F3B" w14:paraId="58333B7C"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2E3A4C59"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42</w:t>
            </w:r>
          </w:p>
        </w:tc>
        <w:tc>
          <w:tcPr>
            <w:tcW w:w="5593" w:type="dxa"/>
            <w:hideMark/>
          </w:tcPr>
          <w:p w14:paraId="0D8FCEDF"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Cross-sectional studies/</w:t>
            </w:r>
          </w:p>
        </w:tc>
        <w:tc>
          <w:tcPr>
            <w:tcW w:w="1474" w:type="dxa"/>
            <w:hideMark/>
          </w:tcPr>
          <w:p w14:paraId="61000100"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207789 </w:t>
            </w:r>
          </w:p>
        </w:tc>
      </w:tr>
      <w:tr w:rsidR="00085F3B" w:rsidRPr="00085F3B" w14:paraId="4688BE1A"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407DDFC2"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43</w:t>
            </w:r>
          </w:p>
        </w:tc>
        <w:tc>
          <w:tcPr>
            <w:tcW w:w="5593" w:type="dxa"/>
            <w:hideMark/>
          </w:tcPr>
          <w:p w14:paraId="37FDFBE8"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or/31-42</w:t>
            </w:r>
          </w:p>
        </w:tc>
        <w:tc>
          <w:tcPr>
            <w:tcW w:w="1474" w:type="dxa"/>
            <w:hideMark/>
          </w:tcPr>
          <w:p w14:paraId="25B5B25F"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2157945 </w:t>
            </w:r>
          </w:p>
        </w:tc>
      </w:tr>
      <w:tr w:rsidR="00085F3B" w:rsidRPr="00085F3B" w14:paraId="1CC4511B"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06F1D240"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44</w:t>
            </w:r>
          </w:p>
        </w:tc>
        <w:tc>
          <w:tcPr>
            <w:tcW w:w="5593" w:type="dxa"/>
            <w:hideMark/>
          </w:tcPr>
          <w:p w14:paraId="061B9CD2"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Meta-Analysis as Topic/</w:t>
            </w:r>
          </w:p>
        </w:tc>
        <w:tc>
          <w:tcPr>
            <w:tcW w:w="1474" w:type="dxa"/>
            <w:hideMark/>
          </w:tcPr>
          <w:p w14:paraId="6C5BE746"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15046 </w:t>
            </w:r>
          </w:p>
        </w:tc>
      </w:tr>
      <w:tr w:rsidR="00085F3B" w:rsidRPr="00085F3B" w14:paraId="1A0B0F4C"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32684935"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45</w:t>
            </w:r>
          </w:p>
        </w:tc>
        <w:tc>
          <w:tcPr>
            <w:tcW w:w="5593" w:type="dxa"/>
            <w:hideMark/>
          </w:tcPr>
          <w:p w14:paraId="65CD4C45"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meta analy$.tw.</w:t>
            </w:r>
          </w:p>
        </w:tc>
        <w:tc>
          <w:tcPr>
            <w:tcW w:w="1474" w:type="dxa"/>
            <w:hideMark/>
          </w:tcPr>
          <w:p w14:paraId="0FF3E0FD"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84578 </w:t>
            </w:r>
          </w:p>
        </w:tc>
      </w:tr>
      <w:tr w:rsidR="00085F3B" w:rsidRPr="00085F3B" w14:paraId="254912B7"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355691BB"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46</w:t>
            </w:r>
          </w:p>
        </w:tc>
        <w:tc>
          <w:tcPr>
            <w:tcW w:w="5593" w:type="dxa"/>
            <w:hideMark/>
          </w:tcPr>
          <w:p w14:paraId="55217279"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metaanaly$.tw.</w:t>
            </w:r>
          </w:p>
        </w:tc>
        <w:tc>
          <w:tcPr>
            <w:tcW w:w="1474" w:type="dxa"/>
            <w:hideMark/>
          </w:tcPr>
          <w:p w14:paraId="7F3166FE"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1540 </w:t>
            </w:r>
          </w:p>
        </w:tc>
      </w:tr>
      <w:tr w:rsidR="00085F3B" w:rsidRPr="00085F3B" w14:paraId="6E839183"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7F5FB471"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47</w:t>
            </w:r>
          </w:p>
        </w:tc>
        <w:tc>
          <w:tcPr>
            <w:tcW w:w="5593" w:type="dxa"/>
            <w:hideMark/>
          </w:tcPr>
          <w:p w14:paraId="159A5B93"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Meta-Analysis/</w:t>
            </w:r>
          </w:p>
        </w:tc>
        <w:tc>
          <w:tcPr>
            <w:tcW w:w="1474" w:type="dxa"/>
            <w:hideMark/>
          </w:tcPr>
          <w:p w14:paraId="5DB7C814"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62186 </w:t>
            </w:r>
          </w:p>
        </w:tc>
      </w:tr>
      <w:tr w:rsidR="00085F3B" w:rsidRPr="00085F3B" w14:paraId="15613A72"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48723E28"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48</w:t>
            </w:r>
          </w:p>
        </w:tc>
        <w:tc>
          <w:tcPr>
            <w:tcW w:w="5593" w:type="dxa"/>
            <w:hideMark/>
          </w:tcPr>
          <w:p w14:paraId="61C77034"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(systematic adj (review$1 or overview$1)).tw.</w:t>
            </w:r>
          </w:p>
        </w:tc>
        <w:tc>
          <w:tcPr>
            <w:tcW w:w="1474" w:type="dxa"/>
            <w:hideMark/>
          </w:tcPr>
          <w:p w14:paraId="3B285568"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73746 </w:t>
            </w:r>
          </w:p>
        </w:tc>
      </w:tr>
      <w:tr w:rsidR="00085F3B" w:rsidRPr="00085F3B" w14:paraId="5D9E1448"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4E0BDBB7"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49</w:t>
            </w:r>
          </w:p>
        </w:tc>
        <w:tc>
          <w:tcPr>
            <w:tcW w:w="5593" w:type="dxa"/>
            <w:hideMark/>
          </w:tcPr>
          <w:p w14:paraId="37F8CD14"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exp Review Literature as Topic/</w:t>
            </w:r>
          </w:p>
        </w:tc>
        <w:tc>
          <w:tcPr>
            <w:tcW w:w="1474" w:type="dxa"/>
            <w:hideMark/>
          </w:tcPr>
          <w:p w14:paraId="5EE04AAF"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8485 </w:t>
            </w:r>
          </w:p>
        </w:tc>
      </w:tr>
      <w:tr w:rsidR="00085F3B" w:rsidRPr="00085F3B" w14:paraId="1921EC44"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147CFFE6"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50</w:t>
            </w:r>
          </w:p>
        </w:tc>
        <w:tc>
          <w:tcPr>
            <w:tcW w:w="5593" w:type="dxa"/>
            <w:hideMark/>
          </w:tcPr>
          <w:p w14:paraId="1A71EA0E"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or/44-49</w:t>
            </w:r>
          </w:p>
        </w:tc>
        <w:tc>
          <w:tcPr>
            <w:tcW w:w="1474" w:type="dxa"/>
            <w:hideMark/>
          </w:tcPr>
          <w:p w14:paraId="1F2CEA36"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158682 </w:t>
            </w:r>
          </w:p>
        </w:tc>
      </w:tr>
      <w:tr w:rsidR="00085F3B" w:rsidRPr="00085F3B" w14:paraId="72CF60CA"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4571AD97"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51</w:t>
            </w:r>
          </w:p>
        </w:tc>
        <w:tc>
          <w:tcPr>
            <w:tcW w:w="5593" w:type="dxa"/>
            <w:hideMark/>
          </w:tcPr>
          <w:p w14:paraId="351D5F3C"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cochrane.ab.</w:t>
            </w:r>
          </w:p>
        </w:tc>
        <w:tc>
          <w:tcPr>
            <w:tcW w:w="1474" w:type="dxa"/>
            <w:hideMark/>
          </w:tcPr>
          <w:p w14:paraId="42DB516B"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40289 </w:t>
            </w:r>
          </w:p>
        </w:tc>
      </w:tr>
      <w:tr w:rsidR="00085F3B" w:rsidRPr="00085F3B" w14:paraId="6A334032"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18C12D4E"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52</w:t>
            </w:r>
          </w:p>
        </w:tc>
        <w:tc>
          <w:tcPr>
            <w:tcW w:w="5593" w:type="dxa"/>
            <w:hideMark/>
          </w:tcPr>
          <w:p w14:paraId="45F3CFFE"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embase.ab.</w:t>
            </w:r>
          </w:p>
        </w:tc>
        <w:tc>
          <w:tcPr>
            <w:tcW w:w="1474" w:type="dxa"/>
            <w:hideMark/>
          </w:tcPr>
          <w:p w14:paraId="357F2821"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40550 </w:t>
            </w:r>
          </w:p>
        </w:tc>
      </w:tr>
      <w:tr w:rsidR="00085F3B" w:rsidRPr="00085F3B" w14:paraId="76D9A03F"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4B329F92"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53</w:t>
            </w:r>
          </w:p>
        </w:tc>
        <w:tc>
          <w:tcPr>
            <w:tcW w:w="5593" w:type="dxa"/>
            <w:hideMark/>
          </w:tcPr>
          <w:p w14:paraId="702082F8"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(psychlit or psyclit).ab.</w:t>
            </w:r>
          </w:p>
        </w:tc>
        <w:tc>
          <w:tcPr>
            <w:tcW w:w="1474" w:type="dxa"/>
            <w:hideMark/>
          </w:tcPr>
          <w:p w14:paraId="2A4D699E"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898 </w:t>
            </w:r>
          </w:p>
        </w:tc>
      </w:tr>
      <w:tr w:rsidR="00085F3B" w:rsidRPr="00085F3B" w14:paraId="527CB03D"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15E58687"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54</w:t>
            </w:r>
          </w:p>
        </w:tc>
        <w:tc>
          <w:tcPr>
            <w:tcW w:w="5593" w:type="dxa"/>
            <w:hideMark/>
          </w:tcPr>
          <w:p w14:paraId="2166A36A"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(psychinfo or psycinfo).ab.</w:t>
            </w:r>
          </w:p>
        </w:tc>
        <w:tc>
          <w:tcPr>
            <w:tcW w:w="1474" w:type="dxa"/>
            <w:hideMark/>
          </w:tcPr>
          <w:p w14:paraId="7997E016"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10418 </w:t>
            </w:r>
          </w:p>
        </w:tc>
      </w:tr>
      <w:tr w:rsidR="00085F3B" w:rsidRPr="00085F3B" w14:paraId="59DEBFA5"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148204EE"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55</w:t>
            </w:r>
          </w:p>
        </w:tc>
        <w:tc>
          <w:tcPr>
            <w:tcW w:w="5593" w:type="dxa"/>
            <w:hideMark/>
          </w:tcPr>
          <w:p w14:paraId="5B03E019"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(cinahl or cinhal).ab.</w:t>
            </w:r>
          </w:p>
        </w:tc>
        <w:tc>
          <w:tcPr>
            <w:tcW w:w="1474" w:type="dxa"/>
            <w:hideMark/>
          </w:tcPr>
          <w:p w14:paraId="3EB8FD6B"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13468 </w:t>
            </w:r>
          </w:p>
        </w:tc>
      </w:tr>
      <w:tr w:rsidR="00085F3B" w:rsidRPr="00085F3B" w14:paraId="59C765E0"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516B0B9C"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56</w:t>
            </w:r>
          </w:p>
        </w:tc>
        <w:tc>
          <w:tcPr>
            <w:tcW w:w="5593" w:type="dxa"/>
            <w:hideMark/>
          </w:tcPr>
          <w:p w14:paraId="12A94461"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science citation index.ab.</w:t>
            </w:r>
          </w:p>
        </w:tc>
        <w:tc>
          <w:tcPr>
            <w:tcW w:w="1474" w:type="dxa"/>
            <w:hideMark/>
          </w:tcPr>
          <w:p w14:paraId="02B0F583"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2338 </w:t>
            </w:r>
          </w:p>
        </w:tc>
      </w:tr>
      <w:tr w:rsidR="00085F3B" w:rsidRPr="00085F3B" w14:paraId="3754E905"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519C2090"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57</w:t>
            </w:r>
          </w:p>
        </w:tc>
        <w:tc>
          <w:tcPr>
            <w:tcW w:w="5593" w:type="dxa"/>
            <w:hideMark/>
          </w:tcPr>
          <w:p w14:paraId="6D9A0B27"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bids.ab.</w:t>
            </w:r>
          </w:p>
        </w:tc>
        <w:tc>
          <w:tcPr>
            <w:tcW w:w="1474" w:type="dxa"/>
            <w:hideMark/>
          </w:tcPr>
          <w:p w14:paraId="49AAC503"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384 </w:t>
            </w:r>
          </w:p>
        </w:tc>
      </w:tr>
      <w:tr w:rsidR="00085F3B" w:rsidRPr="00085F3B" w14:paraId="4BA4C29D"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4F7C31FE"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58</w:t>
            </w:r>
          </w:p>
        </w:tc>
        <w:tc>
          <w:tcPr>
            <w:tcW w:w="5593" w:type="dxa"/>
            <w:hideMark/>
          </w:tcPr>
          <w:p w14:paraId="6A96BA8F"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cancerlit.ab.</w:t>
            </w:r>
          </w:p>
        </w:tc>
        <w:tc>
          <w:tcPr>
            <w:tcW w:w="1474" w:type="dxa"/>
            <w:hideMark/>
          </w:tcPr>
          <w:p w14:paraId="337FDF42"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612 </w:t>
            </w:r>
          </w:p>
        </w:tc>
      </w:tr>
      <w:tr w:rsidR="00085F3B" w:rsidRPr="00085F3B" w14:paraId="651E012E"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0ACAE07F"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59</w:t>
            </w:r>
          </w:p>
        </w:tc>
        <w:tc>
          <w:tcPr>
            <w:tcW w:w="5593" w:type="dxa"/>
            <w:hideMark/>
          </w:tcPr>
          <w:p w14:paraId="24132B59"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or/51-58</w:t>
            </w:r>
          </w:p>
        </w:tc>
        <w:tc>
          <w:tcPr>
            <w:tcW w:w="1474" w:type="dxa"/>
            <w:hideMark/>
          </w:tcPr>
          <w:p w14:paraId="0E72CC8D"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64423 </w:t>
            </w:r>
          </w:p>
        </w:tc>
      </w:tr>
      <w:tr w:rsidR="00085F3B" w:rsidRPr="00085F3B" w14:paraId="23B6EB04"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4B20383F"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60</w:t>
            </w:r>
          </w:p>
        </w:tc>
        <w:tc>
          <w:tcPr>
            <w:tcW w:w="5593" w:type="dxa"/>
            <w:hideMark/>
          </w:tcPr>
          <w:p w14:paraId="2E1AB05D"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reference list$.ab.</w:t>
            </w:r>
          </w:p>
        </w:tc>
        <w:tc>
          <w:tcPr>
            <w:tcW w:w="1474" w:type="dxa"/>
            <w:hideMark/>
          </w:tcPr>
          <w:p w14:paraId="50ECB3B4"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11860 </w:t>
            </w:r>
          </w:p>
        </w:tc>
      </w:tr>
      <w:tr w:rsidR="00085F3B" w:rsidRPr="00085F3B" w14:paraId="1406A886"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3B62BE23"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61</w:t>
            </w:r>
          </w:p>
        </w:tc>
        <w:tc>
          <w:tcPr>
            <w:tcW w:w="5593" w:type="dxa"/>
            <w:hideMark/>
          </w:tcPr>
          <w:p w14:paraId="56251BB5"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bibliograph$.ab.</w:t>
            </w:r>
          </w:p>
        </w:tc>
        <w:tc>
          <w:tcPr>
            <w:tcW w:w="1474" w:type="dxa"/>
            <w:hideMark/>
          </w:tcPr>
          <w:p w14:paraId="68A4C42C"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13096 </w:t>
            </w:r>
          </w:p>
        </w:tc>
      </w:tr>
      <w:tr w:rsidR="00085F3B" w:rsidRPr="00085F3B" w14:paraId="00F7DE3F"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5E7BDCAB"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62</w:t>
            </w:r>
          </w:p>
        </w:tc>
        <w:tc>
          <w:tcPr>
            <w:tcW w:w="5593" w:type="dxa"/>
            <w:hideMark/>
          </w:tcPr>
          <w:p w14:paraId="50CD6A9B"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hand-search$.ab.</w:t>
            </w:r>
          </w:p>
        </w:tc>
        <w:tc>
          <w:tcPr>
            <w:tcW w:w="1474" w:type="dxa"/>
            <w:hideMark/>
          </w:tcPr>
          <w:p w14:paraId="737F9805"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4680 </w:t>
            </w:r>
          </w:p>
        </w:tc>
      </w:tr>
      <w:tr w:rsidR="00085F3B" w:rsidRPr="00085F3B" w14:paraId="47928343"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4015D60D"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63</w:t>
            </w:r>
          </w:p>
        </w:tc>
        <w:tc>
          <w:tcPr>
            <w:tcW w:w="5593" w:type="dxa"/>
            <w:hideMark/>
          </w:tcPr>
          <w:p w14:paraId="20C18F49"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relevant journals.ab.</w:t>
            </w:r>
          </w:p>
        </w:tc>
        <w:tc>
          <w:tcPr>
            <w:tcW w:w="1474" w:type="dxa"/>
            <w:hideMark/>
          </w:tcPr>
          <w:p w14:paraId="3CA2AB4D"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853 </w:t>
            </w:r>
          </w:p>
        </w:tc>
      </w:tr>
      <w:tr w:rsidR="00085F3B" w:rsidRPr="00085F3B" w14:paraId="6B57D6DF"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5AC27675"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64</w:t>
            </w:r>
          </w:p>
        </w:tc>
        <w:tc>
          <w:tcPr>
            <w:tcW w:w="5593" w:type="dxa"/>
            <w:hideMark/>
          </w:tcPr>
          <w:p w14:paraId="71474D87"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manual search$.ab.</w:t>
            </w:r>
          </w:p>
        </w:tc>
        <w:tc>
          <w:tcPr>
            <w:tcW w:w="1474" w:type="dxa"/>
            <w:hideMark/>
          </w:tcPr>
          <w:p w14:paraId="57762AE1"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2896 </w:t>
            </w:r>
          </w:p>
        </w:tc>
      </w:tr>
      <w:tr w:rsidR="00085F3B" w:rsidRPr="00085F3B" w14:paraId="35DA6E8B"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23DB20C0"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65</w:t>
            </w:r>
          </w:p>
        </w:tc>
        <w:tc>
          <w:tcPr>
            <w:tcW w:w="5593" w:type="dxa"/>
            <w:hideMark/>
          </w:tcPr>
          <w:p w14:paraId="2884236B"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or/60-64</w:t>
            </w:r>
          </w:p>
        </w:tc>
        <w:tc>
          <w:tcPr>
            <w:tcW w:w="1474" w:type="dxa"/>
            <w:hideMark/>
          </w:tcPr>
          <w:p w14:paraId="704F8627"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29917 </w:t>
            </w:r>
          </w:p>
        </w:tc>
      </w:tr>
      <w:tr w:rsidR="00085F3B" w:rsidRPr="00085F3B" w14:paraId="2EAD041F"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17CFA563"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66</w:t>
            </w:r>
          </w:p>
        </w:tc>
        <w:tc>
          <w:tcPr>
            <w:tcW w:w="5593" w:type="dxa"/>
            <w:hideMark/>
          </w:tcPr>
          <w:p w14:paraId="1408871B"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selection criteria.ab.</w:t>
            </w:r>
          </w:p>
        </w:tc>
        <w:tc>
          <w:tcPr>
            <w:tcW w:w="1474" w:type="dxa"/>
            <w:hideMark/>
          </w:tcPr>
          <w:p w14:paraId="2633DCDE"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22865 </w:t>
            </w:r>
          </w:p>
        </w:tc>
      </w:tr>
      <w:tr w:rsidR="00085F3B" w:rsidRPr="00085F3B" w14:paraId="6D8AA762"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3E83DA13"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67</w:t>
            </w:r>
          </w:p>
        </w:tc>
        <w:tc>
          <w:tcPr>
            <w:tcW w:w="5593" w:type="dxa"/>
            <w:hideMark/>
          </w:tcPr>
          <w:p w14:paraId="6351E94F"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data extraction.ab.</w:t>
            </w:r>
          </w:p>
        </w:tc>
        <w:tc>
          <w:tcPr>
            <w:tcW w:w="1474" w:type="dxa"/>
            <w:hideMark/>
          </w:tcPr>
          <w:p w14:paraId="587076CE"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11912 </w:t>
            </w:r>
          </w:p>
        </w:tc>
      </w:tr>
      <w:tr w:rsidR="00085F3B" w:rsidRPr="00085F3B" w14:paraId="699DD1FB"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7B443FAD"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68</w:t>
            </w:r>
          </w:p>
        </w:tc>
        <w:tc>
          <w:tcPr>
            <w:tcW w:w="5593" w:type="dxa"/>
            <w:hideMark/>
          </w:tcPr>
          <w:p w14:paraId="044BD167"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66 or 67</w:t>
            </w:r>
          </w:p>
        </w:tc>
        <w:tc>
          <w:tcPr>
            <w:tcW w:w="1474" w:type="dxa"/>
            <w:hideMark/>
          </w:tcPr>
          <w:p w14:paraId="6BAD1224"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32947 </w:t>
            </w:r>
          </w:p>
        </w:tc>
      </w:tr>
      <w:tr w:rsidR="00085F3B" w:rsidRPr="00085F3B" w14:paraId="12E1AF34"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668D8164"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69</w:t>
            </w:r>
          </w:p>
        </w:tc>
        <w:tc>
          <w:tcPr>
            <w:tcW w:w="5593" w:type="dxa"/>
            <w:hideMark/>
          </w:tcPr>
          <w:p w14:paraId="5DA9D928"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Review/</w:t>
            </w:r>
          </w:p>
        </w:tc>
        <w:tc>
          <w:tcPr>
            <w:tcW w:w="1474" w:type="dxa"/>
            <w:hideMark/>
          </w:tcPr>
          <w:p w14:paraId="57FCA8B9"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2078265 </w:t>
            </w:r>
          </w:p>
        </w:tc>
      </w:tr>
      <w:tr w:rsidR="00085F3B" w:rsidRPr="00085F3B" w14:paraId="4E6DC57F"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770B2A3D"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70</w:t>
            </w:r>
          </w:p>
        </w:tc>
        <w:tc>
          <w:tcPr>
            <w:tcW w:w="5593" w:type="dxa"/>
            <w:hideMark/>
          </w:tcPr>
          <w:p w14:paraId="026069E3"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68 and 69</w:t>
            </w:r>
          </w:p>
        </w:tc>
        <w:tc>
          <w:tcPr>
            <w:tcW w:w="1474" w:type="dxa"/>
            <w:hideMark/>
          </w:tcPr>
          <w:p w14:paraId="47CAE987"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21919 </w:t>
            </w:r>
          </w:p>
        </w:tc>
      </w:tr>
      <w:tr w:rsidR="00085F3B" w:rsidRPr="00085F3B" w14:paraId="22D992A7"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643E87BB"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71</w:t>
            </w:r>
          </w:p>
        </w:tc>
        <w:tc>
          <w:tcPr>
            <w:tcW w:w="5593" w:type="dxa"/>
            <w:hideMark/>
          </w:tcPr>
          <w:p w14:paraId="4DE9EEAB"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Comment/</w:t>
            </w:r>
          </w:p>
        </w:tc>
        <w:tc>
          <w:tcPr>
            <w:tcW w:w="1474" w:type="dxa"/>
            <w:hideMark/>
          </w:tcPr>
          <w:p w14:paraId="2275F8E1"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673946 </w:t>
            </w:r>
          </w:p>
        </w:tc>
      </w:tr>
      <w:tr w:rsidR="00085F3B" w:rsidRPr="00085F3B" w14:paraId="1780DDC4"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0FDBCC04"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72</w:t>
            </w:r>
          </w:p>
        </w:tc>
        <w:tc>
          <w:tcPr>
            <w:tcW w:w="5593" w:type="dxa"/>
            <w:hideMark/>
          </w:tcPr>
          <w:p w14:paraId="7E2E6388"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Letter/</w:t>
            </w:r>
          </w:p>
        </w:tc>
        <w:tc>
          <w:tcPr>
            <w:tcW w:w="1474" w:type="dxa"/>
            <w:hideMark/>
          </w:tcPr>
          <w:p w14:paraId="54AD4D71"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956717 </w:t>
            </w:r>
          </w:p>
        </w:tc>
      </w:tr>
      <w:tr w:rsidR="00085F3B" w:rsidRPr="00085F3B" w14:paraId="4EAE4B1B"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45C86964"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73</w:t>
            </w:r>
          </w:p>
        </w:tc>
        <w:tc>
          <w:tcPr>
            <w:tcW w:w="5593" w:type="dxa"/>
            <w:hideMark/>
          </w:tcPr>
          <w:p w14:paraId="347FFC38"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Editorial/</w:t>
            </w:r>
          </w:p>
        </w:tc>
        <w:tc>
          <w:tcPr>
            <w:tcW w:w="1474" w:type="dxa"/>
            <w:hideMark/>
          </w:tcPr>
          <w:p w14:paraId="2CFBB07C"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400060 </w:t>
            </w:r>
          </w:p>
        </w:tc>
      </w:tr>
      <w:tr w:rsidR="00085F3B" w:rsidRPr="00085F3B" w14:paraId="44DF019B"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0F841E48"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74</w:t>
            </w:r>
          </w:p>
        </w:tc>
        <w:tc>
          <w:tcPr>
            <w:tcW w:w="5593" w:type="dxa"/>
            <w:hideMark/>
          </w:tcPr>
          <w:p w14:paraId="5A8A70F8"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animal/</w:t>
            </w:r>
          </w:p>
        </w:tc>
        <w:tc>
          <w:tcPr>
            <w:tcW w:w="1474" w:type="dxa"/>
            <w:hideMark/>
          </w:tcPr>
          <w:p w14:paraId="0C1CB882"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5648637 </w:t>
            </w:r>
          </w:p>
        </w:tc>
      </w:tr>
      <w:tr w:rsidR="00085F3B" w:rsidRPr="00085F3B" w14:paraId="63E1FE8F"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3A4D81DB"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75</w:t>
            </w:r>
          </w:p>
        </w:tc>
        <w:tc>
          <w:tcPr>
            <w:tcW w:w="5593" w:type="dxa"/>
            <w:hideMark/>
          </w:tcPr>
          <w:p w14:paraId="4A7B93A3"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human/</w:t>
            </w:r>
          </w:p>
        </w:tc>
        <w:tc>
          <w:tcPr>
            <w:tcW w:w="1474" w:type="dxa"/>
            <w:hideMark/>
          </w:tcPr>
          <w:p w14:paraId="01DBAF55"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14553252 </w:t>
            </w:r>
          </w:p>
        </w:tc>
      </w:tr>
      <w:tr w:rsidR="00085F3B" w:rsidRPr="00085F3B" w14:paraId="524DCDCF"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6FEF9402"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76</w:t>
            </w:r>
          </w:p>
        </w:tc>
        <w:tc>
          <w:tcPr>
            <w:tcW w:w="5593" w:type="dxa"/>
            <w:hideMark/>
          </w:tcPr>
          <w:p w14:paraId="550DFC53"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74 not (74 and 75)</w:t>
            </w:r>
          </w:p>
        </w:tc>
        <w:tc>
          <w:tcPr>
            <w:tcW w:w="1474" w:type="dxa"/>
            <w:hideMark/>
          </w:tcPr>
          <w:p w14:paraId="1495CFB3"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4053214 </w:t>
            </w:r>
          </w:p>
        </w:tc>
      </w:tr>
      <w:tr w:rsidR="00085F3B" w:rsidRPr="00085F3B" w14:paraId="244FA517"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0DDD587E"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77</w:t>
            </w:r>
          </w:p>
        </w:tc>
        <w:tc>
          <w:tcPr>
            <w:tcW w:w="5593" w:type="dxa"/>
            <w:hideMark/>
          </w:tcPr>
          <w:p w14:paraId="7F988886"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or/71-73,76</w:t>
            </w:r>
          </w:p>
        </w:tc>
        <w:tc>
          <w:tcPr>
            <w:tcW w:w="1474" w:type="dxa"/>
            <w:hideMark/>
          </w:tcPr>
          <w:p w14:paraId="19BA8A12"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5514207 </w:t>
            </w:r>
          </w:p>
        </w:tc>
      </w:tr>
      <w:tr w:rsidR="00085F3B" w:rsidRPr="00085F3B" w14:paraId="33426123"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1E7D20F3"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78</w:t>
            </w:r>
          </w:p>
        </w:tc>
        <w:tc>
          <w:tcPr>
            <w:tcW w:w="5593" w:type="dxa"/>
            <w:hideMark/>
          </w:tcPr>
          <w:p w14:paraId="4165C998"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50 or 59 or 65 or 70</w:t>
            </w:r>
          </w:p>
        </w:tc>
        <w:tc>
          <w:tcPr>
            <w:tcW w:w="1474" w:type="dxa"/>
            <w:hideMark/>
          </w:tcPr>
          <w:p w14:paraId="78F39259"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190931 </w:t>
            </w:r>
          </w:p>
        </w:tc>
      </w:tr>
      <w:tr w:rsidR="00085F3B" w:rsidRPr="00085F3B" w14:paraId="144F48B4"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1495387C"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79</w:t>
            </w:r>
          </w:p>
        </w:tc>
        <w:tc>
          <w:tcPr>
            <w:tcW w:w="5593" w:type="dxa"/>
            <w:hideMark/>
          </w:tcPr>
          <w:p w14:paraId="3BA4AC70"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78 not 77</w:t>
            </w:r>
          </w:p>
        </w:tc>
        <w:tc>
          <w:tcPr>
            <w:tcW w:w="1474" w:type="dxa"/>
            <w:hideMark/>
          </w:tcPr>
          <w:p w14:paraId="377811CA"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179513 </w:t>
            </w:r>
          </w:p>
        </w:tc>
      </w:tr>
      <w:tr w:rsidR="00085F3B" w:rsidRPr="00085F3B" w14:paraId="60D4EDE3"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40A4DE75"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80</w:t>
            </w:r>
          </w:p>
        </w:tc>
        <w:tc>
          <w:tcPr>
            <w:tcW w:w="5593" w:type="dxa"/>
            <w:hideMark/>
          </w:tcPr>
          <w:p w14:paraId="0FF709C5"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Randomized Controlled Trials as Topic/</w:t>
            </w:r>
          </w:p>
        </w:tc>
        <w:tc>
          <w:tcPr>
            <w:tcW w:w="1474" w:type="dxa"/>
            <w:hideMark/>
          </w:tcPr>
          <w:p w14:paraId="133E8730"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104215 </w:t>
            </w:r>
          </w:p>
        </w:tc>
      </w:tr>
      <w:tr w:rsidR="00085F3B" w:rsidRPr="00085F3B" w14:paraId="09FC9BC8"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63B7192B"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81</w:t>
            </w:r>
          </w:p>
        </w:tc>
        <w:tc>
          <w:tcPr>
            <w:tcW w:w="5593" w:type="dxa"/>
            <w:hideMark/>
          </w:tcPr>
          <w:p w14:paraId="024D828E"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randomized controlled trial/</w:t>
            </w:r>
          </w:p>
        </w:tc>
        <w:tc>
          <w:tcPr>
            <w:tcW w:w="1474" w:type="dxa"/>
            <w:hideMark/>
          </w:tcPr>
          <w:p w14:paraId="729645B1"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416556 </w:t>
            </w:r>
          </w:p>
        </w:tc>
      </w:tr>
      <w:tr w:rsidR="00085F3B" w:rsidRPr="00085F3B" w14:paraId="22C15880"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3AF0F13E"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lastRenderedPageBreak/>
              <w:t>82</w:t>
            </w:r>
          </w:p>
        </w:tc>
        <w:tc>
          <w:tcPr>
            <w:tcW w:w="5593" w:type="dxa"/>
            <w:hideMark/>
          </w:tcPr>
          <w:p w14:paraId="4863AA18"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Random Allocation/</w:t>
            </w:r>
          </w:p>
        </w:tc>
        <w:tc>
          <w:tcPr>
            <w:tcW w:w="1474" w:type="dxa"/>
            <w:hideMark/>
          </w:tcPr>
          <w:p w14:paraId="32813B01"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86926 </w:t>
            </w:r>
          </w:p>
        </w:tc>
      </w:tr>
      <w:tr w:rsidR="00085F3B" w:rsidRPr="00085F3B" w14:paraId="5C24DB16"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6E6CF6BF"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83</w:t>
            </w:r>
          </w:p>
        </w:tc>
        <w:tc>
          <w:tcPr>
            <w:tcW w:w="5593" w:type="dxa"/>
            <w:hideMark/>
          </w:tcPr>
          <w:p w14:paraId="6542EBD4"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Double Blind Method/</w:t>
            </w:r>
          </w:p>
        </w:tc>
        <w:tc>
          <w:tcPr>
            <w:tcW w:w="1474" w:type="dxa"/>
            <w:hideMark/>
          </w:tcPr>
          <w:p w14:paraId="535E1A54"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136065 </w:t>
            </w:r>
          </w:p>
        </w:tc>
      </w:tr>
      <w:tr w:rsidR="00085F3B" w:rsidRPr="00085F3B" w14:paraId="2F721D33"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0CF5BB47"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84</w:t>
            </w:r>
          </w:p>
        </w:tc>
        <w:tc>
          <w:tcPr>
            <w:tcW w:w="5593" w:type="dxa"/>
            <w:hideMark/>
          </w:tcPr>
          <w:p w14:paraId="4A1E55EE"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Single Blind Method/</w:t>
            </w:r>
          </w:p>
        </w:tc>
        <w:tc>
          <w:tcPr>
            <w:tcW w:w="1474" w:type="dxa"/>
            <w:hideMark/>
          </w:tcPr>
          <w:p w14:paraId="08D35BB6"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21606 </w:t>
            </w:r>
          </w:p>
        </w:tc>
      </w:tr>
      <w:tr w:rsidR="00085F3B" w:rsidRPr="00085F3B" w14:paraId="7BA9D543"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47D6FD53"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85</w:t>
            </w:r>
          </w:p>
        </w:tc>
        <w:tc>
          <w:tcPr>
            <w:tcW w:w="5593" w:type="dxa"/>
            <w:hideMark/>
          </w:tcPr>
          <w:p w14:paraId="1DC14427"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clinical trial/</w:t>
            </w:r>
          </w:p>
        </w:tc>
        <w:tc>
          <w:tcPr>
            <w:tcW w:w="1474" w:type="dxa"/>
            <w:hideMark/>
          </w:tcPr>
          <w:p w14:paraId="1A604E55"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508511 </w:t>
            </w:r>
          </w:p>
        </w:tc>
      </w:tr>
      <w:tr w:rsidR="00085F3B" w:rsidRPr="00085F3B" w14:paraId="7AEBB04F"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3D6768FF"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86</w:t>
            </w:r>
          </w:p>
        </w:tc>
        <w:tc>
          <w:tcPr>
            <w:tcW w:w="5593" w:type="dxa"/>
            <w:hideMark/>
          </w:tcPr>
          <w:p w14:paraId="4333C9A4"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clinical trial, phase i.pt.</w:t>
            </w:r>
          </w:p>
        </w:tc>
        <w:tc>
          <w:tcPr>
            <w:tcW w:w="1474" w:type="dxa"/>
            <w:hideMark/>
          </w:tcPr>
          <w:p w14:paraId="34CB6B9A"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16133 </w:t>
            </w:r>
          </w:p>
        </w:tc>
      </w:tr>
      <w:tr w:rsidR="00085F3B" w:rsidRPr="00085F3B" w14:paraId="35A88182"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3ED7BDD6"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87</w:t>
            </w:r>
          </w:p>
        </w:tc>
        <w:tc>
          <w:tcPr>
            <w:tcW w:w="5593" w:type="dxa"/>
            <w:hideMark/>
          </w:tcPr>
          <w:p w14:paraId="759A8D63"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clinical trial, phase ii.pt.</w:t>
            </w:r>
          </w:p>
        </w:tc>
        <w:tc>
          <w:tcPr>
            <w:tcW w:w="1474" w:type="dxa"/>
            <w:hideMark/>
          </w:tcPr>
          <w:p w14:paraId="452EF637"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25900 </w:t>
            </w:r>
          </w:p>
        </w:tc>
      </w:tr>
      <w:tr w:rsidR="00085F3B" w:rsidRPr="00085F3B" w14:paraId="13873AB6"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1C7D36CA"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88</w:t>
            </w:r>
          </w:p>
        </w:tc>
        <w:tc>
          <w:tcPr>
            <w:tcW w:w="5593" w:type="dxa"/>
            <w:hideMark/>
          </w:tcPr>
          <w:p w14:paraId="0AAB9FB4"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clinical trial, phase iii.pt.</w:t>
            </w:r>
          </w:p>
        </w:tc>
        <w:tc>
          <w:tcPr>
            <w:tcW w:w="1474" w:type="dxa"/>
            <w:hideMark/>
          </w:tcPr>
          <w:p w14:paraId="751A7855"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10999 </w:t>
            </w:r>
          </w:p>
        </w:tc>
      </w:tr>
      <w:tr w:rsidR="00085F3B" w:rsidRPr="00085F3B" w14:paraId="10506629"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45E405E6"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89</w:t>
            </w:r>
          </w:p>
        </w:tc>
        <w:tc>
          <w:tcPr>
            <w:tcW w:w="5593" w:type="dxa"/>
            <w:hideMark/>
          </w:tcPr>
          <w:p w14:paraId="57C321B8"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clinical trial, phase iv.pt.</w:t>
            </w:r>
          </w:p>
        </w:tc>
        <w:tc>
          <w:tcPr>
            <w:tcW w:w="1474" w:type="dxa"/>
            <w:hideMark/>
          </w:tcPr>
          <w:p w14:paraId="73F16F86"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1103 </w:t>
            </w:r>
          </w:p>
        </w:tc>
      </w:tr>
      <w:tr w:rsidR="00085F3B" w:rsidRPr="00085F3B" w14:paraId="50977276"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776BFDBF"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90</w:t>
            </w:r>
          </w:p>
        </w:tc>
        <w:tc>
          <w:tcPr>
            <w:tcW w:w="5593" w:type="dxa"/>
            <w:hideMark/>
          </w:tcPr>
          <w:p w14:paraId="04F273D6"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controlled clinical trial.pt.</w:t>
            </w:r>
          </w:p>
        </w:tc>
        <w:tc>
          <w:tcPr>
            <w:tcW w:w="1474" w:type="dxa"/>
            <w:hideMark/>
          </w:tcPr>
          <w:p w14:paraId="64529E80"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92193 </w:t>
            </w:r>
          </w:p>
        </w:tc>
      </w:tr>
      <w:tr w:rsidR="00085F3B" w:rsidRPr="00085F3B" w14:paraId="6448AA05"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5D0EEA2A"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91</w:t>
            </w:r>
          </w:p>
        </w:tc>
        <w:tc>
          <w:tcPr>
            <w:tcW w:w="5593" w:type="dxa"/>
            <w:hideMark/>
          </w:tcPr>
          <w:p w14:paraId="203A2A2C"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randomized controlled trial.pt.</w:t>
            </w:r>
          </w:p>
        </w:tc>
        <w:tc>
          <w:tcPr>
            <w:tcW w:w="1474" w:type="dxa"/>
            <w:hideMark/>
          </w:tcPr>
          <w:p w14:paraId="72709673"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416556 </w:t>
            </w:r>
          </w:p>
        </w:tc>
      </w:tr>
      <w:tr w:rsidR="00085F3B" w:rsidRPr="00085F3B" w14:paraId="0A2D906E"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52AF5F8D"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92</w:t>
            </w:r>
          </w:p>
        </w:tc>
        <w:tc>
          <w:tcPr>
            <w:tcW w:w="5593" w:type="dxa"/>
            <w:hideMark/>
          </w:tcPr>
          <w:p w14:paraId="2CF186FB"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multicenter study.pt.</w:t>
            </w:r>
          </w:p>
        </w:tc>
        <w:tc>
          <w:tcPr>
            <w:tcW w:w="1474" w:type="dxa"/>
            <w:hideMark/>
          </w:tcPr>
          <w:p w14:paraId="48D40E18"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199128 </w:t>
            </w:r>
          </w:p>
        </w:tc>
      </w:tr>
      <w:tr w:rsidR="00085F3B" w:rsidRPr="00085F3B" w14:paraId="3ACAAA30"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110A7A0C"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93</w:t>
            </w:r>
          </w:p>
        </w:tc>
        <w:tc>
          <w:tcPr>
            <w:tcW w:w="5593" w:type="dxa"/>
            <w:hideMark/>
          </w:tcPr>
          <w:p w14:paraId="59F8C6AB"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clinical trial.pt.</w:t>
            </w:r>
          </w:p>
        </w:tc>
        <w:tc>
          <w:tcPr>
            <w:tcW w:w="1474" w:type="dxa"/>
            <w:hideMark/>
          </w:tcPr>
          <w:p w14:paraId="37EA83AF"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508511 </w:t>
            </w:r>
          </w:p>
        </w:tc>
      </w:tr>
      <w:tr w:rsidR="00085F3B" w:rsidRPr="00085F3B" w14:paraId="08B78F22"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0BEFD692"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94</w:t>
            </w:r>
          </w:p>
        </w:tc>
        <w:tc>
          <w:tcPr>
            <w:tcW w:w="5593" w:type="dxa"/>
            <w:hideMark/>
          </w:tcPr>
          <w:p w14:paraId="0B075E6F"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exp Clinical Trials as topic/</w:t>
            </w:r>
          </w:p>
        </w:tc>
        <w:tc>
          <w:tcPr>
            <w:tcW w:w="1474" w:type="dxa"/>
            <w:hideMark/>
          </w:tcPr>
          <w:p w14:paraId="34BE6F10"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303963 </w:t>
            </w:r>
          </w:p>
        </w:tc>
      </w:tr>
      <w:tr w:rsidR="00085F3B" w:rsidRPr="00085F3B" w14:paraId="330CAFB2"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04FAC86C"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95</w:t>
            </w:r>
          </w:p>
        </w:tc>
        <w:tc>
          <w:tcPr>
            <w:tcW w:w="5593" w:type="dxa"/>
            <w:hideMark/>
          </w:tcPr>
          <w:p w14:paraId="23E78C23"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or/80-94</w:t>
            </w:r>
          </w:p>
        </w:tc>
        <w:tc>
          <w:tcPr>
            <w:tcW w:w="1474" w:type="dxa"/>
            <w:hideMark/>
          </w:tcPr>
          <w:p w14:paraId="04F7D756"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1131907 </w:t>
            </w:r>
          </w:p>
        </w:tc>
      </w:tr>
      <w:tr w:rsidR="00085F3B" w:rsidRPr="00085F3B" w14:paraId="093BB6F5"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08BD1503"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96</w:t>
            </w:r>
          </w:p>
        </w:tc>
        <w:tc>
          <w:tcPr>
            <w:tcW w:w="5593" w:type="dxa"/>
            <w:hideMark/>
          </w:tcPr>
          <w:p w14:paraId="58DBC34B"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(clinical adj trial$).tw.</w:t>
            </w:r>
          </w:p>
        </w:tc>
        <w:tc>
          <w:tcPr>
            <w:tcW w:w="1474" w:type="dxa"/>
            <w:hideMark/>
          </w:tcPr>
          <w:p w14:paraId="01DFFEB9"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250905 </w:t>
            </w:r>
          </w:p>
        </w:tc>
      </w:tr>
      <w:tr w:rsidR="00085F3B" w:rsidRPr="00085F3B" w14:paraId="6ECCA7D8"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52E68DE0"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97</w:t>
            </w:r>
          </w:p>
        </w:tc>
        <w:tc>
          <w:tcPr>
            <w:tcW w:w="5593" w:type="dxa"/>
            <w:hideMark/>
          </w:tcPr>
          <w:p w14:paraId="71DDB609"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((singl$ or doubl$ or treb$ or tripl$) adj (blind$3 or mask$3)).tw.</w:t>
            </w:r>
          </w:p>
        </w:tc>
        <w:tc>
          <w:tcPr>
            <w:tcW w:w="1474" w:type="dxa"/>
            <w:hideMark/>
          </w:tcPr>
          <w:p w14:paraId="619D68DC"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141670 </w:t>
            </w:r>
          </w:p>
        </w:tc>
      </w:tr>
      <w:tr w:rsidR="00085F3B" w:rsidRPr="00085F3B" w14:paraId="03C6490E"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3C500733"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98</w:t>
            </w:r>
          </w:p>
        </w:tc>
        <w:tc>
          <w:tcPr>
            <w:tcW w:w="5593" w:type="dxa"/>
            <w:hideMark/>
          </w:tcPr>
          <w:p w14:paraId="65310192"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PLACEBOS/</w:t>
            </w:r>
          </w:p>
        </w:tc>
        <w:tc>
          <w:tcPr>
            <w:tcW w:w="1474" w:type="dxa"/>
            <w:hideMark/>
          </w:tcPr>
          <w:p w14:paraId="24163A46"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34122 </w:t>
            </w:r>
          </w:p>
        </w:tc>
      </w:tr>
      <w:tr w:rsidR="00085F3B" w:rsidRPr="00085F3B" w14:paraId="2AA14283"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68ED4559"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99</w:t>
            </w:r>
          </w:p>
        </w:tc>
        <w:tc>
          <w:tcPr>
            <w:tcW w:w="5593" w:type="dxa"/>
            <w:hideMark/>
          </w:tcPr>
          <w:p w14:paraId="718A4810"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placebo$.tw.</w:t>
            </w:r>
          </w:p>
        </w:tc>
        <w:tc>
          <w:tcPr>
            <w:tcW w:w="1474" w:type="dxa"/>
            <w:hideMark/>
          </w:tcPr>
          <w:p w14:paraId="60FB7AC2"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175469 </w:t>
            </w:r>
          </w:p>
        </w:tc>
      </w:tr>
      <w:tr w:rsidR="00085F3B" w:rsidRPr="00085F3B" w14:paraId="4BD9E27D"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078173DC"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100</w:t>
            </w:r>
          </w:p>
        </w:tc>
        <w:tc>
          <w:tcPr>
            <w:tcW w:w="5593" w:type="dxa"/>
            <w:hideMark/>
          </w:tcPr>
          <w:p w14:paraId="0C46715A"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randomly allocated.tw.</w:t>
            </w:r>
          </w:p>
        </w:tc>
        <w:tc>
          <w:tcPr>
            <w:tcW w:w="1474" w:type="dxa"/>
            <w:hideMark/>
          </w:tcPr>
          <w:p w14:paraId="0577468A"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19887 </w:t>
            </w:r>
          </w:p>
        </w:tc>
      </w:tr>
      <w:tr w:rsidR="00085F3B" w:rsidRPr="00085F3B" w14:paraId="17829D8C"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00D2C4C2"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101</w:t>
            </w:r>
          </w:p>
        </w:tc>
        <w:tc>
          <w:tcPr>
            <w:tcW w:w="5593" w:type="dxa"/>
            <w:hideMark/>
          </w:tcPr>
          <w:p w14:paraId="30D2F6CE"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(allocated adj2 random$).tw.</w:t>
            </w:r>
          </w:p>
        </w:tc>
        <w:tc>
          <w:tcPr>
            <w:tcW w:w="1474" w:type="dxa"/>
            <w:hideMark/>
          </w:tcPr>
          <w:p w14:paraId="28531CBF"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22672 </w:t>
            </w:r>
          </w:p>
        </w:tc>
      </w:tr>
      <w:tr w:rsidR="00085F3B" w:rsidRPr="00085F3B" w14:paraId="6F514DBA"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08E2D100"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102</w:t>
            </w:r>
          </w:p>
        </w:tc>
        <w:tc>
          <w:tcPr>
            <w:tcW w:w="5593" w:type="dxa"/>
            <w:hideMark/>
          </w:tcPr>
          <w:p w14:paraId="0078B3A0"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or/96-101</w:t>
            </w:r>
          </w:p>
        </w:tc>
        <w:tc>
          <w:tcPr>
            <w:tcW w:w="1474" w:type="dxa"/>
            <w:hideMark/>
          </w:tcPr>
          <w:p w14:paraId="318FA8F3"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474957 </w:t>
            </w:r>
          </w:p>
        </w:tc>
      </w:tr>
      <w:tr w:rsidR="00085F3B" w:rsidRPr="00085F3B" w14:paraId="511E1CA3"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1D1FC54B"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103</w:t>
            </w:r>
          </w:p>
        </w:tc>
        <w:tc>
          <w:tcPr>
            <w:tcW w:w="5593" w:type="dxa"/>
            <w:hideMark/>
          </w:tcPr>
          <w:p w14:paraId="66E0974D"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95 or 102</w:t>
            </w:r>
          </w:p>
        </w:tc>
        <w:tc>
          <w:tcPr>
            <w:tcW w:w="1474" w:type="dxa"/>
            <w:hideMark/>
          </w:tcPr>
          <w:p w14:paraId="511942A2"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1305549 </w:t>
            </w:r>
          </w:p>
        </w:tc>
      </w:tr>
      <w:tr w:rsidR="00085F3B" w:rsidRPr="00085F3B" w14:paraId="699B2FCB"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0B3D869D"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104</w:t>
            </w:r>
          </w:p>
        </w:tc>
        <w:tc>
          <w:tcPr>
            <w:tcW w:w="5593" w:type="dxa"/>
            <w:hideMark/>
          </w:tcPr>
          <w:p w14:paraId="5261F001"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case report.tw.</w:t>
            </w:r>
          </w:p>
        </w:tc>
        <w:tc>
          <w:tcPr>
            <w:tcW w:w="1474" w:type="dxa"/>
            <w:hideMark/>
          </w:tcPr>
          <w:p w14:paraId="12412E55"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229815 </w:t>
            </w:r>
          </w:p>
        </w:tc>
      </w:tr>
      <w:tr w:rsidR="00085F3B" w:rsidRPr="00085F3B" w14:paraId="08774807"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01857271"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105</w:t>
            </w:r>
          </w:p>
        </w:tc>
        <w:tc>
          <w:tcPr>
            <w:tcW w:w="5593" w:type="dxa"/>
            <w:hideMark/>
          </w:tcPr>
          <w:p w14:paraId="7783F78B"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letter/</w:t>
            </w:r>
          </w:p>
        </w:tc>
        <w:tc>
          <w:tcPr>
            <w:tcW w:w="1474" w:type="dxa"/>
            <w:hideMark/>
          </w:tcPr>
          <w:p w14:paraId="1CBC8CEE"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956717 </w:t>
            </w:r>
          </w:p>
        </w:tc>
      </w:tr>
      <w:tr w:rsidR="00085F3B" w:rsidRPr="00085F3B" w14:paraId="16185502"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6312E58B"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106</w:t>
            </w:r>
          </w:p>
        </w:tc>
        <w:tc>
          <w:tcPr>
            <w:tcW w:w="5593" w:type="dxa"/>
            <w:hideMark/>
          </w:tcPr>
          <w:p w14:paraId="66FCFDC1"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historical article/</w:t>
            </w:r>
          </w:p>
        </w:tc>
        <w:tc>
          <w:tcPr>
            <w:tcW w:w="1474" w:type="dxa"/>
            <w:hideMark/>
          </w:tcPr>
          <w:p w14:paraId="129FC369"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332255 </w:t>
            </w:r>
          </w:p>
        </w:tc>
      </w:tr>
      <w:tr w:rsidR="00085F3B" w:rsidRPr="00085F3B" w14:paraId="7291765A"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3E81FA9A"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107</w:t>
            </w:r>
          </w:p>
        </w:tc>
        <w:tc>
          <w:tcPr>
            <w:tcW w:w="5593" w:type="dxa"/>
            <w:hideMark/>
          </w:tcPr>
          <w:p w14:paraId="1B77CDB9"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or/104-106</w:t>
            </w:r>
          </w:p>
        </w:tc>
        <w:tc>
          <w:tcPr>
            <w:tcW w:w="1474" w:type="dxa"/>
            <w:hideMark/>
          </w:tcPr>
          <w:p w14:paraId="5E1BFBA3"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1505772 </w:t>
            </w:r>
          </w:p>
        </w:tc>
      </w:tr>
      <w:tr w:rsidR="00085F3B" w:rsidRPr="00085F3B" w14:paraId="3F658363"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5176483D"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108</w:t>
            </w:r>
          </w:p>
        </w:tc>
        <w:tc>
          <w:tcPr>
            <w:tcW w:w="5593" w:type="dxa"/>
            <w:hideMark/>
          </w:tcPr>
          <w:p w14:paraId="41BE3B94"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103 not 107</w:t>
            </w:r>
          </w:p>
        </w:tc>
        <w:tc>
          <w:tcPr>
            <w:tcW w:w="1474" w:type="dxa"/>
            <w:hideMark/>
          </w:tcPr>
          <w:p w14:paraId="3A007A6D"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1270783 </w:t>
            </w:r>
          </w:p>
        </w:tc>
      </w:tr>
      <w:tr w:rsidR="00085F3B" w:rsidRPr="00085F3B" w14:paraId="4B9CEABB"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1" w:type="dxa"/>
            <w:hideMark/>
          </w:tcPr>
          <w:p w14:paraId="346E33FF"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109</w:t>
            </w:r>
          </w:p>
        </w:tc>
        <w:tc>
          <w:tcPr>
            <w:tcW w:w="5593" w:type="dxa"/>
            <w:hideMark/>
          </w:tcPr>
          <w:p w14:paraId="02CD9EF9"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43 or 79 or 108</w:t>
            </w:r>
          </w:p>
        </w:tc>
        <w:tc>
          <w:tcPr>
            <w:tcW w:w="1474" w:type="dxa"/>
            <w:hideMark/>
          </w:tcPr>
          <w:p w14:paraId="25586810" w14:textId="77777777" w:rsidR="00085F3B" w:rsidRPr="00085F3B" w:rsidRDefault="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3209343 </w:t>
            </w:r>
          </w:p>
        </w:tc>
      </w:tr>
      <w:tr w:rsidR="00085F3B" w:rsidRPr="00085F3B" w14:paraId="6FFB30DA" w14:textId="77777777" w:rsidTr="00BA50D2">
        <w:tc>
          <w:tcPr>
            <w:cnfStyle w:val="001000000000" w:firstRow="0" w:lastRow="0" w:firstColumn="1" w:lastColumn="0" w:oddVBand="0" w:evenVBand="0" w:oddHBand="0" w:evenHBand="0" w:firstRowFirstColumn="0" w:firstRowLastColumn="0" w:lastRowFirstColumn="0" w:lastRowLastColumn="0"/>
            <w:tcW w:w="1211" w:type="dxa"/>
            <w:hideMark/>
          </w:tcPr>
          <w:p w14:paraId="5DE5EC43" w14:textId="77777777" w:rsidR="00085F3B" w:rsidRPr="00085F3B" w:rsidRDefault="00085F3B">
            <w:pPr>
              <w:pStyle w:val="NormalWeb"/>
              <w:spacing w:before="0" w:beforeAutospacing="0" w:after="0" w:afterAutospacing="0"/>
              <w:rPr>
                <w:rFonts w:ascii="Calibri" w:hAnsi="Calibri" w:cs="Calibri"/>
                <w:sz w:val="20"/>
                <w:szCs w:val="20"/>
              </w:rPr>
            </w:pPr>
            <w:r w:rsidRPr="00085F3B">
              <w:rPr>
                <w:rFonts w:ascii="Calibri" w:hAnsi="Calibri" w:cs="Calibri"/>
                <w:sz w:val="20"/>
                <w:szCs w:val="20"/>
              </w:rPr>
              <w:t>110</w:t>
            </w:r>
          </w:p>
        </w:tc>
        <w:tc>
          <w:tcPr>
            <w:tcW w:w="5593" w:type="dxa"/>
            <w:hideMark/>
          </w:tcPr>
          <w:p w14:paraId="58A5A87F"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30 and 109</w:t>
            </w:r>
          </w:p>
        </w:tc>
        <w:tc>
          <w:tcPr>
            <w:tcW w:w="1474" w:type="dxa"/>
            <w:hideMark/>
          </w:tcPr>
          <w:p w14:paraId="663DE807" w14:textId="77777777" w:rsidR="00085F3B" w:rsidRPr="00085F3B" w:rsidRDefault="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085F3B">
              <w:rPr>
                <w:rFonts w:ascii="Calibri" w:hAnsi="Calibri" w:cs="Calibri"/>
                <w:sz w:val="20"/>
                <w:szCs w:val="20"/>
              </w:rPr>
              <w:t xml:space="preserve">635 </w:t>
            </w:r>
          </w:p>
        </w:tc>
      </w:tr>
    </w:tbl>
    <w:p w14:paraId="128E1302" w14:textId="77777777" w:rsidR="00085F3B" w:rsidRDefault="00085F3B" w:rsidP="00085F3B">
      <w:pPr>
        <w:pStyle w:val="NormalWeb"/>
        <w:spacing w:before="0" w:beforeAutospacing="0" w:after="0" w:afterAutospacing="0"/>
        <w:rPr>
          <w:rFonts w:ascii="Calibri" w:hAnsi="Calibri" w:cs="Calibri"/>
          <w:color w:val="000000"/>
          <w:sz w:val="22"/>
          <w:szCs w:val="22"/>
        </w:rPr>
      </w:pPr>
      <w:r>
        <w:rPr>
          <w:rFonts w:ascii="Calibri" w:hAnsi="Calibri" w:cs="Calibri"/>
          <w:color w:val="000000"/>
          <w:sz w:val="22"/>
          <w:szCs w:val="22"/>
        </w:rPr>
        <w:t> </w:t>
      </w:r>
    </w:p>
    <w:p w14:paraId="6F7BF849" w14:textId="77777777" w:rsidR="00085F3B" w:rsidRDefault="00085F3B" w:rsidP="00D04405"/>
    <w:p w14:paraId="4CAE0B15" w14:textId="03239CE5" w:rsidR="008F1453" w:rsidRPr="00085F3B" w:rsidRDefault="00CA7674" w:rsidP="00760B64">
      <w:pPr>
        <w:pStyle w:val="Heading3"/>
      </w:pPr>
      <w:bookmarkStart w:id="9" w:name="_Toc536713783"/>
      <w:r>
        <w:t xml:space="preserve">Cochrane </w:t>
      </w:r>
      <w:r w:rsidR="00123F22">
        <w:t>Central Register for Controlled Trials</w:t>
      </w:r>
      <w:r>
        <w:t xml:space="preserve"> </w:t>
      </w:r>
      <w:r w:rsidR="008F1453">
        <w:t xml:space="preserve">(with </w:t>
      </w:r>
      <w:r w:rsidR="008F1453" w:rsidRPr="008F1453">
        <w:t>Scot</w:t>
      </w:r>
      <w:r w:rsidR="008F1453">
        <w:t xml:space="preserve">tish Intercollegiate Guidelines </w:t>
      </w:r>
      <w:r w:rsidR="008F1453" w:rsidRPr="008F1453">
        <w:t>Network</w:t>
      </w:r>
      <w:r w:rsidR="008F1453">
        <w:t xml:space="preserve"> filters)</w:t>
      </w:r>
      <w:bookmarkEnd w:id="9"/>
    </w:p>
    <w:tbl>
      <w:tblPr>
        <w:tblStyle w:val="PlainTable2"/>
        <w:tblW w:w="0" w:type="auto"/>
        <w:tblBorders>
          <w:insideH w:val="dotted" w:sz="4" w:space="0" w:color="7F7F7F" w:themeColor="text1" w:themeTint="80"/>
        </w:tblBorders>
        <w:tblLook w:val="04A0" w:firstRow="1" w:lastRow="0" w:firstColumn="1" w:lastColumn="0" w:noHBand="0" w:noVBand="1"/>
      </w:tblPr>
      <w:tblGrid>
        <w:gridCol w:w="1230"/>
        <w:gridCol w:w="5291"/>
        <w:gridCol w:w="1110"/>
      </w:tblGrid>
      <w:tr w:rsidR="00D04405" w:rsidRPr="00D04405" w14:paraId="5EED3C5D" w14:textId="77777777" w:rsidTr="00BA50D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30" w:type="dxa"/>
            <w:hideMark/>
          </w:tcPr>
          <w:p w14:paraId="6F51DF84" w14:textId="77777777" w:rsidR="00D04405" w:rsidRPr="00D04405" w:rsidRDefault="00D04405" w:rsidP="00D04405">
            <w:pPr>
              <w:pStyle w:val="NormalWeb"/>
              <w:spacing w:before="0" w:beforeAutospacing="0" w:after="0" w:afterAutospacing="0"/>
              <w:rPr>
                <w:rFonts w:asciiTheme="minorHAnsi" w:hAnsiTheme="minorHAnsi" w:cstheme="minorHAnsi"/>
                <w:sz w:val="20"/>
                <w:szCs w:val="20"/>
              </w:rPr>
            </w:pPr>
          </w:p>
        </w:tc>
        <w:tc>
          <w:tcPr>
            <w:tcW w:w="5291" w:type="dxa"/>
            <w:hideMark/>
          </w:tcPr>
          <w:p w14:paraId="32F8AAB6" w14:textId="77777777" w:rsidR="00D04405" w:rsidRPr="00D04405" w:rsidRDefault="00D04405" w:rsidP="00D04405">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2D2D2D"/>
                <w:sz w:val="20"/>
                <w:szCs w:val="20"/>
              </w:rPr>
            </w:pPr>
            <w:r w:rsidRPr="00D04405">
              <w:rPr>
                <w:rFonts w:asciiTheme="minorHAnsi" w:hAnsiTheme="minorHAnsi" w:cstheme="minorHAnsi"/>
                <w:color w:val="2D2D2D"/>
                <w:sz w:val="20"/>
                <w:szCs w:val="20"/>
              </w:rPr>
              <w:t>Keywords</w:t>
            </w:r>
          </w:p>
        </w:tc>
        <w:tc>
          <w:tcPr>
            <w:tcW w:w="1110" w:type="dxa"/>
            <w:hideMark/>
          </w:tcPr>
          <w:p w14:paraId="08B9E75B" w14:textId="77777777" w:rsidR="00D04405" w:rsidRPr="00D04405" w:rsidRDefault="00D04405" w:rsidP="00D04405">
            <w:pPr>
              <w:pStyle w:val="Normal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2D2D2D"/>
                <w:sz w:val="20"/>
                <w:szCs w:val="20"/>
              </w:rPr>
            </w:pPr>
            <w:r w:rsidRPr="00D04405">
              <w:rPr>
                <w:rFonts w:asciiTheme="minorHAnsi" w:hAnsiTheme="minorHAnsi" w:cstheme="minorHAnsi"/>
                <w:color w:val="2D2D2D"/>
                <w:sz w:val="20"/>
                <w:szCs w:val="20"/>
              </w:rPr>
              <w:t>Results</w:t>
            </w:r>
          </w:p>
        </w:tc>
      </w:tr>
      <w:tr w:rsidR="00D04405" w:rsidRPr="00D04405" w14:paraId="19AAE216"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hideMark/>
          </w:tcPr>
          <w:p w14:paraId="4E319F5D"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1</w:t>
            </w:r>
          </w:p>
        </w:tc>
        <w:tc>
          <w:tcPr>
            <w:tcW w:w="5291" w:type="dxa"/>
            <w:hideMark/>
          </w:tcPr>
          <w:p w14:paraId="60BB9BFC"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proton pump inhibitor$.tw.</w:t>
            </w:r>
          </w:p>
        </w:tc>
        <w:tc>
          <w:tcPr>
            <w:tcW w:w="1110" w:type="dxa"/>
            <w:hideMark/>
          </w:tcPr>
          <w:p w14:paraId="185BED4A"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1548 </w:t>
            </w:r>
          </w:p>
        </w:tc>
      </w:tr>
      <w:tr w:rsidR="00D04405" w:rsidRPr="00D04405" w14:paraId="1F23A389" w14:textId="77777777" w:rsidTr="00BA50D2">
        <w:tc>
          <w:tcPr>
            <w:cnfStyle w:val="001000000000" w:firstRow="0" w:lastRow="0" w:firstColumn="1" w:lastColumn="0" w:oddVBand="0" w:evenVBand="0" w:oddHBand="0" w:evenHBand="0" w:firstRowFirstColumn="0" w:firstRowLastColumn="0" w:lastRowFirstColumn="0" w:lastRowLastColumn="0"/>
            <w:tcW w:w="1230" w:type="dxa"/>
            <w:hideMark/>
          </w:tcPr>
          <w:p w14:paraId="4BB0344B"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2</w:t>
            </w:r>
          </w:p>
        </w:tc>
        <w:tc>
          <w:tcPr>
            <w:tcW w:w="5291" w:type="dxa"/>
            <w:hideMark/>
          </w:tcPr>
          <w:p w14:paraId="41D2F3F8"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ppi$.tw.</w:t>
            </w:r>
          </w:p>
        </w:tc>
        <w:tc>
          <w:tcPr>
            <w:tcW w:w="1110" w:type="dxa"/>
            <w:hideMark/>
          </w:tcPr>
          <w:p w14:paraId="54E638F3"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1106 </w:t>
            </w:r>
          </w:p>
        </w:tc>
      </w:tr>
      <w:tr w:rsidR="00D04405" w:rsidRPr="00D04405" w14:paraId="532A1EB8"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hideMark/>
          </w:tcPr>
          <w:p w14:paraId="35458FC5"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3</w:t>
            </w:r>
          </w:p>
        </w:tc>
        <w:tc>
          <w:tcPr>
            <w:tcW w:w="5291" w:type="dxa"/>
            <w:hideMark/>
          </w:tcPr>
          <w:p w14:paraId="48A9399B"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Proton Pump Inhibitors/</w:t>
            </w:r>
          </w:p>
        </w:tc>
        <w:tc>
          <w:tcPr>
            <w:tcW w:w="1110" w:type="dxa"/>
            <w:hideMark/>
          </w:tcPr>
          <w:p w14:paraId="1F13BC43"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816 </w:t>
            </w:r>
          </w:p>
        </w:tc>
      </w:tr>
      <w:tr w:rsidR="00D04405" w:rsidRPr="00D04405" w14:paraId="63842146" w14:textId="77777777" w:rsidTr="00BA50D2">
        <w:tc>
          <w:tcPr>
            <w:cnfStyle w:val="001000000000" w:firstRow="0" w:lastRow="0" w:firstColumn="1" w:lastColumn="0" w:oddVBand="0" w:evenVBand="0" w:oddHBand="0" w:evenHBand="0" w:firstRowFirstColumn="0" w:firstRowLastColumn="0" w:lastRowFirstColumn="0" w:lastRowLastColumn="0"/>
            <w:tcW w:w="1230" w:type="dxa"/>
            <w:hideMark/>
          </w:tcPr>
          <w:p w14:paraId="11E96485"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4</w:t>
            </w:r>
          </w:p>
        </w:tc>
        <w:tc>
          <w:tcPr>
            <w:tcW w:w="5291" w:type="dxa"/>
            <w:hideMark/>
          </w:tcPr>
          <w:p w14:paraId="41C1F677"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esomeprazole.tw.</w:t>
            </w:r>
          </w:p>
        </w:tc>
        <w:tc>
          <w:tcPr>
            <w:tcW w:w="1110" w:type="dxa"/>
            <w:hideMark/>
          </w:tcPr>
          <w:p w14:paraId="49191D41"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531 </w:t>
            </w:r>
          </w:p>
        </w:tc>
      </w:tr>
      <w:tr w:rsidR="00D04405" w:rsidRPr="00D04405" w14:paraId="79AABA75"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hideMark/>
          </w:tcPr>
          <w:p w14:paraId="5EFD7263"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5</w:t>
            </w:r>
          </w:p>
        </w:tc>
        <w:tc>
          <w:tcPr>
            <w:tcW w:w="5291" w:type="dxa"/>
            <w:hideMark/>
          </w:tcPr>
          <w:p w14:paraId="3C1A38C0"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esomeprazole/</w:t>
            </w:r>
          </w:p>
        </w:tc>
        <w:tc>
          <w:tcPr>
            <w:tcW w:w="1110" w:type="dxa"/>
            <w:hideMark/>
          </w:tcPr>
          <w:p w14:paraId="54FFF018"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289 </w:t>
            </w:r>
          </w:p>
        </w:tc>
      </w:tr>
      <w:tr w:rsidR="00D04405" w:rsidRPr="00D04405" w14:paraId="4E1D570B" w14:textId="77777777" w:rsidTr="00BA50D2">
        <w:tc>
          <w:tcPr>
            <w:cnfStyle w:val="001000000000" w:firstRow="0" w:lastRow="0" w:firstColumn="1" w:lastColumn="0" w:oddVBand="0" w:evenVBand="0" w:oddHBand="0" w:evenHBand="0" w:firstRowFirstColumn="0" w:firstRowLastColumn="0" w:lastRowFirstColumn="0" w:lastRowLastColumn="0"/>
            <w:tcW w:w="1230" w:type="dxa"/>
            <w:hideMark/>
          </w:tcPr>
          <w:p w14:paraId="25C0105E"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6</w:t>
            </w:r>
          </w:p>
        </w:tc>
        <w:tc>
          <w:tcPr>
            <w:tcW w:w="5291" w:type="dxa"/>
            <w:hideMark/>
          </w:tcPr>
          <w:p w14:paraId="5440B559"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pantoprazole.tw.</w:t>
            </w:r>
          </w:p>
        </w:tc>
        <w:tc>
          <w:tcPr>
            <w:tcW w:w="1110" w:type="dxa"/>
            <w:hideMark/>
          </w:tcPr>
          <w:p w14:paraId="5179F0F2"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561 </w:t>
            </w:r>
          </w:p>
        </w:tc>
      </w:tr>
      <w:tr w:rsidR="00D04405" w:rsidRPr="00D04405" w14:paraId="1711C206"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hideMark/>
          </w:tcPr>
          <w:p w14:paraId="56A126BF"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7</w:t>
            </w:r>
          </w:p>
        </w:tc>
        <w:tc>
          <w:tcPr>
            <w:tcW w:w="5291" w:type="dxa"/>
            <w:hideMark/>
          </w:tcPr>
          <w:p w14:paraId="7F5860D9"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pantoprazole/</w:t>
            </w:r>
          </w:p>
        </w:tc>
        <w:tc>
          <w:tcPr>
            <w:tcW w:w="1110" w:type="dxa"/>
            <w:hideMark/>
          </w:tcPr>
          <w:p w14:paraId="7C886182"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0 </w:t>
            </w:r>
          </w:p>
        </w:tc>
      </w:tr>
      <w:tr w:rsidR="00D04405" w:rsidRPr="00D04405" w14:paraId="7F782202" w14:textId="77777777" w:rsidTr="00BA50D2">
        <w:tc>
          <w:tcPr>
            <w:cnfStyle w:val="001000000000" w:firstRow="0" w:lastRow="0" w:firstColumn="1" w:lastColumn="0" w:oddVBand="0" w:evenVBand="0" w:oddHBand="0" w:evenHBand="0" w:firstRowFirstColumn="0" w:firstRowLastColumn="0" w:lastRowFirstColumn="0" w:lastRowLastColumn="0"/>
            <w:tcW w:w="1230" w:type="dxa"/>
            <w:hideMark/>
          </w:tcPr>
          <w:p w14:paraId="1F4D1528"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8</w:t>
            </w:r>
          </w:p>
        </w:tc>
        <w:tc>
          <w:tcPr>
            <w:tcW w:w="5291" w:type="dxa"/>
            <w:hideMark/>
          </w:tcPr>
          <w:p w14:paraId="6B31631D"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lansoprazole.tw.</w:t>
            </w:r>
          </w:p>
        </w:tc>
        <w:tc>
          <w:tcPr>
            <w:tcW w:w="1110" w:type="dxa"/>
            <w:hideMark/>
          </w:tcPr>
          <w:p w14:paraId="60B44997"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893 </w:t>
            </w:r>
          </w:p>
        </w:tc>
      </w:tr>
      <w:tr w:rsidR="00D04405" w:rsidRPr="00D04405" w14:paraId="542DFC04"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hideMark/>
          </w:tcPr>
          <w:p w14:paraId="3EBDA61B"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9</w:t>
            </w:r>
          </w:p>
        </w:tc>
        <w:tc>
          <w:tcPr>
            <w:tcW w:w="5291" w:type="dxa"/>
            <w:hideMark/>
          </w:tcPr>
          <w:p w14:paraId="0C9A2B8F"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lansoprazole/</w:t>
            </w:r>
          </w:p>
        </w:tc>
        <w:tc>
          <w:tcPr>
            <w:tcW w:w="1110" w:type="dxa"/>
            <w:hideMark/>
          </w:tcPr>
          <w:p w14:paraId="1185C6F2"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543 </w:t>
            </w:r>
          </w:p>
        </w:tc>
      </w:tr>
      <w:tr w:rsidR="00D04405" w:rsidRPr="00D04405" w14:paraId="6155F9C5" w14:textId="77777777" w:rsidTr="00BA50D2">
        <w:tc>
          <w:tcPr>
            <w:cnfStyle w:val="001000000000" w:firstRow="0" w:lastRow="0" w:firstColumn="1" w:lastColumn="0" w:oddVBand="0" w:evenVBand="0" w:oddHBand="0" w:evenHBand="0" w:firstRowFirstColumn="0" w:firstRowLastColumn="0" w:lastRowFirstColumn="0" w:lastRowLastColumn="0"/>
            <w:tcW w:w="1230" w:type="dxa"/>
            <w:hideMark/>
          </w:tcPr>
          <w:p w14:paraId="032A17F3"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10</w:t>
            </w:r>
          </w:p>
        </w:tc>
        <w:tc>
          <w:tcPr>
            <w:tcW w:w="5291" w:type="dxa"/>
            <w:hideMark/>
          </w:tcPr>
          <w:p w14:paraId="00E56760"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omeprazole.tw.</w:t>
            </w:r>
          </w:p>
        </w:tc>
        <w:tc>
          <w:tcPr>
            <w:tcW w:w="1110" w:type="dxa"/>
            <w:hideMark/>
          </w:tcPr>
          <w:p w14:paraId="7BBB73CA"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2473 </w:t>
            </w:r>
          </w:p>
        </w:tc>
      </w:tr>
      <w:tr w:rsidR="00D04405" w:rsidRPr="00D04405" w14:paraId="4659CA4C"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hideMark/>
          </w:tcPr>
          <w:p w14:paraId="3A5BEF3B"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11</w:t>
            </w:r>
          </w:p>
        </w:tc>
        <w:tc>
          <w:tcPr>
            <w:tcW w:w="5291" w:type="dxa"/>
            <w:hideMark/>
          </w:tcPr>
          <w:p w14:paraId="73F57D27"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omeprazole/</w:t>
            </w:r>
          </w:p>
        </w:tc>
        <w:tc>
          <w:tcPr>
            <w:tcW w:w="1110" w:type="dxa"/>
            <w:hideMark/>
          </w:tcPr>
          <w:p w14:paraId="2BCF2F64"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1956 </w:t>
            </w:r>
          </w:p>
        </w:tc>
      </w:tr>
      <w:tr w:rsidR="00D04405" w:rsidRPr="00D04405" w14:paraId="54943BA6" w14:textId="77777777" w:rsidTr="00BA50D2">
        <w:tc>
          <w:tcPr>
            <w:cnfStyle w:val="001000000000" w:firstRow="0" w:lastRow="0" w:firstColumn="1" w:lastColumn="0" w:oddVBand="0" w:evenVBand="0" w:oddHBand="0" w:evenHBand="0" w:firstRowFirstColumn="0" w:firstRowLastColumn="0" w:lastRowFirstColumn="0" w:lastRowLastColumn="0"/>
            <w:tcW w:w="1230" w:type="dxa"/>
            <w:hideMark/>
          </w:tcPr>
          <w:p w14:paraId="7DB29D92"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12</w:t>
            </w:r>
          </w:p>
        </w:tc>
        <w:tc>
          <w:tcPr>
            <w:tcW w:w="5291" w:type="dxa"/>
            <w:hideMark/>
          </w:tcPr>
          <w:p w14:paraId="4853F3AF"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rabeprazole.tw.</w:t>
            </w:r>
          </w:p>
        </w:tc>
        <w:tc>
          <w:tcPr>
            <w:tcW w:w="1110" w:type="dxa"/>
            <w:hideMark/>
          </w:tcPr>
          <w:p w14:paraId="57B84DF9"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459 </w:t>
            </w:r>
          </w:p>
        </w:tc>
      </w:tr>
      <w:tr w:rsidR="00D04405" w:rsidRPr="00D04405" w14:paraId="612A1EBE"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hideMark/>
          </w:tcPr>
          <w:p w14:paraId="55C12240"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13</w:t>
            </w:r>
          </w:p>
        </w:tc>
        <w:tc>
          <w:tcPr>
            <w:tcW w:w="5291" w:type="dxa"/>
            <w:hideMark/>
          </w:tcPr>
          <w:p w14:paraId="6D4BCE02"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rabeprazole/</w:t>
            </w:r>
          </w:p>
        </w:tc>
        <w:tc>
          <w:tcPr>
            <w:tcW w:w="1110" w:type="dxa"/>
            <w:hideMark/>
          </w:tcPr>
          <w:p w14:paraId="102B1DFD"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257 </w:t>
            </w:r>
          </w:p>
        </w:tc>
      </w:tr>
      <w:tr w:rsidR="00D04405" w:rsidRPr="00D04405" w14:paraId="0AF9AAE3" w14:textId="77777777" w:rsidTr="00BA50D2">
        <w:tc>
          <w:tcPr>
            <w:cnfStyle w:val="001000000000" w:firstRow="0" w:lastRow="0" w:firstColumn="1" w:lastColumn="0" w:oddVBand="0" w:evenVBand="0" w:oddHBand="0" w:evenHBand="0" w:firstRowFirstColumn="0" w:firstRowLastColumn="0" w:lastRowFirstColumn="0" w:lastRowLastColumn="0"/>
            <w:tcW w:w="1230" w:type="dxa"/>
            <w:hideMark/>
          </w:tcPr>
          <w:p w14:paraId="27EA42D4"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lastRenderedPageBreak/>
              <w:t>14</w:t>
            </w:r>
          </w:p>
        </w:tc>
        <w:tc>
          <w:tcPr>
            <w:tcW w:w="5291" w:type="dxa"/>
            <w:hideMark/>
          </w:tcPr>
          <w:p w14:paraId="611296C1"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or/1-13</w:t>
            </w:r>
          </w:p>
        </w:tc>
        <w:tc>
          <w:tcPr>
            <w:tcW w:w="1110" w:type="dxa"/>
            <w:hideMark/>
          </w:tcPr>
          <w:p w14:paraId="212E5EDB"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5283 </w:t>
            </w:r>
          </w:p>
        </w:tc>
      </w:tr>
      <w:tr w:rsidR="00D04405" w:rsidRPr="00D04405" w14:paraId="3A57E14F"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hideMark/>
          </w:tcPr>
          <w:p w14:paraId="271D8A34"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15</w:t>
            </w:r>
          </w:p>
        </w:tc>
        <w:tc>
          <w:tcPr>
            <w:tcW w:w="5291" w:type="dxa"/>
            <w:hideMark/>
          </w:tcPr>
          <w:p w14:paraId="334BA829"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myocardial infarction$.tw.</w:t>
            </w:r>
          </w:p>
        </w:tc>
        <w:tc>
          <w:tcPr>
            <w:tcW w:w="1110" w:type="dxa"/>
            <w:hideMark/>
          </w:tcPr>
          <w:p w14:paraId="787EFA5E"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14964 </w:t>
            </w:r>
          </w:p>
        </w:tc>
      </w:tr>
      <w:tr w:rsidR="00D04405" w:rsidRPr="00D04405" w14:paraId="5D1271B1" w14:textId="77777777" w:rsidTr="00BA50D2">
        <w:tc>
          <w:tcPr>
            <w:cnfStyle w:val="001000000000" w:firstRow="0" w:lastRow="0" w:firstColumn="1" w:lastColumn="0" w:oddVBand="0" w:evenVBand="0" w:oddHBand="0" w:evenHBand="0" w:firstRowFirstColumn="0" w:firstRowLastColumn="0" w:lastRowFirstColumn="0" w:lastRowLastColumn="0"/>
            <w:tcW w:w="1230" w:type="dxa"/>
            <w:hideMark/>
          </w:tcPr>
          <w:p w14:paraId="586B6299"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16</w:t>
            </w:r>
          </w:p>
        </w:tc>
        <w:tc>
          <w:tcPr>
            <w:tcW w:w="5291" w:type="dxa"/>
            <w:hideMark/>
          </w:tcPr>
          <w:p w14:paraId="2AB26BB0"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heart attack$.tw.</w:t>
            </w:r>
          </w:p>
        </w:tc>
        <w:tc>
          <w:tcPr>
            <w:tcW w:w="1110" w:type="dxa"/>
            <w:hideMark/>
          </w:tcPr>
          <w:p w14:paraId="19DA0C31"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326 </w:t>
            </w:r>
          </w:p>
        </w:tc>
      </w:tr>
      <w:tr w:rsidR="00D04405" w:rsidRPr="00D04405" w14:paraId="519D20F4"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hideMark/>
          </w:tcPr>
          <w:p w14:paraId="27A06E7E"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17</w:t>
            </w:r>
          </w:p>
        </w:tc>
        <w:tc>
          <w:tcPr>
            <w:tcW w:w="5291" w:type="dxa"/>
            <w:hideMark/>
          </w:tcPr>
          <w:p w14:paraId="50BB8D6C"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heart infarction$.tw.</w:t>
            </w:r>
          </w:p>
        </w:tc>
        <w:tc>
          <w:tcPr>
            <w:tcW w:w="1110" w:type="dxa"/>
            <w:hideMark/>
          </w:tcPr>
          <w:p w14:paraId="462D442C"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18 </w:t>
            </w:r>
          </w:p>
        </w:tc>
      </w:tr>
      <w:tr w:rsidR="00D04405" w:rsidRPr="00D04405" w14:paraId="38E165FA" w14:textId="77777777" w:rsidTr="00BA50D2">
        <w:tc>
          <w:tcPr>
            <w:cnfStyle w:val="001000000000" w:firstRow="0" w:lastRow="0" w:firstColumn="1" w:lastColumn="0" w:oddVBand="0" w:evenVBand="0" w:oddHBand="0" w:evenHBand="0" w:firstRowFirstColumn="0" w:firstRowLastColumn="0" w:lastRowFirstColumn="0" w:lastRowLastColumn="0"/>
            <w:tcW w:w="1230" w:type="dxa"/>
            <w:hideMark/>
          </w:tcPr>
          <w:p w14:paraId="140609BC"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18</w:t>
            </w:r>
          </w:p>
        </w:tc>
        <w:tc>
          <w:tcPr>
            <w:tcW w:w="5291" w:type="dxa"/>
            <w:hideMark/>
          </w:tcPr>
          <w:p w14:paraId="46B023A6"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Myocardial Infarction/</w:t>
            </w:r>
          </w:p>
        </w:tc>
        <w:tc>
          <w:tcPr>
            <w:tcW w:w="1110" w:type="dxa"/>
            <w:hideMark/>
          </w:tcPr>
          <w:p w14:paraId="6E54738A"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7742 </w:t>
            </w:r>
          </w:p>
        </w:tc>
      </w:tr>
      <w:tr w:rsidR="00D04405" w:rsidRPr="00D04405" w14:paraId="6426DDAB"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hideMark/>
          </w:tcPr>
          <w:p w14:paraId="3A11F094"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19</w:t>
            </w:r>
          </w:p>
        </w:tc>
        <w:tc>
          <w:tcPr>
            <w:tcW w:w="5291" w:type="dxa"/>
            <w:hideMark/>
          </w:tcPr>
          <w:p w14:paraId="5D471F8D"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cerebrovascular accident$.tw.</w:t>
            </w:r>
          </w:p>
        </w:tc>
        <w:tc>
          <w:tcPr>
            <w:tcW w:w="1110" w:type="dxa"/>
            <w:hideMark/>
          </w:tcPr>
          <w:p w14:paraId="0C92507F"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309 </w:t>
            </w:r>
          </w:p>
        </w:tc>
      </w:tr>
      <w:tr w:rsidR="00D04405" w:rsidRPr="00D04405" w14:paraId="377774CD" w14:textId="77777777" w:rsidTr="00BA50D2">
        <w:tc>
          <w:tcPr>
            <w:cnfStyle w:val="001000000000" w:firstRow="0" w:lastRow="0" w:firstColumn="1" w:lastColumn="0" w:oddVBand="0" w:evenVBand="0" w:oddHBand="0" w:evenHBand="0" w:firstRowFirstColumn="0" w:firstRowLastColumn="0" w:lastRowFirstColumn="0" w:lastRowLastColumn="0"/>
            <w:tcW w:w="1230" w:type="dxa"/>
            <w:hideMark/>
          </w:tcPr>
          <w:p w14:paraId="4212D88A"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20</w:t>
            </w:r>
          </w:p>
        </w:tc>
        <w:tc>
          <w:tcPr>
            <w:tcW w:w="5291" w:type="dxa"/>
            <w:hideMark/>
          </w:tcPr>
          <w:p w14:paraId="680A03CB"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stroke$.tw.</w:t>
            </w:r>
          </w:p>
        </w:tc>
        <w:tc>
          <w:tcPr>
            <w:tcW w:w="1110" w:type="dxa"/>
            <w:hideMark/>
          </w:tcPr>
          <w:p w14:paraId="63405E88"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22617 </w:t>
            </w:r>
          </w:p>
        </w:tc>
      </w:tr>
      <w:tr w:rsidR="00D04405" w:rsidRPr="00D04405" w14:paraId="624C5F2E"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hideMark/>
          </w:tcPr>
          <w:p w14:paraId="7CC8BDCD"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21</w:t>
            </w:r>
          </w:p>
        </w:tc>
        <w:tc>
          <w:tcPr>
            <w:tcW w:w="5291" w:type="dxa"/>
            <w:hideMark/>
          </w:tcPr>
          <w:p w14:paraId="3C265FCD"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Stroke/</w:t>
            </w:r>
          </w:p>
        </w:tc>
        <w:tc>
          <w:tcPr>
            <w:tcW w:w="1110" w:type="dxa"/>
            <w:hideMark/>
          </w:tcPr>
          <w:p w14:paraId="27361EE8"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3643 </w:t>
            </w:r>
          </w:p>
        </w:tc>
      </w:tr>
      <w:tr w:rsidR="00D04405" w:rsidRPr="00D04405" w14:paraId="6195E417" w14:textId="77777777" w:rsidTr="00BA50D2">
        <w:tc>
          <w:tcPr>
            <w:cnfStyle w:val="001000000000" w:firstRow="0" w:lastRow="0" w:firstColumn="1" w:lastColumn="0" w:oddVBand="0" w:evenVBand="0" w:oddHBand="0" w:evenHBand="0" w:firstRowFirstColumn="0" w:firstRowLastColumn="0" w:lastRowFirstColumn="0" w:lastRowLastColumn="0"/>
            <w:tcW w:w="1230" w:type="dxa"/>
            <w:hideMark/>
          </w:tcPr>
          <w:p w14:paraId="26EC4AB1"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22</w:t>
            </w:r>
          </w:p>
        </w:tc>
        <w:tc>
          <w:tcPr>
            <w:tcW w:w="5291" w:type="dxa"/>
            <w:hideMark/>
          </w:tcPr>
          <w:p w14:paraId="51FA401E"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mortality.tw.</w:t>
            </w:r>
          </w:p>
        </w:tc>
        <w:tc>
          <w:tcPr>
            <w:tcW w:w="1110" w:type="dxa"/>
            <w:hideMark/>
          </w:tcPr>
          <w:p w14:paraId="087A943F"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25644 </w:t>
            </w:r>
          </w:p>
        </w:tc>
      </w:tr>
      <w:tr w:rsidR="00D04405" w:rsidRPr="00D04405" w14:paraId="14847998"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hideMark/>
          </w:tcPr>
          <w:p w14:paraId="4E5C30D4"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23</w:t>
            </w:r>
          </w:p>
        </w:tc>
        <w:tc>
          <w:tcPr>
            <w:tcW w:w="5291" w:type="dxa"/>
            <w:hideMark/>
          </w:tcPr>
          <w:p w14:paraId="41CA1320"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Mortality/</w:t>
            </w:r>
          </w:p>
        </w:tc>
        <w:tc>
          <w:tcPr>
            <w:tcW w:w="1110" w:type="dxa"/>
            <w:hideMark/>
          </w:tcPr>
          <w:p w14:paraId="004C91DD"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283 </w:t>
            </w:r>
          </w:p>
        </w:tc>
      </w:tr>
      <w:tr w:rsidR="00D04405" w:rsidRPr="00D04405" w14:paraId="0144BCF1" w14:textId="77777777" w:rsidTr="00BA50D2">
        <w:tc>
          <w:tcPr>
            <w:cnfStyle w:val="001000000000" w:firstRow="0" w:lastRow="0" w:firstColumn="1" w:lastColumn="0" w:oddVBand="0" w:evenVBand="0" w:oddHBand="0" w:evenHBand="0" w:firstRowFirstColumn="0" w:firstRowLastColumn="0" w:lastRowFirstColumn="0" w:lastRowLastColumn="0"/>
            <w:tcW w:w="1230" w:type="dxa"/>
            <w:hideMark/>
          </w:tcPr>
          <w:p w14:paraId="39397970"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24</w:t>
            </w:r>
          </w:p>
        </w:tc>
        <w:tc>
          <w:tcPr>
            <w:tcW w:w="5291" w:type="dxa"/>
            <w:hideMark/>
          </w:tcPr>
          <w:p w14:paraId="6CF48EE3"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death$.tw.</w:t>
            </w:r>
          </w:p>
        </w:tc>
        <w:tc>
          <w:tcPr>
            <w:tcW w:w="1110" w:type="dxa"/>
            <w:hideMark/>
          </w:tcPr>
          <w:p w14:paraId="7D1A9EA3"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24668 </w:t>
            </w:r>
          </w:p>
        </w:tc>
      </w:tr>
      <w:tr w:rsidR="00D04405" w:rsidRPr="00D04405" w14:paraId="45FCAFC5"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hideMark/>
          </w:tcPr>
          <w:p w14:paraId="4511286A"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25</w:t>
            </w:r>
          </w:p>
        </w:tc>
        <w:tc>
          <w:tcPr>
            <w:tcW w:w="5291" w:type="dxa"/>
            <w:hideMark/>
          </w:tcPr>
          <w:p w14:paraId="3E48538F"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Death/</w:t>
            </w:r>
          </w:p>
        </w:tc>
        <w:tc>
          <w:tcPr>
            <w:tcW w:w="1110" w:type="dxa"/>
            <w:hideMark/>
          </w:tcPr>
          <w:p w14:paraId="77BA6D36"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59 </w:t>
            </w:r>
          </w:p>
        </w:tc>
      </w:tr>
      <w:tr w:rsidR="00D04405" w:rsidRPr="00D04405" w14:paraId="4885B12E" w14:textId="77777777" w:rsidTr="00BA50D2">
        <w:tc>
          <w:tcPr>
            <w:cnfStyle w:val="001000000000" w:firstRow="0" w:lastRow="0" w:firstColumn="1" w:lastColumn="0" w:oddVBand="0" w:evenVBand="0" w:oddHBand="0" w:evenHBand="0" w:firstRowFirstColumn="0" w:firstRowLastColumn="0" w:lastRowFirstColumn="0" w:lastRowLastColumn="0"/>
            <w:tcW w:w="1230" w:type="dxa"/>
            <w:hideMark/>
          </w:tcPr>
          <w:p w14:paraId="09EFFBDA"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26</w:t>
            </w:r>
          </w:p>
        </w:tc>
        <w:tc>
          <w:tcPr>
            <w:tcW w:w="5291" w:type="dxa"/>
            <w:hideMark/>
          </w:tcPr>
          <w:p w14:paraId="569D8128"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or/15-25</w:t>
            </w:r>
          </w:p>
        </w:tc>
        <w:tc>
          <w:tcPr>
            <w:tcW w:w="1110" w:type="dxa"/>
            <w:hideMark/>
          </w:tcPr>
          <w:p w14:paraId="7370C6C0"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69642 </w:t>
            </w:r>
          </w:p>
        </w:tc>
      </w:tr>
      <w:tr w:rsidR="00D04405" w:rsidRPr="00D04405" w14:paraId="0ABCE4A8" w14:textId="77777777" w:rsidTr="00BA50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hideMark/>
          </w:tcPr>
          <w:p w14:paraId="4BEB0E3F"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27</w:t>
            </w:r>
          </w:p>
        </w:tc>
        <w:tc>
          <w:tcPr>
            <w:tcW w:w="5291" w:type="dxa"/>
            <w:hideMark/>
          </w:tcPr>
          <w:p w14:paraId="138E6D3E"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14 and 26</w:t>
            </w:r>
          </w:p>
        </w:tc>
        <w:tc>
          <w:tcPr>
            <w:tcW w:w="1110" w:type="dxa"/>
            <w:hideMark/>
          </w:tcPr>
          <w:p w14:paraId="5A019BA5" w14:textId="77777777" w:rsidR="00D04405" w:rsidRPr="00D04405" w:rsidRDefault="00D04405" w:rsidP="00085F3B">
            <w:pPr>
              <w:pStyle w:val="Normal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183 </w:t>
            </w:r>
          </w:p>
        </w:tc>
      </w:tr>
      <w:tr w:rsidR="00D04405" w:rsidRPr="00D04405" w14:paraId="73814083" w14:textId="77777777" w:rsidTr="00BA50D2">
        <w:trPr>
          <w:trHeight w:val="217"/>
        </w:trPr>
        <w:tc>
          <w:tcPr>
            <w:cnfStyle w:val="001000000000" w:firstRow="0" w:lastRow="0" w:firstColumn="1" w:lastColumn="0" w:oddVBand="0" w:evenVBand="0" w:oddHBand="0" w:evenHBand="0" w:firstRowFirstColumn="0" w:firstRowLastColumn="0" w:lastRowFirstColumn="0" w:lastRowLastColumn="0"/>
            <w:tcW w:w="1230" w:type="dxa"/>
            <w:hideMark/>
          </w:tcPr>
          <w:p w14:paraId="3A55BE94" w14:textId="486FB1A2" w:rsidR="00D04405" w:rsidRPr="00D04405" w:rsidRDefault="00D04405" w:rsidP="00BA50D2">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28</w:t>
            </w:r>
          </w:p>
        </w:tc>
        <w:tc>
          <w:tcPr>
            <w:tcW w:w="5291" w:type="dxa"/>
            <w:hideMark/>
          </w:tcPr>
          <w:tbl>
            <w:tblPr>
              <w:tblW w:w="0" w:type="auto"/>
              <w:tblBorders>
                <w:top w:val="single" w:sz="2" w:space="0" w:color="A3A3A3"/>
                <w:left w:val="single" w:sz="2" w:space="0" w:color="A3A3A3"/>
                <w:bottom w:val="single" w:sz="2" w:space="0" w:color="A3A3A3"/>
                <w:right w:val="single" w:sz="2" w:space="0" w:color="A3A3A3"/>
              </w:tblBorders>
              <w:tblCellMar>
                <w:left w:w="0" w:type="dxa"/>
                <w:right w:w="0" w:type="dxa"/>
              </w:tblCellMar>
              <w:tblLook w:val="04A0" w:firstRow="1" w:lastRow="0" w:firstColumn="1" w:lastColumn="0" w:noHBand="0" w:noVBand="1"/>
            </w:tblPr>
            <w:tblGrid>
              <w:gridCol w:w="3100"/>
              <w:gridCol w:w="1016"/>
            </w:tblGrid>
            <w:tr w:rsidR="00D04405" w:rsidRPr="00D04405" w14:paraId="677671A3" w14:textId="77777777" w:rsidTr="00BA50D2">
              <w:trPr>
                <w:trHeight w:val="241"/>
              </w:trPr>
              <w:tc>
                <w:tcPr>
                  <w:tcW w:w="3100" w:type="dxa"/>
                  <w:tcBorders>
                    <w:top w:val="nil"/>
                    <w:left w:val="nil"/>
                    <w:bottom w:val="nil"/>
                    <w:right w:val="nil"/>
                  </w:tcBorders>
                  <w:tcMar>
                    <w:top w:w="80" w:type="dxa"/>
                    <w:left w:w="80" w:type="dxa"/>
                    <w:bottom w:w="80" w:type="dxa"/>
                    <w:right w:w="80" w:type="dxa"/>
                  </w:tcMar>
                  <w:hideMark/>
                </w:tcPr>
                <w:p w14:paraId="067CF435" w14:textId="67F33123"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 xml:space="preserve">limit 27 to </w:t>
                  </w:r>
                  <w:r w:rsidR="006F4448" w:rsidRPr="00D04405">
                    <w:rPr>
                      <w:rFonts w:asciiTheme="minorHAnsi" w:hAnsiTheme="minorHAnsi" w:cstheme="minorHAnsi"/>
                      <w:sz w:val="20"/>
                      <w:szCs w:val="20"/>
                    </w:rPr>
                    <w:t>English</w:t>
                  </w:r>
                  <w:r w:rsidRPr="00D04405">
                    <w:rPr>
                      <w:rFonts w:asciiTheme="minorHAnsi" w:hAnsiTheme="minorHAnsi" w:cstheme="minorHAnsi"/>
                      <w:sz w:val="20"/>
                      <w:szCs w:val="20"/>
                    </w:rPr>
                    <w:t xml:space="preserve"> language</w:t>
                  </w:r>
                </w:p>
              </w:tc>
              <w:tc>
                <w:tcPr>
                  <w:tcW w:w="1016" w:type="dxa"/>
                  <w:tcBorders>
                    <w:top w:val="nil"/>
                    <w:left w:val="nil"/>
                    <w:bottom w:val="nil"/>
                    <w:right w:val="nil"/>
                  </w:tcBorders>
                  <w:tcMar>
                    <w:top w:w="80" w:type="dxa"/>
                    <w:left w:w="80" w:type="dxa"/>
                    <w:bottom w:w="80" w:type="dxa"/>
                    <w:right w:w="80" w:type="dxa"/>
                  </w:tcMar>
                  <w:hideMark/>
                </w:tcPr>
                <w:p w14:paraId="02B150D3" w14:textId="77777777" w:rsidR="00D04405" w:rsidRPr="00D04405" w:rsidRDefault="00D04405" w:rsidP="00085F3B">
                  <w:pPr>
                    <w:pStyle w:val="NormalWeb"/>
                    <w:spacing w:before="0" w:beforeAutospacing="0" w:after="0" w:afterAutospacing="0"/>
                    <w:rPr>
                      <w:rFonts w:asciiTheme="minorHAnsi" w:hAnsiTheme="minorHAnsi" w:cstheme="minorHAnsi"/>
                      <w:sz w:val="20"/>
                      <w:szCs w:val="20"/>
                    </w:rPr>
                  </w:pPr>
                  <w:r w:rsidRPr="00D04405">
                    <w:rPr>
                      <w:rFonts w:asciiTheme="minorHAnsi" w:hAnsiTheme="minorHAnsi" w:cstheme="minorHAnsi"/>
                      <w:sz w:val="20"/>
                      <w:szCs w:val="20"/>
                    </w:rPr>
                    <w:t> </w:t>
                  </w:r>
                </w:p>
              </w:tc>
            </w:tr>
          </w:tbl>
          <w:p w14:paraId="45F262E4" w14:textId="77777777" w:rsidR="00D04405" w:rsidRPr="00D04405" w:rsidRDefault="00D04405" w:rsidP="00085F3B">
            <w:pP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110" w:type="dxa"/>
            <w:hideMark/>
          </w:tcPr>
          <w:p w14:paraId="7EC8AC27" w14:textId="77777777" w:rsidR="00D04405" w:rsidRPr="00D04405" w:rsidRDefault="00D04405" w:rsidP="00085F3B">
            <w:pPr>
              <w:pStyle w:val="Normal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D04405">
              <w:rPr>
                <w:rFonts w:asciiTheme="minorHAnsi" w:hAnsiTheme="minorHAnsi" w:cstheme="minorHAnsi"/>
                <w:sz w:val="20"/>
                <w:szCs w:val="20"/>
              </w:rPr>
              <w:t xml:space="preserve">166 </w:t>
            </w:r>
          </w:p>
        </w:tc>
      </w:tr>
    </w:tbl>
    <w:p w14:paraId="4094D49B" w14:textId="77777777" w:rsidR="00D04405" w:rsidRPr="00A937DF" w:rsidRDefault="00D04405" w:rsidP="00D04405"/>
    <w:p w14:paraId="28AD1142" w14:textId="77777777" w:rsidR="00D04405" w:rsidRDefault="00D04405" w:rsidP="00D04405"/>
    <w:p w14:paraId="127BC761" w14:textId="77777777" w:rsidR="00083A48" w:rsidRDefault="00083A48">
      <w:r>
        <w:br w:type="page"/>
      </w:r>
    </w:p>
    <w:p w14:paraId="319C82C5" w14:textId="6D0F6951" w:rsidR="00D04405" w:rsidRDefault="00E63313" w:rsidP="00083A48">
      <w:pPr>
        <w:pStyle w:val="Heading2"/>
      </w:pPr>
      <w:bookmarkStart w:id="10" w:name="_Toc510634435"/>
      <w:bookmarkStart w:id="11" w:name="_Toc536713784"/>
      <w:r>
        <w:lastRenderedPageBreak/>
        <w:t>Supplemental</w:t>
      </w:r>
      <w:r w:rsidR="000C1758">
        <w:t xml:space="preserve"> Material II</w:t>
      </w:r>
      <w:r w:rsidR="00323052">
        <w:t xml:space="preserve"> - </w:t>
      </w:r>
      <w:r w:rsidR="00083A48">
        <w:t>Screening forms</w:t>
      </w:r>
      <w:bookmarkEnd w:id="10"/>
      <w:bookmarkEnd w:id="11"/>
    </w:p>
    <w:p w14:paraId="0204FE1C" w14:textId="77777777" w:rsidR="00B842AC" w:rsidRDefault="00B842AC" w:rsidP="00123F22"/>
    <w:p w14:paraId="1A96D2DA" w14:textId="29C96934" w:rsidR="00B842AC" w:rsidRDefault="00B842AC" w:rsidP="00123F22">
      <w:r>
        <w:t>Screening forms specific to this project were designed using DistillerSR (Evidence Partners) and are presented below.</w:t>
      </w:r>
    </w:p>
    <w:p w14:paraId="22015FEA" w14:textId="77777777" w:rsidR="00B842AC" w:rsidRDefault="00B842AC" w:rsidP="00123F22"/>
    <w:p w14:paraId="5C5191B0" w14:textId="7EE13426" w:rsidR="00083A48" w:rsidRPr="00323052" w:rsidRDefault="00083A48" w:rsidP="00123F22">
      <w:pPr>
        <w:rPr>
          <w:b/>
          <w:bCs/>
          <w:i/>
          <w:iCs/>
        </w:rPr>
      </w:pPr>
      <w:r w:rsidRPr="00323052">
        <w:rPr>
          <w:b/>
          <w:bCs/>
          <w:i/>
          <w:iCs/>
        </w:rPr>
        <w:t>Stage 1 –</w:t>
      </w:r>
      <w:r w:rsidR="00123F22" w:rsidRPr="00323052">
        <w:rPr>
          <w:b/>
          <w:bCs/>
          <w:i/>
          <w:iCs/>
        </w:rPr>
        <w:t>T</w:t>
      </w:r>
      <w:r w:rsidRPr="00323052">
        <w:rPr>
          <w:b/>
          <w:bCs/>
          <w:i/>
          <w:iCs/>
        </w:rPr>
        <w:t>itle and abstract screening</w:t>
      </w:r>
    </w:p>
    <w:p w14:paraId="2E6B2CCB" w14:textId="1488EF73" w:rsidR="00083A48" w:rsidRDefault="00083A48" w:rsidP="00323052">
      <w:r>
        <w:rPr>
          <w:noProof/>
          <w:lang w:eastAsia="en-CA"/>
        </w:rPr>
        <w:drawing>
          <wp:inline distT="0" distB="0" distL="0" distR="0" wp14:anchorId="51D9CB64" wp14:editId="71E5B620">
            <wp:extent cx="5644218" cy="3031958"/>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stretch>
                      <a:fillRect/>
                    </a:stretch>
                  </pic:blipFill>
                  <pic:spPr>
                    <a:xfrm>
                      <a:off x="0" y="0"/>
                      <a:ext cx="5657979" cy="3039350"/>
                    </a:xfrm>
                    <a:prstGeom prst="rect">
                      <a:avLst/>
                    </a:prstGeom>
                  </pic:spPr>
                </pic:pic>
              </a:graphicData>
            </a:graphic>
          </wp:inline>
        </w:drawing>
      </w:r>
      <w:r>
        <w:rPr>
          <w:noProof/>
          <w:lang w:eastAsia="en-CA"/>
        </w:rPr>
        <w:drawing>
          <wp:inline distT="0" distB="0" distL="0" distR="0" wp14:anchorId="195D8999" wp14:editId="348B490C">
            <wp:extent cx="5559287" cy="3575524"/>
            <wp:effectExtent l="0" t="0" r="381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stretch>
                      <a:fillRect/>
                    </a:stretch>
                  </pic:blipFill>
                  <pic:spPr>
                    <a:xfrm>
                      <a:off x="0" y="0"/>
                      <a:ext cx="5560606" cy="3576372"/>
                    </a:xfrm>
                    <a:prstGeom prst="rect">
                      <a:avLst/>
                    </a:prstGeom>
                  </pic:spPr>
                </pic:pic>
              </a:graphicData>
            </a:graphic>
          </wp:inline>
        </w:drawing>
      </w:r>
    </w:p>
    <w:p w14:paraId="49F4BD99" w14:textId="71C86DDE" w:rsidR="00083A48" w:rsidRPr="00323052" w:rsidRDefault="00083A48" w:rsidP="00323052">
      <w:pPr>
        <w:rPr>
          <w:b/>
          <w:bCs/>
          <w:i/>
          <w:iCs/>
        </w:rPr>
      </w:pPr>
      <w:r w:rsidRPr="00323052">
        <w:rPr>
          <w:b/>
          <w:bCs/>
          <w:i/>
          <w:iCs/>
        </w:rPr>
        <w:br w:type="page"/>
      </w:r>
      <w:r w:rsidRPr="00323052">
        <w:rPr>
          <w:b/>
          <w:bCs/>
          <w:i/>
          <w:iCs/>
        </w:rPr>
        <w:lastRenderedPageBreak/>
        <w:t>Stage 2 –</w:t>
      </w:r>
      <w:r w:rsidR="00323052">
        <w:rPr>
          <w:b/>
          <w:bCs/>
          <w:i/>
          <w:iCs/>
        </w:rPr>
        <w:t xml:space="preserve"> </w:t>
      </w:r>
      <w:r w:rsidRPr="00323052">
        <w:rPr>
          <w:b/>
          <w:bCs/>
          <w:i/>
          <w:iCs/>
        </w:rPr>
        <w:t>Full-text screening</w:t>
      </w:r>
    </w:p>
    <w:p w14:paraId="4D1A6EEC" w14:textId="77777777" w:rsidR="00083A48" w:rsidRDefault="00083A48" w:rsidP="00083A48">
      <w:r>
        <w:rPr>
          <w:noProof/>
          <w:lang w:eastAsia="en-CA"/>
        </w:rPr>
        <w:drawing>
          <wp:inline distT="0" distB="0" distL="0" distR="0" wp14:anchorId="72BDE520" wp14:editId="7A0BE5AC">
            <wp:extent cx="5943600" cy="48431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843145"/>
                    </a:xfrm>
                    <a:prstGeom prst="rect">
                      <a:avLst/>
                    </a:prstGeom>
                  </pic:spPr>
                </pic:pic>
              </a:graphicData>
            </a:graphic>
          </wp:inline>
        </w:drawing>
      </w:r>
    </w:p>
    <w:p w14:paraId="0A1E337F" w14:textId="77777777" w:rsidR="00083A48" w:rsidRDefault="00083A48">
      <w:r>
        <w:br w:type="page"/>
      </w:r>
    </w:p>
    <w:p w14:paraId="43AA47DC" w14:textId="2C04DD21" w:rsidR="00083A48" w:rsidRDefault="00E63313" w:rsidP="00323052">
      <w:pPr>
        <w:pStyle w:val="Heading2"/>
      </w:pPr>
      <w:bookmarkStart w:id="12" w:name="_Toc510634436"/>
      <w:bookmarkStart w:id="13" w:name="_Toc536713785"/>
      <w:r>
        <w:lastRenderedPageBreak/>
        <w:t>Supplemental</w:t>
      </w:r>
      <w:r w:rsidR="000C1758">
        <w:t xml:space="preserve"> Material III</w:t>
      </w:r>
      <w:r w:rsidR="00323052">
        <w:t xml:space="preserve"> -</w:t>
      </w:r>
      <w:r w:rsidR="00083A48">
        <w:t xml:space="preserve"> Data extraction form</w:t>
      </w:r>
      <w:bookmarkEnd w:id="12"/>
      <w:bookmarkEnd w:id="13"/>
    </w:p>
    <w:p w14:paraId="187868BC" w14:textId="77777777" w:rsidR="00B842AC" w:rsidRDefault="00B842AC" w:rsidP="00B842AC"/>
    <w:p w14:paraId="2ED5B786" w14:textId="333BCEC7" w:rsidR="00B842AC" w:rsidRPr="00B842AC" w:rsidRDefault="00B842AC" w:rsidP="00B842AC">
      <w:r>
        <w:t xml:space="preserve">The following data extraction forms were designed using DistillerSR (Evidence Partners) for this project. </w:t>
      </w:r>
    </w:p>
    <w:p w14:paraId="769389A7" w14:textId="77777777" w:rsidR="00083A48" w:rsidRPr="00083A48" w:rsidRDefault="00083A48" w:rsidP="00083A48"/>
    <w:p w14:paraId="1514B77E" w14:textId="77777777" w:rsidR="00083A48" w:rsidRDefault="00083A48" w:rsidP="00083A48">
      <w:r>
        <w:rPr>
          <w:noProof/>
          <w:lang w:eastAsia="en-CA"/>
        </w:rPr>
        <w:drawing>
          <wp:inline distT="0" distB="0" distL="0" distR="0" wp14:anchorId="0976A0A3" wp14:editId="26FD511A">
            <wp:extent cx="5943600" cy="4942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942840"/>
                    </a:xfrm>
                    <a:prstGeom prst="rect">
                      <a:avLst/>
                    </a:prstGeom>
                  </pic:spPr>
                </pic:pic>
              </a:graphicData>
            </a:graphic>
          </wp:inline>
        </w:drawing>
      </w:r>
    </w:p>
    <w:p w14:paraId="56D01EEF" w14:textId="77777777" w:rsidR="00083A48" w:rsidRDefault="00083A48" w:rsidP="00083A48">
      <w:r>
        <w:rPr>
          <w:noProof/>
          <w:lang w:eastAsia="en-CA"/>
        </w:rPr>
        <w:lastRenderedPageBreak/>
        <w:drawing>
          <wp:inline distT="0" distB="0" distL="0" distR="0" wp14:anchorId="5F1D1BA6" wp14:editId="7ABA9AE6">
            <wp:extent cx="5943600" cy="470281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702810"/>
                    </a:xfrm>
                    <a:prstGeom prst="rect">
                      <a:avLst/>
                    </a:prstGeom>
                  </pic:spPr>
                </pic:pic>
              </a:graphicData>
            </a:graphic>
          </wp:inline>
        </w:drawing>
      </w:r>
    </w:p>
    <w:p w14:paraId="093F9F94" w14:textId="77777777" w:rsidR="00083A48" w:rsidRDefault="00083A48" w:rsidP="00083A48">
      <w:r>
        <w:rPr>
          <w:noProof/>
          <w:lang w:eastAsia="en-CA"/>
        </w:rPr>
        <w:lastRenderedPageBreak/>
        <w:drawing>
          <wp:inline distT="0" distB="0" distL="0" distR="0" wp14:anchorId="63D56376" wp14:editId="0C559417">
            <wp:extent cx="5943600" cy="6633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633210"/>
                    </a:xfrm>
                    <a:prstGeom prst="rect">
                      <a:avLst/>
                    </a:prstGeom>
                  </pic:spPr>
                </pic:pic>
              </a:graphicData>
            </a:graphic>
          </wp:inline>
        </w:drawing>
      </w:r>
    </w:p>
    <w:p w14:paraId="68D9A1B1" w14:textId="77777777" w:rsidR="00083A48" w:rsidRDefault="00083A48" w:rsidP="00083A48">
      <w:r>
        <w:rPr>
          <w:noProof/>
          <w:lang w:eastAsia="en-CA"/>
        </w:rPr>
        <w:lastRenderedPageBreak/>
        <w:drawing>
          <wp:inline distT="0" distB="0" distL="0" distR="0" wp14:anchorId="4A1EF140" wp14:editId="2019F540">
            <wp:extent cx="5943600" cy="60439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043930"/>
                    </a:xfrm>
                    <a:prstGeom prst="rect">
                      <a:avLst/>
                    </a:prstGeom>
                  </pic:spPr>
                </pic:pic>
              </a:graphicData>
            </a:graphic>
          </wp:inline>
        </w:drawing>
      </w:r>
    </w:p>
    <w:p w14:paraId="001CF499" w14:textId="77777777" w:rsidR="00083A48" w:rsidRDefault="00083A48" w:rsidP="00083A48">
      <w:pPr>
        <w:rPr>
          <w:noProof/>
          <w:lang w:eastAsia="en-CA"/>
        </w:rPr>
      </w:pPr>
      <w:r>
        <w:rPr>
          <w:noProof/>
          <w:lang w:eastAsia="en-CA"/>
        </w:rPr>
        <w:lastRenderedPageBreak/>
        <w:drawing>
          <wp:inline distT="0" distB="0" distL="0" distR="0" wp14:anchorId="1EE2594A" wp14:editId="6C8838D5">
            <wp:extent cx="5943600" cy="64058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6405880"/>
                    </a:xfrm>
                    <a:prstGeom prst="rect">
                      <a:avLst/>
                    </a:prstGeom>
                  </pic:spPr>
                </pic:pic>
              </a:graphicData>
            </a:graphic>
          </wp:inline>
        </w:drawing>
      </w:r>
      <w:r w:rsidRPr="002A6140">
        <w:rPr>
          <w:noProof/>
          <w:lang w:eastAsia="en-CA"/>
        </w:rPr>
        <w:t xml:space="preserve"> </w:t>
      </w:r>
      <w:r>
        <w:rPr>
          <w:noProof/>
          <w:lang w:eastAsia="en-CA"/>
        </w:rPr>
        <w:lastRenderedPageBreak/>
        <w:drawing>
          <wp:inline distT="0" distB="0" distL="0" distR="0" wp14:anchorId="40F93220" wp14:editId="3304BB16">
            <wp:extent cx="5943600" cy="57499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5749925"/>
                    </a:xfrm>
                    <a:prstGeom prst="rect">
                      <a:avLst/>
                    </a:prstGeom>
                  </pic:spPr>
                </pic:pic>
              </a:graphicData>
            </a:graphic>
          </wp:inline>
        </w:drawing>
      </w:r>
    </w:p>
    <w:p w14:paraId="71E03745" w14:textId="77777777" w:rsidR="00083A48" w:rsidRDefault="00083A48" w:rsidP="00083A48">
      <w:pPr>
        <w:rPr>
          <w:noProof/>
          <w:lang w:eastAsia="en-CA"/>
        </w:rPr>
      </w:pPr>
      <w:r>
        <w:rPr>
          <w:noProof/>
          <w:lang w:eastAsia="en-CA"/>
        </w:rPr>
        <w:lastRenderedPageBreak/>
        <w:drawing>
          <wp:inline distT="0" distB="0" distL="0" distR="0" wp14:anchorId="5789FD14" wp14:editId="63BECA0C">
            <wp:extent cx="5943600" cy="5905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5905500"/>
                    </a:xfrm>
                    <a:prstGeom prst="rect">
                      <a:avLst/>
                    </a:prstGeom>
                  </pic:spPr>
                </pic:pic>
              </a:graphicData>
            </a:graphic>
          </wp:inline>
        </w:drawing>
      </w:r>
      <w:r w:rsidRPr="002A6140">
        <w:rPr>
          <w:noProof/>
          <w:lang w:eastAsia="en-CA"/>
        </w:rPr>
        <w:t xml:space="preserve"> </w:t>
      </w:r>
      <w:r>
        <w:rPr>
          <w:noProof/>
          <w:lang w:eastAsia="en-CA"/>
        </w:rPr>
        <w:lastRenderedPageBreak/>
        <w:drawing>
          <wp:inline distT="0" distB="0" distL="0" distR="0" wp14:anchorId="295A09C6" wp14:editId="7E35BB7B">
            <wp:extent cx="5943600" cy="45421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542155"/>
                    </a:xfrm>
                    <a:prstGeom prst="rect">
                      <a:avLst/>
                    </a:prstGeom>
                  </pic:spPr>
                </pic:pic>
              </a:graphicData>
            </a:graphic>
          </wp:inline>
        </w:drawing>
      </w:r>
      <w:r w:rsidRPr="002A6140">
        <w:rPr>
          <w:noProof/>
          <w:lang w:eastAsia="en-CA"/>
        </w:rPr>
        <w:t xml:space="preserve"> </w:t>
      </w:r>
      <w:r>
        <w:rPr>
          <w:noProof/>
          <w:lang w:eastAsia="en-CA"/>
        </w:rPr>
        <w:lastRenderedPageBreak/>
        <w:drawing>
          <wp:inline distT="0" distB="0" distL="0" distR="0" wp14:anchorId="6E66539E" wp14:editId="66A2D101">
            <wp:extent cx="5943600" cy="5943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943600"/>
                    </a:xfrm>
                    <a:prstGeom prst="rect">
                      <a:avLst/>
                    </a:prstGeom>
                  </pic:spPr>
                </pic:pic>
              </a:graphicData>
            </a:graphic>
          </wp:inline>
        </w:drawing>
      </w:r>
    </w:p>
    <w:p w14:paraId="41B539EB" w14:textId="77777777" w:rsidR="00083A48" w:rsidRDefault="00083A48" w:rsidP="00083A48">
      <w:r>
        <w:rPr>
          <w:noProof/>
          <w:lang w:eastAsia="en-CA"/>
        </w:rPr>
        <w:lastRenderedPageBreak/>
        <w:drawing>
          <wp:inline distT="0" distB="0" distL="0" distR="0" wp14:anchorId="0F38EFE7" wp14:editId="165830E9">
            <wp:extent cx="5943600" cy="46894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689475"/>
                    </a:xfrm>
                    <a:prstGeom prst="rect">
                      <a:avLst/>
                    </a:prstGeom>
                  </pic:spPr>
                </pic:pic>
              </a:graphicData>
            </a:graphic>
          </wp:inline>
        </w:drawing>
      </w:r>
    </w:p>
    <w:p w14:paraId="607BCB27" w14:textId="77777777" w:rsidR="00083A48" w:rsidRPr="00083A48" w:rsidRDefault="00083A48" w:rsidP="00083A48">
      <w:r>
        <w:br w:type="page"/>
      </w:r>
    </w:p>
    <w:p w14:paraId="1860C604" w14:textId="1C740523" w:rsidR="009462F4" w:rsidRDefault="00E63313" w:rsidP="00CA7674">
      <w:pPr>
        <w:pStyle w:val="Heading2"/>
        <w:rPr>
          <w:lang w:eastAsia="en-CA"/>
        </w:rPr>
      </w:pPr>
      <w:bookmarkStart w:id="14" w:name="_Toc510634437"/>
      <w:bookmarkStart w:id="15" w:name="_Toc536713786"/>
      <w:r>
        <w:rPr>
          <w:lang w:eastAsia="en-CA"/>
        </w:rPr>
        <w:lastRenderedPageBreak/>
        <w:t>Supplemental</w:t>
      </w:r>
      <w:r w:rsidR="00E808BB">
        <w:rPr>
          <w:lang w:eastAsia="en-CA"/>
        </w:rPr>
        <w:t xml:space="preserve"> Material</w:t>
      </w:r>
      <w:r w:rsidR="00994062">
        <w:rPr>
          <w:lang w:eastAsia="en-CA"/>
        </w:rPr>
        <w:t xml:space="preserve"> IV</w:t>
      </w:r>
      <w:r w:rsidR="00323052">
        <w:rPr>
          <w:lang w:eastAsia="en-CA"/>
        </w:rPr>
        <w:t xml:space="preserve"> -</w:t>
      </w:r>
      <w:r w:rsidR="009462F4">
        <w:rPr>
          <w:lang w:eastAsia="en-CA"/>
        </w:rPr>
        <w:t xml:space="preserve"> Characteristics </w:t>
      </w:r>
      <w:r w:rsidR="00147BB6">
        <w:rPr>
          <w:lang w:eastAsia="en-CA"/>
        </w:rPr>
        <w:t>of included studies</w:t>
      </w:r>
      <w:bookmarkEnd w:id="14"/>
      <w:bookmarkEnd w:id="15"/>
    </w:p>
    <w:p w14:paraId="2BA2F415" w14:textId="77777777" w:rsidR="00B842AC" w:rsidRDefault="00B842AC" w:rsidP="00147BB6">
      <w:pPr>
        <w:rPr>
          <w:lang w:eastAsia="en-CA"/>
        </w:rPr>
      </w:pPr>
    </w:p>
    <w:p w14:paraId="69F995A3" w14:textId="203EFDFF" w:rsidR="00147BB6" w:rsidRDefault="00B842AC" w:rsidP="00147BB6">
      <w:pPr>
        <w:rPr>
          <w:lang w:eastAsia="en-CA"/>
        </w:rPr>
      </w:pPr>
      <w:r>
        <w:rPr>
          <w:lang w:eastAsia="en-CA"/>
        </w:rPr>
        <w:t>Detailed information extracted from the included studies regarding study characteristics is presented in this section.</w:t>
      </w:r>
    </w:p>
    <w:p w14:paraId="5E56AFDD" w14:textId="77777777" w:rsidR="00B842AC" w:rsidRPr="00147BB6" w:rsidRDefault="00B842AC" w:rsidP="00147BB6">
      <w:pPr>
        <w:rPr>
          <w:lang w:eastAsia="en-CA"/>
        </w:rPr>
      </w:pPr>
    </w:p>
    <w:p w14:paraId="7F9237CC" w14:textId="3F1AA542" w:rsidR="00E73B88" w:rsidRPr="00D446D6" w:rsidRDefault="00E73B88" w:rsidP="00D446D6">
      <w:pPr>
        <w:pStyle w:val="Heading4"/>
        <w:rPr>
          <w:b w:val="0"/>
          <w:bCs w:val="0"/>
          <w:i w:val="0"/>
          <w:iCs w:val="0"/>
        </w:rPr>
      </w:pPr>
      <w:bookmarkStart w:id="16" w:name="_Toc457995708"/>
      <w:r w:rsidRPr="00D446D6">
        <w:rPr>
          <w:b w:val="0"/>
          <w:bCs w:val="0"/>
          <w:i w:val="0"/>
          <w:iCs w:val="0"/>
        </w:rPr>
        <w:t xml:space="preserve">Table S1. </w:t>
      </w:r>
      <w:r w:rsidR="00D446D6" w:rsidRPr="00D446D6">
        <w:rPr>
          <w:b w:val="0"/>
          <w:bCs w:val="0"/>
          <w:i w:val="0"/>
          <w:iCs w:val="0"/>
        </w:rPr>
        <w:t>Characteristics of study design and patient population of studies that assessed the effect of PPI use vs no PPI use (Group A).</w:t>
      </w:r>
      <w:r w:rsidRPr="00D446D6">
        <w:rPr>
          <w:b w:val="0"/>
          <w:bCs w:val="0"/>
          <w:i w:val="0"/>
          <w:iCs w:val="0"/>
        </w:rPr>
        <w:tab/>
      </w:r>
    </w:p>
    <w:p w14:paraId="27738CCA" w14:textId="479B6620" w:rsidR="00E73B88" w:rsidRPr="00D446D6" w:rsidRDefault="00E73B88" w:rsidP="00D446D6">
      <w:pPr>
        <w:pStyle w:val="Heading4"/>
        <w:rPr>
          <w:b w:val="0"/>
          <w:bCs w:val="0"/>
          <w:i w:val="0"/>
          <w:iCs w:val="0"/>
        </w:rPr>
      </w:pPr>
      <w:r w:rsidRPr="00D446D6">
        <w:rPr>
          <w:b w:val="0"/>
          <w:bCs w:val="0"/>
          <w:i w:val="0"/>
          <w:iCs w:val="0"/>
        </w:rPr>
        <w:t xml:space="preserve">Table S2. </w:t>
      </w:r>
      <w:r w:rsidR="00D446D6" w:rsidRPr="00D446D6">
        <w:rPr>
          <w:b w:val="0"/>
          <w:bCs w:val="0"/>
          <w:i w:val="0"/>
          <w:iCs w:val="0"/>
        </w:rPr>
        <w:t>Characteristics of the exposure, outcomes and source of funding of studies that assessed the effect of PPI use vs no PPI use (Group A).</w:t>
      </w:r>
      <w:r w:rsidRPr="00D446D6">
        <w:rPr>
          <w:b w:val="0"/>
          <w:bCs w:val="0"/>
          <w:i w:val="0"/>
          <w:iCs w:val="0"/>
        </w:rPr>
        <w:tab/>
      </w:r>
    </w:p>
    <w:p w14:paraId="16ECE8A4" w14:textId="03733823" w:rsidR="00E73B88" w:rsidRPr="00D446D6" w:rsidRDefault="00E73B88" w:rsidP="00D446D6">
      <w:pPr>
        <w:pStyle w:val="Heading4"/>
        <w:rPr>
          <w:b w:val="0"/>
          <w:bCs w:val="0"/>
          <w:i w:val="0"/>
          <w:iCs w:val="0"/>
        </w:rPr>
      </w:pPr>
      <w:r w:rsidRPr="00D446D6">
        <w:rPr>
          <w:b w:val="0"/>
          <w:bCs w:val="0"/>
          <w:i w:val="0"/>
          <w:iCs w:val="0"/>
        </w:rPr>
        <w:t xml:space="preserve">Table S3. </w:t>
      </w:r>
      <w:r w:rsidR="00D446D6" w:rsidRPr="00D446D6">
        <w:rPr>
          <w:rFonts w:eastAsia="Times New Roman"/>
          <w:b w:val="0"/>
          <w:bCs w:val="0"/>
          <w:i w:val="0"/>
          <w:iCs w:val="0"/>
          <w:lang w:eastAsia="en-CA"/>
        </w:rPr>
        <w:t>Characteristics of s</w:t>
      </w:r>
      <w:r w:rsidR="00D446D6" w:rsidRPr="00D446D6">
        <w:rPr>
          <w:b w:val="0"/>
          <w:bCs w:val="0"/>
          <w:i w:val="0"/>
          <w:iCs w:val="0"/>
        </w:rPr>
        <w:t xml:space="preserve">tudy design and patient population of studies </w:t>
      </w:r>
      <w:r w:rsidR="00D446D6" w:rsidRPr="00D446D6">
        <w:rPr>
          <w:rFonts w:eastAsia="Times New Roman"/>
          <w:b w:val="0"/>
          <w:bCs w:val="0"/>
          <w:i w:val="0"/>
          <w:iCs w:val="0"/>
          <w:lang w:eastAsia="en-CA"/>
        </w:rPr>
        <w:t>that assessed the effect of concomitant PPI and clopidogrel treatment vs clopidogrel alone (Group B).</w:t>
      </w:r>
      <w:r w:rsidRPr="00D446D6">
        <w:rPr>
          <w:b w:val="0"/>
          <w:bCs w:val="0"/>
          <w:i w:val="0"/>
          <w:iCs w:val="0"/>
        </w:rPr>
        <w:tab/>
      </w:r>
    </w:p>
    <w:p w14:paraId="19A5AB74" w14:textId="490BB416" w:rsidR="00E73B88" w:rsidRPr="00D446D6" w:rsidRDefault="00E73B88" w:rsidP="00D446D6">
      <w:pPr>
        <w:pStyle w:val="Heading4"/>
        <w:rPr>
          <w:b w:val="0"/>
          <w:bCs w:val="0"/>
          <w:i w:val="0"/>
          <w:iCs w:val="0"/>
        </w:rPr>
      </w:pPr>
      <w:r w:rsidRPr="00D446D6">
        <w:rPr>
          <w:b w:val="0"/>
          <w:bCs w:val="0"/>
          <w:i w:val="0"/>
          <w:iCs w:val="0"/>
        </w:rPr>
        <w:t xml:space="preserve">Table S4 </w:t>
      </w:r>
      <w:r w:rsidR="00F6643C" w:rsidRPr="00D446D6">
        <w:rPr>
          <w:b w:val="0"/>
          <w:bCs w:val="0"/>
          <w:i w:val="0"/>
          <w:iCs w:val="0"/>
        </w:rPr>
        <w:t xml:space="preserve"> </w:t>
      </w:r>
      <w:r w:rsidR="00D446D6" w:rsidRPr="00D446D6">
        <w:rPr>
          <w:b w:val="0"/>
          <w:bCs w:val="0"/>
          <w:i w:val="0"/>
          <w:iCs w:val="0"/>
        </w:rPr>
        <w:t>Characteristics of the exposure, outcomes and source of funding of studies that assessed the effect of concomitant PPI and clopidogrel treatment vs clopidogrel alone (Group B).</w:t>
      </w:r>
    </w:p>
    <w:p w14:paraId="3703C477" w14:textId="77777777" w:rsidR="00D446D6" w:rsidRPr="00D446D6" w:rsidRDefault="00E73B88" w:rsidP="00D446D6">
      <w:pPr>
        <w:pStyle w:val="Heading4"/>
        <w:rPr>
          <w:b w:val="0"/>
          <w:bCs w:val="0"/>
          <w:i w:val="0"/>
          <w:iCs w:val="0"/>
        </w:rPr>
      </w:pPr>
      <w:r w:rsidRPr="00D446D6">
        <w:rPr>
          <w:b w:val="0"/>
          <w:bCs w:val="0"/>
          <w:i w:val="0"/>
          <w:iCs w:val="0"/>
        </w:rPr>
        <w:t xml:space="preserve">Table S5. </w:t>
      </w:r>
      <w:r w:rsidR="00D446D6" w:rsidRPr="00D446D6">
        <w:rPr>
          <w:b w:val="0"/>
          <w:bCs w:val="0"/>
          <w:i w:val="0"/>
          <w:iCs w:val="0"/>
        </w:rPr>
        <w:t>Characteristics of study design and patient population of studies that assessed the effect of concomitant treatment of PPIs and other drugs vs other drugs alone (Group C).</w:t>
      </w:r>
    </w:p>
    <w:p w14:paraId="133EF2C4" w14:textId="2694CE3E" w:rsidR="009462F4" w:rsidRPr="00E73B88" w:rsidRDefault="00E73B88" w:rsidP="00D446D6">
      <w:pPr>
        <w:pStyle w:val="Heading4"/>
        <w:rPr>
          <w:b w:val="0"/>
          <w:bCs w:val="0"/>
          <w:i w:val="0"/>
          <w:iCs w:val="0"/>
        </w:rPr>
        <w:sectPr w:rsidR="009462F4" w:rsidRPr="00E73B88" w:rsidSect="002066DB">
          <w:footerReference w:type="default" r:id="rId21"/>
          <w:pgSz w:w="12240" w:h="15840"/>
          <w:pgMar w:top="1440" w:right="1440" w:bottom="1440" w:left="1440" w:header="708" w:footer="708" w:gutter="0"/>
          <w:cols w:space="708"/>
          <w:titlePg/>
          <w:docGrid w:linePitch="360"/>
        </w:sectPr>
      </w:pPr>
      <w:r w:rsidRPr="00D446D6">
        <w:rPr>
          <w:b w:val="0"/>
          <w:bCs w:val="0"/>
          <w:i w:val="0"/>
          <w:iCs w:val="0"/>
        </w:rPr>
        <w:t>Table S6. Characteristics of the exposure, outcomes and source of funding of studies that assessed the effect of concomitant treatment of PPIs and other drugs vs other drugs alone (Group C).</w:t>
      </w:r>
      <w:r w:rsidRPr="00D446D6">
        <w:rPr>
          <w:i w:val="0"/>
          <w:iCs w:val="0"/>
        </w:rPr>
        <w:tab/>
      </w:r>
    </w:p>
    <w:p w14:paraId="6639B10F" w14:textId="61423374" w:rsidR="009462F4" w:rsidRDefault="009462F4" w:rsidP="00E73B88">
      <w:pPr>
        <w:pStyle w:val="Heading4"/>
      </w:pPr>
      <w:bookmarkStart w:id="17" w:name="_Toc510634438"/>
      <w:r>
        <w:lastRenderedPageBreak/>
        <w:t xml:space="preserve">Table </w:t>
      </w:r>
      <w:r w:rsidR="00B842AC">
        <w:t>S</w:t>
      </w:r>
      <w:r w:rsidR="00D8270D">
        <w:rPr>
          <w:noProof/>
        </w:rPr>
        <w:fldChar w:fldCharType="begin"/>
      </w:r>
      <w:r w:rsidR="00D8270D">
        <w:rPr>
          <w:noProof/>
        </w:rPr>
        <w:instrText xml:space="preserve"> SEQ Table \* ARABIC </w:instrText>
      </w:r>
      <w:r w:rsidR="00D8270D">
        <w:rPr>
          <w:noProof/>
        </w:rPr>
        <w:fldChar w:fldCharType="separate"/>
      </w:r>
      <w:r w:rsidR="00320E90">
        <w:rPr>
          <w:noProof/>
        </w:rPr>
        <w:t>1</w:t>
      </w:r>
      <w:r w:rsidR="00D8270D">
        <w:rPr>
          <w:noProof/>
        </w:rPr>
        <w:fldChar w:fldCharType="end"/>
      </w:r>
      <w:r>
        <w:t xml:space="preserve">. </w:t>
      </w:r>
      <w:r w:rsidR="00E73B88">
        <w:t>Characteristics of s</w:t>
      </w:r>
      <w:r>
        <w:t>tudy design and patient population of studies that assessed the effect of PPI use vs no PPI use (Group A).</w:t>
      </w:r>
      <w:bookmarkEnd w:id="16"/>
      <w:bookmarkEnd w:id="17"/>
    </w:p>
    <w:tbl>
      <w:tblPr>
        <w:tblW w:w="13891" w:type="dxa"/>
        <w:tblLayout w:type="fixed"/>
        <w:tblLook w:val="04A0" w:firstRow="1" w:lastRow="0" w:firstColumn="1" w:lastColumn="0" w:noHBand="0" w:noVBand="1"/>
      </w:tblPr>
      <w:tblGrid>
        <w:gridCol w:w="1465"/>
        <w:gridCol w:w="1087"/>
        <w:gridCol w:w="1276"/>
        <w:gridCol w:w="1134"/>
        <w:gridCol w:w="3543"/>
        <w:gridCol w:w="1559"/>
        <w:gridCol w:w="1417"/>
        <w:gridCol w:w="1262"/>
        <w:gridCol w:w="1148"/>
      </w:tblGrid>
      <w:tr w:rsidR="009462F4" w:rsidRPr="005C4B89" w14:paraId="258D3037" w14:textId="77777777" w:rsidTr="005C4B89">
        <w:trPr>
          <w:trHeight w:val="429"/>
          <w:tblHeader/>
        </w:trPr>
        <w:tc>
          <w:tcPr>
            <w:tcW w:w="1465" w:type="dxa"/>
            <w:tcBorders>
              <w:top w:val="single" w:sz="4" w:space="0" w:color="auto"/>
              <w:left w:val="nil"/>
              <w:bottom w:val="single" w:sz="4" w:space="0" w:color="auto"/>
              <w:right w:val="nil"/>
            </w:tcBorders>
            <w:shd w:val="clear" w:color="auto" w:fill="FFFFFF"/>
            <w:vAlign w:val="center"/>
            <w:hideMark/>
          </w:tcPr>
          <w:p w14:paraId="1A54A683"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Citation</w:t>
            </w:r>
            <w:r w:rsidRPr="005C4B89">
              <w:rPr>
                <w:rFonts w:ascii="Calibri" w:eastAsia="Times New Roman" w:hAnsi="Calibri" w:cs="Times New Roman"/>
                <w:b/>
                <w:bCs/>
                <w:color w:val="000000"/>
                <w:sz w:val="18"/>
                <w:szCs w:val="18"/>
                <w:lang w:eastAsia="en-CA"/>
              </w:rPr>
              <w:br/>
              <w:t>(Location)</w:t>
            </w:r>
          </w:p>
        </w:tc>
        <w:tc>
          <w:tcPr>
            <w:tcW w:w="1087" w:type="dxa"/>
            <w:tcBorders>
              <w:top w:val="single" w:sz="4" w:space="0" w:color="auto"/>
              <w:left w:val="nil"/>
              <w:bottom w:val="single" w:sz="4" w:space="0" w:color="auto"/>
              <w:right w:val="nil"/>
            </w:tcBorders>
            <w:shd w:val="clear" w:color="auto" w:fill="FFFFFF"/>
            <w:vAlign w:val="center"/>
            <w:hideMark/>
          </w:tcPr>
          <w:p w14:paraId="3C84C229"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Study design</w:t>
            </w:r>
            <w:r w:rsidRPr="005C4B89">
              <w:rPr>
                <w:rFonts w:ascii="Calibri" w:eastAsia="Times New Roman" w:hAnsi="Calibri" w:cs="Times New Roman"/>
                <w:b/>
                <w:bCs/>
                <w:color w:val="000000"/>
                <w:sz w:val="18"/>
                <w:szCs w:val="18"/>
                <w:lang w:eastAsia="en-CA"/>
              </w:rPr>
              <w:br/>
              <w:t>(Setting)</w:t>
            </w:r>
          </w:p>
        </w:tc>
        <w:tc>
          <w:tcPr>
            <w:tcW w:w="1276" w:type="dxa"/>
            <w:tcBorders>
              <w:top w:val="single" w:sz="4" w:space="0" w:color="auto"/>
              <w:left w:val="nil"/>
              <w:bottom w:val="single" w:sz="4" w:space="0" w:color="auto"/>
              <w:right w:val="nil"/>
            </w:tcBorders>
            <w:shd w:val="clear" w:color="auto" w:fill="FFFFFF"/>
            <w:vAlign w:val="center"/>
            <w:hideMark/>
          </w:tcPr>
          <w:p w14:paraId="4C197F2D"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Database/cohort name or NCT identifier</w:t>
            </w:r>
          </w:p>
        </w:tc>
        <w:tc>
          <w:tcPr>
            <w:tcW w:w="1134" w:type="dxa"/>
            <w:tcBorders>
              <w:top w:val="single" w:sz="4" w:space="0" w:color="auto"/>
              <w:left w:val="nil"/>
              <w:bottom w:val="single" w:sz="4" w:space="0" w:color="auto"/>
              <w:right w:val="nil"/>
            </w:tcBorders>
            <w:shd w:val="clear" w:color="auto" w:fill="FFFFFF"/>
            <w:vAlign w:val="center"/>
            <w:hideMark/>
          </w:tcPr>
          <w:p w14:paraId="0930CADA"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Patient population</w:t>
            </w:r>
          </w:p>
        </w:tc>
        <w:tc>
          <w:tcPr>
            <w:tcW w:w="3543" w:type="dxa"/>
            <w:tcBorders>
              <w:top w:val="single" w:sz="4" w:space="0" w:color="auto"/>
              <w:left w:val="nil"/>
              <w:bottom w:val="single" w:sz="4" w:space="0" w:color="auto"/>
              <w:right w:val="nil"/>
            </w:tcBorders>
            <w:shd w:val="clear" w:color="auto" w:fill="FFFFFF"/>
            <w:vAlign w:val="center"/>
            <w:hideMark/>
          </w:tcPr>
          <w:p w14:paraId="2FE2B715"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Selection criteria</w:t>
            </w:r>
          </w:p>
        </w:tc>
        <w:tc>
          <w:tcPr>
            <w:tcW w:w="1559" w:type="dxa"/>
            <w:tcBorders>
              <w:top w:val="single" w:sz="4" w:space="0" w:color="auto"/>
              <w:left w:val="nil"/>
              <w:bottom w:val="single" w:sz="4" w:space="0" w:color="auto"/>
              <w:right w:val="nil"/>
            </w:tcBorders>
            <w:shd w:val="clear" w:color="auto" w:fill="FFFFFF"/>
            <w:vAlign w:val="center"/>
            <w:hideMark/>
          </w:tcPr>
          <w:p w14:paraId="279668B6"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Study sample size</w:t>
            </w:r>
          </w:p>
        </w:tc>
        <w:tc>
          <w:tcPr>
            <w:tcW w:w="1417" w:type="dxa"/>
            <w:tcBorders>
              <w:top w:val="single" w:sz="4" w:space="0" w:color="auto"/>
              <w:left w:val="nil"/>
              <w:bottom w:val="single" w:sz="4" w:space="0" w:color="auto"/>
              <w:right w:val="nil"/>
            </w:tcBorders>
            <w:shd w:val="clear" w:color="auto" w:fill="FFFFFF"/>
            <w:vAlign w:val="center"/>
            <w:hideMark/>
          </w:tcPr>
          <w:p w14:paraId="503BDDEA"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Mean age (years) (sd)</w:t>
            </w:r>
          </w:p>
        </w:tc>
        <w:tc>
          <w:tcPr>
            <w:tcW w:w="1262" w:type="dxa"/>
            <w:tcBorders>
              <w:top w:val="single" w:sz="4" w:space="0" w:color="auto"/>
              <w:left w:val="nil"/>
              <w:bottom w:val="single" w:sz="4" w:space="0" w:color="auto"/>
              <w:right w:val="nil"/>
            </w:tcBorders>
            <w:shd w:val="clear" w:color="auto" w:fill="FFFFFF"/>
            <w:vAlign w:val="center"/>
            <w:hideMark/>
          </w:tcPr>
          <w:p w14:paraId="23BD4502"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 Males</w:t>
            </w:r>
          </w:p>
        </w:tc>
        <w:tc>
          <w:tcPr>
            <w:tcW w:w="1148" w:type="dxa"/>
            <w:tcBorders>
              <w:top w:val="single" w:sz="4" w:space="0" w:color="auto"/>
              <w:left w:val="nil"/>
              <w:bottom w:val="single" w:sz="4" w:space="0" w:color="auto"/>
              <w:right w:val="nil"/>
            </w:tcBorders>
            <w:shd w:val="clear" w:color="auto" w:fill="FFFFFF"/>
            <w:vAlign w:val="center"/>
            <w:hideMark/>
          </w:tcPr>
          <w:p w14:paraId="2F0D1FE4"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Ethnicity</w:t>
            </w:r>
          </w:p>
        </w:tc>
      </w:tr>
      <w:tr w:rsidR="009462F4" w:rsidRPr="005C4B89" w14:paraId="0427B2D0" w14:textId="77777777" w:rsidTr="005C4B89">
        <w:trPr>
          <w:trHeight w:val="410"/>
        </w:trPr>
        <w:tc>
          <w:tcPr>
            <w:tcW w:w="2552" w:type="dxa"/>
            <w:gridSpan w:val="2"/>
            <w:shd w:val="clear" w:color="auto" w:fill="DEEAF6" w:themeFill="accent1" w:themeFillTint="33"/>
            <w:noWrap/>
            <w:vAlign w:val="center"/>
            <w:hideMark/>
          </w:tcPr>
          <w:p w14:paraId="7F902A78" w14:textId="77777777" w:rsidR="009462F4" w:rsidRPr="005C4B89" w:rsidRDefault="009462F4">
            <w:pPr>
              <w:spacing w:after="0" w:line="240" w:lineRule="auto"/>
              <w:rPr>
                <w:rFonts w:ascii="Calibri" w:eastAsia="Times New Roman" w:hAnsi="Calibri" w:cs="Times New Roman"/>
                <w:b/>
                <w:bCs/>
                <w:i/>
                <w:iCs/>
                <w:color w:val="000000"/>
                <w:sz w:val="18"/>
                <w:szCs w:val="18"/>
                <w:lang w:eastAsia="en-CA"/>
              </w:rPr>
            </w:pPr>
            <w:r w:rsidRPr="005C4B89">
              <w:rPr>
                <w:rFonts w:ascii="Calibri" w:eastAsia="Times New Roman" w:hAnsi="Calibri" w:cs="Times New Roman"/>
                <w:b/>
                <w:bCs/>
                <w:i/>
                <w:iCs/>
                <w:color w:val="000000"/>
                <w:sz w:val="18"/>
                <w:szCs w:val="18"/>
                <w:lang w:eastAsia="en-CA"/>
              </w:rPr>
              <w:t>Observational studies</w:t>
            </w:r>
          </w:p>
        </w:tc>
        <w:tc>
          <w:tcPr>
            <w:tcW w:w="1276" w:type="dxa"/>
            <w:shd w:val="clear" w:color="auto" w:fill="DEEAF6" w:themeFill="accent1" w:themeFillTint="33"/>
            <w:vAlign w:val="center"/>
            <w:hideMark/>
          </w:tcPr>
          <w:p w14:paraId="58BA4BCE" w14:textId="77777777" w:rsidR="009462F4" w:rsidRPr="005C4B89" w:rsidRDefault="009462F4">
            <w:pPr>
              <w:spacing w:after="0" w:line="240" w:lineRule="auto"/>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 </w:t>
            </w:r>
          </w:p>
        </w:tc>
        <w:tc>
          <w:tcPr>
            <w:tcW w:w="1134" w:type="dxa"/>
            <w:shd w:val="clear" w:color="auto" w:fill="DEEAF6" w:themeFill="accent1" w:themeFillTint="33"/>
            <w:vAlign w:val="center"/>
            <w:hideMark/>
          </w:tcPr>
          <w:p w14:paraId="7DFB14BE" w14:textId="77777777" w:rsidR="009462F4" w:rsidRPr="005C4B89" w:rsidRDefault="009462F4">
            <w:pPr>
              <w:spacing w:after="0" w:line="240" w:lineRule="auto"/>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 </w:t>
            </w:r>
          </w:p>
        </w:tc>
        <w:tc>
          <w:tcPr>
            <w:tcW w:w="3543" w:type="dxa"/>
            <w:shd w:val="clear" w:color="auto" w:fill="DEEAF6" w:themeFill="accent1" w:themeFillTint="33"/>
            <w:vAlign w:val="center"/>
            <w:hideMark/>
          </w:tcPr>
          <w:p w14:paraId="2457C758" w14:textId="77777777" w:rsidR="009462F4" w:rsidRPr="005C4B89" w:rsidRDefault="009462F4">
            <w:pPr>
              <w:spacing w:after="0" w:line="240" w:lineRule="auto"/>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 </w:t>
            </w:r>
          </w:p>
        </w:tc>
        <w:tc>
          <w:tcPr>
            <w:tcW w:w="1559" w:type="dxa"/>
            <w:shd w:val="clear" w:color="auto" w:fill="DEEAF6" w:themeFill="accent1" w:themeFillTint="33"/>
            <w:vAlign w:val="center"/>
            <w:hideMark/>
          </w:tcPr>
          <w:p w14:paraId="56873A6F" w14:textId="77777777" w:rsidR="009462F4" w:rsidRPr="005C4B89" w:rsidRDefault="009462F4">
            <w:pPr>
              <w:spacing w:after="0" w:line="240" w:lineRule="auto"/>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 </w:t>
            </w:r>
          </w:p>
        </w:tc>
        <w:tc>
          <w:tcPr>
            <w:tcW w:w="1417" w:type="dxa"/>
            <w:shd w:val="clear" w:color="auto" w:fill="DEEAF6" w:themeFill="accent1" w:themeFillTint="33"/>
            <w:vAlign w:val="center"/>
            <w:hideMark/>
          </w:tcPr>
          <w:p w14:paraId="1CD98865" w14:textId="77777777" w:rsidR="009462F4" w:rsidRPr="005C4B89" w:rsidRDefault="009462F4">
            <w:pPr>
              <w:spacing w:after="0" w:line="240" w:lineRule="auto"/>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 </w:t>
            </w:r>
          </w:p>
        </w:tc>
        <w:tc>
          <w:tcPr>
            <w:tcW w:w="1262" w:type="dxa"/>
            <w:shd w:val="clear" w:color="auto" w:fill="DEEAF6" w:themeFill="accent1" w:themeFillTint="33"/>
            <w:vAlign w:val="center"/>
            <w:hideMark/>
          </w:tcPr>
          <w:p w14:paraId="60525CE3" w14:textId="77777777" w:rsidR="009462F4" w:rsidRPr="005C4B89" w:rsidRDefault="009462F4">
            <w:pPr>
              <w:spacing w:after="0" w:line="240" w:lineRule="auto"/>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 </w:t>
            </w:r>
          </w:p>
        </w:tc>
        <w:tc>
          <w:tcPr>
            <w:tcW w:w="1148" w:type="dxa"/>
            <w:shd w:val="clear" w:color="auto" w:fill="DEEAF6" w:themeFill="accent1" w:themeFillTint="33"/>
            <w:vAlign w:val="center"/>
            <w:hideMark/>
          </w:tcPr>
          <w:p w14:paraId="52C25445" w14:textId="77777777" w:rsidR="009462F4" w:rsidRPr="005C4B89" w:rsidRDefault="009462F4">
            <w:pPr>
              <w:spacing w:after="0" w:line="240" w:lineRule="auto"/>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 </w:t>
            </w:r>
          </w:p>
        </w:tc>
      </w:tr>
      <w:tr w:rsidR="008F1453" w:rsidRPr="005C4B89" w14:paraId="5729518E" w14:textId="77777777" w:rsidTr="00B30898">
        <w:trPr>
          <w:trHeight w:val="1335"/>
        </w:trPr>
        <w:tc>
          <w:tcPr>
            <w:tcW w:w="1465" w:type="dxa"/>
            <w:tcBorders>
              <w:top w:val="single" w:sz="4" w:space="0" w:color="auto"/>
              <w:left w:val="nil"/>
              <w:bottom w:val="single" w:sz="4" w:space="0" w:color="auto"/>
              <w:right w:val="nil"/>
            </w:tcBorders>
            <w:shd w:val="clear" w:color="auto" w:fill="auto"/>
            <w:vAlign w:val="center"/>
          </w:tcPr>
          <w:p w14:paraId="0F283E76" w14:textId="6A7EEFCC"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(Antunes et al. 2016)</w:t>
            </w:r>
            <w:r>
              <w:rPr>
                <w:rFonts w:ascii="Calibri" w:hAnsi="Calibri" w:cs="Calibri"/>
                <w:color w:val="000000"/>
                <w:sz w:val="18"/>
                <w:szCs w:val="18"/>
              </w:rPr>
              <w:br/>
              <w:t>(Portugal)</w:t>
            </w:r>
            <w:r>
              <w:rPr>
                <w:rFonts w:ascii="Calibri" w:hAnsi="Calibri" w:cs="Calibri"/>
                <w:color w:val="000000"/>
                <w:sz w:val="18"/>
                <w:szCs w:val="18"/>
              </w:rPr>
              <w:br/>
              <w:t>Abstract</w:t>
            </w:r>
          </w:p>
        </w:tc>
        <w:tc>
          <w:tcPr>
            <w:tcW w:w="1087" w:type="dxa"/>
            <w:tcBorders>
              <w:top w:val="single" w:sz="4" w:space="0" w:color="auto"/>
              <w:left w:val="nil"/>
              <w:bottom w:val="single" w:sz="4" w:space="0" w:color="auto"/>
              <w:right w:val="nil"/>
            </w:tcBorders>
            <w:shd w:val="clear" w:color="auto" w:fill="auto"/>
            <w:vAlign w:val="center"/>
          </w:tcPr>
          <w:p w14:paraId="15F0E0C7" w14:textId="1225B15A"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xml:space="preserve">Retrospective cohort </w:t>
            </w:r>
            <w:r>
              <w:rPr>
                <w:rFonts w:ascii="Calibri" w:hAnsi="Calibri" w:cs="Calibri"/>
                <w:color w:val="000000"/>
                <w:sz w:val="18"/>
                <w:szCs w:val="18"/>
              </w:rPr>
              <w:br/>
              <w:t>(1 tertiary center)</w:t>
            </w:r>
          </w:p>
        </w:tc>
        <w:tc>
          <w:tcPr>
            <w:tcW w:w="1276" w:type="dxa"/>
            <w:tcBorders>
              <w:top w:val="single" w:sz="4" w:space="0" w:color="auto"/>
              <w:left w:val="nil"/>
              <w:bottom w:val="single" w:sz="4" w:space="0" w:color="auto"/>
              <w:right w:val="nil"/>
            </w:tcBorders>
            <w:shd w:val="clear" w:color="auto" w:fill="auto"/>
            <w:vAlign w:val="center"/>
          </w:tcPr>
          <w:p w14:paraId="54EBF6B4" w14:textId="4B1182CA"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w:t>
            </w:r>
          </w:p>
        </w:tc>
        <w:tc>
          <w:tcPr>
            <w:tcW w:w="1134" w:type="dxa"/>
            <w:tcBorders>
              <w:top w:val="single" w:sz="4" w:space="0" w:color="auto"/>
              <w:left w:val="nil"/>
              <w:bottom w:val="single" w:sz="4" w:space="0" w:color="auto"/>
              <w:right w:val="nil"/>
            </w:tcBorders>
            <w:shd w:val="clear" w:color="auto" w:fill="auto"/>
            <w:vAlign w:val="center"/>
          </w:tcPr>
          <w:p w14:paraId="7B642B02" w14:textId="79D368F4"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Cirrhotic</w:t>
            </w:r>
          </w:p>
        </w:tc>
        <w:tc>
          <w:tcPr>
            <w:tcW w:w="3543" w:type="dxa"/>
            <w:tcBorders>
              <w:top w:val="single" w:sz="4" w:space="0" w:color="auto"/>
              <w:left w:val="nil"/>
              <w:bottom w:val="single" w:sz="4" w:space="0" w:color="auto"/>
              <w:right w:val="nil"/>
            </w:tcBorders>
            <w:shd w:val="clear" w:color="auto" w:fill="auto"/>
            <w:vAlign w:val="center"/>
          </w:tcPr>
          <w:p w14:paraId="4CD2E0D7" w14:textId="48FEAFD6" w:rsidR="008F1453" w:rsidRPr="005C4B89" w:rsidRDefault="008F1453" w:rsidP="008F1453">
            <w:pPr>
              <w:spacing w:after="0" w:line="240" w:lineRule="auto"/>
              <w:rPr>
                <w:rFonts w:ascii="Calibri" w:eastAsia="Times New Roman" w:hAnsi="Calibri" w:cs="Times New Roman"/>
                <w:color w:val="000000"/>
                <w:sz w:val="18"/>
                <w:szCs w:val="18"/>
                <w:lang w:eastAsia="en-CA"/>
              </w:rPr>
            </w:pPr>
            <w:r w:rsidRPr="008F1453">
              <w:rPr>
                <w:rFonts w:ascii="Calibri" w:hAnsi="Calibri" w:cs="Calibri"/>
                <w:i/>
                <w:iCs/>
                <w:color w:val="000000"/>
                <w:sz w:val="18"/>
                <w:szCs w:val="18"/>
              </w:rPr>
              <w:t>Inclusion:</w:t>
            </w:r>
            <w:r>
              <w:rPr>
                <w:rFonts w:ascii="Calibri" w:hAnsi="Calibri" w:cs="Calibri"/>
                <w:color w:val="000000"/>
                <w:sz w:val="18"/>
                <w:szCs w:val="18"/>
              </w:rPr>
              <w:br/>
              <w:t xml:space="preserve">- hospitalization with cirrhosis  </w:t>
            </w:r>
            <w:r>
              <w:rPr>
                <w:rFonts w:ascii="Calibri" w:hAnsi="Calibri" w:cs="Calibri"/>
                <w:color w:val="000000"/>
                <w:sz w:val="18"/>
                <w:szCs w:val="18"/>
              </w:rPr>
              <w:br/>
              <w:t>- patients with ascites and microbiological cultures at admission</w:t>
            </w:r>
          </w:p>
        </w:tc>
        <w:tc>
          <w:tcPr>
            <w:tcW w:w="1559" w:type="dxa"/>
            <w:tcBorders>
              <w:top w:val="single" w:sz="4" w:space="0" w:color="auto"/>
              <w:left w:val="nil"/>
              <w:bottom w:val="single" w:sz="4" w:space="0" w:color="auto"/>
              <w:right w:val="nil"/>
            </w:tcBorders>
            <w:shd w:val="clear" w:color="auto" w:fill="auto"/>
            <w:vAlign w:val="center"/>
          </w:tcPr>
          <w:p w14:paraId="51086E59" w14:textId="29EE8CAB"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Cohort size: 571;</w:t>
            </w:r>
            <w:r>
              <w:rPr>
                <w:rFonts w:ascii="Calibri" w:hAnsi="Calibri" w:cs="Calibri"/>
                <w:color w:val="000000"/>
                <w:sz w:val="18"/>
                <w:szCs w:val="18"/>
              </w:rPr>
              <w:br/>
              <w:t>PPI: 180</w:t>
            </w:r>
          </w:p>
        </w:tc>
        <w:tc>
          <w:tcPr>
            <w:tcW w:w="1417" w:type="dxa"/>
            <w:tcBorders>
              <w:top w:val="single" w:sz="4" w:space="0" w:color="auto"/>
              <w:left w:val="nil"/>
              <w:bottom w:val="single" w:sz="4" w:space="0" w:color="auto"/>
              <w:right w:val="nil"/>
            </w:tcBorders>
            <w:shd w:val="clear" w:color="auto" w:fill="auto"/>
            <w:vAlign w:val="center"/>
          </w:tcPr>
          <w:p w14:paraId="4B7E28CB" w14:textId="3F974C4B"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c>
          <w:tcPr>
            <w:tcW w:w="1262" w:type="dxa"/>
            <w:tcBorders>
              <w:top w:val="single" w:sz="4" w:space="0" w:color="auto"/>
              <w:left w:val="nil"/>
              <w:bottom w:val="single" w:sz="4" w:space="0" w:color="auto"/>
              <w:right w:val="nil"/>
            </w:tcBorders>
            <w:shd w:val="clear" w:color="auto" w:fill="auto"/>
            <w:vAlign w:val="center"/>
          </w:tcPr>
          <w:p w14:paraId="41EFD321" w14:textId="2A56C0B9"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c>
          <w:tcPr>
            <w:tcW w:w="1148" w:type="dxa"/>
            <w:tcBorders>
              <w:top w:val="single" w:sz="4" w:space="0" w:color="auto"/>
              <w:left w:val="nil"/>
              <w:bottom w:val="single" w:sz="4" w:space="0" w:color="auto"/>
              <w:right w:val="nil"/>
            </w:tcBorders>
            <w:shd w:val="clear" w:color="auto" w:fill="auto"/>
            <w:vAlign w:val="center"/>
          </w:tcPr>
          <w:p w14:paraId="28837B98" w14:textId="5D2C4D20"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8F1453" w:rsidRPr="005C4B89" w14:paraId="28AD6D12" w14:textId="77777777" w:rsidTr="008F1453">
        <w:trPr>
          <w:trHeight w:val="1335"/>
        </w:trPr>
        <w:tc>
          <w:tcPr>
            <w:tcW w:w="1465" w:type="dxa"/>
            <w:tcBorders>
              <w:top w:val="single" w:sz="4" w:space="0" w:color="auto"/>
              <w:left w:val="nil"/>
              <w:bottom w:val="single" w:sz="4" w:space="0" w:color="auto"/>
              <w:right w:val="nil"/>
            </w:tcBorders>
            <w:shd w:val="clear" w:color="auto" w:fill="auto"/>
            <w:vAlign w:val="center"/>
            <w:hideMark/>
          </w:tcPr>
          <w:p w14:paraId="09B5A8C1" w14:textId="77777777" w:rsidR="008F1453" w:rsidRPr="005C4B89" w:rsidRDefault="008F1453" w:rsidP="008F145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{"citationItems":[{"id":"ITEM-1","itemData":{"DOI":"10.1007/s40264-015-0338-0","ISBN":"0114-5916","ISSN":"11791942","PMID":"26350642","abstract":"INTRODUCTION: Epidemiological studies have linked domperidone use with serious cardiac arrhythmias, including sudden cardiac death, but data on age, dose, and duration of use are limited.\\n\\nOBJECTIVES: The aim of this study was to assess the risk of out-of-hospital sudden cardiac death associated with domperidone use versus proton pump inhibitors (PPIs), metoclopramide, or non-use of all three medications, and to evaluate the risk of sudden cardiac death in relation to age and domperidone dose.\\n\\nMETHODS: This was a population-based case-control study nested in a cohort of subjects aged ≥2 years in the Clinical Practice Research Datalink with one or more prescriptions for domperidone, any PPI, or metoclopramide from 2005 to 2011. Out-of-hospital sudden cardiac death was assessed by linkage with Hospital Episode Statistics and death certificates. Controls were matched on age, sex, and medical practice. The risk of sudden cardiac death in domperidone users versus risk in users of PPIs or metoclopramide was evaluated with multivariable conditional logistic regression; case-crossover analysis addressed possible residual confounding.\\n\\nRESULTS: From the study cohort (n = 681,104), 3239 sudden cardiac death cases were matched to 12,572 controls. The adjusted odds ratio (95 % confidence interval) for sudden cardiac death with current use of domperidone alone was 1.71 (0.92-3.18) versus non-use of study medications, 1.26 (0.68-2.34) versus current PPI use, and 0.40 (0.17-0.94) current metoclopramide use. The adjusted odds ratio (95 % confidence interval) relative to exposure to no study drug for domperidone &gt;30 mg/day (eight cases, five controls) was 3.20 (0.59-17.3) and 1.65 (0.89-3.07) for age ≥61 years (27 cases, 49 controls). The odds ratio (95 % confidence interval) was 3.17 (1.72-5.83) for within-person periods of domperidone use versus non-use in the case-crossover analysis.\\n\\nCONCLUSIONS: Compared with non-use of any study drug, current domperidone use was associated with sudden cardiac death in nested case-control and case-crossover analyses, with a suggestion of higher risk in older persons and users of higher daily doses.","author":[{"dropping-particle":"","family":"Arana","given":"Alejandro","non-dropping-particle":"","parse-names":false,"suffix":""},{"dropping-particle":"","family":"Johannes","given":"Catherine B.","non-dropping-particle":"","parse-names":false,"suffix":""},{"dropping-particle":"","family":"McQuay","given":"Lisa J.","non-dropping-particle":"","parse-names":false,"suffix":""},{"dropping-particle":"","family":"Varas-Lorenzo","given":"Cristina","non-dropping-particle":"","parse-names":false,"suffix":""},{"dropping-particle":"","family":"Fife","given":"Daniel","non-dropping-particle":"","parse-names":false,"suffix":""},{"dropping-particle":"","family":"Rothman","given":"Kenneth J.","non-dropping-particle":"","parse-names":false,"suffix":""}],"container-title":"Drug Safety","id":"ITEM-1","issue":"12","issued":{"date-parts":[["2015"]]},"page":"1187-1199","publisher":"Springer International Publishing","title":"Risk of Out-of-Hospital Sudden Cardiac Death in Users of Domperidone, Proton Pump Inhibitors, or Metoclopramide: A Population-Based Nested Case-Control Study","type":"article-journal","volume":"38"},"uris":["http://www.mendeley.com/documents/?uuid=b37a7419-a177-406c-a409-2c4b8f89c36a"]}],"mendeley":{"formattedCitation":"(Arana et al. 2015a)","plainTextFormattedCitation":"(Arana et al. 2015a)","previouslyFormattedCitation":"(Arana et al. 2015a)"},"properties":{"noteIndex":0},"schema":"https://github.com/citation-style-language/schema/raw/master/csl-citation.json"}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D325C7">
              <w:rPr>
                <w:rFonts w:ascii="Calibri" w:eastAsia="Times New Roman" w:hAnsi="Calibri" w:cs="Times New Roman"/>
                <w:noProof/>
                <w:color w:val="000000"/>
                <w:sz w:val="18"/>
                <w:szCs w:val="18"/>
                <w:lang w:eastAsia="en-CA"/>
              </w:rPr>
              <w:t>(Arana et al. 2015a)</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(UK)</w:t>
            </w:r>
          </w:p>
        </w:tc>
        <w:tc>
          <w:tcPr>
            <w:tcW w:w="1087" w:type="dxa"/>
            <w:tcBorders>
              <w:top w:val="single" w:sz="4" w:space="0" w:color="auto"/>
              <w:left w:val="nil"/>
              <w:bottom w:val="single" w:sz="4" w:space="0" w:color="auto"/>
              <w:right w:val="nil"/>
            </w:tcBorders>
            <w:shd w:val="clear" w:color="auto" w:fill="auto"/>
            <w:vAlign w:val="center"/>
            <w:hideMark/>
          </w:tcPr>
          <w:p w14:paraId="19179A8E" w14:textId="77777777" w:rsidR="008F1453" w:rsidRPr="005C4B89" w:rsidRDefault="008F1453" w:rsidP="008F145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Nested case-control</w:t>
            </w:r>
            <w:r w:rsidRPr="005C4B89">
              <w:rPr>
                <w:rFonts w:ascii="Calibri" w:eastAsia="Times New Roman" w:hAnsi="Calibri" w:cs="Times New Roman"/>
                <w:color w:val="000000"/>
                <w:sz w:val="18"/>
                <w:szCs w:val="18"/>
                <w:lang w:eastAsia="en-CA"/>
              </w:rPr>
              <w:br/>
              <w:t>(database analysis, population based)</w:t>
            </w:r>
          </w:p>
        </w:tc>
        <w:tc>
          <w:tcPr>
            <w:tcW w:w="1276" w:type="dxa"/>
            <w:tcBorders>
              <w:top w:val="single" w:sz="4" w:space="0" w:color="auto"/>
              <w:left w:val="nil"/>
              <w:bottom w:val="single" w:sz="4" w:space="0" w:color="auto"/>
              <w:right w:val="nil"/>
            </w:tcBorders>
            <w:shd w:val="clear" w:color="auto" w:fill="auto"/>
            <w:vAlign w:val="center"/>
            <w:hideMark/>
          </w:tcPr>
          <w:p w14:paraId="3990F408" w14:textId="77777777" w:rsidR="008F1453" w:rsidRPr="005C4B89" w:rsidRDefault="008F1453" w:rsidP="008F145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Clinical Practice Research Datalink-Global initiative for Chronic Obstructive Lung Disease (CPRD-GOLD</w:t>
            </w:r>
          </w:p>
        </w:tc>
        <w:tc>
          <w:tcPr>
            <w:tcW w:w="1134" w:type="dxa"/>
            <w:tcBorders>
              <w:top w:val="single" w:sz="4" w:space="0" w:color="auto"/>
              <w:left w:val="nil"/>
              <w:bottom w:val="single" w:sz="4" w:space="0" w:color="auto"/>
              <w:right w:val="nil"/>
            </w:tcBorders>
            <w:shd w:val="clear" w:color="auto" w:fill="auto"/>
            <w:vAlign w:val="center"/>
            <w:hideMark/>
          </w:tcPr>
          <w:p w14:paraId="08EEA476" w14:textId="77777777" w:rsidR="008F1453" w:rsidRPr="005C4B89" w:rsidRDefault="008F1453" w:rsidP="008F145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UGI disorders</w:t>
            </w:r>
          </w:p>
        </w:tc>
        <w:tc>
          <w:tcPr>
            <w:tcW w:w="3543" w:type="dxa"/>
            <w:tcBorders>
              <w:top w:val="single" w:sz="4" w:space="0" w:color="auto"/>
              <w:left w:val="nil"/>
              <w:bottom w:val="single" w:sz="4" w:space="0" w:color="auto"/>
              <w:right w:val="nil"/>
            </w:tcBorders>
            <w:shd w:val="clear" w:color="auto" w:fill="auto"/>
            <w:vAlign w:val="center"/>
            <w:hideMark/>
          </w:tcPr>
          <w:p w14:paraId="4627F645" w14:textId="77777777" w:rsidR="008F1453" w:rsidRPr="005C4B89" w:rsidRDefault="008F1453" w:rsidP="008F145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registered in database</w:t>
            </w:r>
            <w:r w:rsidRPr="005C4B89">
              <w:rPr>
                <w:rFonts w:ascii="Calibri" w:eastAsia="Times New Roman" w:hAnsi="Calibri" w:cs="Times New Roman"/>
                <w:color w:val="000000"/>
                <w:sz w:val="18"/>
                <w:szCs w:val="18"/>
                <w:lang w:eastAsia="en-CA"/>
              </w:rPr>
              <w:br/>
              <w:t>- has linkable data to HES (hospital episode statistics) and ONS (office of national statistics)</w:t>
            </w:r>
            <w:r w:rsidRPr="005C4B89">
              <w:rPr>
                <w:rFonts w:ascii="Calibri" w:eastAsia="Times New Roman" w:hAnsi="Calibri" w:cs="Times New Roman"/>
                <w:color w:val="000000"/>
                <w:sz w:val="18"/>
                <w:szCs w:val="18"/>
                <w:lang w:eastAsia="en-CA"/>
              </w:rPr>
              <w:br/>
              <w:t>- at least 1 continuous year of enrollment in CPRD GOLD after first exposure to either study drugs between 2005-2011</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residing in institutions on or before cohort entry</w:t>
            </w:r>
            <w:r w:rsidRPr="005C4B89">
              <w:rPr>
                <w:rFonts w:ascii="Calibri" w:eastAsia="Times New Roman" w:hAnsi="Calibri" w:cs="Times New Roman"/>
                <w:color w:val="000000"/>
                <w:sz w:val="18"/>
                <w:szCs w:val="18"/>
                <w:lang w:eastAsia="en-CA"/>
              </w:rPr>
              <w:br/>
              <w:t>- cancer diagnosis before cohort entry date</w:t>
            </w:r>
          </w:p>
        </w:tc>
        <w:tc>
          <w:tcPr>
            <w:tcW w:w="1559" w:type="dxa"/>
            <w:tcBorders>
              <w:top w:val="single" w:sz="4" w:space="0" w:color="auto"/>
              <w:left w:val="nil"/>
              <w:bottom w:val="single" w:sz="4" w:space="0" w:color="auto"/>
              <w:right w:val="nil"/>
            </w:tcBorders>
            <w:shd w:val="clear" w:color="auto" w:fill="auto"/>
            <w:vAlign w:val="center"/>
            <w:hideMark/>
          </w:tcPr>
          <w:p w14:paraId="061F7FC6" w14:textId="77777777" w:rsidR="008F1453" w:rsidRPr="005C4B89" w:rsidRDefault="008F1453" w:rsidP="008F145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15,811</w:t>
            </w:r>
            <w:r w:rsidRPr="005C4B89">
              <w:rPr>
                <w:rFonts w:ascii="Calibri" w:eastAsia="Times New Roman" w:hAnsi="Calibri" w:cs="Times New Roman"/>
                <w:color w:val="000000"/>
                <w:sz w:val="18"/>
                <w:szCs w:val="18"/>
                <w:lang w:eastAsia="en-CA"/>
              </w:rPr>
              <w:br/>
              <w:t>(Cases: 3,239; Controls: 12,572</w:t>
            </w:r>
          </w:p>
        </w:tc>
        <w:tc>
          <w:tcPr>
            <w:tcW w:w="1417" w:type="dxa"/>
            <w:tcBorders>
              <w:top w:val="single" w:sz="4" w:space="0" w:color="auto"/>
              <w:left w:val="nil"/>
              <w:bottom w:val="single" w:sz="4" w:space="0" w:color="auto"/>
              <w:right w:val="nil"/>
            </w:tcBorders>
            <w:shd w:val="clear" w:color="auto" w:fill="auto"/>
            <w:vAlign w:val="center"/>
            <w:hideMark/>
          </w:tcPr>
          <w:p w14:paraId="01758615" w14:textId="77777777" w:rsidR="008F1453" w:rsidRPr="005C4B89" w:rsidRDefault="008F1453" w:rsidP="008F145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55 (median)</w:t>
            </w:r>
          </w:p>
        </w:tc>
        <w:tc>
          <w:tcPr>
            <w:tcW w:w="1262" w:type="dxa"/>
            <w:tcBorders>
              <w:top w:val="single" w:sz="4" w:space="0" w:color="auto"/>
              <w:left w:val="nil"/>
              <w:bottom w:val="single" w:sz="4" w:space="0" w:color="auto"/>
              <w:right w:val="nil"/>
            </w:tcBorders>
            <w:shd w:val="clear" w:color="auto" w:fill="auto"/>
            <w:vAlign w:val="center"/>
            <w:hideMark/>
          </w:tcPr>
          <w:p w14:paraId="14A57B1E" w14:textId="77777777" w:rsidR="008F1453" w:rsidRPr="005C4B89" w:rsidRDefault="008F1453" w:rsidP="008F145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43%</w:t>
            </w:r>
          </w:p>
        </w:tc>
        <w:tc>
          <w:tcPr>
            <w:tcW w:w="1148" w:type="dxa"/>
            <w:tcBorders>
              <w:top w:val="single" w:sz="4" w:space="0" w:color="auto"/>
              <w:left w:val="nil"/>
              <w:bottom w:val="single" w:sz="4" w:space="0" w:color="auto"/>
              <w:right w:val="nil"/>
            </w:tcBorders>
            <w:shd w:val="clear" w:color="auto" w:fill="auto"/>
            <w:vAlign w:val="center"/>
            <w:hideMark/>
          </w:tcPr>
          <w:p w14:paraId="2B70FD2D" w14:textId="77777777" w:rsidR="008F1453" w:rsidRPr="005C4B89" w:rsidRDefault="008F1453" w:rsidP="008F145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8F1453" w:rsidRPr="005C4B89" w14:paraId="0EACCF2B" w14:textId="77777777" w:rsidTr="00B30898">
        <w:trPr>
          <w:trHeight w:val="1335"/>
        </w:trPr>
        <w:tc>
          <w:tcPr>
            <w:tcW w:w="1465" w:type="dxa"/>
            <w:tcBorders>
              <w:top w:val="single" w:sz="4" w:space="0" w:color="auto"/>
              <w:left w:val="nil"/>
              <w:bottom w:val="single" w:sz="4" w:space="0" w:color="auto"/>
              <w:right w:val="nil"/>
            </w:tcBorders>
            <w:shd w:val="clear" w:color="auto" w:fill="auto"/>
            <w:vAlign w:val="center"/>
          </w:tcPr>
          <w:p w14:paraId="35C917B0" w14:textId="05E9E077"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(Bang el al 2018)</w:t>
            </w:r>
            <w:r>
              <w:rPr>
                <w:rFonts w:ascii="Calibri" w:hAnsi="Calibri" w:cs="Calibri"/>
                <w:color w:val="000000"/>
                <w:sz w:val="18"/>
                <w:szCs w:val="18"/>
              </w:rPr>
              <w:br/>
              <w:t>(Denmark)</w:t>
            </w:r>
            <w:r>
              <w:rPr>
                <w:rFonts w:ascii="Calibri" w:hAnsi="Calibri" w:cs="Calibri"/>
                <w:color w:val="000000"/>
                <w:sz w:val="18"/>
                <w:szCs w:val="18"/>
              </w:rPr>
              <w:br/>
            </w:r>
            <w:r>
              <w:rPr>
                <w:rFonts w:ascii="Calibri" w:hAnsi="Calibri" w:cs="Calibri"/>
                <w:color w:val="000000"/>
                <w:sz w:val="18"/>
                <w:szCs w:val="18"/>
              </w:rPr>
              <w:br/>
              <w:t>Abstract</w:t>
            </w:r>
          </w:p>
        </w:tc>
        <w:tc>
          <w:tcPr>
            <w:tcW w:w="1087" w:type="dxa"/>
            <w:tcBorders>
              <w:top w:val="single" w:sz="4" w:space="0" w:color="auto"/>
              <w:left w:val="nil"/>
              <w:bottom w:val="single" w:sz="4" w:space="0" w:color="auto"/>
              <w:right w:val="nil"/>
            </w:tcBorders>
            <w:shd w:val="clear" w:color="auto" w:fill="auto"/>
            <w:vAlign w:val="center"/>
          </w:tcPr>
          <w:p w14:paraId="7E9E9E84" w14:textId="612AEFEE"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Retrospective cohort</w:t>
            </w:r>
            <w:r>
              <w:rPr>
                <w:rFonts w:ascii="Calibri" w:hAnsi="Calibri" w:cs="Calibri"/>
                <w:color w:val="000000"/>
                <w:sz w:val="18"/>
                <w:szCs w:val="18"/>
              </w:rPr>
              <w:br/>
              <w:t>(Database analysis)</w:t>
            </w:r>
          </w:p>
        </w:tc>
        <w:tc>
          <w:tcPr>
            <w:tcW w:w="1276" w:type="dxa"/>
            <w:tcBorders>
              <w:top w:val="single" w:sz="4" w:space="0" w:color="auto"/>
              <w:left w:val="nil"/>
              <w:bottom w:val="single" w:sz="4" w:space="0" w:color="auto"/>
              <w:right w:val="nil"/>
            </w:tcBorders>
            <w:shd w:val="clear" w:color="auto" w:fill="auto"/>
            <w:vAlign w:val="center"/>
          </w:tcPr>
          <w:p w14:paraId="26341728" w14:textId="47437AD1"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xml:space="preserve"> Danish Prescription Database</w:t>
            </w:r>
          </w:p>
        </w:tc>
        <w:tc>
          <w:tcPr>
            <w:tcW w:w="1134" w:type="dxa"/>
            <w:tcBorders>
              <w:top w:val="single" w:sz="4" w:space="0" w:color="auto"/>
              <w:left w:val="nil"/>
              <w:bottom w:val="single" w:sz="4" w:space="0" w:color="auto"/>
              <w:right w:val="nil"/>
            </w:tcBorders>
            <w:shd w:val="clear" w:color="auto" w:fill="auto"/>
            <w:vAlign w:val="center"/>
          </w:tcPr>
          <w:p w14:paraId="37690DE8" w14:textId="02CB7959"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xml:space="preserve">With alcoholic cirrhosis </w:t>
            </w:r>
          </w:p>
        </w:tc>
        <w:tc>
          <w:tcPr>
            <w:tcW w:w="3543" w:type="dxa"/>
            <w:tcBorders>
              <w:top w:val="single" w:sz="4" w:space="0" w:color="auto"/>
              <w:left w:val="nil"/>
              <w:bottom w:val="single" w:sz="4" w:space="0" w:color="auto"/>
              <w:right w:val="nil"/>
            </w:tcBorders>
            <w:shd w:val="clear" w:color="auto" w:fill="auto"/>
            <w:vAlign w:val="center"/>
          </w:tcPr>
          <w:p w14:paraId="544755D8" w14:textId="4F3B8758" w:rsidR="008F1453" w:rsidRPr="005C4B89" w:rsidRDefault="008F1453" w:rsidP="008F1453">
            <w:pPr>
              <w:spacing w:after="0" w:line="240" w:lineRule="auto"/>
              <w:rPr>
                <w:rFonts w:ascii="Calibri" w:eastAsia="Times New Roman" w:hAnsi="Calibri" w:cs="Times New Roman"/>
                <w:color w:val="000000"/>
                <w:sz w:val="18"/>
                <w:szCs w:val="18"/>
                <w:lang w:eastAsia="en-CA"/>
              </w:rPr>
            </w:pPr>
            <w:r w:rsidRPr="008F1453">
              <w:rPr>
                <w:rFonts w:ascii="Calibri" w:hAnsi="Calibri" w:cs="Calibri"/>
                <w:i/>
                <w:iCs/>
                <w:color w:val="000000"/>
                <w:sz w:val="18"/>
                <w:szCs w:val="18"/>
              </w:rPr>
              <w:t>Inclusion:</w:t>
            </w:r>
            <w:r>
              <w:rPr>
                <w:rFonts w:ascii="Calibri" w:hAnsi="Calibri" w:cs="Calibri"/>
                <w:color w:val="000000"/>
                <w:sz w:val="18"/>
                <w:szCs w:val="18"/>
              </w:rPr>
              <w:br/>
              <w:t xml:space="preserve">- with alcoholic cirrhosis </w:t>
            </w:r>
            <w:r>
              <w:rPr>
                <w:rFonts w:ascii="Calibri" w:hAnsi="Calibri" w:cs="Calibri"/>
                <w:color w:val="000000"/>
                <w:sz w:val="18"/>
                <w:szCs w:val="18"/>
              </w:rPr>
              <w:br/>
              <w:t>-history of opioid claims (for PS matching)</w:t>
            </w:r>
            <w:r>
              <w:rPr>
                <w:rFonts w:ascii="Calibri" w:hAnsi="Calibri" w:cs="Calibri"/>
                <w:color w:val="000000"/>
                <w:sz w:val="18"/>
                <w:szCs w:val="18"/>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Pr>
                <w:rFonts w:ascii="Calibri" w:hAnsi="Calibri" w:cs="Calibri"/>
                <w:color w:val="000000"/>
                <w:sz w:val="18"/>
                <w:szCs w:val="18"/>
              </w:rPr>
              <w:br/>
              <w:t>-cancer, chronic viral hepatitis, non-alcoholic fatty liver disease, follow-up time &lt;30 days.</w:t>
            </w:r>
          </w:p>
        </w:tc>
        <w:tc>
          <w:tcPr>
            <w:tcW w:w="1559" w:type="dxa"/>
            <w:tcBorders>
              <w:top w:val="single" w:sz="4" w:space="0" w:color="auto"/>
              <w:left w:val="nil"/>
              <w:bottom w:val="single" w:sz="4" w:space="0" w:color="auto"/>
              <w:right w:val="nil"/>
            </w:tcBorders>
            <w:shd w:val="clear" w:color="auto" w:fill="auto"/>
            <w:vAlign w:val="center"/>
          </w:tcPr>
          <w:p w14:paraId="4FB53422" w14:textId="02759839"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Cohort size: 19,687;</w:t>
            </w:r>
            <w:r>
              <w:rPr>
                <w:rFonts w:ascii="Calibri" w:hAnsi="Calibri" w:cs="Calibri"/>
                <w:color w:val="000000"/>
                <w:sz w:val="18"/>
                <w:szCs w:val="18"/>
              </w:rPr>
              <w:br/>
              <w:t>PS matched cohort: 2,592</w:t>
            </w:r>
          </w:p>
        </w:tc>
        <w:tc>
          <w:tcPr>
            <w:tcW w:w="1417" w:type="dxa"/>
            <w:tcBorders>
              <w:top w:val="single" w:sz="4" w:space="0" w:color="auto"/>
              <w:left w:val="nil"/>
              <w:bottom w:val="single" w:sz="4" w:space="0" w:color="auto"/>
              <w:right w:val="nil"/>
            </w:tcBorders>
            <w:shd w:val="clear" w:color="auto" w:fill="auto"/>
            <w:vAlign w:val="center"/>
          </w:tcPr>
          <w:p w14:paraId="759DCF12" w14:textId="745D6B77"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56 (10)</w:t>
            </w:r>
          </w:p>
        </w:tc>
        <w:tc>
          <w:tcPr>
            <w:tcW w:w="1262" w:type="dxa"/>
            <w:tcBorders>
              <w:top w:val="single" w:sz="4" w:space="0" w:color="auto"/>
              <w:left w:val="nil"/>
              <w:bottom w:val="single" w:sz="4" w:space="0" w:color="auto"/>
              <w:right w:val="nil"/>
            </w:tcBorders>
            <w:shd w:val="clear" w:color="auto" w:fill="auto"/>
            <w:vAlign w:val="center"/>
          </w:tcPr>
          <w:p w14:paraId="421DD3C2" w14:textId="3EF0AD3E"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65%</w:t>
            </w:r>
          </w:p>
        </w:tc>
        <w:tc>
          <w:tcPr>
            <w:tcW w:w="1148" w:type="dxa"/>
            <w:tcBorders>
              <w:top w:val="single" w:sz="4" w:space="0" w:color="auto"/>
              <w:left w:val="nil"/>
              <w:bottom w:val="single" w:sz="4" w:space="0" w:color="auto"/>
              <w:right w:val="nil"/>
            </w:tcBorders>
            <w:shd w:val="clear" w:color="auto" w:fill="auto"/>
            <w:vAlign w:val="center"/>
          </w:tcPr>
          <w:p w14:paraId="0D519AD0" w14:textId="3232FB6A"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8F1453" w:rsidRPr="005C4B89" w14:paraId="37E9925C" w14:textId="77777777" w:rsidTr="00B30898">
        <w:trPr>
          <w:trHeight w:val="1335"/>
        </w:trPr>
        <w:tc>
          <w:tcPr>
            <w:tcW w:w="1465" w:type="dxa"/>
            <w:tcBorders>
              <w:top w:val="single" w:sz="4" w:space="0" w:color="auto"/>
              <w:left w:val="nil"/>
              <w:bottom w:val="single" w:sz="4" w:space="0" w:color="auto"/>
              <w:right w:val="nil"/>
            </w:tcBorders>
            <w:shd w:val="clear" w:color="auto" w:fill="auto"/>
            <w:vAlign w:val="center"/>
          </w:tcPr>
          <w:p w14:paraId="0FA18D1B" w14:textId="435ED796"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(Bell el al 2017)</w:t>
            </w:r>
            <w:r>
              <w:rPr>
                <w:rFonts w:ascii="Calibri" w:hAnsi="Calibri" w:cs="Calibri"/>
                <w:color w:val="000000"/>
                <w:sz w:val="18"/>
                <w:szCs w:val="18"/>
              </w:rPr>
              <w:br/>
              <w:t>(USA)</w:t>
            </w:r>
            <w:r>
              <w:rPr>
                <w:rFonts w:ascii="Calibri" w:hAnsi="Calibri" w:cs="Calibri"/>
                <w:color w:val="000000"/>
                <w:sz w:val="18"/>
                <w:szCs w:val="18"/>
              </w:rPr>
              <w:br/>
              <w:t>Abstract</w:t>
            </w:r>
          </w:p>
        </w:tc>
        <w:tc>
          <w:tcPr>
            <w:tcW w:w="1087" w:type="dxa"/>
            <w:tcBorders>
              <w:top w:val="single" w:sz="4" w:space="0" w:color="auto"/>
              <w:left w:val="nil"/>
              <w:bottom w:val="single" w:sz="4" w:space="0" w:color="auto"/>
              <w:right w:val="nil"/>
            </w:tcBorders>
            <w:shd w:val="clear" w:color="auto" w:fill="auto"/>
            <w:vAlign w:val="center"/>
          </w:tcPr>
          <w:p w14:paraId="43AEF31D" w14:textId="2E6D80FF"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Retrospective cohort</w:t>
            </w:r>
            <w:r>
              <w:rPr>
                <w:rFonts w:ascii="Calibri" w:hAnsi="Calibri" w:cs="Calibri"/>
                <w:color w:val="000000"/>
                <w:sz w:val="18"/>
                <w:szCs w:val="18"/>
              </w:rPr>
              <w:br/>
              <w:t>(Database analysis)</w:t>
            </w:r>
          </w:p>
        </w:tc>
        <w:tc>
          <w:tcPr>
            <w:tcW w:w="1276" w:type="dxa"/>
            <w:tcBorders>
              <w:top w:val="single" w:sz="4" w:space="0" w:color="auto"/>
              <w:left w:val="nil"/>
              <w:bottom w:val="single" w:sz="4" w:space="0" w:color="auto"/>
              <w:right w:val="nil"/>
            </w:tcBorders>
            <w:shd w:val="clear" w:color="auto" w:fill="auto"/>
            <w:vAlign w:val="center"/>
          </w:tcPr>
          <w:p w14:paraId="29B1831E" w14:textId="0103B126"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Rochester Epidemiology Project's medical records system</w:t>
            </w:r>
          </w:p>
        </w:tc>
        <w:tc>
          <w:tcPr>
            <w:tcW w:w="1134" w:type="dxa"/>
            <w:tcBorders>
              <w:top w:val="single" w:sz="4" w:space="0" w:color="auto"/>
              <w:left w:val="nil"/>
              <w:bottom w:val="single" w:sz="4" w:space="0" w:color="auto"/>
              <w:right w:val="nil"/>
            </w:tcBorders>
            <w:shd w:val="clear" w:color="auto" w:fill="auto"/>
            <w:vAlign w:val="center"/>
          </w:tcPr>
          <w:p w14:paraId="19FFD8BD" w14:textId="05AFB309"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General population</w:t>
            </w:r>
          </w:p>
        </w:tc>
        <w:tc>
          <w:tcPr>
            <w:tcW w:w="3543" w:type="dxa"/>
            <w:tcBorders>
              <w:top w:val="single" w:sz="4" w:space="0" w:color="auto"/>
              <w:left w:val="nil"/>
              <w:bottom w:val="single" w:sz="4" w:space="0" w:color="auto"/>
              <w:right w:val="nil"/>
            </w:tcBorders>
            <w:shd w:val="clear" w:color="auto" w:fill="auto"/>
            <w:vAlign w:val="center"/>
          </w:tcPr>
          <w:p w14:paraId="072A7F0A" w14:textId="02B4C608" w:rsidR="008F1453" w:rsidRPr="005C4B89" w:rsidRDefault="008F1453" w:rsidP="008F1453">
            <w:pPr>
              <w:spacing w:after="0" w:line="240" w:lineRule="auto"/>
              <w:rPr>
                <w:rFonts w:ascii="Calibri" w:eastAsia="Times New Roman" w:hAnsi="Calibri" w:cs="Times New Roman"/>
                <w:color w:val="000000"/>
                <w:sz w:val="18"/>
                <w:szCs w:val="18"/>
                <w:lang w:eastAsia="en-CA"/>
              </w:rPr>
            </w:pPr>
            <w:r w:rsidRPr="008F1453">
              <w:rPr>
                <w:rFonts w:ascii="Calibri" w:hAnsi="Calibri" w:cs="Calibri"/>
                <w:i/>
                <w:iCs/>
                <w:color w:val="000000"/>
                <w:sz w:val="18"/>
                <w:szCs w:val="18"/>
              </w:rPr>
              <w:t>Inclusion:</w:t>
            </w:r>
            <w:r>
              <w:rPr>
                <w:rFonts w:ascii="Calibri" w:hAnsi="Calibri" w:cs="Calibri"/>
                <w:color w:val="000000"/>
                <w:sz w:val="18"/>
                <w:szCs w:val="18"/>
              </w:rPr>
              <w:br/>
              <w:t xml:space="preserve">- resident of Olmsted County, MS </w:t>
            </w:r>
            <w:r>
              <w:rPr>
                <w:rFonts w:ascii="Calibri" w:hAnsi="Calibri" w:cs="Calibri"/>
                <w:color w:val="000000"/>
                <w:sz w:val="18"/>
                <w:szCs w:val="18"/>
              </w:rPr>
              <w:br/>
            </w:r>
            <w:r>
              <w:rPr>
                <w:rFonts w:ascii="Calibri" w:hAnsi="Calibri" w:cs="Calibri"/>
                <w:color w:val="000000"/>
                <w:sz w:val="18"/>
                <w:szCs w:val="18"/>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Pr>
                <w:rFonts w:ascii="Calibri" w:hAnsi="Calibri" w:cs="Calibri"/>
                <w:color w:val="000000"/>
                <w:sz w:val="18"/>
                <w:szCs w:val="18"/>
              </w:rPr>
              <w:br/>
              <w:t>- &lt;18 years old</w:t>
            </w:r>
            <w:r>
              <w:rPr>
                <w:rFonts w:ascii="Calibri" w:hAnsi="Calibri" w:cs="Calibri"/>
                <w:color w:val="000000"/>
                <w:sz w:val="18"/>
                <w:szCs w:val="18"/>
              </w:rPr>
              <w:br/>
              <w:t>-history of CVD</w:t>
            </w:r>
            <w:r>
              <w:rPr>
                <w:rFonts w:ascii="Calibri" w:hAnsi="Calibri" w:cs="Calibri"/>
                <w:color w:val="000000"/>
                <w:sz w:val="18"/>
                <w:szCs w:val="18"/>
              </w:rPr>
              <w:br/>
              <w:t>- missing data for variables needed in the analysis</w:t>
            </w:r>
            <w:r>
              <w:rPr>
                <w:rFonts w:ascii="Calibri" w:hAnsi="Calibri" w:cs="Calibri"/>
                <w:color w:val="000000"/>
                <w:sz w:val="18"/>
                <w:szCs w:val="18"/>
              </w:rPr>
              <w:br/>
              <w:t>- PPI use in prior year</w:t>
            </w:r>
          </w:p>
        </w:tc>
        <w:tc>
          <w:tcPr>
            <w:tcW w:w="1559" w:type="dxa"/>
            <w:tcBorders>
              <w:top w:val="single" w:sz="4" w:space="0" w:color="auto"/>
              <w:left w:val="nil"/>
              <w:bottom w:val="single" w:sz="4" w:space="0" w:color="auto"/>
              <w:right w:val="nil"/>
            </w:tcBorders>
            <w:shd w:val="clear" w:color="auto" w:fill="auto"/>
            <w:vAlign w:val="center"/>
          </w:tcPr>
          <w:p w14:paraId="045854D7" w14:textId="3DDEDDCF"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Cohort size:  58,175</w:t>
            </w:r>
          </w:p>
        </w:tc>
        <w:tc>
          <w:tcPr>
            <w:tcW w:w="1417" w:type="dxa"/>
            <w:tcBorders>
              <w:top w:val="single" w:sz="4" w:space="0" w:color="auto"/>
              <w:left w:val="nil"/>
              <w:bottom w:val="single" w:sz="4" w:space="0" w:color="auto"/>
              <w:right w:val="nil"/>
            </w:tcBorders>
            <w:shd w:val="clear" w:color="auto" w:fill="auto"/>
            <w:vAlign w:val="center"/>
          </w:tcPr>
          <w:p w14:paraId="4BBB640B" w14:textId="29F02737"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c>
          <w:tcPr>
            <w:tcW w:w="1262" w:type="dxa"/>
            <w:tcBorders>
              <w:top w:val="single" w:sz="4" w:space="0" w:color="auto"/>
              <w:left w:val="nil"/>
              <w:bottom w:val="single" w:sz="4" w:space="0" w:color="auto"/>
              <w:right w:val="nil"/>
            </w:tcBorders>
            <w:shd w:val="clear" w:color="auto" w:fill="auto"/>
            <w:vAlign w:val="center"/>
          </w:tcPr>
          <w:p w14:paraId="6EF9CCB7" w14:textId="7D1D3AB9"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c>
          <w:tcPr>
            <w:tcW w:w="1148" w:type="dxa"/>
            <w:tcBorders>
              <w:top w:val="single" w:sz="4" w:space="0" w:color="auto"/>
              <w:left w:val="nil"/>
              <w:bottom w:val="single" w:sz="4" w:space="0" w:color="auto"/>
              <w:right w:val="nil"/>
            </w:tcBorders>
            <w:shd w:val="clear" w:color="auto" w:fill="auto"/>
            <w:vAlign w:val="center"/>
          </w:tcPr>
          <w:p w14:paraId="002F76B4" w14:textId="6562D1ED"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7D344D" w:rsidRPr="005C4B89" w14:paraId="14A8279E" w14:textId="77777777" w:rsidTr="00B30898">
        <w:trPr>
          <w:trHeight w:val="1335"/>
        </w:trPr>
        <w:tc>
          <w:tcPr>
            <w:tcW w:w="1465" w:type="dxa"/>
            <w:tcBorders>
              <w:top w:val="single" w:sz="4" w:space="0" w:color="auto"/>
              <w:left w:val="nil"/>
              <w:bottom w:val="single" w:sz="4" w:space="0" w:color="auto"/>
              <w:right w:val="nil"/>
            </w:tcBorders>
            <w:shd w:val="clear" w:color="auto" w:fill="auto"/>
            <w:vAlign w:val="center"/>
          </w:tcPr>
          <w:p w14:paraId="39EAAA3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lastRenderedPageBreak/>
              <w:t>(Bettinger et al 2018)</w:t>
            </w:r>
            <w:r>
              <w:rPr>
                <w:rFonts w:ascii="Calibri" w:hAnsi="Calibri" w:cs="Calibri"/>
                <w:color w:val="000000"/>
                <w:sz w:val="18"/>
                <w:szCs w:val="18"/>
              </w:rPr>
              <w:br/>
              <w:t>(Germany)</w:t>
            </w:r>
          </w:p>
        </w:tc>
        <w:tc>
          <w:tcPr>
            <w:tcW w:w="1087" w:type="dxa"/>
            <w:tcBorders>
              <w:top w:val="single" w:sz="4" w:space="0" w:color="auto"/>
              <w:left w:val="nil"/>
              <w:bottom w:val="single" w:sz="4" w:space="0" w:color="auto"/>
              <w:right w:val="nil"/>
            </w:tcBorders>
            <w:shd w:val="clear" w:color="auto" w:fill="auto"/>
            <w:vAlign w:val="center"/>
          </w:tcPr>
          <w:p w14:paraId="7A91086C"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Retrospective cohort</w:t>
            </w:r>
            <w:r>
              <w:rPr>
                <w:rFonts w:ascii="Calibri" w:hAnsi="Calibri" w:cs="Calibri"/>
                <w:color w:val="000000"/>
                <w:sz w:val="18"/>
                <w:szCs w:val="18"/>
              </w:rPr>
              <w:br/>
              <w:t>(Database analysis)</w:t>
            </w:r>
          </w:p>
        </w:tc>
        <w:tc>
          <w:tcPr>
            <w:tcW w:w="1276" w:type="dxa"/>
            <w:tcBorders>
              <w:top w:val="single" w:sz="4" w:space="0" w:color="auto"/>
              <w:left w:val="nil"/>
              <w:bottom w:val="single" w:sz="4" w:space="0" w:color="auto"/>
              <w:right w:val="nil"/>
            </w:tcBorders>
            <w:shd w:val="clear" w:color="auto" w:fill="auto"/>
            <w:vAlign w:val="center"/>
          </w:tcPr>
          <w:p w14:paraId="28FD0E86"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w:t>
            </w:r>
          </w:p>
        </w:tc>
        <w:tc>
          <w:tcPr>
            <w:tcW w:w="1134" w:type="dxa"/>
            <w:tcBorders>
              <w:top w:val="single" w:sz="4" w:space="0" w:color="auto"/>
              <w:left w:val="nil"/>
              <w:bottom w:val="single" w:sz="4" w:space="0" w:color="auto"/>
              <w:right w:val="nil"/>
            </w:tcBorders>
            <w:shd w:val="clear" w:color="auto" w:fill="auto"/>
            <w:vAlign w:val="center"/>
          </w:tcPr>
          <w:p w14:paraId="0F22E4C1"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Pyogenic liver abscess</w:t>
            </w:r>
          </w:p>
        </w:tc>
        <w:tc>
          <w:tcPr>
            <w:tcW w:w="3543" w:type="dxa"/>
            <w:tcBorders>
              <w:top w:val="single" w:sz="4" w:space="0" w:color="auto"/>
              <w:left w:val="nil"/>
              <w:bottom w:val="single" w:sz="4" w:space="0" w:color="auto"/>
              <w:right w:val="nil"/>
            </w:tcBorders>
            <w:shd w:val="clear" w:color="auto" w:fill="auto"/>
            <w:vAlign w:val="center"/>
          </w:tcPr>
          <w:p w14:paraId="48AE6AD2"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8F1453">
              <w:rPr>
                <w:rFonts w:ascii="Calibri" w:hAnsi="Calibri" w:cs="Calibri"/>
                <w:i/>
                <w:iCs/>
                <w:color w:val="000000"/>
                <w:sz w:val="18"/>
                <w:szCs w:val="18"/>
              </w:rPr>
              <w:t>Inclusion:</w:t>
            </w:r>
            <w:r>
              <w:rPr>
                <w:rFonts w:ascii="Calibri" w:hAnsi="Calibri" w:cs="Calibri"/>
                <w:color w:val="000000"/>
                <w:sz w:val="18"/>
                <w:szCs w:val="18"/>
              </w:rPr>
              <w:t xml:space="preserve"> </w:t>
            </w:r>
            <w:r>
              <w:rPr>
                <w:rFonts w:ascii="Calibri" w:hAnsi="Calibri" w:cs="Calibri"/>
                <w:color w:val="000000"/>
                <w:sz w:val="18"/>
                <w:szCs w:val="18"/>
              </w:rPr>
              <w:br/>
              <w:t>- with pyogenic liver abscess and information on diagnosis, treatment and clinical course</w:t>
            </w:r>
          </w:p>
        </w:tc>
        <w:tc>
          <w:tcPr>
            <w:tcW w:w="1559" w:type="dxa"/>
            <w:tcBorders>
              <w:top w:val="single" w:sz="4" w:space="0" w:color="auto"/>
              <w:left w:val="nil"/>
              <w:bottom w:val="single" w:sz="4" w:space="0" w:color="auto"/>
              <w:right w:val="nil"/>
            </w:tcBorders>
            <w:shd w:val="clear" w:color="auto" w:fill="auto"/>
            <w:vAlign w:val="center"/>
          </w:tcPr>
          <w:p w14:paraId="6644E8A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Cohort size: 181;</w:t>
            </w:r>
            <w:r>
              <w:rPr>
                <w:rFonts w:ascii="Calibri" w:hAnsi="Calibri" w:cs="Calibri"/>
                <w:color w:val="000000"/>
                <w:sz w:val="18"/>
                <w:szCs w:val="18"/>
              </w:rPr>
              <w:br/>
              <w:t>PPI: 100;</w:t>
            </w:r>
            <w:r>
              <w:rPr>
                <w:rFonts w:ascii="Calibri" w:hAnsi="Calibri" w:cs="Calibri"/>
                <w:color w:val="000000"/>
                <w:sz w:val="18"/>
                <w:szCs w:val="18"/>
              </w:rPr>
              <w:br/>
              <w:t>No PPI: 81;</w:t>
            </w:r>
          </w:p>
        </w:tc>
        <w:tc>
          <w:tcPr>
            <w:tcW w:w="1417" w:type="dxa"/>
            <w:tcBorders>
              <w:top w:val="single" w:sz="4" w:space="0" w:color="auto"/>
              <w:left w:val="nil"/>
              <w:bottom w:val="single" w:sz="4" w:space="0" w:color="auto"/>
              <w:right w:val="nil"/>
            </w:tcBorders>
            <w:shd w:val="clear" w:color="auto" w:fill="auto"/>
            <w:vAlign w:val="center"/>
          </w:tcPr>
          <w:p w14:paraId="7C9E6439"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PPI: 62.3 (13.4);</w:t>
            </w:r>
            <w:r>
              <w:rPr>
                <w:rFonts w:ascii="Calibri" w:hAnsi="Calibri" w:cs="Calibri"/>
                <w:color w:val="000000"/>
                <w:sz w:val="18"/>
                <w:szCs w:val="18"/>
              </w:rPr>
              <w:br/>
              <w:t>No PPI: 63.2 (14.4);</w:t>
            </w:r>
          </w:p>
        </w:tc>
        <w:tc>
          <w:tcPr>
            <w:tcW w:w="1262" w:type="dxa"/>
            <w:tcBorders>
              <w:top w:val="single" w:sz="4" w:space="0" w:color="auto"/>
              <w:left w:val="nil"/>
              <w:bottom w:val="single" w:sz="4" w:space="0" w:color="auto"/>
              <w:right w:val="nil"/>
            </w:tcBorders>
            <w:shd w:val="clear" w:color="auto" w:fill="auto"/>
            <w:vAlign w:val="center"/>
          </w:tcPr>
          <w:p w14:paraId="6377CDD3"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PPI: 67%:</w:t>
            </w:r>
            <w:r>
              <w:rPr>
                <w:rFonts w:ascii="Calibri" w:hAnsi="Calibri" w:cs="Calibri"/>
                <w:color w:val="000000"/>
                <w:sz w:val="18"/>
                <w:szCs w:val="18"/>
              </w:rPr>
              <w:br/>
              <w:t>no PPI: 68%;</w:t>
            </w:r>
          </w:p>
        </w:tc>
        <w:tc>
          <w:tcPr>
            <w:tcW w:w="1148" w:type="dxa"/>
            <w:tcBorders>
              <w:top w:val="single" w:sz="4" w:space="0" w:color="auto"/>
              <w:left w:val="nil"/>
              <w:bottom w:val="single" w:sz="4" w:space="0" w:color="auto"/>
              <w:right w:val="nil"/>
            </w:tcBorders>
            <w:shd w:val="clear" w:color="auto" w:fill="auto"/>
            <w:vAlign w:val="center"/>
          </w:tcPr>
          <w:p w14:paraId="061FFFE2"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7D344D" w:rsidRPr="005C4B89" w14:paraId="730D50EF" w14:textId="77777777" w:rsidTr="00B30898">
        <w:trPr>
          <w:trHeight w:val="1335"/>
        </w:trPr>
        <w:tc>
          <w:tcPr>
            <w:tcW w:w="1465" w:type="dxa"/>
            <w:tcBorders>
              <w:top w:val="single" w:sz="4" w:space="0" w:color="auto"/>
              <w:left w:val="nil"/>
              <w:bottom w:val="single" w:sz="4" w:space="0" w:color="auto"/>
              <w:right w:val="nil"/>
            </w:tcBorders>
            <w:shd w:val="clear" w:color="auto" w:fill="auto"/>
            <w:vAlign w:val="center"/>
          </w:tcPr>
          <w:p w14:paraId="1A9814AB"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(Caffrey et al 2016)</w:t>
            </w:r>
            <w:r>
              <w:rPr>
                <w:rFonts w:ascii="Calibri" w:hAnsi="Calibri" w:cs="Calibri"/>
                <w:color w:val="000000"/>
                <w:sz w:val="18"/>
                <w:szCs w:val="18"/>
              </w:rPr>
              <w:br/>
              <w:t>(USA)</w:t>
            </w:r>
            <w:r>
              <w:rPr>
                <w:rFonts w:ascii="Calibri" w:hAnsi="Calibri" w:cs="Calibri"/>
                <w:color w:val="000000"/>
                <w:sz w:val="18"/>
                <w:szCs w:val="18"/>
              </w:rPr>
              <w:br/>
              <w:t>Abstract</w:t>
            </w:r>
          </w:p>
        </w:tc>
        <w:tc>
          <w:tcPr>
            <w:tcW w:w="1087" w:type="dxa"/>
            <w:tcBorders>
              <w:top w:val="single" w:sz="4" w:space="0" w:color="auto"/>
              <w:left w:val="nil"/>
              <w:bottom w:val="single" w:sz="4" w:space="0" w:color="auto"/>
              <w:right w:val="nil"/>
            </w:tcBorders>
            <w:shd w:val="clear" w:color="auto" w:fill="auto"/>
            <w:vAlign w:val="center"/>
          </w:tcPr>
          <w:p w14:paraId="575DB6FE"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Retrospective cohort</w:t>
            </w:r>
            <w:r>
              <w:rPr>
                <w:rFonts w:ascii="Calibri" w:hAnsi="Calibri" w:cs="Calibri"/>
                <w:color w:val="000000"/>
                <w:sz w:val="18"/>
                <w:szCs w:val="18"/>
              </w:rPr>
              <w:br/>
              <w:t>(Veteran Affairs hospitals)</w:t>
            </w:r>
          </w:p>
        </w:tc>
        <w:tc>
          <w:tcPr>
            <w:tcW w:w="1276" w:type="dxa"/>
            <w:tcBorders>
              <w:top w:val="single" w:sz="4" w:space="0" w:color="auto"/>
              <w:left w:val="nil"/>
              <w:bottom w:val="single" w:sz="4" w:space="0" w:color="auto"/>
              <w:right w:val="nil"/>
            </w:tcBorders>
            <w:shd w:val="clear" w:color="auto" w:fill="auto"/>
            <w:vAlign w:val="center"/>
          </w:tcPr>
          <w:p w14:paraId="41420411"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w:t>
            </w:r>
          </w:p>
        </w:tc>
        <w:tc>
          <w:tcPr>
            <w:tcW w:w="1134" w:type="dxa"/>
            <w:tcBorders>
              <w:top w:val="single" w:sz="4" w:space="0" w:color="auto"/>
              <w:left w:val="nil"/>
              <w:bottom w:val="single" w:sz="4" w:space="0" w:color="auto"/>
              <w:right w:val="nil"/>
            </w:tcBorders>
            <w:shd w:val="clear" w:color="auto" w:fill="auto"/>
            <w:vAlign w:val="center"/>
          </w:tcPr>
          <w:p w14:paraId="1CA2D931"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With S. aureus bacteremia</w:t>
            </w:r>
          </w:p>
        </w:tc>
        <w:tc>
          <w:tcPr>
            <w:tcW w:w="3543" w:type="dxa"/>
            <w:tcBorders>
              <w:top w:val="single" w:sz="4" w:space="0" w:color="auto"/>
              <w:left w:val="nil"/>
              <w:bottom w:val="single" w:sz="4" w:space="0" w:color="auto"/>
              <w:right w:val="nil"/>
            </w:tcBorders>
            <w:shd w:val="clear" w:color="auto" w:fill="auto"/>
            <w:vAlign w:val="center"/>
          </w:tcPr>
          <w:p w14:paraId="2E72FE8D"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8F1453">
              <w:rPr>
                <w:rFonts w:ascii="Calibri" w:hAnsi="Calibri" w:cs="Calibri"/>
                <w:i/>
                <w:iCs/>
                <w:color w:val="000000"/>
                <w:sz w:val="18"/>
                <w:szCs w:val="18"/>
              </w:rPr>
              <w:t>Inclusion:</w:t>
            </w:r>
            <w:r>
              <w:rPr>
                <w:rFonts w:ascii="Calibri" w:hAnsi="Calibri" w:cs="Calibri"/>
                <w:color w:val="000000"/>
                <w:sz w:val="18"/>
                <w:szCs w:val="18"/>
              </w:rPr>
              <w:br/>
              <w:t>- admitted to Veterans Affairs hospitals</w:t>
            </w:r>
            <w:r>
              <w:rPr>
                <w:rFonts w:ascii="Calibri" w:hAnsi="Calibri" w:cs="Calibri"/>
                <w:color w:val="000000"/>
                <w:sz w:val="18"/>
                <w:szCs w:val="18"/>
              </w:rPr>
              <w:br/>
              <w:t>-positive S. aureus blood culture and receiving antibiotics within 2 days of culture collection</w:t>
            </w:r>
          </w:p>
        </w:tc>
        <w:tc>
          <w:tcPr>
            <w:tcW w:w="1559" w:type="dxa"/>
            <w:tcBorders>
              <w:top w:val="single" w:sz="4" w:space="0" w:color="auto"/>
              <w:left w:val="nil"/>
              <w:bottom w:val="single" w:sz="4" w:space="0" w:color="auto"/>
              <w:right w:val="nil"/>
            </w:tcBorders>
            <w:shd w:val="clear" w:color="auto" w:fill="auto"/>
            <w:vAlign w:val="center"/>
          </w:tcPr>
          <w:p w14:paraId="0C9C213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Cohort size: 12,211</w:t>
            </w:r>
            <w:r>
              <w:rPr>
                <w:rFonts w:ascii="Calibri" w:hAnsi="Calibri" w:cs="Calibri"/>
                <w:color w:val="000000"/>
                <w:sz w:val="18"/>
                <w:szCs w:val="18"/>
              </w:rPr>
              <w:br/>
              <w:t>PPI: 809;</w:t>
            </w:r>
            <w:r>
              <w:rPr>
                <w:rFonts w:ascii="Calibri" w:hAnsi="Calibri" w:cs="Calibri"/>
                <w:color w:val="000000"/>
                <w:sz w:val="18"/>
                <w:szCs w:val="18"/>
              </w:rPr>
              <w:br/>
              <w:t>no PPI: 12,402</w:t>
            </w:r>
          </w:p>
        </w:tc>
        <w:tc>
          <w:tcPr>
            <w:tcW w:w="1417" w:type="dxa"/>
            <w:tcBorders>
              <w:top w:val="single" w:sz="4" w:space="0" w:color="auto"/>
              <w:left w:val="nil"/>
              <w:bottom w:val="single" w:sz="4" w:space="0" w:color="auto"/>
              <w:right w:val="nil"/>
            </w:tcBorders>
            <w:shd w:val="clear" w:color="auto" w:fill="auto"/>
            <w:vAlign w:val="center"/>
          </w:tcPr>
          <w:p w14:paraId="5CB32B72"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c>
          <w:tcPr>
            <w:tcW w:w="1262" w:type="dxa"/>
            <w:tcBorders>
              <w:top w:val="single" w:sz="4" w:space="0" w:color="auto"/>
              <w:left w:val="nil"/>
              <w:bottom w:val="single" w:sz="4" w:space="0" w:color="auto"/>
              <w:right w:val="nil"/>
            </w:tcBorders>
            <w:shd w:val="clear" w:color="auto" w:fill="auto"/>
            <w:vAlign w:val="center"/>
          </w:tcPr>
          <w:p w14:paraId="6096A6E7"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c>
          <w:tcPr>
            <w:tcW w:w="1148" w:type="dxa"/>
            <w:tcBorders>
              <w:top w:val="single" w:sz="4" w:space="0" w:color="auto"/>
              <w:left w:val="nil"/>
              <w:bottom w:val="single" w:sz="4" w:space="0" w:color="auto"/>
              <w:right w:val="nil"/>
            </w:tcBorders>
            <w:shd w:val="clear" w:color="auto" w:fill="auto"/>
            <w:vAlign w:val="center"/>
          </w:tcPr>
          <w:p w14:paraId="0E8DDABE"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7D344D" w:rsidRPr="005C4B89" w14:paraId="11099007" w14:textId="77777777" w:rsidTr="00B30898">
        <w:trPr>
          <w:trHeight w:val="1335"/>
        </w:trPr>
        <w:tc>
          <w:tcPr>
            <w:tcW w:w="1465" w:type="dxa"/>
            <w:tcBorders>
              <w:top w:val="single" w:sz="4" w:space="0" w:color="auto"/>
              <w:left w:val="nil"/>
              <w:bottom w:val="single" w:sz="4" w:space="0" w:color="auto"/>
              <w:right w:val="nil"/>
            </w:tcBorders>
            <w:shd w:val="clear" w:color="auto" w:fill="auto"/>
            <w:vAlign w:val="center"/>
          </w:tcPr>
          <w:p w14:paraId="6DBDAAC6"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(de Francisco et al 2018)</w:t>
            </w:r>
            <w:r>
              <w:rPr>
                <w:rFonts w:ascii="Calibri" w:hAnsi="Calibri" w:cs="Calibri"/>
                <w:color w:val="000000"/>
                <w:sz w:val="18"/>
                <w:szCs w:val="18"/>
              </w:rPr>
              <w:br/>
              <w:t>(Spain)</w:t>
            </w:r>
          </w:p>
        </w:tc>
        <w:tc>
          <w:tcPr>
            <w:tcW w:w="1087" w:type="dxa"/>
            <w:tcBorders>
              <w:top w:val="single" w:sz="4" w:space="0" w:color="auto"/>
              <w:left w:val="nil"/>
              <w:bottom w:val="single" w:sz="4" w:space="0" w:color="auto"/>
              <w:right w:val="nil"/>
            </w:tcBorders>
            <w:shd w:val="clear" w:color="auto" w:fill="auto"/>
            <w:vAlign w:val="center"/>
          </w:tcPr>
          <w:p w14:paraId="204D4F44"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Retrospective cohort;</w:t>
            </w:r>
            <w:r>
              <w:rPr>
                <w:rFonts w:ascii="Calibri" w:hAnsi="Calibri" w:cs="Calibri"/>
                <w:color w:val="000000"/>
                <w:sz w:val="18"/>
                <w:szCs w:val="18"/>
              </w:rPr>
              <w:br/>
              <w:t>(Database analysis - 40 Clinics)</w:t>
            </w:r>
          </w:p>
        </w:tc>
        <w:tc>
          <w:tcPr>
            <w:tcW w:w="1276" w:type="dxa"/>
            <w:tcBorders>
              <w:top w:val="single" w:sz="4" w:space="0" w:color="auto"/>
              <w:left w:val="nil"/>
              <w:bottom w:val="single" w:sz="4" w:space="0" w:color="auto"/>
              <w:right w:val="nil"/>
            </w:tcBorders>
            <w:shd w:val="clear" w:color="auto" w:fill="auto"/>
            <w:vAlign w:val="center"/>
          </w:tcPr>
          <w:p w14:paraId="50E69561"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EuCliD database</w:t>
            </w:r>
          </w:p>
        </w:tc>
        <w:tc>
          <w:tcPr>
            <w:tcW w:w="1134" w:type="dxa"/>
            <w:tcBorders>
              <w:top w:val="single" w:sz="4" w:space="0" w:color="auto"/>
              <w:left w:val="nil"/>
              <w:bottom w:val="single" w:sz="4" w:space="0" w:color="auto"/>
              <w:right w:val="nil"/>
            </w:tcBorders>
            <w:shd w:val="clear" w:color="auto" w:fill="auto"/>
            <w:vAlign w:val="center"/>
          </w:tcPr>
          <w:p w14:paraId="38FD947D"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Hemodialysis patients</w:t>
            </w:r>
          </w:p>
        </w:tc>
        <w:tc>
          <w:tcPr>
            <w:tcW w:w="3543" w:type="dxa"/>
            <w:tcBorders>
              <w:top w:val="single" w:sz="4" w:space="0" w:color="auto"/>
              <w:left w:val="nil"/>
              <w:bottom w:val="single" w:sz="4" w:space="0" w:color="auto"/>
              <w:right w:val="nil"/>
            </w:tcBorders>
            <w:shd w:val="clear" w:color="auto" w:fill="auto"/>
            <w:vAlign w:val="center"/>
          </w:tcPr>
          <w:p w14:paraId="7336489D"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8F1453">
              <w:rPr>
                <w:rFonts w:ascii="Calibri" w:hAnsi="Calibri" w:cs="Calibri"/>
                <w:i/>
                <w:iCs/>
                <w:color w:val="000000"/>
                <w:sz w:val="18"/>
                <w:szCs w:val="18"/>
              </w:rPr>
              <w:t>Inclusion:</w:t>
            </w:r>
            <w:r>
              <w:rPr>
                <w:rFonts w:ascii="Calibri" w:hAnsi="Calibri" w:cs="Calibri"/>
                <w:color w:val="000000"/>
                <w:sz w:val="18"/>
                <w:szCs w:val="18"/>
              </w:rPr>
              <w:br/>
              <w:t>- 3 sessions per week hemodialysis</w:t>
            </w:r>
            <w:r>
              <w:rPr>
                <w:rFonts w:ascii="Calibri" w:hAnsi="Calibri" w:cs="Calibri"/>
                <w:color w:val="000000"/>
                <w:sz w:val="18"/>
                <w:szCs w:val="18"/>
              </w:rPr>
              <w:br/>
            </w:r>
            <w:r>
              <w:rPr>
                <w:rFonts w:ascii="Calibri" w:hAnsi="Calibri" w:cs="Calibri"/>
                <w:color w:val="000000"/>
                <w:sz w:val="18"/>
                <w:szCs w:val="18"/>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Pr>
                <w:rFonts w:ascii="Calibri" w:hAnsi="Calibri" w:cs="Calibri"/>
                <w:color w:val="000000"/>
                <w:sz w:val="18"/>
                <w:szCs w:val="18"/>
              </w:rPr>
              <w:br/>
              <w:t>- &lt; 18 years old</w:t>
            </w:r>
            <w:r>
              <w:rPr>
                <w:rFonts w:ascii="Calibri" w:hAnsi="Calibri" w:cs="Calibri"/>
                <w:color w:val="000000"/>
                <w:sz w:val="18"/>
                <w:szCs w:val="18"/>
              </w:rPr>
              <w:br/>
              <w:t>-prescription for diuretics</w:t>
            </w:r>
          </w:p>
        </w:tc>
        <w:tc>
          <w:tcPr>
            <w:tcW w:w="1559" w:type="dxa"/>
            <w:tcBorders>
              <w:top w:val="single" w:sz="4" w:space="0" w:color="auto"/>
              <w:left w:val="nil"/>
              <w:bottom w:val="single" w:sz="4" w:space="0" w:color="auto"/>
              <w:right w:val="nil"/>
            </w:tcBorders>
            <w:shd w:val="clear" w:color="auto" w:fill="auto"/>
            <w:vAlign w:val="center"/>
          </w:tcPr>
          <w:p w14:paraId="048C9AA3"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Cohort: 2242;</w:t>
            </w:r>
            <w:r>
              <w:rPr>
                <w:rFonts w:ascii="Calibri" w:hAnsi="Calibri" w:cs="Calibri"/>
                <w:color w:val="000000"/>
                <w:sz w:val="18"/>
                <w:szCs w:val="18"/>
              </w:rPr>
              <w:br/>
              <w:t>PPI: 1,776; No PPI: 466;</w:t>
            </w:r>
            <w:r>
              <w:rPr>
                <w:rFonts w:ascii="Calibri" w:hAnsi="Calibri" w:cs="Calibri"/>
                <w:color w:val="000000"/>
                <w:sz w:val="18"/>
                <w:szCs w:val="18"/>
              </w:rPr>
              <w:br/>
              <w:t>PS matched: 410 pairs;</w:t>
            </w:r>
          </w:p>
        </w:tc>
        <w:tc>
          <w:tcPr>
            <w:tcW w:w="1417" w:type="dxa"/>
            <w:tcBorders>
              <w:top w:val="single" w:sz="4" w:space="0" w:color="auto"/>
              <w:left w:val="nil"/>
              <w:bottom w:val="single" w:sz="4" w:space="0" w:color="auto"/>
              <w:right w:val="nil"/>
            </w:tcBorders>
            <w:shd w:val="clear" w:color="auto" w:fill="auto"/>
            <w:vAlign w:val="center"/>
          </w:tcPr>
          <w:p w14:paraId="21150C66"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PPI: 68.0 (range: 57-76);</w:t>
            </w:r>
            <w:r>
              <w:rPr>
                <w:rFonts w:ascii="Calibri" w:hAnsi="Calibri" w:cs="Calibri"/>
                <w:color w:val="000000"/>
                <w:sz w:val="18"/>
                <w:szCs w:val="18"/>
              </w:rPr>
              <w:br/>
              <w:t>no PPI: 68.5 (range: 56-76);</w:t>
            </w:r>
          </w:p>
        </w:tc>
        <w:tc>
          <w:tcPr>
            <w:tcW w:w="1262" w:type="dxa"/>
            <w:tcBorders>
              <w:top w:val="single" w:sz="4" w:space="0" w:color="auto"/>
              <w:left w:val="nil"/>
              <w:bottom w:val="single" w:sz="4" w:space="0" w:color="auto"/>
              <w:right w:val="nil"/>
            </w:tcBorders>
            <w:shd w:val="clear" w:color="auto" w:fill="auto"/>
            <w:vAlign w:val="center"/>
          </w:tcPr>
          <w:p w14:paraId="3F896CD6"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PPI: 62%;</w:t>
            </w:r>
            <w:r>
              <w:rPr>
                <w:rFonts w:ascii="Calibri" w:hAnsi="Calibri" w:cs="Calibri"/>
                <w:color w:val="000000"/>
                <w:sz w:val="18"/>
                <w:szCs w:val="18"/>
              </w:rPr>
              <w:br/>
              <w:t>no PPI: 66%;</w:t>
            </w:r>
          </w:p>
        </w:tc>
        <w:tc>
          <w:tcPr>
            <w:tcW w:w="1148" w:type="dxa"/>
            <w:tcBorders>
              <w:top w:val="single" w:sz="4" w:space="0" w:color="auto"/>
              <w:left w:val="nil"/>
              <w:bottom w:val="single" w:sz="4" w:space="0" w:color="auto"/>
              <w:right w:val="nil"/>
            </w:tcBorders>
            <w:shd w:val="clear" w:color="auto" w:fill="auto"/>
            <w:vAlign w:val="center"/>
          </w:tcPr>
          <w:p w14:paraId="16212809"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7D344D" w:rsidRPr="005C4B89" w14:paraId="5D266BD1" w14:textId="77777777" w:rsidTr="00646369">
        <w:trPr>
          <w:trHeight w:val="855"/>
        </w:trPr>
        <w:tc>
          <w:tcPr>
            <w:tcW w:w="1465" w:type="dxa"/>
            <w:tcBorders>
              <w:top w:val="nil"/>
              <w:left w:val="nil"/>
              <w:bottom w:val="single" w:sz="4" w:space="0" w:color="auto"/>
              <w:right w:val="nil"/>
            </w:tcBorders>
            <w:shd w:val="clear" w:color="auto" w:fill="FFFFFF"/>
            <w:vAlign w:val="center"/>
            <w:hideMark/>
          </w:tcPr>
          <w:p w14:paraId="48B90ADD"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{"citationItems":[{"id":"ITEM-1","itemData":{"ISBN":"0003-4819","ISSN":"1539-3704","abstract":"Background: Controversy remains on whether the dual use of clopidogrel and proton-pump inhibitors (PPIs) affects clinical efficacy of clopidogrel. Objective: To examine the risk for adverse cardiovascular outcomes related to concomitant use of PPIs and clopidogrel compared with that of PPIs alone in adults hospitalized for myocardial infarction. Design: A nationwide cohort study based on linked administrative registry data. Setting: All hospitals in Denmark. Patients: All patients discharged after first-time myocardial infarction from 2000 to 2006. Measurements: The primary outcome was a composite of rehospitalization for myocardial infarction or stroke or cardiovascular death. Patients were examined at several assembly time points, including 7, 14, 21, and 30 days after myocardial infarction. Follow-up was 1 year. Results: Of 56 406 included patients, 9137 (16.2%) were rehospitalized for myocardial infarction or stroke or experienced cardiovascular death. Of the 24 702 patients (43.8%) who received clopidogrel, 6753 (27.3%) received concomitant PPIs. The hazard ratio for cardiovascular death or rehospitalization for myocardial infarction or stroke for concomitant use of a PPI and clopidogrel among the cohort assembled at day 30 after discharge was 1.29 (95% CI, 1.17 to 1.42). The corresponding ratio for use of a PPI in patients who did not receive clopidogrel was 1.29 (CI, 1.21 to 1.37). No statistically significant interaction occurred between a PPI and clopidogrel (P = 0.72). Limitations: Unmeasured and residual confounding, time-varying measurement errors of exposure, and biases from survival effects were possible. Conclusion: Proton-pump inhibitors seem to be associated with increased risk for adverse cardiovascular outcomes after discharge, regardless of clopidogrel use for myocardial infarction. Dual PPI and clopidogrel use was not associated with any additional risk for adverse cardiovascular events over that observed for patients prescribed a PPI alone. Primary Funding Source: The Danish Medical Research Council and the Danish Heart Foundation. © 2010 American College of Physicians.","author":[{"dropping-particle":"","family":"Charlot","given":"Mette","non-dropping-particle":"","parse-names":false,"suffix":""},{"dropping-particle":"","family":"Ahlehoff","given":"Ole","non-dropping-particle":"","parse-names":false,"suffix":""},{"dropping-particle":"","family":"Norgaard","given":"Mette Lykke","non-dropping-particle":"","parse-names":false,"suffix":""},{"dropping-particle":"","family":"Jorgensen","given":"Casper H","non-dropping-particle":"","parse-names":false,"suffix":""},{"dropping-particle":"","family":"Sorensen","given":"Rikke","non-dropping-particle":"","parse-names":false,"suffix":""},{"dropping-particle":"","family":"Abildstrom","given":"Steen Z","non-dropping-particle":"","parse-names":false,"suffix":""},{"dropping-particle":"","family":"Hansen","given":"Peter Riis","non-dropping-particle":"","parse-names":false,"suffix":""},{"dropping-particle":"","family":"Madsen","given":"Jan Kyst","non-dropping-particle":"","parse-names":false,"suffix":""},{"dropping-particle":"","family":"Kober","given":"Lars","non-dropping-particle":"","parse-names":false,"suffix":""},{"dropping-particle":"","family":"Torp-Pedersen","given":"Christian","non-dropping-particle":"","parse-names":false,"suffix":""},{"dropping-particle":"","family":"Gislason","given":"Gunnar","non-dropping-particle":"","parse-names":false,"suffix":""},{"dropping-particle":"","family":"M.","given":"Charlot","non-dropping-particle":"","parse-names":false,"suffix":""},{"dropping-particle":"","family":"O.","given":"Ahlehoff","non-dropping-particle":"","parse-names":false,"suffix":""},{"dropping-particle":"","family":"M.L.","given":"Norgaard","non-dropping-particle":"","parse-names":false,"suffix":""},{"dropping-particle":"","family":"C.H.","given":"Jorgensen","non-dropping-particle":"","parse-names":false,"suffix":""},{"dropping-particle":"","family":"R.","given":"Sorensen","non-dropping-particle":"","parse-names":false,"suffix":""},{"dropping-particle":"","family":"S.Z.","given":"Abildstrom","non-dropping-particle":"","parse-names":false,"suffix":""},{"dropping-particle":"","family":"P.R.","given":"Hansen","non-dropping-particle":"","parse-names":false,"suffix":""},{"dropping-particle":"","family":"J.K.","given":"Madsen","non-dropping-particle":"","parse-names":false,"suffix":""},{"dropping-particle":"","family":"L.","given":"Kober","non-dropping-particle":"","parse-names":false,"suffix":""},{"dropping-particle":"","family":"C.","given":"Torp-Pedersen","non-dropping-particle":"","parse-names":false,"suffix":""},{"dropping-particle":"","family":"G.","given":"Gislason","non-dropping-particle":"","parse-names":false,"suffix":""}],"collection-title":"[Erratum appears in Ann Intern Med. 2011 Jan 4;154(1):76]","container-title":"Annals of internal medicine","id":"ITEM-1","issue":"6","issued":{"date-parts":[["2010"]]},"note":"738\n\nFrom Duplicate 2 (Proton-pump inhibitors are associated with increased cardiovascular risk independent of clopidogrel use: a nationwide cohort study. - Charlot, Mette; Ahlehoff, Ole; Norgaard, Mette Lykke; Jorgensen, Casper H; Sorensen, Rikke; Abildstrom, Steen Z; Hansen, Peter Riis; Madsen, Jan Kyst; Kober, Lars; Torp-Pedersen, Christian; Gislason, Gunnar)\n\nComment in: Ann Intern Med. 2010 Sep 21;153(6):413-5; PMID: 20855806, Comment in: Ann Intern Med. 2010 Dec 21;153(12):JC6-13; PMID: 21173402","page":"378-386","publisher":"American College of Physicians (190 N. Indenpence Mall West, Philadelphia PA 19106-1572, United States)","publisher-place":"United States","title":"Proton-pump inhibitors are associated with increased cardiovascular risk independent of clopidogrel use: A nationwide cohort study","type":"article-journal","volume":"153"},"uris":["http://www.mendeley.com/documents/?uuid=635d380f-5f01-47cc-857d-b442de1e24ac"]}],"mendeley":{"formattedCitation":"(Charlot et al. 2010)","plainTextFormattedCitation":"(Charlot et al. 2010)","previouslyFormattedCitation":"(Charlot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(Charlot et al.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(Denmark)</w:t>
            </w:r>
          </w:p>
        </w:tc>
        <w:tc>
          <w:tcPr>
            <w:tcW w:w="1087" w:type="dxa"/>
            <w:tcBorders>
              <w:top w:val="nil"/>
              <w:left w:val="nil"/>
              <w:bottom w:val="single" w:sz="4" w:space="0" w:color="auto"/>
              <w:right w:val="nil"/>
            </w:tcBorders>
            <w:shd w:val="clear" w:color="auto" w:fill="FFFFFF"/>
            <w:vAlign w:val="center"/>
            <w:hideMark/>
          </w:tcPr>
          <w:p w14:paraId="7DE28D75"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hospitals)</w:t>
            </w:r>
          </w:p>
        </w:tc>
        <w:tc>
          <w:tcPr>
            <w:tcW w:w="1276" w:type="dxa"/>
            <w:tcBorders>
              <w:top w:val="nil"/>
              <w:left w:val="nil"/>
              <w:bottom w:val="single" w:sz="4" w:space="0" w:color="auto"/>
              <w:right w:val="nil"/>
            </w:tcBorders>
            <w:shd w:val="clear" w:color="auto" w:fill="FFFFFF"/>
            <w:vAlign w:val="center"/>
            <w:hideMark/>
          </w:tcPr>
          <w:p w14:paraId="7759C526"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Danish National Patient Registry  </w:t>
            </w:r>
          </w:p>
        </w:tc>
        <w:tc>
          <w:tcPr>
            <w:tcW w:w="1134" w:type="dxa"/>
            <w:tcBorders>
              <w:top w:val="nil"/>
              <w:left w:val="nil"/>
              <w:bottom w:val="single" w:sz="4" w:space="0" w:color="auto"/>
              <w:right w:val="nil"/>
            </w:tcBorders>
            <w:shd w:val="clear" w:color="auto" w:fill="FFFFFF"/>
            <w:vAlign w:val="center"/>
            <w:hideMark/>
          </w:tcPr>
          <w:p w14:paraId="49ED488D"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MI</w:t>
            </w:r>
          </w:p>
        </w:tc>
        <w:tc>
          <w:tcPr>
            <w:tcW w:w="3543" w:type="dxa"/>
            <w:tcBorders>
              <w:top w:val="nil"/>
              <w:left w:val="nil"/>
              <w:bottom w:val="single" w:sz="4" w:space="0" w:color="auto"/>
              <w:right w:val="nil"/>
            </w:tcBorders>
            <w:shd w:val="clear" w:color="auto" w:fill="FFFFFF"/>
            <w:vAlign w:val="center"/>
            <w:hideMark/>
          </w:tcPr>
          <w:p w14:paraId="2F052BE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b/>
                <w:bCs/>
                <w:color w:val="000000"/>
                <w:sz w:val="18"/>
                <w:szCs w:val="18"/>
                <w:lang w:eastAsia="en-CA"/>
              </w:rPr>
              <w:t>:</w:t>
            </w:r>
            <w:r w:rsidRPr="005C4B89">
              <w:rPr>
                <w:rFonts w:ascii="Calibri" w:eastAsia="Times New Roman" w:hAnsi="Calibri" w:cs="Times New Roman"/>
                <w:color w:val="000000"/>
                <w:sz w:val="18"/>
                <w:szCs w:val="18"/>
                <w:lang w:eastAsia="en-CA"/>
              </w:rPr>
              <w:br/>
              <w:t>- &gt;30 years</w:t>
            </w:r>
            <w:r w:rsidRPr="005C4B89">
              <w:rPr>
                <w:rFonts w:ascii="Calibri" w:eastAsia="Times New Roman" w:hAnsi="Calibri" w:cs="Times New Roman"/>
                <w:color w:val="000000"/>
                <w:sz w:val="18"/>
                <w:szCs w:val="18"/>
                <w:lang w:eastAsia="en-CA"/>
              </w:rPr>
              <w:br/>
              <w:t>- hospitalized with  MI between 2000-2006</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prior MI</w:t>
            </w:r>
            <w:r w:rsidRPr="005C4B89">
              <w:rPr>
                <w:rFonts w:ascii="Calibri" w:eastAsia="Times New Roman" w:hAnsi="Calibri" w:cs="Times New Roman"/>
                <w:color w:val="000000"/>
                <w:sz w:val="18"/>
                <w:szCs w:val="18"/>
                <w:lang w:eastAsia="en-CA"/>
              </w:rPr>
              <w:br/>
              <w:t>- partially missing data</w:t>
            </w:r>
          </w:p>
        </w:tc>
        <w:tc>
          <w:tcPr>
            <w:tcW w:w="1559" w:type="dxa"/>
            <w:tcBorders>
              <w:top w:val="nil"/>
              <w:left w:val="nil"/>
              <w:bottom w:val="single" w:sz="4" w:space="0" w:color="auto"/>
              <w:right w:val="nil"/>
            </w:tcBorders>
            <w:shd w:val="clear" w:color="auto" w:fill="FFFFFF"/>
            <w:vAlign w:val="center"/>
            <w:hideMark/>
          </w:tcPr>
          <w:p w14:paraId="74721F39"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Cohort size : 56,406</w:t>
            </w:r>
            <w:r w:rsidRPr="005C4B89">
              <w:rPr>
                <w:rFonts w:ascii="Calibri" w:eastAsia="Times New Roman" w:hAnsi="Calibri" w:cs="Times New Roman"/>
                <w:color w:val="000000"/>
                <w:sz w:val="18"/>
                <w:szCs w:val="18"/>
                <w:lang w:eastAsia="en-CA"/>
              </w:rPr>
              <w:br/>
              <w:t>PS matched: (PPI: 15,443; No PPI: 15,433)</w:t>
            </w:r>
          </w:p>
        </w:tc>
        <w:tc>
          <w:tcPr>
            <w:tcW w:w="1417" w:type="dxa"/>
            <w:tcBorders>
              <w:top w:val="nil"/>
              <w:left w:val="nil"/>
              <w:bottom w:val="single" w:sz="4" w:space="0" w:color="auto"/>
              <w:right w:val="nil"/>
            </w:tcBorders>
            <w:shd w:val="clear" w:color="auto" w:fill="FFFFFF"/>
            <w:vAlign w:val="center"/>
            <w:hideMark/>
          </w:tcPr>
          <w:p w14:paraId="5924B389" w14:textId="77777777" w:rsidR="007D344D" w:rsidRPr="005C4B89" w:rsidRDefault="007D344D" w:rsidP="00646369">
            <w:pPr>
              <w:spacing w:after="0" w:line="240" w:lineRule="auto"/>
              <w:rPr>
                <w:rFonts w:ascii="Calibri" w:eastAsia="Times New Roman" w:hAnsi="Calibri" w:cs="Times New Roman"/>
                <w:sz w:val="18"/>
                <w:szCs w:val="18"/>
                <w:lang w:eastAsia="en-CA"/>
              </w:rPr>
            </w:pPr>
            <w:r w:rsidRPr="005C4B89">
              <w:rPr>
                <w:rFonts w:ascii="Calibri" w:eastAsia="Times New Roman" w:hAnsi="Calibri" w:cs="Times New Roman"/>
                <w:sz w:val="18"/>
                <w:szCs w:val="18"/>
                <w:lang w:eastAsia="en-CA"/>
              </w:rPr>
              <w:t>No treatment:  70 (13)</w:t>
            </w:r>
            <w:r w:rsidRPr="005C4B89">
              <w:rPr>
                <w:rFonts w:ascii="Calibri" w:eastAsia="Times New Roman" w:hAnsi="Calibri" w:cs="Times New Roman"/>
                <w:sz w:val="18"/>
                <w:szCs w:val="18"/>
                <w:lang w:eastAsia="en-CA"/>
              </w:rPr>
              <w:br/>
              <w:t>PPI only: 73 (12)</w:t>
            </w:r>
            <w:r w:rsidRPr="005C4B89">
              <w:rPr>
                <w:rFonts w:ascii="Calibri" w:eastAsia="Times New Roman" w:hAnsi="Calibri" w:cs="Times New Roman"/>
                <w:sz w:val="18"/>
                <w:szCs w:val="18"/>
                <w:lang w:eastAsia="en-CA"/>
              </w:rPr>
              <w:br/>
              <w:t>CP only: 64 (13)</w:t>
            </w:r>
            <w:r w:rsidRPr="005C4B89">
              <w:rPr>
                <w:rFonts w:ascii="Calibri" w:eastAsia="Times New Roman" w:hAnsi="Calibri" w:cs="Times New Roman"/>
                <w:sz w:val="18"/>
                <w:szCs w:val="18"/>
                <w:lang w:eastAsia="en-CA"/>
              </w:rPr>
              <w:br/>
              <w:t>Concomitant: 66 (13)</w:t>
            </w:r>
            <w:r w:rsidRPr="005C4B89">
              <w:rPr>
                <w:rFonts w:ascii="Calibri" w:eastAsia="Times New Roman" w:hAnsi="Calibri" w:cs="Times New Roman"/>
                <w:sz w:val="18"/>
                <w:szCs w:val="18"/>
                <w:lang w:eastAsia="en-CA"/>
              </w:rPr>
              <w:br/>
              <w:t>PS matched:  73 (13)</w:t>
            </w:r>
          </w:p>
        </w:tc>
        <w:tc>
          <w:tcPr>
            <w:tcW w:w="1262" w:type="dxa"/>
            <w:tcBorders>
              <w:top w:val="nil"/>
              <w:left w:val="nil"/>
              <w:bottom w:val="single" w:sz="4" w:space="0" w:color="auto"/>
              <w:right w:val="nil"/>
            </w:tcBorders>
            <w:shd w:val="clear" w:color="auto" w:fill="FFFFFF"/>
            <w:vAlign w:val="center"/>
            <w:hideMark/>
          </w:tcPr>
          <w:p w14:paraId="700862E9"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 treatment: 61%</w:t>
            </w:r>
            <w:r w:rsidRPr="005C4B89">
              <w:rPr>
                <w:rFonts w:ascii="Calibri" w:eastAsia="Times New Roman" w:hAnsi="Calibri" w:cs="Times New Roman"/>
                <w:color w:val="000000"/>
                <w:sz w:val="18"/>
                <w:szCs w:val="18"/>
                <w:lang w:eastAsia="en-CA"/>
              </w:rPr>
              <w:br/>
              <w:t>PPI only: 53%</w:t>
            </w:r>
            <w:r w:rsidRPr="005C4B89">
              <w:rPr>
                <w:rFonts w:ascii="Calibri" w:eastAsia="Times New Roman" w:hAnsi="Calibri" w:cs="Times New Roman"/>
                <w:color w:val="000000"/>
                <w:sz w:val="18"/>
                <w:szCs w:val="18"/>
                <w:lang w:eastAsia="en-CA"/>
              </w:rPr>
              <w:br/>
              <w:t>Clopidogrel only: 71%</w:t>
            </w:r>
            <w:r w:rsidRPr="005C4B89">
              <w:rPr>
                <w:rFonts w:ascii="Calibri" w:eastAsia="Times New Roman" w:hAnsi="Calibri" w:cs="Times New Roman"/>
                <w:color w:val="000000"/>
                <w:sz w:val="18"/>
                <w:szCs w:val="18"/>
                <w:lang w:eastAsia="en-CA"/>
              </w:rPr>
              <w:br/>
              <w:t>Concomitant: 62%</w:t>
            </w:r>
            <w:r w:rsidRPr="005C4B89">
              <w:rPr>
                <w:rFonts w:ascii="Calibri" w:eastAsia="Times New Roman" w:hAnsi="Calibri" w:cs="Times New Roman"/>
                <w:color w:val="000000"/>
                <w:sz w:val="18"/>
                <w:szCs w:val="18"/>
                <w:lang w:eastAsia="en-CA"/>
              </w:rPr>
              <w:br/>
              <w:t>PS matched: 54%</w:t>
            </w:r>
          </w:p>
        </w:tc>
        <w:tc>
          <w:tcPr>
            <w:tcW w:w="1148" w:type="dxa"/>
            <w:tcBorders>
              <w:top w:val="nil"/>
              <w:left w:val="nil"/>
              <w:bottom w:val="single" w:sz="4" w:space="0" w:color="auto"/>
              <w:right w:val="nil"/>
            </w:tcBorders>
            <w:shd w:val="clear" w:color="auto" w:fill="FFFFFF"/>
            <w:vAlign w:val="center"/>
            <w:hideMark/>
          </w:tcPr>
          <w:p w14:paraId="0CC7842D"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(largely Caucasian population)</w:t>
            </w:r>
          </w:p>
        </w:tc>
      </w:tr>
      <w:tr w:rsidR="007D344D" w:rsidRPr="005C4B89" w14:paraId="06FFC5BA" w14:textId="77777777" w:rsidTr="00646369">
        <w:trPr>
          <w:trHeight w:val="454"/>
        </w:trPr>
        <w:tc>
          <w:tcPr>
            <w:tcW w:w="1465" w:type="dxa"/>
            <w:tcBorders>
              <w:top w:val="nil"/>
              <w:left w:val="nil"/>
              <w:bottom w:val="single" w:sz="4" w:space="0" w:color="auto"/>
              <w:right w:val="nil"/>
            </w:tcBorders>
            <w:shd w:val="clear" w:color="auto" w:fill="FFFFFF"/>
            <w:vAlign w:val="center"/>
            <w:hideMark/>
          </w:tcPr>
          <w:p w14:paraId="260316FB"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{"citationItems":[{"id":"ITEM-1","itemData":{"ISBN":"1747-4930","ISSN":"1747-4949","abstract":"BACKGROUND: Antiplatelet therapy is known to decrease the risk of secondary ischemic stroke. However, the effectiveness and safety of antiplatelet therapy in patients with end-stage renal disease are uncertain, especially in dialysis., AIMS AND/OR HYPOTHESIS: We estimated the effectiveness and safety of antiplatelet drugs (aspirin and clopidogrel) for the prevention of recurrent ischemic stroke in end-stage renal disease patients undergoing dialysis during long-term follow-up after first-time ischemic stroke., METHODS: The cases were identified from the National Health Insurance Research Database. Antiplatelet therapy was administered for 11 years to patients experiencing a first ischemic stroke between 1998 and 2006. Primary outcomes, including death and readmission to hospital for stroke, and secondary outcomes, including death, stroke, and acute myocardial infarction or bleeding, were examined., RESULTS: In total, 1936 patients experienced a first ischemic stroke during the follow-up. In a time-dependent analysis, the hazard ratio for primary outcomes in patients treated with aspirin was 0671 (P&lt;0001) and that for clopidogrel was 0933 (P=0497). At secondary outcomes, patients treated with aspirin, hazard ratio for readmission for stroke was 0715 (P=0002) and that for bleeding was 0885 (P=0291). Independent risk factors for mortality and readmission due to ischemic stroke included age, diabetes mellitus, and administration of proton pump inhibitors., CONCLUSIONS: Antiplatelet therapy, especially aspirin, still offers safe and effective treatment for ischemic stroke prevention in patients with end-stage renal disease undergoing dialysis.Copyright © 2014 The Authors. International Journal of Stroke © 2014 World Stroke Organization.","author":[{"dropping-particle":"","family":"Chen","given":"Chung-Yu","non-dropping-particle":"","parse-names":false,"suffix":""},{"dropping-particle":"","family":"Lee","given":"Kun-Tai","non-dropping-particle":"","parse-names":false,"suffix":""},{"dropping-particle":"","family":"Lee","given":"Charles Tzu-Chi","non-dropping-particle":"","parse-names":false,"suffix":""},{"dropping-particle":"","family":"Lai","given":"Wen-Ter","non-dropping-particle":"","parse-names":false,"suffix":""},{"dropping-particle":"","family":"Huang","given":"Yaw-Bin","non-dropping-particle":"","parse-names":false,"suffix":""}],"container-title":"International journal of stroke : official journal of the International Stroke Society","id":"ITEM-1","issue":"5","issued":{"date-parts":[["2014"]]},"note":"202","page":"580-590","publisher":"Chen,Chung-Yu. School of Pharmacy, Kaohsiung Medical University, Kaohsiung, Taiwan.","publisher-place":"England","title":"Effectiveness and safety of antiplatelet in stroke patients with end-stage renal disease undergoing dialysis.","type":"article-journal","volume":"9"},"uris":["http://www.mendeley.com/documents/?uuid=e4b0dcbe-6c41-43ce-a7f6-630e58caa94d"]}],"mendeley":{"formattedCitation":"(Chen et al. 2014)","plainTextFormattedCitation":"(Chen et al. 2014)","previouslyFormattedCitation":"(Chen et al. 2014)"},"properties":{"noteIndex":0},"schema":"https://github.com/citation-style-language/schema/raw/master/csl-citation.json"}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(Chen et al. 2014)</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(Taiwan)</w:t>
            </w:r>
          </w:p>
        </w:tc>
        <w:tc>
          <w:tcPr>
            <w:tcW w:w="1087" w:type="dxa"/>
            <w:tcBorders>
              <w:top w:val="nil"/>
              <w:left w:val="nil"/>
              <w:bottom w:val="single" w:sz="4" w:space="0" w:color="auto"/>
              <w:right w:val="nil"/>
            </w:tcBorders>
            <w:shd w:val="clear" w:color="auto" w:fill="FFFFFF"/>
            <w:vAlign w:val="center"/>
            <w:hideMark/>
          </w:tcPr>
          <w:p w14:paraId="5F955DCB"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study)</w:t>
            </w:r>
          </w:p>
        </w:tc>
        <w:tc>
          <w:tcPr>
            <w:tcW w:w="1276" w:type="dxa"/>
            <w:tcBorders>
              <w:top w:val="nil"/>
              <w:left w:val="nil"/>
              <w:bottom w:val="single" w:sz="4" w:space="0" w:color="auto"/>
              <w:right w:val="nil"/>
            </w:tcBorders>
            <w:shd w:val="clear" w:color="auto" w:fill="FFFFFF"/>
            <w:vAlign w:val="center"/>
            <w:hideMark/>
          </w:tcPr>
          <w:p w14:paraId="003C20F2"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National Health Insurance Research database </w:t>
            </w:r>
          </w:p>
        </w:tc>
        <w:tc>
          <w:tcPr>
            <w:tcW w:w="1134" w:type="dxa"/>
            <w:tcBorders>
              <w:top w:val="nil"/>
              <w:left w:val="nil"/>
              <w:bottom w:val="single" w:sz="4" w:space="0" w:color="auto"/>
              <w:right w:val="nil"/>
            </w:tcBorders>
            <w:shd w:val="clear" w:color="auto" w:fill="FFFFFF"/>
            <w:vAlign w:val="center"/>
            <w:hideMark/>
          </w:tcPr>
          <w:p w14:paraId="1DC8A27B"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ESRD</w:t>
            </w:r>
          </w:p>
        </w:tc>
        <w:tc>
          <w:tcPr>
            <w:tcW w:w="3543" w:type="dxa"/>
            <w:tcBorders>
              <w:top w:val="nil"/>
              <w:left w:val="nil"/>
              <w:bottom w:val="single" w:sz="4" w:space="0" w:color="auto"/>
              <w:right w:val="nil"/>
            </w:tcBorders>
            <w:shd w:val="clear" w:color="auto" w:fill="FFFFFF"/>
            <w:vAlign w:val="center"/>
            <w:hideMark/>
          </w:tcPr>
          <w:p w14:paraId="350E15DD"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ESRD on dialysis with first catastrophic illness certificate and had hemodialysis, peritoneal dialysis, or hemofiltration</w:t>
            </w:r>
            <w:r w:rsidRPr="005C4B89">
              <w:rPr>
                <w:rFonts w:ascii="Calibri" w:eastAsia="Times New Roman" w:hAnsi="Calibri" w:cs="Times New Roman"/>
                <w:color w:val="000000"/>
                <w:sz w:val="18"/>
                <w:szCs w:val="18"/>
                <w:lang w:eastAsia="en-CA"/>
              </w:rPr>
              <w:br/>
              <w:t>- &gt;18 years admitted to hospital for first time ischemic stroke between 1998-2006</w:t>
            </w:r>
            <w:r w:rsidRPr="005C4B89">
              <w:rPr>
                <w:rFonts w:ascii="Calibri" w:eastAsia="Times New Roman" w:hAnsi="Calibri" w:cs="Times New Roman"/>
                <w:color w:val="000000"/>
                <w:sz w:val="18"/>
                <w:szCs w:val="18"/>
                <w:lang w:eastAsia="en-CA"/>
              </w:rPr>
              <w:br/>
              <w:t xml:space="preserve">- received standard dose of aspirin or clopidogrel once daily </w:t>
            </w:r>
            <w:r w:rsidRPr="005C4B89">
              <w:rPr>
                <w:rFonts w:ascii="Calibri" w:eastAsia="Times New Roman" w:hAnsi="Calibri" w:cs="Times New Roman"/>
                <w:color w:val="000000"/>
                <w:sz w:val="18"/>
                <w:szCs w:val="18"/>
                <w:lang w:eastAsia="en-CA"/>
              </w:rPr>
              <w:br/>
              <w:t>- had 3 years of medical data</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prior stroke (other than index stroke)</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lastRenderedPageBreak/>
              <w:t xml:space="preserve">- missing data </w:t>
            </w:r>
            <w:r w:rsidRPr="005C4B89">
              <w:rPr>
                <w:rFonts w:ascii="Calibri" w:eastAsia="Times New Roman" w:hAnsi="Calibri" w:cs="Times New Roman"/>
                <w:color w:val="000000"/>
                <w:sz w:val="18"/>
                <w:szCs w:val="18"/>
                <w:lang w:eastAsia="en-CA"/>
              </w:rPr>
              <w:br/>
              <w:t>-receiving antiplatelets other than clopidogrel</w:t>
            </w:r>
          </w:p>
        </w:tc>
        <w:tc>
          <w:tcPr>
            <w:tcW w:w="1559" w:type="dxa"/>
            <w:tcBorders>
              <w:top w:val="nil"/>
              <w:left w:val="nil"/>
              <w:bottom w:val="single" w:sz="4" w:space="0" w:color="auto"/>
              <w:right w:val="nil"/>
            </w:tcBorders>
            <w:shd w:val="clear" w:color="auto" w:fill="FFFFFF"/>
            <w:vAlign w:val="center"/>
            <w:hideMark/>
          </w:tcPr>
          <w:p w14:paraId="78698497"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1,936</w:t>
            </w:r>
          </w:p>
        </w:tc>
        <w:tc>
          <w:tcPr>
            <w:tcW w:w="1417" w:type="dxa"/>
            <w:tcBorders>
              <w:top w:val="nil"/>
              <w:left w:val="nil"/>
              <w:bottom w:val="single" w:sz="4" w:space="0" w:color="auto"/>
              <w:right w:val="nil"/>
            </w:tcBorders>
            <w:shd w:val="clear" w:color="auto" w:fill="FFFFFF"/>
            <w:vAlign w:val="center"/>
            <w:hideMark/>
          </w:tcPr>
          <w:p w14:paraId="031095BC"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65 (11)</w:t>
            </w:r>
          </w:p>
        </w:tc>
        <w:tc>
          <w:tcPr>
            <w:tcW w:w="1262" w:type="dxa"/>
            <w:tcBorders>
              <w:top w:val="nil"/>
              <w:left w:val="nil"/>
              <w:bottom w:val="single" w:sz="4" w:space="0" w:color="auto"/>
              <w:right w:val="nil"/>
            </w:tcBorders>
            <w:shd w:val="clear" w:color="auto" w:fill="FFFFFF"/>
            <w:vAlign w:val="center"/>
            <w:hideMark/>
          </w:tcPr>
          <w:p w14:paraId="2E4D10F5"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50%</w:t>
            </w:r>
          </w:p>
        </w:tc>
        <w:tc>
          <w:tcPr>
            <w:tcW w:w="1148" w:type="dxa"/>
            <w:tcBorders>
              <w:top w:val="nil"/>
              <w:left w:val="nil"/>
              <w:bottom w:val="single" w:sz="4" w:space="0" w:color="auto"/>
              <w:right w:val="nil"/>
            </w:tcBorders>
            <w:shd w:val="clear" w:color="auto" w:fill="FFFFFF"/>
            <w:vAlign w:val="center"/>
            <w:hideMark/>
          </w:tcPr>
          <w:p w14:paraId="5D9061AB"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7D344D" w:rsidRPr="005C4B89" w14:paraId="0B0D9FB6" w14:textId="77777777" w:rsidTr="00646369">
        <w:trPr>
          <w:trHeight w:val="855"/>
        </w:trPr>
        <w:tc>
          <w:tcPr>
            <w:tcW w:w="1465" w:type="dxa"/>
            <w:tcBorders>
              <w:top w:val="nil"/>
              <w:left w:val="nil"/>
              <w:bottom w:val="single" w:sz="4" w:space="0" w:color="auto"/>
              <w:right w:val="nil"/>
            </w:tcBorders>
            <w:shd w:val="clear" w:color="auto" w:fill="FFFFFF"/>
            <w:vAlign w:val="center"/>
            <w:hideMark/>
          </w:tcPr>
          <w:p w14:paraId="1D511390"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{"citationItems":[{"id":"ITEM-1","itemData":{"ISSN":"1347-4820","abstract":"BACKGROUND: The aim of this study was to examine the effect of proton-pump inhibitor (PPI) on clinical outcomes in Japanese patients who undergo coronary stent implantation., METHODS AND RESULTS: A total of 1,270 patients (males 915, 69 years) were enrolled and dual antiplatelet therapy of aspirin and a thienopyridine derivative was prescribed (clopidogrel 630, ticlopidine 640). Patients were divided into 2 groups treated with or without PPI. PPI was administered in 331 cases (26%), and non-PPI in 939 (74%). There were no significant differences in cardiovascular death (PPI vs. non-PPI: 5 vs. 11 cases), nonfatal myocardial infarction (3 vs. 5), and stroke (3 vs. 16) between PPI and non-PPI groups, but the ratio of gastrointestinal events had a higher tendency in non-PPI group compared with PPI group (1 vs. 17, P=0.08). In subgroup analysis of patients taking clopidogrel, or patients with acute coronary syndrome, there was no significant difference in the ratio of cardiovascular events (7 vs. 16, 6 vs. 17, NS). The non-PPI group had a tendency of an increased risk of gastrointestinal events compared with the PPI group (0 vs. 9, P=0.06; 1 vs. 7, P=0.14)., CONCLUSIONS: In contrast to the negative drug interaction of PPI reported elsewhere, in the present study the intake of PPI was not associated with an increased risk for adverse clinical outcomes in patients treated with stents.","author":[{"dropping-particle":"","family":"Chitose","given":"Tadasuke","non-dropping-particle":"","parse-names":false,"suffix":""},{"dropping-particle":"","family":"Hokimoto","given":"Seiji","non-dropping-particle":"","parse-names":false,"suffix":""},{"dropping-particle":"","family":"Oshima","given":"Shuichi","non-dropping-particle":"","parse-names":false,"suffix":""},{"dropping-particle":"","family":"Nakao","given":"Koichi","non-dropping-particle":"","parse-names":false,"suffix":""},{"dropping-particle":"","family":"Fujimoto","given":"Kazuteru","non-dropping-particle":"","parse-names":false,"suffix":""},{"dropping-particle":"","family":"Miyao","given":"Yuji","non-dropping-particle":"","parse-names":false,"suffix":""},{"dropping-particle":"","family":"Shimomura","given":"Hideki","non-dropping-particle":"","parse-names":false,"suffix":""},{"dropping-particle":"","family":"Tsunoda","given":"Ryusuke","non-dropping-particle":"","parse-names":false,"suffix":""},{"dropping-particle":"","family":"Maruyama","given":"Hideki","non-dropping-particle":"","parse-names":false,"suffix":""},{"dropping-particle":"","family":"Hirose","given":"Toyoki","non-dropping-particle":"","parse-names":false,"suffix":""},{"dropping-particle":"","family":"Yamamoto","given":"Koichiro","non-dropping-particle":"","parse-names":false,"suffix":""},{"dropping-particle":"","family":"Mizobe","given":"Michio","non-dropping-particle":"","parse-names":false,"suffix":""},{"dropping-particle":"","family":"Kaikita","given":"Koichi","non-dropping-particle":"","parse-names":false,"suffix":""},{"dropping-particle":"","family":"Nakamura","given":"Sunao","non-dropping-particle":"","parse-names":false,"suffix":""},{"dropping-particle":"","family":"Ogawa","given":"Hisao","non-dropping-particle":"","parse-names":false,"suffix":""}],"container-title":"Circulation journal : official journal of the Japanese Circulation Society","id":"ITEM-1","issue":"1","issued":{"date-parts":[["2012"]]},"note":"495","page":"71-78","publisher":"Chitose,Tadasuke. Department of Cardiovascular Medicine, Graduate School of Medical Sciences, Kumamoto University, Kumamoto, Japan.","publisher-place":"Japan","title":"Clinical outcomes following coronary stenting in Japanese patients treated with and without proton pump inhibitor.","type":"article-journal","volume":"76"},"uris":["http://www.mendeley.com/documents/?uuid=bd780bc7-c9e6-4bf3-97c4-0cd4563f3392"]}],"mendeley":{"formattedCitation":"(Chitose et al. 2012)","plainTextFormattedCitation":"(Chitose et al. 2012)","previouslyFormattedCitation":"(Chitose et al. 2012)"},"properties":{"noteIndex":0},"schema":"https://github.com/citation-style-language/schema/raw/master/csl-citation.json"}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(Chitose et al. 2012)</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t xml:space="preserve"> </w:t>
            </w:r>
            <w:r w:rsidRPr="005C4B89">
              <w:rPr>
                <w:rFonts w:ascii="Calibri" w:eastAsia="Times New Roman" w:hAnsi="Calibri" w:cs="Times New Roman"/>
                <w:color w:val="000000"/>
                <w:sz w:val="18"/>
                <w:szCs w:val="18"/>
                <w:lang w:eastAsia="en-CA"/>
              </w:rPr>
              <w:br/>
              <w:t>(Japan)</w:t>
            </w:r>
          </w:p>
        </w:tc>
        <w:tc>
          <w:tcPr>
            <w:tcW w:w="1087" w:type="dxa"/>
            <w:tcBorders>
              <w:top w:val="nil"/>
              <w:left w:val="nil"/>
              <w:bottom w:val="single" w:sz="4" w:space="0" w:color="auto"/>
              <w:right w:val="nil"/>
            </w:tcBorders>
            <w:shd w:val="clear" w:color="auto" w:fill="FFFFFF"/>
            <w:vAlign w:val="center"/>
            <w:hideMark/>
          </w:tcPr>
          <w:p w14:paraId="4A684E7C"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Prospective cohort</w:t>
            </w:r>
            <w:r w:rsidRPr="005C4B89">
              <w:rPr>
                <w:rFonts w:ascii="Calibri" w:eastAsia="Times New Roman" w:hAnsi="Calibri" w:cs="Times New Roman"/>
                <w:color w:val="000000"/>
                <w:sz w:val="18"/>
                <w:szCs w:val="18"/>
                <w:lang w:eastAsia="en-CA"/>
              </w:rPr>
              <w:br/>
              <w:t>(registry, hospitals -16 centers)</w:t>
            </w:r>
          </w:p>
        </w:tc>
        <w:tc>
          <w:tcPr>
            <w:tcW w:w="1276" w:type="dxa"/>
            <w:tcBorders>
              <w:top w:val="nil"/>
              <w:left w:val="nil"/>
              <w:bottom w:val="single" w:sz="4" w:space="0" w:color="auto"/>
              <w:right w:val="nil"/>
            </w:tcBorders>
            <w:shd w:val="clear" w:color="auto" w:fill="FFFFFF"/>
            <w:vAlign w:val="center"/>
            <w:hideMark/>
          </w:tcPr>
          <w:p w14:paraId="1E97B65A"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Kumamoto Intervention Conference Study (KICS) </w:t>
            </w:r>
          </w:p>
        </w:tc>
        <w:tc>
          <w:tcPr>
            <w:tcW w:w="1134" w:type="dxa"/>
            <w:tcBorders>
              <w:top w:val="nil"/>
              <w:left w:val="nil"/>
              <w:bottom w:val="single" w:sz="4" w:space="0" w:color="auto"/>
              <w:right w:val="nil"/>
            </w:tcBorders>
            <w:shd w:val="clear" w:color="auto" w:fill="FFFFFF"/>
            <w:vAlign w:val="center"/>
            <w:hideMark/>
          </w:tcPr>
          <w:p w14:paraId="3D3B633A"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PCI</w:t>
            </w:r>
          </w:p>
        </w:tc>
        <w:tc>
          <w:tcPr>
            <w:tcW w:w="3543" w:type="dxa"/>
            <w:tcBorders>
              <w:top w:val="nil"/>
              <w:left w:val="nil"/>
              <w:bottom w:val="single" w:sz="4" w:space="0" w:color="auto"/>
              <w:right w:val="nil"/>
            </w:tcBorders>
            <w:shd w:val="clear" w:color="auto" w:fill="FFFFFF"/>
            <w:vAlign w:val="center"/>
            <w:hideMark/>
          </w:tcPr>
          <w:p w14:paraId="2A5A7B51"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consecutive patients undergoing PCI at one of 16 centers in Japan between June 2008 - March 2009</w:t>
            </w:r>
            <w:r w:rsidRPr="005C4B89">
              <w:rPr>
                <w:rFonts w:ascii="Calibri" w:eastAsia="Times New Roman" w:hAnsi="Calibri" w:cs="Times New Roman"/>
                <w:color w:val="000000"/>
                <w:sz w:val="18"/>
                <w:szCs w:val="18"/>
                <w:lang w:eastAsia="en-CA"/>
              </w:rPr>
              <w:br/>
              <w:t>- written consent</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in-hospital death</w:t>
            </w:r>
            <w:r w:rsidRPr="005C4B89">
              <w:rPr>
                <w:rFonts w:ascii="Calibri" w:eastAsia="Times New Roman" w:hAnsi="Calibri" w:cs="Times New Roman"/>
                <w:color w:val="000000"/>
                <w:sz w:val="18"/>
                <w:szCs w:val="18"/>
                <w:lang w:eastAsia="en-CA"/>
              </w:rPr>
              <w:br/>
              <w:t>- not on thienopyridines at time of discharge</w:t>
            </w:r>
            <w:r w:rsidRPr="005C4B89">
              <w:rPr>
                <w:rFonts w:ascii="Calibri" w:eastAsia="Times New Roman" w:hAnsi="Calibri" w:cs="Times New Roman"/>
                <w:color w:val="000000"/>
                <w:sz w:val="18"/>
                <w:szCs w:val="18"/>
                <w:lang w:eastAsia="en-CA"/>
              </w:rPr>
              <w:br/>
              <w:t>- re-intervention after first registration</w:t>
            </w:r>
            <w:r w:rsidRPr="005C4B89">
              <w:rPr>
                <w:rFonts w:ascii="Calibri" w:eastAsia="Times New Roman" w:hAnsi="Calibri" w:cs="Times New Roman"/>
                <w:color w:val="000000"/>
                <w:sz w:val="18"/>
                <w:szCs w:val="18"/>
                <w:lang w:eastAsia="en-CA"/>
              </w:rPr>
              <w:br/>
              <w:t>- planned staged interventional procedure</w:t>
            </w:r>
          </w:p>
        </w:tc>
        <w:tc>
          <w:tcPr>
            <w:tcW w:w="1559" w:type="dxa"/>
            <w:tcBorders>
              <w:top w:val="nil"/>
              <w:left w:val="nil"/>
              <w:bottom w:val="single" w:sz="4" w:space="0" w:color="auto"/>
              <w:right w:val="nil"/>
            </w:tcBorders>
            <w:shd w:val="clear" w:color="auto" w:fill="FFFFFF"/>
            <w:vAlign w:val="center"/>
            <w:hideMark/>
          </w:tcPr>
          <w:p w14:paraId="6C39A4B2"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1,270</w:t>
            </w:r>
            <w:r w:rsidRPr="005C4B89">
              <w:rPr>
                <w:rFonts w:ascii="Calibri" w:eastAsia="Times New Roman" w:hAnsi="Calibri" w:cs="Times New Roman"/>
                <w:color w:val="000000"/>
                <w:sz w:val="18"/>
                <w:szCs w:val="18"/>
                <w:lang w:eastAsia="en-CA"/>
              </w:rPr>
              <w:br/>
              <w:t>(PPI: 331; No PPI: 939)</w:t>
            </w:r>
          </w:p>
        </w:tc>
        <w:tc>
          <w:tcPr>
            <w:tcW w:w="1417" w:type="dxa"/>
            <w:tcBorders>
              <w:top w:val="nil"/>
              <w:left w:val="nil"/>
              <w:bottom w:val="single" w:sz="4" w:space="0" w:color="auto"/>
              <w:right w:val="nil"/>
            </w:tcBorders>
            <w:shd w:val="clear" w:color="auto" w:fill="FFFFFF"/>
            <w:vAlign w:val="center"/>
            <w:hideMark/>
          </w:tcPr>
          <w:p w14:paraId="7A702B6F"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72(12)</w:t>
            </w:r>
            <w:r w:rsidRPr="005C4B89">
              <w:rPr>
                <w:rFonts w:ascii="Calibri" w:eastAsia="Times New Roman" w:hAnsi="Calibri" w:cs="Times New Roman"/>
                <w:color w:val="000000"/>
                <w:sz w:val="18"/>
                <w:szCs w:val="18"/>
                <w:lang w:eastAsia="en-CA"/>
              </w:rPr>
              <w:br/>
              <w:t>no PPI: 69(12)</w:t>
            </w:r>
          </w:p>
        </w:tc>
        <w:tc>
          <w:tcPr>
            <w:tcW w:w="1262" w:type="dxa"/>
            <w:tcBorders>
              <w:top w:val="nil"/>
              <w:left w:val="nil"/>
              <w:bottom w:val="single" w:sz="4" w:space="0" w:color="auto"/>
              <w:right w:val="nil"/>
            </w:tcBorders>
            <w:shd w:val="clear" w:color="auto" w:fill="FFFFFF"/>
            <w:vAlign w:val="center"/>
            <w:hideMark/>
          </w:tcPr>
          <w:p w14:paraId="3C3F3B62"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68%</w:t>
            </w:r>
            <w:r w:rsidRPr="005C4B89">
              <w:rPr>
                <w:rFonts w:ascii="Calibri" w:eastAsia="Times New Roman" w:hAnsi="Calibri" w:cs="Times New Roman"/>
                <w:color w:val="000000"/>
                <w:sz w:val="18"/>
                <w:szCs w:val="18"/>
                <w:lang w:eastAsia="en-CA"/>
              </w:rPr>
              <w:br/>
              <w:t>no PPI: 71%</w:t>
            </w:r>
          </w:p>
        </w:tc>
        <w:tc>
          <w:tcPr>
            <w:tcW w:w="1148" w:type="dxa"/>
            <w:tcBorders>
              <w:top w:val="nil"/>
              <w:left w:val="nil"/>
              <w:bottom w:val="single" w:sz="4" w:space="0" w:color="auto"/>
              <w:right w:val="nil"/>
            </w:tcBorders>
            <w:shd w:val="clear" w:color="auto" w:fill="FFFFFF"/>
            <w:vAlign w:val="center"/>
            <w:hideMark/>
          </w:tcPr>
          <w:p w14:paraId="60D5F465"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7D344D" w:rsidRPr="005C4B89" w14:paraId="34C73EEC" w14:textId="77777777" w:rsidTr="00646369">
        <w:trPr>
          <w:trHeight w:val="908"/>
        </w:trPr>
        <w:tc>
          <w:tcPr>
            <w:tcW w:w="1465" w:type="dxa"/>
            <w:tcBorders>
              <w:top w:val="nil"/>
              <w:left w:val="nil"/>
              <w:bottom w:val="single" w:sz="4" w:space="0" w:color="auto"/>
              <w:right w:val="nil"/>
            </w:tcBorders>
            <w:shd w:val="clear" w:color="auto" w:fill="FFFFFF"/>
            <w:vAlign w:val="center"/>
            <w:hideMark/>
          </w:tcPr>
          <w:p w14:paraId="24B4B481"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{"citationItems":[{"id":"ITEM-1","itemData":{"ISBN":"0195-668X","ISSN":"1522-9645","abstract":"AIMS: Randomized clinical trials have shown that statins can reduce mortality after acute myocardial infarction (AMI). However, the impact of changes in patterns of statin use, particularly stopping statins, on survival post-AMI is unknown. Our objective was to estimate the extent to which different patterns of statin use are associated with post-AMI mortality., METHODS AND RESULTS: Population-based, cohort study, from 2002 through 2004 in the United Kingdom General Practice Research Database (GPRD), involving patients surviving 90 days after their first AMI. Past statin use was defined as any statin prescription within 90 days before AMI; statin use post-AMI as any statin prescription within 90 days after AMI. Cohort entry was at day 90 post-AMI; subjects were followed for 1 year. Four groups were identified: (i) non-users (patients never on statins); (ii) users (on statins before and continued post-AMI); (iii) starters (started statins after the event); and (iv) stoppers (stopped statins after the event). Hazard ratios (HRs) were estimated using Cox proportional hazards model. The main outcome measure was 1-year all-cause mortality. The cohort included 9939 AMI survivors (mean age: 68.4 +/- 12.8 years; 60.3% men), 22.7% of whom were not prescribed a statin post-AMI. When the non-user group (n = 2124) was considered as the reference, the adjusted HRs (95% confidence intervals) of death were 0.84 (0.66-1.09) for users (n = 2026), 0.72 (0.57-0.90) for starters (n = 5652), and 1.88 (1.13-3.07) for stoppers (n = 137). Stoppers of control medications (aspirin, beta-blockers, and proton pump inhibitors) were not associated with increased mortality., CONCLUSION: Discontinuation of statins in survivors of a first AMI was relatively rare in this cohort. However, statin discontinuation was associated with higher total mortality and this may represent a biological rebound or/and a risk-treatment mismatch phenomenon, where treatment is withdrawn from very ill patients. While awaiting further research, at present statin use should only be withdrawn under judicious clinical supervision.","author":[{"dropping-particle":"","family":"Daskalopoulou","given":"Stella S","non-dropping-particle":"","parse-names":false,"suffix":""},{"dropping-particle":"","family":"Delaney","given":"Joseph A C","non-dropping-particle":"","parse-names":false,"suffix":""},{"dropping-particle":"","family":"Filion","given":"Kristian B","non-dropping-particle":"","parse-names":false,"suffix":""},{"dropping-particle":"","family":"Brophy","given":"James M","non-dropping-particle":"","parse-names":false,"suffix":""},{"dropping-particle":"","family":"Mayo","given":"Nancy E","non-dropping-particle":"","parse-names":false,"suffix":""},{"dropping-particle":"","family":"Suissa","given":"Samy","non-dropping-particle":"","parse-names":false,"suffix":""}],"container-title":"European heart journal","id":"ITEM-1","issue":"17","issued":{"date-parts":[["2008"]]},"note":"869\nFrom Duplicate 2 (Discontinuation of statin therapy following an acute myocardial infarction: a population-based study. - Daskalopoulou, Stella S; Delaney, Joseph A C; Filion, Kristian B; Brophy, James M; Mayo, Nancy E; Suissa, Samy)\n\nComment in: Eur Heart J. 2008 Sep;29(17):2061-3; PMID: 18676969","page":"2083-2091","publisher":"Oxford University Press","publisher-place":"England","title":"Discontinuation of statin therapy following an acute myocardial infarction: a population-based study.","type":"article-journal","volume":"29"},"uris":["http://www.mendeley.com/documents/?uuid=c977ae04-1c07-4e85-bc33-44bdc5db473d"]}],"mendeley":{"formattedCitation":"(Daskalopoulou et al. 2008)","plainTextFormattedCitation":"(Daskalopoulou et al. 2008)","previouslyFormattedCitation":"(Daskalopoulou et al. 2008)"},"properties":{"noteIndex":0},"schema":"https://github.com/citation-style-language/schema/raw/master/csl-citation.json"}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(Daskalopoulou et al. 2008)</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(UK)</w:t>
            </w:r>
          </w:p>
        </w:tc>
        <w:tc>
          <w:tcPr>
            <w:tcW w:w="1087" w:type="dxa"/>
            <w:tcBorders>
              <w:top w:val="nil"/>
              <w:left w:val="nil"/>
              <w:bottom w:val="single" w:sz="4" w:space="0" w:color="auto"/>
              <w:right w:val="nil"/>
            </w:tcBorders>
            <w:shd w:val="clear" w:color="auto" w:fill="FFFFFF"/>
            <w:vAlign w:val="center"/>
            <w:hideMark/>
          </w:tcPr>
          <w:p w14:paraId="437D72DC"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general practice)</w:t>
            </w:r>
          </w:p>
        </w:tc>
        <w:tc>
          <w:tcPr>
            <w:tcW w:w="1276" w:type="dxa"/>
            <w:tcBorders>
              <w:top w:val="nil"/>
              <w:left w:val="nil"/>
              <w:bottom w:val="single" w:sz="4" w:space="0" w:color="auto"/>
              <w:right w:val="nil"/>
            </w:tcBorders>
            <w:shd w:val="clear" w:color="auto" w:fill="FFFFFF"/>
            <w:vAlign w:val="center"/>
            <w:hideMark/>
          </w:tcPr>
          <w:p w14:paraId="3EAC2C07"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UK General Practice Research Database (GPRD)</w:t>
            </w:r>
          </w:p>
        </w:tc>
        <w:tc>
          <w:tcPr>
            <w:tcW w:w="1134" w:type="dxa"/>
            <w:tcBorders>
              <w:top w:val="nil"/>
              <w:left w:val="nil"/>
              <w:bottom w:val="single" w:sz="4" w:space="0" w:color="auto"/>
              <w:right w:val="nil"/>
            </w:tcBorders>
            <w:shd w:val="clear" w:color="auto" w:fill="FFFFFF"/>
            <w:vAlign w:val="center"/>
            <w:hideMark/>
          </w:tcPr>
          <w:p w14:paraId="6E21D4AB"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MI</w:t>
            </w:r>
          </w:p>
        </w:tc>
        <w:tc>
          <w:tcPr>
            <w:tcW w:w="3543" w:type="dxa"/>
            <w:tcBorders>
              <w:top w:val="nil"/>
              <w:left w:val="nil"/>
              <w:bottom w:val="single" w:sz="4" w:space="0" w:color="auto"/>
              <w:right w:val="nil"/>
            </w:tcBorders>
            <w:shd w:val="clear" w:color="auto" w:fill="FFFFFF"/>
            <w:vAlign w:val="center"/>
            <w:hideMark/>
          </w:tcPr>
          <w:p w14:paraId="22E892F1"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xml:space="preserve">-&gt;20 years </w:t>
            </w:r>
            <w:r w:rsidRPr="005C4B89">
              <w:rPr>
                <w:rFonts w:ascii="Calibri" w:eastAsia="Times New Roman" w:hAnsi="Calibri" w:cs="Times New Roman"/>
                <w:color w:val="000000"/>
                <w:sz w:val="18"/>
                <w:szCs w:val="18"/>
                <w:lang w:eastAsia="en-CA"/>
              </w:rPr>
              <w:br/>
              <w:t>-survived at least 90 days following a first MI between Jan 2002 and Dec 2004</w:t>
            </w:r>
            <w:r w:rsidRPr="005C4B89">
              <w:rPr>
                <w:rFonts w:ascii="Calibri" w:eastAsia="Times New Roman" w:hAnsi="Calibri" w:cs="Times New Roman"/>
                <w:color w:val="000000"/>
                <w:sz w:val="18"/>
                <w:szCs w:val="18"/>
                <w:lang w:eastAsia="en-CA"/>
              </w:rPr>
              <w:br/>
              <w:t>- minimum</w:t>
            </w:r>
            <w:r>
              <w:rPr>
                <w:rFonts w:ascii="Calibri" w:eastAsia="Times New Roman" w:hAnsi="Calibri" w:cs="Times New Roman"/>
                <w:color w:val="000000"/>
                <w:sz w:val="18"/>
                <w:szCs w:val="18"/>
                <w:lang w:eastAsia="en-CA"/>
              </w:rPr>
              <w:t xml:space="preserve"> of 3 years of records in GPRD </w:t>
            </w:r>
          </w:p>
        </w:tc>
        <w:tc>
          <w:tcPr>
            <w:tcW w:w="1559" w:type="dxa"/>
            <w:tcBorders>
              <w:top w:val="nil"/>
              <w:left w:val="nil"/>
              <w:bottom w:val="single" w:sz="4" w:space="0" w:color="auto"/>
              <w:right w:val="nil"/>
            </w:tcBorders>
            <w:shd w:val="clear" w:color="auto" w:fill="FFFFFF"/>
            <w:vAlign w:val="center"/>
            <w:hideMark/>
          </w:tcPr>
          <w:p w14:paraId="4F59F3E7"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9,939</w:t>
            </w:r>
            <w:r w:rsidRPr="005C4B89">
              <w:rPr>
                <w:rFonts w:ascii="Calibri" w:eastAsia="Times New Roman" w:hAnsi="Calibri" w:cs="Times New Roman"/>
                <w:color w:val="000000"/>
                <w:sz w:val="18"/>
                <w:szCs w:val="18"/>
                <w:lang w:eastAsia="en-CA"/>
              </w:rPr>
              <w:br/>
              <w:t>(PPI: 3,070; No PPI: 6,869)</w:t>
            </w:r>
          </w:p>
        </w:tc>
        <w:tc>
          <w:tcPr>
            <w:tcW w:w="1417" w:type="dxa"/>
            <w:tcBorders>
              <w:top w:val="nil"/>
              <w:left w:val="nil"/>
              <w:bottom w:val="single" w:sz="4" w:space="0" w:color="auto"/>
              <w:right w:val="nil"/>
            </w:tcBorders>
            <w:shd w:val="clear" w:color="auto" w:fill="FFFFFF"/>
            <w:vAlign w:val="center"/>
            <w:hideMark/>
          </w:tcPr>
          <w:p w14:paraId="48EEC247"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68 (13) </w:t>
            </w:r>
          </w:p>
        </w:tc>
        <w:tc>
          <w:tcPr>
            <w:tcW w:w="1262" w:type="dxa"/>
            <w:tcBorders>
              <w:top w:val="nil"/>
              <w:left w:val="nil"/>
              <w:bottom w:val="single" w:sz="4" w:space="0" w:color="auto"/>
              <w:right w:val="nil"/>
            </w:tcBorders>
            <w:shd w:val="clear" w:color="auto" w:fill="FFFFFF"/>
            <w:vAlign w:val="center"/>
            <w:hideMark/>
          </w:tcPr>
          <w:p w14:paraId="0AA00413"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60%</w:t>
            </w:r>
          </w:p>
        </w:tc>
        <w:tc>
          <w:tcPr>
            <w:tcW w:w="1148" w:type="dxa"/>
            <w:tcBorders>
              <w:top w:val="nil"/>
              <w:left w:val="nil"/>
              <w:bottom w:val="single" w:sz="4" w:space="0" w:color="auto"/>
              <w:right w:val="nil"/>
            </w:tcBorders>
            <w:shd w:val="clear" w:color="auto" w:fill="FFFFFF"/>
            <w:vAlign w:val="center"/>
            <w:hideMark/>
          </w:tcPr>
          <w:p w14:paraId="37C8FE0E"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7D344D" w:rsidRPr="005C4B89" w14:paraId="6B65DA7A" w14:textId="77777777" w:rsidTr="00646369">
        <w:trPr>
          <w:trHeight w:val="855"/>
        </w:trPr>
        <w:tc>
          <w:tcPr>
            <w:tcW w:w="1465" w:type="dxa"/>
            <w:tcBorders>
              <w:top w:val="nil"/>
              <w:left w:val="nil"/>
              <w:bottom w:val="single" w:sz="4" w:space="0" w:color="auto"/>
              <w:right w:val="nil"/>
            </w:tcBorders>
            <w:shd w:val="clear" w:color="auto" w:fill="FFFFFF"/>
            <w:vAlign w:val="center"/>
            <w:hideMark/>
          </w:tcPr>
          <w:p w14:paraId="1BF4B746"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{"citationItems":[{"id":"ITEM-1","itemData":{"ISBN":"0269-2813","ISSN":"1365-2036","abstract":"BACKGROUND: Proton pump inhibitors (PPI) are widely used in patients with liver diseases. Within the last years, there have been concerns about the PPI use as they may promote infections in patients with cirrhosis., AIM: As there are sparse data of the prognostic relevance of PPI treatment, to perform a prospective study investigating the relation of PPI treatment and overall survival (OS) in cirrhotic individuals., METHODS: Patients with cirrhosis were enrolled and followed prospectively. The primary end point was OS. PPI treatment and additional clinical and laboratory data were assessed at the day of the study inclusion. The time until the end point death was assessed and the individual risks were calculated with Cox regression analyses., RESULTS: A total of 272 patients were included and 213 individuals (78.3%) were on PPI treatment. In multivariate logistic regression analysis, PPI treatment was associated with higher MELD scores (P = 0.027) and ascites (P = 0.039). In a multivariate Cox regression model, PPI use was an independent predictor of mortality (hazard ratio 2.330, 95% confidence interval 1.264-4.296, P = 0.007) in addition to the model of end-stage liver disease (MELD) score, hepatocellular carcinoma and hepatic decompensation., CONCLUSIONS: PPI use is an independent risk factor for mortality in patients with cirrhosis. Although a causative role for increased mortality in patients taking PPI is still missing, the prescription of PPI in cirrhotics should be considered carefully taking into account its potential adverse effects.Copyright © 2014 John Wiley &amp; Sons Ltd.","author":[{"dropping-particle":"","family":"Dultz","given":"G","non-dropping-particle":"","parse-names":false,"suffix":""},{"dropping-particle":"","family":"Piiper","given":"A","non-dropping-particle":"","parse-names":false,"suffix":""},{"dropping-particle":"","family":"Zeuzem","given":"S","non-dropping-particle":"","parse-names":false,"suffix":""},{"dropping-particle":"","family":"Kronenberger","given":"B","non-dropping-particle":"","parse-names":false,"suffix":""},{"dropping-particle":"","family":"Waidmann","given":"O","non-dropping-particle":"","parse-names":false,"suffix":""}],"container-title":"Alimentary pharmacology &amp; therapeutics","id":"ITEM-1","issue":"5","issued":{"date-parts":[["2015"]]},"note":"61","page":"459-466","publisher":"Dultz,G. Medizinische Klinik 1, Schwerpunkt Gastroenterologie und Hepatologie, Universitatsklinikum Frankfurt, Goethe-Universitat, Frankfurt/Main, Germany.","publisher-place":"England","title":"Proton pump inhibitor treatment is associated with the severity of liver disease and increased mortality in patients with cirrhosis.","type":"article-journal","volume":"41"},"uris":["http://www.mendeley.com/documents/?uuid=8c299646-8367-4ba8-8a52-2c2c541516f5"]}],"mendeley":{"formattedCitation":"(Dultz et al. 2015)","plainTextFormattedCitation":"(Dultz et al. 2015)","previouslyFormattedCitation":"(Dultz et al. 2015)"},"properties":{"noteIndex":0},"schema":"https://github.com/citation-style-language/schema/raw/master/csl-citation.json"}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(Dultz et al. 2015)</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(Germany)</w:t>
            </w:r>
          </w:p>
        </w:tc>
        <w:tc>
          <w:tcPr>
            <w:tcW w:w="1087" w:type="dxa"/>
            <w:tcBorders>
              <w:top w:val="nil"/>
              <w:left w:val="nil"/>
              <w:bottom w:val="single" w:sz="4" w:space="0" w:color="auto"/>
              <w:right w:val="nil"/>
            </w:tcBorders>
            <w:shd w:val="clear" w:color="auto" w:fill="FFFFFF"/>
            <w:vAlign w:val="center"/>
            <w:hideMark/>
          </w:tcPr>
          <w:p w14:paraId="1627B97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Prospective cohort</w:t>
            </w:r>
            <w:r w:rsidRPr="005C4B89">
              <w:rPr>
                <w:rFonts w:ascii="Calibri" w:eastAsia="Times New Roman" w:hAnsi="Calibri" w:cs="Times New Roman"/>
                <w:color w:val="000000"/>
                <w:sz w:val="18"/>
                <w:szCs w:val="18"/>
                <w:lang w:eastAsia="en-CA"/>
              </w:rPr>
              <w:br/>
              <w:t>(hospital)</w:t>
            </w:r>
          </w:p>
        </w:tc>
        <w:tc>
          <w:tcPr>
            <w:tcW w:w="1276" w:type="dxa"/>
            <w:tcBorders>
              <w:top w:val="nil"/>
              <w:left w:val="nil"/>
              <w:bottom w:val="single" w:sz="4" w:space="0" w:color="auto"/>
              <w:right w:val="nil"/>
            </w:tcBorders>
            <w:shd w:val="clear" w:color="auto" w:fill="FFFFFF"/>
            <w:vAlign w:val="center"/>
            <w:hideMark/>
          </w:tcPr>
          <w:p w14:paraId="0D02FD8C"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46C5AC3D"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Cirrhosis</w:t>
            </w:r>
          </w:p>
        </w:tc>
        <w:tc>
          <w:tcPr>
            <w:tcW w:w="3543" w:type="dxa"/>
            <w:tcBorders>
              <w:top w:val="nil"/>
              <w:left w:val="nil"/>
              <w:bottom w:val="single" w:sz="4" w:space="0" w:color="auto"/>
              <w:right w:val="nil"/>
            </w:tcBorders>
            <w:shd w:val="clear" w:color="auto" w:fill="FFFFFF"/>
            <w:vAlign w:val="center"/>
            <w:hideMark/>
          </w:tcPr>
          <w:p w14:paraId="286D8BD5"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attending clinic with cirrhosis between 2009-2011</w:t>
            </w:r>
            <w:r w:rsidRPr="005C4B89">
              <w:rPr>
                <w:rFonts w:ascii="Calibri" w:eastAsia="Times New Roman" w:hAnsi="Calibri" w:cs="Times New Roman"/>
                <w:color w:val="000000"/>
                <w:sz w:val="18"/>
                <w:szCs w:val="18"/>
                <w:lang w:eastAsia="en-CA"/>
              </w:rPr>
              <w:br/>
              <w:t>- cirrhosis confirmed by liver histopathological exam or pathognomonic  results in MRI or CT</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cancer history other than hepatocellular carcinoma in prior 5 years</w:t>
            </w:r>
            <w:r w:rsidRPr="005C4B89">
              <w:rPr>
                <w:rFonts w:ascii="Calibri" w:eastAsia="Times New Roman" w:hAnsi="Calibri" w:cs="Times New Roman"/>
                <w:color w:val="000000"/>
                <w:sz w:val="18"/>
                <w:szCs w:val="18"/>
                <w:lang w:eastAsia="en-CA"/>
              </w:rPr>
              <w:br/>
              <w:t>- prior solid organ transplant at age less than 18 years</w:t>
            </w:r>
          </w:p>
        </w:tc>
        <w:tc>
          <w:tcPr>
            <w:tcW w:w="1559" w:type="dxa"/>
            <w:tcBorders>
              <w:top w:val="nil"/>
              <w:left w:val="nil"/>
              <w:bottom w:val="single" w:sz="4" w:space="0" w:color="auto"/>
              <w:right w:val="nil"/>
            </w:tcBorders>
            <w:shd w:val="clear" w:color="auto" w:fill="FFFFFF"/>
            <w:vAlign w:val="center"/>
            <w:hideMark/>
          </w:tcPr>
          <w:p w14:paraId="0D9A44E5"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272</w:t>
            </w:r>
            <w:r w:rsidRPr="005C4B89">
              <w:rPr>
                <w:rFonts w:ascii="Calibri" w:eastAsia="Times New Roman" w:hAnsi="Calibri" w:cs="Times New Roman"/>
                <w:color w:val="000000"/>
                <w:sz w:val="18"/>
                <w:szCs w:val="18"/>
                <w:lang w:eastAsia="en-CA"/>
              </w:rPr>
              <w:br/>
              <w:t>(PPI: 213; No PPI: 59)</w:t>
            </w:r>
          </w:p>
        </w:tc>
        <w:tc>
          <w:tcPr>
            <w:tcW w:w="1417" w:type="dxa"/>
            <w:tcBorders>
              <w:top w:val="nil"/>
              <w:left w:val="nil"/>
              <w:bottom w:val="single" w:sz="4" w:space="0" w:color="auto"/>
              <w:right w:val="nil"/>
            </w:tcBorders>
            <w:shd w:val="clear" w:color="auto" w:fill="FFFFFF"/>
            <w:vAlign w:val="center"/>
            <w:hideMark/>
          </w:tcPr>
          <w:p w14:paraId="7251C8D9"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57</w:t>
            </w:r>
            <w:r w:rsidRPr="005C4B89">
              <w:rPr>
                <w:rFonts w:ascii="Calibri" w:eastAsia="Times New Roman" w:hAnsi="Calibri" w:cs="Times New Roman"/>
                <w:color w:val="000000"/>
                <w:sz w:val="18"/>
                <w:szCs w:val="18"/>
                <w:lang w:eastAsia="en-CA"/>
              </w:rPr>
              <w:br/>
              <w:t>no PPI: 57  (median)</w:t>
            </w:r>
          </w:p>
        </w:tc>
        <w:tc>
          <w:tcPr>
            <w:tcW w:w="1262" w:type="dxa"/>
            <w:tcBorders>
              <w:top w:val="nil"/>
              <w:left w:val="nil"/>
              <w:bottom w:val="single" w:sz="4" w:space="0" w:color="auto"/>
              <w:right w:val="nil"/>
            </w:tcBorders>
            <w:shd w:val="clear" w:color="auto" w:fill="FFFFFF"/>
            <w:vAlign w:val="center"/>
            <w:hideMark/>
          </w:tcPr>
          <w:p w14:paraId="46932DDC"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67%</w:t>
            </w:r>
          </w:p>
        </w:tc>
        <w:tc>
          <w:tcPr>
            <w:tcW w:w="1148" w:type="dxa"/>
            <w:tcBorders>
              <w:top w:val="nil"/>
              <w:left w:val="nil"/>
              <w:bottom w:val="single" w:sz="4" w:space="0" w:color="auto"/>
              <w:right w:val="nil"/>
            </w:tcBorders>
            <w:shd w:val="clear" w:color="auto" w:fill="FFFFFF"/>
            <w:vAlign w:val="center"/>
            <w:hideMark/>
          </w:tcPr>
          <w:p w14:paraId="175322AC"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7D344D" w:rsidRPr="005C4B89" w14:paraId="3DBB90CE" w14:textId="77777777" w:rsidTr="00646369">
        <w:trPr>
          <w:trHeight w:val="855"/>
        </w:trPr>
        <w:tc>
          <w:tcPr>
            <w:tcW w:w="1465" w:type="dxa"/>
            <w:tcBorders>
              <w:top w:val="nil"/>
              <w:left w:val="nil"/>
              <w:bottom w:val="single" w:sz="4" w:space="0" w:color="auto"/>
              <w:right w:val="nil"/>
            </w:tcBorders>
            <w:shd w:val="clear" w:color="auto" w:fill="FFFFFF"/>
            <w:vAlign w:val="center"/>
            <w:hideMark/>
          </w:tcPr>
          <w:p w14:paraId="3D7B6ACA"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{"citationItems":[{"id":"ITEM-1","itemData":{"ISBN":"0002-9270","ISSN":"1572-0241","abstract":"OBJECTIVES:Observational studies suggest that proton pump inhibitors (PPIs) are a risk factor for incident Clostridium difficile infection (CDI). Data also suggest an association between PPIs and recurrent CDI, although large-scale studies focusing solely on hospitalized patients are lacking. We therefore performed a retrospective cohort analysis of inpatients with incident CDI to assess receipt of PPIs as a risk factor for CDI recurrence in this population.METHODS:Using electronic medical records, we identified hospitalized adult patients between 1 December 2009 and 30 June 2012 with incident CDI, defined as a first positive stool test for C. difficile toxin B and who received appropriate treatment. Electronic records were parsed for clinical factors including receipt of PPIs, other acid suppression, non-CDI antibiotics, and comorbidities. The primary exposure was in-hospital PPIs given concurrently with C. difficile treatment. Recurrence was defined as a second positive stool test 15-90 days after the initial positive test. C. difficile recurrence rates in the PPI exposed and unexposed groups were compared with the log-rank test. Multivariable Cox proportional hazards modeling was performed to control for demographics, comorbidities, and other clinical factors.RESULTS:We identified 894 inpatients with incident CDI. The cumulative incidence of CDI recurrence in the cohort was 23%. Receipt of PPIs concurrent with CDI treatment was not associated with C. difficile recurrence (hazard ratio (HR)=0.82; 95% confidence interval (CI)=0.58-1.16). Black race (HR=1.66, 95% CI=1.05-2.63), increased age (HR=1.02, 95% CI=1.01-1.03), and increased comorbidities (HR=1.09, 95% CI=1.04-1.14) were associated with CDI recurrence. In light of a higher 90-day mortality seen among those who received PPIs (log-rank P=0.02), we also analyzed the subset of patients who survived to 90 days of follow-up. Again, there was no association between PPIs and CDI recurrence (HR=0.87; 95% CI=0.60-1.28). Finally, there was no association between recurrent CDI and increased duration or dose of PPIs.CONCLUSIONS:Among hospitalized adults with C. difficile, receipt of PPIs concurrent with C. difficile treatment was not associated with CDI recurrence. Black race, increased age, and increased comorbidities significantly predicted recurrence. Future studies should test interventions to prevent CDI recurrence among high-risk inpatients.","author":[{"dropping-particle":"","family":"Freedberg","given":"Daniel E","non-dropping-particle":"","parse-names":false,"suffix":""},{"dropping-particle":"","family":"Salmasian","given":"Hojjat","non-dropping-particle":"","parse-names":false,"suffix":""},{"dropping-particle":"","family":"Friedman","given":"Carol","non-dropping-particle":"","parse-names":false,"suffix":""},{"dropping-particle":"","family":"Abrams","given":"Julian A","non-dropping-particle":"","parse-names":false,"suffix":""}],"container-title":"The American journal of gastroenterology","id":"ITEM-1","issue":"11","issued":{"date-parts":[["2013"]]},"note":"328\n\nFrom Duplicate 2 (Proton pump inhibitors and risk for recurrent Clostridium difficile infection among inpatients. - Freedberg, Daniel E; Salmasian, Hojjat; Friedman, Carol; Abrams, Julian A)\n\nComment in: Am J Gastroenterol. 2013 Nov;108(11):1802-3; PMID: 24192949, Comment in: Am J Gastroenterol. 2014 Apr;109(4):602-3; PMID: 24698871, Comment in: Am J Gastroenterol. 2014 Jun;109(6):922-3; PMID: 24896761, Comment in: Am J Gastroenterol. 2014 Jun;109(6):922; PMID: 24896760, Comment in: Am J Gastroenterol. 2014 Apr;109(4):601-2; PMID: 24698870","page":"1794-1801","publisher":"Nature Publishing Group (Houndmills, Basingstoke, Hampshire RG21 6XS, United Kingdom)","publisher-place":"United States","title":"Proton pump inhibitors and risk for recurrent clostridium difficile infection among inpatients","type":"article-journal","volume":"108"},"uris":["http://www.mendeley.com/documents/?uuid=c25b897a-71f3-4181-a8ed-20f8ef292371"]}],"mendeley":{"formattedCitation":"(Freedberg et al. 2013)","plainTextFormattedCitation":"(Freedberg et al. 2013)","previouslyFormattedCitation":"(Freedberg et al. 2013)"},"properties":{"noteIndex":0},"schema":"https://github.com/citation-style-language/schema/raw/master/csl-citation.json"}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(Freedberg et al. 2013)</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(USA)</w:t>
            </w:r>
          </w:p>
        </w:tc>
        <w:tc>
          <w:tcPr>
            <w:tcW w:w="1087" w:type="dxa"/>
            <w:tcBorders>
              <w:top w:val="nil"/>
              <w:left w:val="nil"/>
              <w:bottom w:val="single" w:sz="4" w:space="0" w:color="auto"/>
              <w:right w:val="nil"/>
            </w:tcBorders>
            <w:shd w:val="clear" w:color="auto" w:fill="FFFFFF"/>
            <w:vAlign w:val="center"/>
            <w:hideMark/>
          </w:tcPr>
          <w:p w14:paraId="42BC9396"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analysis)</w:t>
            </w:r>
          </w:p>
        </w:tc>
        <w:tc>
          <w:tcPr>
            <w:tcW w:w="1276" w:type="dxa"/>
            <w:tcBorders>
              <w:top w:val="nil"/>
              <w:left w:val="nil"/>
              <w:bottom w:val="single" w:sz="4" w:space="0" w:color="auto"/>
              <w:right w:val="nil"/>
            </w:tcBorders>
            <w:shd w:val="clear" w:color="auto" w:fill="FFFFFF"/>
            <w:vAlign w:val="center"/>
            <w:hideMark/>
          </w:tcPr>
          <w:p w14:paraId="5776B0EA"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7F6DEF86"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CDI</w:t>
            </w:r>
          </w:p>
        </w:tc>
        <w:tc>
          <w:tcPr>
            <w:tcW w:w="3543" w:type="dxa"/>
            <w:tcBorders>
              <w:top w:val="nil"/>
              <w:left w:val="nil"/>
              <w:bottom w:val="single" w:sz="4" w:space="0" w:color="auto"/>
              <w:right w:val="nil"/>
            </w:tcBorders>
            <w:shd w:val="clear" w:color="auto" w:fill="FFFFFF"/>
            <w:vAlign w:val="center"/>
            <w:hideMark/>
          </w:tcPr>
          <w:p w14:paraId="378AE4D0"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incident CDI between Dec 1, 2009 and June 30, 2012 and no prior positive test within 90 days</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did not meet study endpoints</w:t>
            </w:r>
            <w:r w:rsidRPr="005C4B89">
              <w:rPr>
                <w:rFonts w:ascii="Calibri" w:eastAsia="Times New Roman" w:hAnsi="Calibri" w:cs="Times New Roman"/>
                <w:color w:val="000000"/>
                <w:sz w:val="18"/>
                <w:szCs w:val="18"/>
                <w:lang w:eastAsia="en-CA"/>
              </w:rPr>
              <w:br/>
              <w:t>- no proven clinical follow-up in medical system after the 90-day study period</w:t>
            </w:r>
          </w:p>
        </w:tc>
        <w:tc>
          <w:tcPr>
            <w:tcW w:w="1559" w:type="dxa"/>
            <w:tcBorders>
              <w:top w:val="nil"/>
              <w:left w:val="nil"/>
              <w:bottom w:val="single" w:sz="4" w:space="0" w:color="auto"/>
              <w:right w:val="nil"/>
            </w:tcBorders>
            <w:shd w:val="clear" w:color="auto" w:fill="FFFFFF"/>
            <w:vAlign w:val="center"/>
            <w:hideMark/>
          </w:tcPr>
          <w:p w14:paraId="6678C039"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894</w:t>
            </w:r>
            <w:r w:rsidRPr="005C4B89">
              <w:rPr>
                <w:rFonts w:ascii="Calibri" w:eastAsia="Times New Roman" w:hAnsi="Calibri" w:cs="Times New Roman"/>
                <w:color w:val="000000"/>
                <w:sz w:val="18"/>
                <w:szCs w:val="18"/>
                <w:lang w:eastAsia="en-CA"/>
              </w:rPr>
              <w:br/>
              <w:t>(PPI: 551;</w:t>
            </w:r>
            <w:r w:rsidRPr="005C4B89">
              <w:rPr>
                <w:rFonts w:ascii="Calibri" w:eastAsia="Times New Roman" w:hAnsi="Calibri" w:cs="Times New Roman"/>
                <w:color w:val="000000"/>
                <w:sz w:val="18"/>
                <w:szCs w:val="18"/>
                <w:lang w:eastAsia="en-CA"/>
              </w:rPr>
              <w:br/>
              <w:t>No PPIs: 343)</w:t>
            </w:r>
          </w:p>
        </w:tc>
        <w:tc>
          <w:tcPr>
            <w:tcW w:w="1417" w:type="dxa"/>
            <w:tcBorders>
              <w:top w:val="nil"/>
              <w:left w:val="nil"/>
              <w:bottom w:val="single" w:sz="4" w:space="0" w:color="auto"/>
              <w:right w:val="nil"/>
            </w:tcBorders>
            <w:shd w:val="clear" w:color="auto" w:fill="FFFFFF"/>
            <w:vAlign w:val="center"/>
            <w:hideMark/>
          </w:tcPr>
          <w:p w14:paraId="4173418B"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64 (18)</w:t>
            </w:r>
            <w:r w:rsidRPr="005C4B89">
              <w:rPr>
                <w:rFonts w:ascii="Calibri" w:eastAsia="Times New Roman" w:hAnsi="Calibri" w:cs="Times New Roman"/>
                <w:color w:val="000000"/>
                <w:sz w:val="18"/>
                <w:szCs w:val="18"/>
                <w:lang w:eastAsia="en-CA"/>
              </w:rPr>
              <w:br/>
              <w:t>no PPI: 65 (20)</w:t>
            </w:r>
          </w:p>
        </w:tc>
        <w:tc>
          <w:tcPr>
            <w:tcW w:w="1262" w:type="dxa"/>
            <w:tcBorders>
              <w:top w:val="nil"/>
              <w:left w:val="nil"/>
              <w:bottom w:val="single" w:sz="4" w:space="0" w:color="auto"/>
              <w:right w:val="nil"/>
            </w:tcBorders>
            <w:shd w:val="clear" w:color="auto" w:fill="FFFFFF"/>
            <w:vAlign w:val="center"/>
            <w:hideMark/>
          </w:tcPr>
          <w:p w14:paraId="7DA64E7B"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48%</w:t>
            </w:r>
          </w:p>
        </w:tc>
        <w:tc>
          <w:tcPr>
            <w:tcW w:w="1148" w:type="dxa"/>
            <w:tcBorders>
              <w:top w:val="nil"/>
              <w:left w:val="nil"/>
              <w:bottom w:val="single" w:sz="4" w:space="0" w:color="auto"/>
              <w:right w:val="nil"/>
            </w:tcBorders>
            <w:shd w:val="clear" w:color="auto" w:fill="FFFFFF"/>
            <w:vAlign w:val="center"/>
            <w:hideMark/>
          </w:tcPr>
          <w:p w14:paraId="701DAE7B"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Caucasian, African American, Hispanic, Other</w:t>
            </w:r>
          </w:p>
        </w:tc>
      </w:tr>
      <w:tr w:rsidR="007D344D" w:rsidRPr="005C4B89" w14:paraId="7AEA5D9C" w14:textId="77777777" w:rsidTr="007D344D">
        <w:trPr>
          <w:trHeight w:val="855"/>
        </w:trPr>
        <w:tc>
          <w:tcPr>
            <w:tcW w:w="1465" w:type="dxa"/>
            <w:tcBorders>
              <w:top w:val="nil"/>
              <w:left w:val="nil"/>
              <w:bottom w:val="single" w:sz="4" w:space="0" w:color="auto"/>
              <w:right w:val="nil"/>
            </w:tcBorders>
            <w:shd w:val="clear" w:color="auto" w:fill="FFFFFF"/>
            <w:vAlign w:val="center"/>
          </w:tcPr>
          <w:p w14:paraId="23625CE1" w14:textId="2F4CCAC2"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lastRenderedPageBreak/>
              <w:t>(Gardezi et al 2018)</w:t>
            </w:r>
            <w:r>
              <w:rPr>
                <w:rFonts w:ascii="Calibri" w:hAnsi="Calibri" w:cs="Calibri"/>
                <w:color w:val="000000"/>
                <w:sz w:val="18"/>
                <w:szCs w:val="18"/>
              </w:rPr>
              <w:br/>
              <w:t>Abstract</w:t>
            </w:r>
          </w:p>
        </w:tc>
        <w:tc>
          <w:tcPr>
            <w:tcW w:w="1087" w:type="dxa"/>
            <w:tcBorders>
              <w:top w:val="nil"/>
              <w:left w:val="nil"/>
              <w:bottom w:val="single" w:sz="4" w:space="0" w:color="auto"/>
              <w:right w:val="nil"/>
            </w:tcBorders>
            <w:shd w:val="clear" w:color="auto" w:fill="FFFFFF"/>
            <w:vAlign w:val="center"/>
          </w:tcPr>
          <w:p w14:paraId="0F91E501" w14:textId="300B4FE4"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Hospitals</w:t>
            </w:r>
          </w:p>
        </w:tc>
        <w:tc>
          <w:tcPr>
            <w:tcW w:w="1276" w:type="dxa"/>
            <w:tcBorders>
              <w:top w:val="nil"/>
              <w:left w:val="nil"/>
              <w:bottom w:val="single" w:sz="4" w:space="0" w:color="auto"/>
              <w:right w:val="nil"/>
            </w:tcBorders>
            <w:shd w:val="clear" w:color="auto" w:fill="FFFFFF"/>
            <w:vAlign w:val="center"/>
          </w:tcPr>
          <w:p w14:paraId="6B0B12DB" w14:textId="3D04A862"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w:t>
            </w:r>
          </w:p>
        </w:tc>
        <w:tc>
          <w:tcPr>
            <w:tcW w:w="1134" w:type="dxa"/>
            <w:tcBorders>
              <w:top w:val="nil"/>
              <w:left w:val="nil"/>
              <w:bottom w:val="single" w:sz="4" w:space="0" w:color="auto"/>
              <w:right w:val="nil"/>
            </w:tcBorders>
            <w:shd w:val="clear" w:color="auto" w:fill="FFFFFF"/>
            <w:vAlign w:val="center"/>
          </w:tcPr>
          <w:p w14:paraId="22DF3DF1" w14:textId="76BC872C"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Non-variceal bleeding</w:t>
            </w:r>
          </w:p>
        </w:tc>
        <w:tc>
          <w:tcPr>
            <w:tcW w:w="3543" w:type="dxa"/>
            <w:tcBorders>
              <w:top w:val="nil"/>
              <w:left w:val="nil"/>
              <w:bottom w:val="single" w:sz="4" w:space="0" w:color="auto"/>
              <w:right w:val="nil"/>
            </w:tcBorders>
            <w:shd w:val="clear" w:color="auto" w:fill="FFFFFF"/>
            <w:vAlign w:val="center"/>
          </w:tcPr>
          <w:p w14:paraId="3696B0A5" w14:textId="77777777" w:rsidR="007D344D" w:rsidRDefault="007D344D" w:rsidP="007D344D">
            <w:pPr>
              <w:spacing w:after="0" w:line="240" w:lineRule="auto"/>
              <w:rPr>
                <w:rFonts w:ascii="Calibri" w:eastAsia="Times New Roman" w:hAnsi="Calibri" w:cs="Times New Roman"/>
                <w:i/>
                <w:iCs/>
                <w:color w:val="000000"/>
                <w:sz w:val="18"/>
                <w:szCs w:val="18"/>
                <w:lang w:eastAsia="en-CA"/>
              </w:rPr>
            </w:pPr>
            <w:r w:rsidRPr="005C4B89">
              <w:rPr>
                <w:rFonts w:ascii="Calibri" w:eastAsia="Times New Roman" w:hAnsi="Calibri" w:cs="Times New Roman"/>
                <w:i/>
                <w:iCs/>
                <w:color w:val="000000"/>
                <w:sz w:val="18"/>
                <w:szCs w:val="18"/>
                <w:lang w:eastAsia="en-CA"/>
              </w:rPr>
              <w:t>Inclusion</w:t>
            </w:r>
            <w:r>
              <w:rPr>
                <w:rFonts w:ascii="Calibri" w:eastAsia="Times New Roman" w:hAnsi="Calibri" w:cs="Times New Roman"/>
                <w:i/>
                <w:iCs/>
                <w:color w:val="000000"/>
                <w:sz w:val="18"/>
                <w:szCs w:val="18"/>
                <w:lang w:eastAsia="en-CA"/>
              </w:rPr>
              <w:t>:</w:t>
            </w:r>
          </w:p>
          <w:p w14:paraId="69580D0E" w14:textId="66005A57" w:rsidR="007D344D" w:rsidRPr="005C4B89" w:rsidRDefault="007D344D" w:rsidP="007D344D">
            <w:pPr>
              <w:spacing w:after="0" w:line="240" w:lineRule="auto"/>
              <w:rPr>
                <w:rFonts w:ascii="Calibri" w:eastAsia="Times New Roman" w:hAnsi="Calibri" w:cs="Times New Roman"/>
                <w:i/>
                <w:iCs/>
                <w:color w:val="000000"/>
                <w:sz w:val="18"/>
                <w:szCs w:val="18"/>
                <w:lang w:eastAsia="en-CA"/>
              </w:rPr>
            </w:pPr>
            <w:r>
              <w:rPr>
                <w:rFonts w:ascii="Calibri" w:hAnsi="Calibri" w:cs="Calibri"/>
                <w:color w:val="000000"/>
                <w:sz w:val="18"/>
                <w:szCs w:val="18"/>
              </w:rPr>
              <w:t xml:space="preserve"> - received upper GI endoscopy for nonvariceal bleeding </w:t>
            </w:r>
          </w:p>
        </w:tc>
        <w:tc>
          <w:tcPr>
            <w:tcW w:w="1559" w:type="dxa"/>
            <w:tcBorders>
              <w:top w:val="nil"/>
              <w:left w:val="nil"/>
              <w:bottom w:val="single" w:sz="4" w:space="0" w:color="auto"/>
              <w:right w:val="nil"/>
            </w:tcBorders>
            <w:shd w:val="clear" w:color="auto" w:fill="FFFFFF"/>
            <w:vAlign w:val="center"/>
          </w:tcPr>
          <w:p w14:paraId="71F9CF5D" w14:textId="7BE380A6"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763</w:t>
            </w:r>
          </w:p>
        </w:tc>
        <w:tc>
          <w:tcPr>
            <w:tcW w:w="1417" w:type="dxa"/>
            <w:tcBorders>
              <w:top w:val="nil"/>
              <w:left w:val="nil"/>
              <w:bottom w:val="single" w:sz="4" w:space="0" w:color="auto"/>
              <w:right w:val="nil"/>
            </w:tcBorders>
            <w:shd w:val="clear" w:color="auto" w:fill="FFFFFF"/>
            <w:vAlign w:val="center"/>
          </w:tcPr>
          <w:p w14:paraId="1795179A" w14:textId="61CB4EE6"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c>
          <w:tcPr>
            <w:tcW w:w="1262" w:type="dxa"/>
            <w:tcBorders>
              <w:top w:val="nil"/>
              <w:left w:val="nil"/>
              <w:bottom w:val="single" w:sz="4" w:space="0" w:color="auto"/>
              <w:right w:val="nil"/>
            </w:tcBorders>
            <w:shd w:val="clear" w:color="auto" w:fill="FFFFFF"/>
            <w:vAlign w:val="center"/>
          </w:tcPr>
          <w:p w14:paraId="4DB72950" w14:textId="4F9EAB4A"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c>
          <w:tcPr>
            <w:tcW w:w="1148" w:type="dxa"/>
            <w:tcBorders>
              <w:top w:val="nil"/>
              <w:left w:val="nil"/>
              <w:bottom w:val="single" w:sz="4" w:space="0" w:color="auto"/>
              <w:right w:val="nil"/>
            </w:tcBorders>
            <w:shd w:val="clear" w:color="auto" w:fill="FFFFFF"/>
            <w:vAlign w:val="center"/>
          </w:tcPr>
          <w:p w14:paraId="06B8CF03" w14:textId="151E18A4"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7D344D" w:rsidRPr="005C4B89" w14:paraId="18A0DB25" w14:textId="77777777" w:rsidTr="00646369">
        <w:trPr>
          <w:trHeight w:val="855"/>
        </w:trPr>
        <w:tc>
          <w:tcPr>
            <w:tcW w:w="1465" w:type="dxa"/>
            <w:tcBorders>
              <w:top w:val="nil"/>
              <w:left w:val="nil"/>
              <w:bottom w:val="single" w:sz="4" w:space="0" w:color="auto"/>
              <w:right w:val="nil"/>
            </w:tcBorders>
            <w:shd w:val="clear" w:color="auto" w:fill="FFFFFF"/>
            <w:vAlign w:val="center"/>
            <w:hideMark/>
          </w:tcPr>
          <w:p w14:paraId="5FAF0CDF" w14:textId="4E037924"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{"citationItems":[{"id":"ITEM-1","itemData":{"ISBN":"2224-3992","abstract":"Aim: Gastric acid suppression is identified as a risk factor for Clostridium difficile infection (CDI). Our objective was to determine if the use of proton pump Inhibitors (PPI) are associated with increased severity of CDI (severe CDI). Methods: Retrospective analysis of hospitalized patients with CDI at Geisinger Medical Center was performed. Hospital admissions with CDI over an 8 year period (Jan 2001 to Oct 2009) were assessed for proton pump inhibitor (PPI)/histamine 2 receptor antagonist (H2RA) use, antibiotic (ABX) use, and features of severe CDI defined as two or more of the following within 5 days of a positive stool test (of index CDI): WBC&gt;15 K or &lt;4 K/muL, bandemia &gt;10%, shock (SBP&lt; 90 mmHg), subtotal/total colectomy after index CDI, organ dysfunction (acute respiratory failure, acute renal failure, altered mental status or serum lactate&gt;2.5 mmol/L). Death (30-day death attributed to CDI) was also analyzed. Results: 627 patients with CDI were divided into four groups: those on neither PPI nor H2RA, those on purely PPI blockers, those on purely H2RA blockers, and on both PPI and H2RA. Patients on PPI or H2RA were more likely to be on antibiotics (ABX) antibiotics within 90 days of CDI index case or vasopressors. Among all patients, 40% developed severe CDI. Unadjusted odds ratio (OR) of developing severe CDI for PPI was 1.91 (95% CI: 1.36, 2.69, p=0.0002), and for H2RA the OR was 0.66 (95% CI: 0.41, 1.05, p=0.0770). After controlling for confounders the effect of PPI was significantly elevated (OR=1.60, 95% CI: 1.09, 2.351) whereas the effect of H2RA was protective (OR=0.50, 95% CI: 0.31, 0.83).There was no statistically significant difference in 30-day mortality by medication group. Conclusions: Results suggest PPI use could lead to an elevated risk of developing severe CDI, while H2RA was found to decrease the risk of severe CDI. This study suggests limiting the indiscriminate use of PPI in hospitalized patients. © 2012 Thomson research.","author":[{"dropping-particle":"","family":"Haider","given":"F","non-dropping-particle":"","parse-names":false,"suffix":""},{"dropping-particle":"","family":"Raza","given":"N","non-dropping-particle":"","parse-names":false,"suffix":""},{"dropping-particle":"","family":"Komar","given":"N","non-dropping-particle":"","parse-names":false,"suffix":""},{"dropping-particle":"","family":"Rahman","given":"O","non-dropping-particle":"","parse-names":false,"suffix":""},{"dropping-particle":"","family":"Sartorius","given":"J","non-dropping-particle":"","parse-names":false,"suffix":""},{"dropping-particle":"","family":"H.L.","given":"Kirchner","non-dropping-particle":"","parse-names":false,"suffix":""}],"container-title":"Journal of Gastroenterology and Hepatology Research","id":"ITEM-1","issue":"4","issued":{"date-parts":[["2012"]]},"note":"465","page":"53-56","publisher":"ACT Publishing Group Liminted","publisher-place":"N. Raza, Department of Gastroenterology, Geisinger Medical Center, Danville, PA 17821, United States. E-mail: nraza1@geisinger.edu","title":"Proton pump inhibitor use elevates the risk of severe clostridium difficile colitis","type":"article","volume":"1"},"uris":["http://www.mendeley.com/documents/?uuid=c8e7833d-9ec5-4dcc-9305-07a9e4e0b553"]}],"mendeley":{"formattedCitation":"(Haider et al. 2012)","plainTextFormattedCitation":"(Haider et al. 2012)","previouslyFormattedCitation":"(Haider et al. 2012)"},"properties":{"noteIndex":0},"schema":"https://github.com/citation-style-language/schema/raw/master/csl-citation.json"}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(Haider et al. 2012)</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(USA)</w:t>
            </w:r>
          </w:p>
        </w:tc>
        <w:tc>
          <w:tcPr>
            <w:tcW w:w="1087" w:type="dxa"/>
            <w:tcBorders>
              <w:top w:val="nil"/>
              <w:left w:val="nil"/>
              <w:bottom w:val="single" w:sz="4" w:space="0" w:color="auto"/>
              <w:right w:val="nil"/>
            </w:tcBorders>
            <w:shd w:val="clear" w:color="auto" w:fill="FFFFFF"/>
            <w:vAlign w:val="center"/>
            <w:hideMark/>
          </w:tcPr>
          <w:p w14:paraId="598D9F47"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(records of hospital patients - 1 center)</w:t>
            </w:r>
          </w:p>
        </w:tc>
        <w:tc>
          <w:tcPr>
            <w:tcW w:w="1276" w:type="dxa"/>
            <w:tcBorders>
              <w:top w:val="nil"/>
              <w:left w:val="nil"/>
              <w:bottom w:val="single" w:sz="4" w:space="0" w:color="auto"/>
              <w:right w:val="nil"/>
            </w:tcBorders>
            <w:shd w:val="clear" w:color="auto" w:fill="FFFFFF"/>
            <w:vAlign w:val="center"/>
            <w:hideMark/>
          </w:tcPr>
          <w:p w14:paraId="29243F96"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6EA81A55"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CDI</w:t>
            </w:r>
          </w:p>
        </w:tc>
        <w:tc>
          <w:tcPr>
            <w:tcW w:w="3543" w:type="dxa"/>
            <w:tcBorders>
              <w:top w:val="nil"/>
              <w:left w:val="nil"/>
              <w:bottom w:val="single" w:sz="4" w:space="0" w:color="auto"/>
              <w:right w:val="nil"/>
            </w:tcBorders>
            <w:shd w:val="clear" w:color="auto" w:fill="FFFFFF"/>
            <w:vAlign w:val="center"/>
            <w:hideMark/>
          </w:tcPr>
          <w:p w14:paraId="42071B9A"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-&gt;18 years</w:t>
            </w:r>
            <w:r w:rsidRPr="005C4B89">
              <w:rPr>
                <w:rFonts w:ascii="Calibri" w:eastAsia="Times New Roman" w:hAnsi="Calibri" w:cs="Times New Roman"/>
                <w:color w:val="000000"/>
                <w:sz w:val="18"/>
                <w:szCs w:val="18"/>
                <w:lang w:eastAsia="en-CA"/>
              </w:rPr>
              <w:br/>
              <w:t>- positive for C. difficile between Jan  2001 - Oct 2009</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i/>
                <w:iCs/>
                <w:color w:val="000000"/>
                <w:sz w:val="18"/>
                <w:szCs w:val="18"/>
                <w:lang w:eastAsia="en-CA"/>
              </w:rPr>
              <w:br/>
            </w:r>
            <w:r w:rsidRPr="005C4B89">
              <w:rPr>
                <w:rFonts w:ascii="Calibri" w:eastAsia="Times New Roman" w:hAnsi="Calibri" w:cs="Times New Roman"/>
                <w:color w:val="000000"/>
                <w:sz w:val="18"/>
                <w:szCs w:val="18"/>
                <w:lang w:eastAsia="en-CA"/>
              </w:rPr>
              <w:t xml:space="preserve">- pregnant women </w:t>
            </w:r>
            <w:r w:rsidRPr="005C4B89">
              <w:rPr>
                <w:rFonts w:ascii="Calibri" w:eastAsia="Times New Roman" w:hAnsi="Calibri" w:cs="Times New Roman"/>
                <w:color w:val="000000"/>
                <w:sz w:val="18"/>
                <w:szCs w:val="18"/>
                <w:lang w:eastAsia="en-CA"/>
              </w:rPr>
              <w:br/>
              <w:t>- prior history of CDI</w:t>
            </w:r>
          </w:p>
        </w:tc>
        <w:tc>
          <w:tcPr>
            <w:tcW w:w="1559" w:type="dxa"/>
            <w:tcBorders>
              <w:top w:val="nil"/>
              <w:left w:val="nil"/>
              <w:bottom w:val="single" w:sz="4" w:space="0" w:color="auto"/>
              <w:right w:val="nil"/>
            </w:tcBorders>
            <w:shd w:val="clear" w:color="auto" w:fill="FFFFFF"/>
            <w:vAlign w:val="center"/>
            <w:hideMark/>
          </w:tcPr>
          <w:p w14:paraId="25BAAC01"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627 </w:t>
            </w:r>
            <w:r w:rsidRPr="005C4B89">
              <w:rPr>
                <w:rFonts w:ascii="Calibri" w:eastAsia="Times New Roman" w:hAnsi="Calibri" w:cs="Times New Roman"/>
                <w:color w:val="000000"/>
                <w:sz w:val="18"/>
                <w:szCs w:val="18"/>
                <w:lang w:eastAsia="en-CA"/>
              </w:rPr>
              <w:br/>
              <w:t>(PPI: 172; No PPI: 358, others)</w:t>
            </w:r>
          </w:p>
        </w:tc>
        <w:tc>
          <w:tcPr>
            <w:tcW w:w="1417" w:type="dxa"/>
            <w:tcBorders>
              <w:top w:val="nil"/>
              <w:left w:val="nil"/>
              <w:bottom w:val="single" w:sz="4" w:space="0" w:color="auto"/>
              <w:right w:val="nil"/>
            </w:tcBorders>
            <w:shd w:val="clear" w:color="auto" w:fill="FFFFFF"/>
            <w:vAlign w:val="center"/>
            <w:hideMark/>
          </w:tcPr>
          <w:p w14:paraId="056559AA"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69 (median)</w:t>
            </w:r>
          </w:p>
        </w:tc>
        <w:tc>
          <w:tcPr>
            <w:tcW w:w="1262" w:type="dxa"/>
            <w:tcBorders>
              <w:top w:val="nil"/>
              <w:left w:val="nil"/>
              <w:bottom w:val="single" w:sz="4" w:space="0" w:color="auto"/>
              <w:right w:val="nil"/>
            </w:tcBorders>
            <w:shd w:val="clear" w:color="auto" w:fill="FFFFFF"/>
            <w:vAlign w:val="center"/>
            <w:hideMark/>
          </w:tcPr>
          <w:p w14:paraId="1C2D842F"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47%</w:t>
            </w:r>
          </w:p>
        </w:tc>
        <w:tc>
          <w:tcPr>
            <w:tcW w:w="1148" w:type="dxa"/>
            <w:tcBorders>
              <w:top w:val="nil"/>
              <w:left w:val="nil"/>
              <w:bottom w:val="single" w:sz="4" w:space="0" w:color="auto"/>
              <w:right w:val="nil"/>
            </w:tcBorders>
            <w:shd w:val="clear" w:color="auto" w:fill="FFFFFF"/>
            <w:vAlign w:val="center"/>
            <w:hideMark/>
          </w:tcPr>
          <w:p w14:paraId="1934C61C"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98% Caucasian</w:t>
            </w:r>
          </w:p>
        </w:tc>
      </w:tr>
      <w:tr w:rsidR="007D344D" w:rsidRPr="005C4B89" w14:paraId="15C7BDDE" w14:textId="77777777" w:rsidTr="00646369">
        <w:trPr>
          <w:trHeight w:val="855"/>
        </w:trPr>
        <w:tc>
          <w:tcPr>
            <w:tcW w:w="1465" w:type="dxa"/>
            <w:tcBorders>
              <w:top w:val="nil"/>
              <w:left w:val="nil"/>
              <w:bottom w:val="single" w:sz="4" w:space="0" w:color="auto"/>
              <w:right w:val="nil"/>
            </w:tcBorders>
            <w:shd w:val="clear" w:color="auto" w:fill="FFFFFF"/>
            <w:vAlign w:val="center"/>
            <w:hideMark/>
          </w:tcPr>
          <w:p w14:paraId="6E03CC0B"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{"citationItems":[{"id":"ITEM-1","itemData":{"ISSN":"2005-1212","abstract":"BACKGROUND/AIMS: Knowledge of the risk factors associated with adverse outcomes after percutaneous endoscopic gastrostomy (PEG) may be helpful for developing PEG recommendations. The purpose of this study was to identify the clinical risk factors associated with adverse clinical outcomes after PEG, especially regarding the use of proton pump inhibitors (PPIs)., METHODS: We retrospectively reviewed the data from PEG patients at seven university hospitals between June 2006 and January 2012. All patients were followed up through February 2012 after PEG, and the clinical risk factors for adverse clinical outcomes after PEG were analyzed., RESULTS: Data from 1,021 PEG patients were analyzed. PPI users were more frequently included in the complication group than the noncomplication group (p=0.040). PEG-related complications (p=0.040) and mortality (p=0.003) were more frequent in the PPI group than in the control group. In the subgroup analysis of complicated PEG cases, infectious complications were more frequently found in the PPI group than in the control group (35.8% vs 27.8%). After adjustment for multiple possible confounding factors, PPI users (odds ratio, 1.531; 95% confidence interval, 1.017 to 2.305) and diabetic patients had increased mortality after PEG., CONCLUSIONS: PPI use may be associated with adverse outcomes in patients with PEG; however, further prospective studies investigating this issue are warranted.","author":[{"dropping-particle":"","family":"Im","given":"Jong Pil","non-dropping-particle":"","parse-names":false,"suffix":""},{"dropping-particle":"","family":"Cha","given":"Jae Myung","non-dropping-particle":"","parse-names":false,"suffix":""},{"dropping-particle":"","family":"Kim","given":"Ji Won","non-dropping-particle":"","parse-names":false,"suffix":""},{"dropping-particle":"","family":"Kim","given":"Seong Eun","non-dropping-particle":"","parse-names":false,"suffix":""},{"dropping-particle":"","family":"Ryu","given":"Dong Yup","non-dropping-particle":"","parse-names":false,"suffix":""},{"dropping-particle":"","family":"Kim","given":"Eun Young","non-dropping-particle":"","parse-names":false,"suffix":""},{"dropping-particle":"","family":"Kim","given":"Eun Ran","non-dropping-particle":"","parse-names":false,"suffix":""},{"dropping-particle":"","family":"Chang","given":"Dong Kyung","non-dropping-particle":"","parse-names":false,"suffix":""}],"container-title":"Gut and liver","id":"ITEM-1","issue":"3","issued":{"date-parts":[["2014"]]},"note":"162","page":"248-253","publisher":"Im,Jong Pil. Department of Internal Medicine, Seoul National University Hospital, Seoul National University College of Medicine, Seoul, Korea.","publisher-place":"Korea (South)","title":"Proton pump inhibitor use before percutaneous endoscopic gastrostomy is associated with adverse outcomes.","type":"article-journal","volume":"8"},"uris":["http://www.mendeley.com/documents/?uuid=14b4f646-5d3e-4e82-94d6-d957c33ccc3c"]}],"mendeley":{"formattedCitation":"(Im et al. 2014)","plainTextFormattedCitation":"(Im et al. 2014)","previouslyFormattedCitation":"(Im et al. 2014)"},"properties":{"noteIndex":0},"schema":"https://github.com/citation-style-language/schema/raw/master/csl-citation.json"}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(Im et al. 2014)</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t xml:space="preserve"> (Korea)</w:t>
            </w:r>
          </w:p>
        </w:tc>
        <w:tc>
          <w:tcPr>
            <w:tcW w:w="1087" w:type="dxa"/>
            <w:tcBorders>
              <w:top w:val="nil"/>
              <w:left w:val="nil"/>
              <w:bottom w:val="single" w:sz="4" w:space="0" w:color="auto"/>
              <w:right w:val="nil"/>
            </w:tcBorders>
            <w:shd w:val="clear" w:color="auto" w:fill="FFFFFF"/>
            <w:vAlign w:val="center"/>
            <w:hideMark/>
          </w:tcPr>
          <w:p w14:paraId="22B7A547"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(University hospitals - 7 centers)</w:t>
            </w:r>
          </w:p>
        </w:tc>
        <w:tc>
          <w:tcPr>
            <w:tcW w:w="1276" w:type="dxa"/>
            <w:tcBorders>
              <w:top w:val="nil"/>
              <w:left w:val="nil"/>
              <w:bottom w:val="single" w:sz="4" w:space="0" w:color="auto"/>
              <w:right w:val="nil"/>
            </w:tcBorders>
            <w:shd w:val="clear" w:color="auto" w:fill="FFFFFF"/>
            <w:vAlign w:val="center"/>
            <w:hideMark/>
          </w:tcPr>
          <w:p w14:paraId="7A4C6231"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5F5FE3FD"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Percutaneous endoscopic gastrostomy (PEG)</w:t>
            </w:r>
          </w:p>
        </w:tc>
        <w:tc>
          <w:tcPr>
            <w:tcW w:w="3543" w:type="dxa"/>
            <w:tcBorders>
              <w:top w:val="nil"/>
              <w:left w:val="nil"/>
              <w:bottom w:val="single" w:sz="4" w:space="0" w:color="auto"/>
              <w:right w:val="nil"/>
            </w:tcBorders>
            <w:shd w:val="clear" w:color="auto" w:fill="FFFFFF"/>
            <w:vAlign w:val="center"/>
            <w:hideMark/>
          </w:tcPr>
          <w:p w14:paraId="7CBA5A37"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i/>
                <w:iCs/>
                <w:color w:val="000000"/>
                <w:sz w:val="18"/>
                <w:szCs w:val="18"/>
                <w:lang w:eastAsia="en-CA"/>
              </w:rPr>
              <w:br/>
            </w:r>
            <w:r w:rsidRPr="005C4B89">
              <w:rPr>
                <w:rFonts w:ascii="Calibri" w:eastAsia="Times New Roman" w:hAnsi="Calibri" w:cs="Times New Roman"/>
                <w:color w:val="000000"/>
                <w:sz w:val="18"/>
                <w:szCs w:val="18"/>
                <w:lang w:eastAsia="en-CA"/>
              </w:rPr>
              <w:t>- consecutive patients that underwent PEG between June 2006 -Jan 2012</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i/>
                <w:iCs/>
                <w:color w:val="000000"/>
                <w:sz w:val="18"/>
                <w:szCs w:val="18"/>
                <w:lang w:eastAsia="en-CA"/>
              </w:rPr>
              <w:br/>
            </w:r>
            <w:r w:rsidRPr="005C4B89">
              <w:rPr>
                <w:rFonts w:ascii="Calibri" w:eastAsia="Times New Roman" w:hAnsi="Calibri" w:cs="Times New Roman"/>
                <w:color w:val="000000"/>
                <w:sz w:val="18"/>
                <w:szCs w:val="18"/>
                <w:lang w:eastAsia="en-CA"/>
              </w:rPr>
              <w:t>- &lt;18 years</w:t>
            </w:r>
            <w:r w:rsidRPr="005C4B89">
              <w:rPr>
                <w:rFonts w:ascii="Calibri" w:eastAsia="Times New Roman" w:hAnsi="Calibri" w:cs="Times New Roman"/>
                <w:color w:val="000000"/>
                <w:sz w:val="18"/>
                <w:szCs w:val="18"/>
                <w:lang w:eastAsia="en-CA"/>
              </w:rPr>
              <w:br/>
              <w:t>- personal history of gastrectomy</w:t>
            </w:r>
            <w:r w:rsidRPr="005C4B89">
              <w:rPr>
                <w:rFonts w:ascii="Calibri" w:eastAsia="Times New Roman" w:hAnsi="Calibri" w:cs="Times New Roman"/>
                <w:color w:val="000000"/>
                <w:sz w:val="18"/>
                <w:szCs w:val="18"/>
                <w:lang w:eastAsia="en-CA"/>
              </w:rPr>
              <w:br/>
              <w:t>- insufficient data on patient</w:t>
            </w:r>
            <w:r w:rsidRPr="005C4B89">
              <w:rPr>
                <w:rFonts w:ascii="Calibri" w:eastAsia="Times New Roman" w:hAnsi="Calibri" w:cs="Times New Roman"/>
                <w:color w:val="000000"/>
                <w:sz w:val="18"/>
                <w:szCs w:val="18"/>
                <w:lang w:eastAsia="en-CA"/>
              </w:rPr>
              <w:br/>
              <w:t>- simple PEG changes during the study period after an initial PEG placement</w:t>
            </w:r>
          </w:p>
        </w:tc>
        <w:tc>
          <w:tcPr>
            <w:tcW w:w="1559" w:type="dxa"/>
            <w:tcBorders>
              <w:top w:val="nil"/>
              <w:left w:val="nil"/>
              <w:bottom w:val="single" w:sz="4" w:space="0" w:color="auto"/>
              <w:right w:val="nil"/>
            </w:tcBorders>
            <w:shd w:val="clear" w:color="auto" w:fill="FFFFFF"/>
            <w:vAlign w:val="center"/>
            <w:hideMark/>
          </w:tcPr>
          <w:p w14:paraId="1423F31C"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1,021 </w:t>
            </w:r>
            <w:r w:rsidRPr="005C4B89">
              <w:rPr>
                <w:rFonts w:ascii="Calibri" w:eastAsia="Times New Roman" w:hAnsi="Calibri" w:cs="Times New Roman"/>
                <w:color w:val="000000"/>
                <w:sz w:val="18"/>
                <w:szCs w:val="18"/>
                <w:lang w:eastAsia="en-CA"/>
              </w:rPr>
              <w:br/>
              <w:t>(PPI: 203; No PPI: 472)</w:t>
            </w:r>
          </w:p>
        </w:tc>
        <w:tc>
          <w:tcPr>
            <w:tcW w:w="1417" w:type="dxa"/>
            <w:tcBorders>
              <w:top w:val="nil"/>
              <w:left w:val="nil"/>
              <w:bottom w:val="single" w:sz="4" w:space="0" w:color="auto"/>
              <w:right w:val="nil"/>
            </w:tcBorders>
            <w:shd w:val="clear" w:color="auto" w:fill="FFFFFF"/>
            <w:vAlign w:val="center"/>
            <w:hideMark/>
          </w:tcPr>
          <w:p w14:paraId="423227DA"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Mean (SD) : PP: 68 (15)</w:t>
            </w:r>
            <w:r w:rsidRPr="005C4B89">
              <w:rPr>
                <w:rFonts w:ascii="Calibri" w:eastAsia="Times New Roman" w:hAnsi="Calibri" w:cs="Times New Roman"/>
                <w:color w:val="000000"/>
                <w:sz w:val="18"/>
                <w:szCs w:val="18"/>
                <w:lang w:eastAsia="en-CA"/>
              </w:rPr>
              <w:br/>
              <w:t>no PPI: 66 (14)</w:t>
            </w:r>
          </w:p>
        </w:tc>
        <w:tc>
          <w:tcPr>
            <w:tcW w:w="1262" w:type="dxa"/>
            <w:tcBorders>
              <w:top w:val="nil"/>
              <w:left w:val="nil"/>
              <w:bottom w:val="single" w:sz="4" w:space="0" w:color="auto"/>
              <w:right w:val="nil"/>
            </w:tcBorders>
            <w:shd w:val="clear" w:color="auto" w:fill="FFFFFF"/>
            <w:vAlign w:val="center"/>
            <w:hideMark/>
          </w:tcPr>
          <w:p w14:paraId="192FB642"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67%</w:t>
            </w:r>
          </w:p>
        </w:tc>
        <w:tc>
          <w:tcPr>
            <w:tcW w:w="1148" w:type="dxa"/>
            <w:tcBorders>
              <w:top w:val="nil"/>
              <w:left w:val="nil"/>
              <w:bottom w:val="single" w:sz="4" w:space="0" w:color="auto"/>
              <w:right w:val="nil"/>
            </w:tcBorders>
            <w:shd w:val="clear" w:color="auto" w:fill="FFFFFF"/>
            <w:vAlign w:val="center"/>
            <w:hideMark/>
          </w:tcPr>
          <w:p w14:paraId="566FB035"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7D344D" w:rsidRPr="005C4B89" w14:paraId="1FF44D98" w14:textId="77777777" w:rsidTr="00646369">
        <w:trPr>
          <w:trHeight w:val="855"/>
        </w:trPr>
        <w:tc>
          <w:tcPr>
            <w:tcW w:w="1465" w:type="dxa"/>
            <w:tcBorders>
              <w:top w:val="nil"/>
              <w:left w:val="nil"/>
              <w:bottom w:val="single" w:sz="4" w:space="0" w:color="auto"/>
              <w:right w:val="nil"/>
            </w:tcBorders>
            <w:shd w:val="clear" w:color="auto" w:fill="FFFFFF"/>
            <w:vAlign w:val="center"/>
            <w:hideMark/>
          </w:tcPr>
          <w:p w14:paraId="2ACBB49B"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{"citationItems":[{"id":"ITEM-1","itemData":{"ISBN":"0269-2813","abstract":"Background: A link between gastro-oesophageal reflux disease and coronary heart disease has been suggested. Aim: To estimate the incidence of myocardial infarction in patients with newly diagnosed gastro-oesophageal reflux disease in comparison with that in the general population. Methods: A population-based cohort study was performed in the UK. Patients aged 18-79 years with a first diagnosis of gastro-oesophageal reflux disease (n = 7084) were identified and a group of 10 000 patients free of gastro-oesophageal reflux disease were sampled. A nested case-control analysis was performed to assess the risk factors for myocardial infarction. Results: The incidence of myocardial infarction in the general population was 4.0 per 1000 person-years [95% confidence interval (CI), 3.2-4.9] and 5.1 per 1000 person-years (95% CI, 4.1-6.4) in patients with gastro-oesophageal reflux disease. The relative risk of myocardial infarction in patients with gastro-oesophageal reflux disease was 1.4 (95% CI, 1.0-1.9). The increased risk of myocardial infarction was limited to the immediate days after the diagnosis of gastro-oesophageal reflux disease. Previous chest pain was an important predictor of myocardial infarction in patients free of gastro-oesophageal reflux disease. No association was found between the use of acid-suppressing drugs and the risk of myocardial infarction. Conclusion: Our results suggest that gastro-oesophageal reflux disease is not an independent predictor of myocardial infarction. Rather, the increased risk of myocardial infarction in patients with gastro-oesophageal reflux disease in the immediate days after diagnosis indicates that prodromal ischaemic symptoms were misinterpreted as reflux symptoms.","author":[{"dropping-particle":"","family":"Johansson","given":"S","non-dropping-particle":"","parse-names":false,"suffix":""},{"dropping-particle":"","family":"Wallander","given":"M","non-dropping-particle":"","parse-names":false,"suffix":""},{"dropping-particle":"","family":"Ruigomez","given":"A","non-dropping-particle":"","parse-names":false,"suffix":""},{"dropping-particle":"","family":"Garcia Rodriguez","given":"L","non-dropping-particle":"","parse-names":false,"suffix":""}],"container-title":"Alimentary Pharmacology and Therapeutics","id":"ITEM-1","issue":"10","issued":{"date-parts":[["2003"]]},"note":"1111","page":"973-978","publisher":"Blackwell Publishing Ltd","publisher-place":"A. Ruigomez, Ctro. Espanol Invest. F., c/ Almirante 28, 2, 28004 Madrid, Spain. E-mail: aruigomez@ceife.es","title":"Is there any association between myocardial infarction, gastro-oesophageal reflux disease and acid-suppressing drugs?","type":"article","volume":"18"},"uris":["http://www.mendeley.com/documents/?uuid=0c1e2c2f-caab-4f39-8701-28a3900b6680"]}],"mendeley":{"formattedCitation":"(Johansson et al. 2003)","plainTextFormattedCitation":"(Johansson et al. 2003)","previouslyFormattedCitation":"(Johansson et al. 2003)"},"properties":{"noteIndex":0},"schema":"https://github.com/citation-style-language/schema/raw/master/csl-citation.json"}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(Johansson et al. 2003)</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t xml:space="preserve"> </w:t>
            </w:r>
            <w:r w:rsidRPr="005C4B89">
              <w:rPr>
                <w:rFonts w:ascii="Calibri" w:eastAsia="Times New Roman" w:hAnsi="Calibri" w:cs="Times New Roman"/>
                <w:color w:val="000000"/>
                <w:sz w:val="18"/>
                <w:szCs w:val="18"/>
                <w:lang w:eastAsia="en-CA"/>
              </w:rPr>
              <w:br/>
              <w:t>(UK)</w:t>
            </w:r>
          </w:p>
        </w:tc>
        <w:tc>
          <w:tcPr>
            <w:tcW w:w="1087" w:type="dxa"/>
            <w:tcBorders>
              <w:top w:val="nil"/>
              <w:left w:val="nil"/>
              <w:bottom w:val="single" w:sz="4" w:space="0" w:color="auto"/>
              <w:right w:val="nil"/>
            </w:tcBorders>
            <w:shd w:val="clear" w:color="auto" w:fill="FFFFFF"/>
            <w:vAlign w:val="center"/>
            <w:hideMark/>
          </w:tcPr>
          <w:p w14:paraId="63DC78AC"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Nested case-control</w:t>
            </w:r>
            <w:r w:rsidRPr="005C4B89">
              <w:rPr>
                <w:rFonts w:ascii="Calibri" w:eastAsia="Times New Roman" w:hAnsi="Calibri" w:cs="Times New Roman"/>
                <w:color w:val="000000"/>
                <w:sz w:val="18"/>
                <w:szCs w:val="18"/>
                <w:lang w:eastAsia="en-CA"/>
              </w:rPr>
              <w:br/>
              <w:t>(database, general practice)</w:t>
            </w:r>
          </w:p>
        </w:tc>
        <w:tc>
          <w:tcPr>
            <w:tcW w:w="1276" w:type="dxa"/>
            <w:tcBorders>
              <w:top w:val="nil"/>
              <w:left w:val="nil"/>
              <w:bottom w:val="single" w:sz="4" w:space="0" w:color="auto"/>
              <w:right w:val="nil"/>
            </w:tcBorders>
            <w:shd w:val="clear" w:color="auto" w:fill="FFFFFF"/>
            <w:vAlign w:val="center"/>
            <w:hideMark/>
          </w:tcPr>
          <w:p w14:paraId="1C0E3A93"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UK General Practice Research Database (GPRD)</w:t>
            </w:r>
          </w:p>
        </w:tc>
        <w:tc>
          <w:tcPr>
            <w:tcW w:w="1134" w:type="dxa"/>
            <w:tcBorders>
              <w:top w:val="nil"/>
              <w:left w:val="nil"/>
              <w:bottom w:val="single" w:sz="4" w:space="0" w:color="auto"/>
              <w:right w:val="nil"/>
            </w:tcBorders>
            <w:shd w:val="clear" w:color="auto" w:fill="FFFFFF"/>
            <w:vAlign w:val="center"/>
            <w:hideMark/>
          </w:tcPr>
          <w:p w14:paraId="68E9D5F1"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GERD</w:t>
            </w:r>
          </w:p>
        </w:tc>
        <w:tc>
          <w:tcPr>
            <w:tcW w:w="3543" w:type="dxa"/>
            <w:tcBorders>
              <w:top w:val="nil"/>
              <w:left w:val="nil"/>
              <w:bottom w:val="single" w:sz="4" w:space="0" w:color="auto"/>
              <w:right w:val="nil"/>
            </w:tcBorders>
            <w:shd w:val="clear" w:color="auto" w:fill="FFFFFF"/>
            <w:vAlign w:val="center"/>
            <w:hideMark/>
          </w:tcPr>
          <w:p w14:paraId="6DC175C2"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b/>
                <w:bCs/>
                <w:color w:val="000000"/>
                <w:sz w:val="18"/>
                <w:szCs w:val="18"/>
                <w:lang w:eastAsia="en-CA"/>
              </w:rPr>
              <w:t>GERD cohort</w:t>
            </w:r>
            <w:r w:rsidRPr="005C4B89">
              <w:rPr>
                <w:rFonts w:ascii="Calibri" w:eastAsia="Times New Roman" w:hAnsi="Calibri" w:cs="Times New Roman"/>
                <w:color w:val="000000"/>
                <w:sz w:val="18"/>
                <w:szCs w:val="18"/>
                <w:lang w:eastAsia="en-CA"/>
              </w:rPr>
              <w:br/>
              <w:t>- 18-79 years</w:t>
            </w:r>
            <w:r w:rsidRPr="005C4B89">
              <w:rPr>
                <w:rFonts w:ascii="Calibri" w:eastAsia="Times New Roman" w:hAnsi="Calibri" w:cs="Times New Roman"/>
                <w:color w:val="000000"/>
                <w:sz w:val="18"/>
                <w:szCs w:val="18"/>
                <w:lang w:eastAsia="en-CA"/>
              </w:rPr>
              <w:br/>
              <w:t>- registered in database and 2+ years of enrolment with the GP before 1996</w:t>
            </w:r>
            <w:r w:rsidRPr="005C4B89">
              <w:rPr>
                <w:rFonts w:ascii="Calibri" w:eastAsia="Times New Roman" w:hAnsi="Calibri" w:cs="Times New Roman"/>
                <w:color w:val="000000"/>
                <w:sz w:val="18"/>
                <w:szCs w:val="18"/>
                <w:lang w:eastAsia="en-CA"/>
              </w:rPr>
              <w:br/>
              <w:t>- first recorded diagnosis of GERD during 1996</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u w:val="single"/>
                <w:lang w:eastAsia="en-CA"/>
              </w:rPr>
              <w:t>Cases</w:t>
            </w:r>
            <w:r w:rsidRPr="005C4B89">
              <w:rPr>
                <w:rFonts w:ascii="Calibri" w:eastAsia="Times New Roman" w:hAnsi="Calibri" w:cs="Times New Roman"/>
                <w:color w:val="000000"/>
                <w:sz w:val="18"/>
                <w:szCs w:val="18"/>
                <w:lang w:eastAsia="en-CA"/>
              </w:rPr>
              <w:br/>
              <w:t>- MI and from GERD cohort</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u w:val="single"/>
                <w:lang w:eastAsia="en-CA"/>
              </w:rPr>
              <w:t>Controls</w:t>
            </w:r>
            <w:r w:rsidRPr="005C4B89">
              <w:rPr>
                <w:rFonts w:ascii="Calibri" w:eastAsia="Times New Roman" w:hAnsi="Calibri" w:cs="Times New Roman"/>
                <w:color w:val="000000"/>
                <w:sz w:val="18"/>
                <w:szCs w:val="18"/>
                <w:lang w:eastAsia="en-CA"/>
              </w:rPr>
              <w:br/>
              <w:t xml:space="preserve">- free of GERD </w:t>
            </w:r>
          </w:p>
          <w:p w14:paraId="31CF934E"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randomly sample from the source population</w:t>
            </w:r>
            <w:r w:rsidRPr="005C4B89">
              <w:rPr>
                <w:rFonts w:ascii="Calibri" w:eastAsia="Times New Roman" w:hAnsi="Calibri" w:cs="Times New Roman"/>
                <w:color w:val="000000"/>
                <w:sz w:val="18"/>
                <w:szCs w:val="18"/>
                <w:lang w:eastAsia="en-CA"/>
              </w:rPr>
              <w:br/>
              <w:t>- matched by age and sex to case</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GERD  diagnosis or cancer diagnosis before 1996</w:t>
            </w:r>
            <w:r w:rsidRPr="005C4B89">
              <w:rPr>
                <w:rFonts w:ascii="Calibri" w:eastAsia="Times New Roman" w:hAnsi="Calibri" w:cs="Times New Roman"/>
                <w:color w:val="000000"/>
                <w:sz w:val="18"/>
                <w:szCs w:val="18"/>
                <w:lang w:eastAsia="en-CA"/>
              </w:rPr>
              <w:br/>
              <w:t>- pregnant women</w:t>
            </w:r>
            <w:r w:rsidRPr="005C4B89">
              <w:rPr>
                <w:rFonts w:ascii="Calibri" w:eastAsia="Times New Roman" w:hAnsi="Calibri" w:cs="Times New Roman"/>
                <w:color w:val="000000"/>
                <w:sz w:val="18"/>
                <w:szCs w:val="18"/>
                <w:lang w:eastAsia="en-CA"/>
              </w:rPr>
              <w:br/>
              <w:t xml:space="preserve">-past history and long term use of acid </w:t>
            </w:r>
            <w:r w:rsidRPr="005C4B89">
              <w:rPr>
                <w:rFonts w:ascii="Calibri" w:eastAsia="Times New Roman" w:hAnsi="Calibri" w:cs="Times New Roman"/>
                <w:color w:val="000000"/>
                <w:sz w:val="18"/>
                <w:szCs w:val="18"/>
                <w:lang w:eastAsia="en-CA"/>
              </w:rPr>
              <w:lastRenderedPageBreak/>
              <w:t>suppressing drugs without specific treatment indication</w:t>
            </w:r>
          </w:p>
        </w:tc>
        <w:tc>
          <w:tcPr>
            <w:tcW w:w="1559" w:type="dxa"/>
            <w:tcBorders>
              <w:top w:val="nil"/>
              <w:left w:val="nil"/>
              <w:bottom w:val="single" w:sz="4" w:space="0" w:color="auto"/>
              <w:right w:val="nil"/>
            </w:tcBorders>
            <w:shd w:val="clear" w:color="auto" w:fill="FFFFFF"/>
            <w:vAlign w:val="center"/>
            <w:hideMark/>
          </w:tcPr>
          <w:p w14:paraId="0352ECAF"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(Cases: 7,084; Controls:  10,000)</w:t>
            </w:r>
          </w:p>
        </w:tc>
        <w:tc>
          <w:tcPr>
            <w:tcW w:w="1417" w:type="dxa"/>
            <w:tcBorders>
              <w:top w:val="nil"/>
              <w:left w:val="nil"/>
              <w:bottom w:val="single" w:sz="4" w:space="0" w:color="auto"/>
              <w:right w:val="nil"/>
            </w:tcBorders>
            <w:shd w:val="clear" w:color="auto" w:fill="FFFFFF"/>
            <w:vAlign w:val="center"/>
            <w:hideMark/>
          </w:tcPr>
          <w:p w14:paraId="1F4EA4C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18-79 (range)</w:t>
            </w:r>
          </w:p>
        </w:tc>
        <w:tc>
          <w:tcPr>
            <w:tcW w:w="1262" w:type="dxa"/>
            <w:tcBorders>
              <w:top w:val="nil"/>
              <w:left w:val="nil"/>
              <w:bottom w:val="single" w:sz="4" w:space="0" w:color="auto"/>
              <w:right w:val="nil"/>
            </w:tcBorders>
            <w:shd w:val="clear" w:color="auto" w:fill="FFFFFF"/>
            <w:vAlign w:val="center"/>
            <w:hideMark/>
          </w:tcPr>
          <w:p w14:paraId="271450C5"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c>
          <w:tcPr>
            <w:tcW w:w="1148" w:type="dxa"/>
            <w:tcBorders>
              <w:top w:val="nil"/>
              <w:left w:val="nil"/>
              <w:bottom w:val="single" w:sz="4" w:space="0" w:color="auto"/>
              <w:right w:val="nil"/>
            </w:tcBorders>
            <w:shd w:val="clear" w:color="auto" w:fill="FFFFFF"/>
            <w:vAlign w:val="center"/>
            <w:hideMark/>
          </w:tcPr>
          <w:p w14:paraId="516B6451"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7D344D" w:rsidRPr="005C4B89" w14:paraId="7AF91EDB" w14:textId="77777777" w:rsidTr="00646369">
        <w:trPr>
          <w:trHeight w:val="855"/>
        </w:trPr>
        <w:tc>
          <w:tcPr>
            <w:tcW w:w="1465" w:type="dxa"/>
            <w:tcBorders>
              <w:top w:val="nil"/>
              <w:left w:val="nil"/>
              <w:bottom w:val="single" w:sz="4" w:space="0" w:color="auto"/>
              <w:right w:val="nil"/>
            </w:tcBorders>
            <w:shd w:val="clear" w:color="auto" w:fill="FFFFFF"/>
            <w:vAlign w:val="center"/>
            <w:hideMark/>
          </w:tcPr>
          <w:p w14:paraId="7A5195B5"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{"citationItems":[{"id":"ITEM-1","itemData":{"ISSN":"1932-6203","abstract":"BACKGROUND: Recent evidence suggests that proton pump inhibitors (PPIs) might be linked with adverse cardiac events, but a causal relationship is unproven., METHODS: We applied the self-matched case series method to two studies using population-based health care data from Ontario, Canada between 1996 and 2008. The first included subjects aged 66 years or older hospitalized for acute myocardial infarction within 12 weeks following initiation of PPI, while the second included subjects hospitalized for heart failure. In both studies we designated the primary risk interval as the initial 4 weeks of therapy and the control interval as the final 4 weeks. To test the specificity of our findings we examined use of histamine H2 receptor antagonists and benzodiazepines, drugs with no plausible causal link to adverse cardiac events., RESULTS: During the 13-year study period, we identified 5550 hospital admissions for acute myocardial infarction and 6003 admissions for heart failure within 12 weeks of commencing PPI therapy. In the main analyses, we found that initiation of a PPI was associated with a higher risk of acute myocardial infarction (odds ratio 1.8; 95% confidence interval 1.7 to 1.9) and heart failure (odds ratio 1.8; 95% confidence interval 1.7 to 1.9). However, secondary analyses revealed similar risk estimates histamine H2 receptor antagonists and benzodiazepines, drugs with no known or suspected association with adverse cardiac events., CONCLUSION: PPIs are associated with a short-term risk of adverse cardiac events, but similar associations are seen with other drugs exhibiting no known cardiac toxicity. Collectively these observations suggest that the association between PPIs and adverse cardiac events does not represent reflect cause-and-effect.","author":[{"dropping-particle":"","family":"Juurlink","given":"David N","non-dropping-particle":"","parse-names":false,"suffix":""},{"dropping-particle":"","family":"Dormuth","given":"Colin R","non-dropping-particle":"","parse-names":false,"suffix":""},{"dropping-particle":"","family":"Huang","given":"Anjie","non-dropping-particle":"","parse-names":false,"suffix":""},{"dropping-particle":"","family":"Hellings","given":"Chelsea","non-dropping-particle":"","parse-names":false,"suffix":""},{"dropping-particle":"","family":"Paterson","given":"J Michael","non-dropping-particle":"","parse-names":false,"suffix":""},{"dropping-particle":"","family":"Raymond","given":"Colette","non-dropping-particle":"","parse-names":false,"suffix":""},{"dropping-particle":"","family":"Kozyrskyj","given":"Anita","non-dropping-particle":"","parse-names":false,"suffix":""},{"dropping-particle":"","family":"Moride","given":"Yola","non-dropping-particle":"","parse-names":false,"suffix":""},{"dropping-particle":"","family":"Macdonald","given":"Erin M","non-dropping-particle":"","parse-names":false,"suffix":""},{"dropping-particle":"","family":"Mamdani","given":"Muhammad M","non-dropping-particle":"","parse-names":false,"suffix":""},{"dropping-particle":"","family":"M.M.","given":"Mamdani","non-dropping-particle":"","parse-names":false,"suffix":""}],"container-title":"PloS one","id":"ITEM-1","issue":"12","issued":{"date-parts":[["2013"]]},"note":"283 check title","page":"e84890","publisher":"Juurlink,David N. The Institute for Clinical Evaluative Sciences, Toronto, Ontario, Canada ; The Sunnybrook Research Institute, Toronto, Ontario, Canada ; Department of Medicine, University of Toronto, Toronto, Ontario, Canada ; Department of Health Polic","publisher-place":"United States","title":"Proton pump inhibitors and the risk of adverse cardiac events","type":"article-journal","volume":"8"},"uris":["http://www.mendeley.com/documents/?uuid=10352066-5c69-47c3-8a3c-99949bb5e24b"]}],"mendeley":{"formattedCitation":"(Juurlink et al. 2013)","plainTextFormattedCitation":"(Juurlink et al. 2013)","previouslyFormattedCitation":"(Juurlink et al. 2013)"},"properties":{"noteIndex":0},"schema":"https://github.com/citation-style-language/schema/raw/master/csl-citation.json"}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(Juurlink et al. 2013)</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(Canada)</w:t>
            </w:r>
          </w:p>
        </w:tc>
        <w:tc>
          <w:tcPr>
            <w:tcW w:w="1087" w:type="dxa"/>
            <w:tcBorders>
              <w:top w:val="nil"/>
              <w:left w:val="nil"/>
              <w:bottom w:val="single" w:sz="4" w:space="0" w:color="auto"/>
              <w:right w:val="nil"/>
            </w:tcBorders>
            <w:shd w:val="clear" w:color="auto" w:fill="FFFFFF"/>
            <w:vAlign w:val="center"/>
            <w:hideMark/>
          </w:tcPr>
          <w:p w14:paraId="26E94AA0"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Self-controlled case series</w:t>
            </w:r>
            <w:r w:rsidRPr="005C4B89">
              <w:rPr>
                <w:rFonts w:ascii="Calibri" w:eastAsia="Times New Roman" w:hAnsi="Calibri" w:cs="Times New Roman"/>
                <w:color w:val="000000"/>
                <w:sz w:val="18"/>
                <w:szCs w:val="18"/>
                <w:lang w:eastAsia="en-CA"/>
              </w:rPr>
              <w:br/>
              <w:t>(database)</w:t>
            </w:r>
          </w:p>
        </w:tc>
        <w:tc>
          <w:tcPr>
            <w:tcW w:w="1276" w:type="dxa"/>
            <w:tcBorders>
              <w:top w:val="nil"/>
              <w:left w:val="nil"/>
              <w:bottom w:val="single" w:sz="4" w:space="0" w:color="auto"/>
              <w:right w:val="nil"/>
            </w:tcBorders>
            <w:shd w:val="clear" w:color="auto" w:fill="FFFFFF"/>
            <w:vAlign w:val="center"/>
            <w:hideMark/>
          </w:tcPr>
          <w:p w14:paraId="5EE097FE"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Ontario Drug Benefit Claims Databases, Canadian Institute for</w:t>
            </w:r>
            <w:r w:rsidRPr="005C4B89">
              <w:rPr>
                <w:rFonts w:ascii="Calibri" w:eastAsia="Times New Roman" w:hAnsi="Calibri" w:cs="Times New Roman"/>
                <w:color w:val="000000"/>
                <w:sz w:val="18"/>
                <w:szCs w:val="18"/>
                <w:lang w:eastAsia="en-CA"/>
              </w:rPr>
              <w:br/>
              <w:t>Health Information’s Discharge Abstract Database (CIHI-DAD), Registered</w:t>
            </w:r>
            <w:r w:rsidRPr="005C4B89">
              <w:rPr>
                <w:rFonts w:ascii="Calibri" w:eastAsia="Times New Roman" w:hAnsi="Calibri" w:cs="Times New Roman"/>
                <w:color w:val="000000"/>
                <w:sz w:val="18"/>
                <w:szCs w:val="18"/>
                <w:lang w:eastAsia="en-CA"/>
              </w:rPr>
              <w:br/>
              <w:t>Persons Database, Ontario Health Insurance Plan Database</w:t>
            </w:r>
          </w:p>
        </w:tc>
        <w:tc>
          <w:tcPr>
            <w:tcW w:w="1134" w:type="dxa"/>
            <w:tcBorders>
              <w:top w:val="nil"/>
              <w:left w:val="nil"/>
              <w:bottom w:val="single" w:sz="4" w:space="0" w:color="auto"/>
              <w:right w:val="nil"/>
            </w:tcBorders>
            <w:shd w:val="clear" w:color="auto" w:fill="FFFFFF"/>
            <w:vAlign w:val="center"/>
            <w:hideMark/>
          </w:tcPr>
          <w:p w14:paraId="6933CA21"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MI</w:t>
            </w:r>
          </w:p>
        </w:tc>
        <w:tc>
          <w:tcPr>
            <w:tcW w:w="3543" w:type="dxa"/>
            <w:tcBorders>
              <w:top w:val="nil"/>
              <w:left w:val="nil"/>
              <w:bottom w:val="single" w:sz="4" w:space="0" w:color="auto"/>
              <w:right w:val="nil"/>
            </w:tcBorders>
            <w:shd w:val="clear" w:color="auto" w:fill="FFFFFF"/>
            <w:vAlign w:val="center"/>
            <w:hideMark/>
          </w:tcPr>
          <w:p w14:paraId="02DE528C"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Ontario residents</w:t>
            </w:r>
            <w:r w:rsidRPr="005C4B89">
              <w:rPr>
                <w:rFonts w:ascii="Calibri" w:eastAsia="Times New Roman" w:hAnsi="Calibri" w:cs="Times New Roman"/>
                <w:color w:val="000000"/>
                <w:sz w:val="18"/>
                <w:szCs w:val="18"/>
                <w:lang w:eastAsia="en-CA"/>
              </w:rPr>
              <w:br/>
              <w:t>- 66+ years</w:t>
            </w:r>
            <w:r w:rsidRPr="005C4B89">
              <w:rPr>
                <w:rFonts w:ascii="Calibri" w:eastAsia="Times New Roman" w:hAnsi="Calibri" w:cs="Times New Roman"/>
                <w:color w:val="000000"/>
                <w:sz w:val="18"/>
                <w:szCs w:val="18"/>
                <w:lang w:eastAsia="en-CA"/>
              </w:rPr>
              <w:br/>
              <w:t>- hospitalizations occurring within 12 weeks of initiation of PPI treatment</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hospitalizations for MI and hospital length of stay &lt;3 days</w:t>
            </w:r>
          </w:p>
        </w:tc>
        <w:tc>
          <w:tcPr>
            <w:tcW w:w="1559" w:type="dxa"/>
            <w:tcBorders>
              <w:top w:val="nil"/>
              <w:left w:val="nil"/>
              <w:bottom w:val="single" w:sz="4" w:space="0" w:color="auto"/>
              <w:right w:val="nil"/>
            </w:tcBorders>
            <w:shd w:val="clear" w:color="auto" w:fill="FFFFFF"/>
            <w:vAlign w:val="center"/>
            <w:hideMark/>
          </w:tcPr>
          <w:p w14:paraId="26117052" w14:textId="77777777" w:rsidR="007D344D" w:rsidRPr="005C4B89" w:rsidRDefault="007D344D" w:rsidP="00646369">
            <w:pPr>
              <w:spacing w:after="0" w:line="240" w:lineRule="auto"/>
              <w:jc w:val="right"/>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5,550</w:t>
            </w:r>
          </w:p>
        </w:tc>
        <w:tc>
          <w:tcPr>
            <w:tcW w:w="1417" w:type="dxa"/>
            <w:tcBorders>
              <w:top w:val="nil"/>
              <w:left w:val="nil"/>
              <w:bottom w:val="single" w:sz="4" w:space="0" w:color="auto"/>
              <w:right w:val="nil"/>
            </w:tcBorders>
            <w:shd w:val="clear" w:color="auto" w:fill="FFFFFF"/>
            <w:vAlign w:val="center"/>
            <w:hideMark/>
          </w:tcPr>
          <w:p w14:paraId="060EBAC2"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77 (median)</w:t>
            </w:r>
          </w:p>
        </w:tc>
        <w:tc>
          <w:tcPr>
            <w:tcW w:w="1262" w:type="dxa"/>
            <w:tcBorders>
              <w:top w:val="nil"/>
              <w:left w:val="nil"/>
              <w:bottom w:val="single" w:sz="4" w:space="0" w:color="auto"/>
              <w:right w:val="nil"/>
            </w:tcBorders>
            <w:shd w:val="clear" w:color="auto" w:fill="FFFFFF"/>
            <w:vAlign w:val="center"/>
            <w:hideMark/>
          </w:tcPr>
          <w:p w14:paraId="7E1F5B19"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51%</w:t>
            </w:r>
          </w:p>
        </w:tc>
        <w:tc>
          <w:tcPr>
            <w:tcW w:w="1148" w:type="dxa"/>
            <w:tcBorders>
              <w:top w:val="nil"/>
              <w:left w:val="nil"/>
              <w:bottom w:val="single" w:sz="4" w:space="0" w:color="auto"/>
              <w:right w:val="nil"/>
            </w:tcBorders>
            <w:shd w:val="clear" w:color="auto" w:fill="FFFFFF"/>
            <w:vAlign w:val="center"/>
            <w:hideMark/>
          </w:tcPr>
          <w:p w14:paraId="13F6B7E2"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7D344D" w:rsidRPr="005C4B89" w14:paraId="054490A3" w14:textId="77777777" w:rsidTr="00646369">
        <w:trPr>
          <w:trHeight w:val="855"/>
        </w:trPr>
        <w:tc>
          <w:tcPr>
            <w:tcW w:w="1465" w:type="dxa"/>
            <w:tcBorders>
              <w:top w:val="nil"/>
              <w:left w:val="nil"/>
              <w:bottom w:val="single" w:sz="4" w:space="0" w:color="auto"/>
              <w:right w:val="nil"/>
            </w:tcBorders>
            <w:shd w:val="clear" w:color="auto" w:fill="FFFFFF"/>
            <w:vAlign w:val="center"/>
            <w:hideMark/>
          </w:tcPr>
          <w:p w14:paraId="4221BBE2"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{"citationItems":[{"id":"ITEM-1","itemData":{"ISBN":"0269-2813","ISSN":"0269-2813","abstract":"Background: Proton pump inhibitors (PPIs) following endoscopic haemostasis reduce rebleeding rates in patients with high-risk acute non-variceal upper gastrointestinal bleeding. Many advocate the use of PPIs prior to endoscopy, although its incremental benefit is unproven. Aim: To determine if providing PPIs before endoscopy reduces adverse gastrointestinal outcomes in acute non-variceal upper gastrointestinal bleeding patients. Methods: We performed a retrospective review to identify patients presenting to two tertiary care centres with acute non-variceal upper gastrointestinal bleeding between 1999 and 2004. Subjects receiving PPI therapy before endoscopy were compared with those not receiving pre-endoscopic PPI therapy. The primary outcome measure was the development of any adverse bleeding outcome (rebleeding, surgery for control of bleeding, in-hospital mortality, readmission within 30 days for acute non-variceal upper gastrointestinal bleeding). Results: 385 patients were included in our study [132 (12 intravenous/120 po) pre-endoscopic PPI vs. 253 no pre-endoscopic PPI]. Patients receiving pre-endoscopic PPI therapy were significantly less likely to develop adverse outcomes compared with those not given pre-endoscopic PPIs (25% vs. 13%, P = 0.005). Rebleeding, upper gastrointestinal surgery, mortality and length of hospital stay were also significantly lower in patients receiving pre-endoscopic PPI. Conclusions: The use of PPIs before endoscopy significantly reduces the risk of developing adverse gastrointestinal outcomes in patients with acute non-variceal upper gastrointestinal bleeding. Future studies are required to better characterize this relationship. © 2006 The Authors.","author":[{"dropping-particle":"","family":"Keyvani","given":"L","non-dropping-particle":"","parse-names":false,"suffix":""},{"dropping-particle":"","family":"Murthy","given":"S","non-dropping-particle":"","parse-names":false,"suffix":""},{"dropping-particle":"","family":"Leeson","given":"S","non-dropping-particle":"","parse-names":false,"suffix":""},{"dropping-particle":"","family":"Targownik","given":"L E","non-dropping-particle":"","parse-names":false,"suffix":""}],"container-title":"Alimentary pharmacology &amp; therapeutics","id":"ITEM-1","issue":"8","issued":{"date-parts":[["2006"]]},"note":"From Duplicate 2 (Pre-endoscopic proton pump inhibitor therapy reduces recurrent adverse gastrointestinal outcomes in patients with acute non-variceal upper gastrointestinal bleeding. - Keyvani, L; Murthy, S; Leeson, S; Targownik, L E)\n\nComment in: Aliment Pharmacol Ther. 2007 Feb 1;25(3):343-4; author reply 344-5; PMID: 17217451","page":"1247-1255","publisher":"Blackwell Publishing Ltd","publisher-place":"L.E. Targownik, 804E-715 McDermot Avenue, Winnipeg, Man. R3E 3P4, Canada. E-mail: targowni@cc.umanitoba.ca","title":"Pre-endoscopic proton pump inhibitor therapy reduces recurrent adverse gastrointestinal outcomes in patients with acute non-variceal upper gastrointestinal bleeding.","type":"article-journal","volume":"24"},"uris":["http://www.mendeley.com/documents/?uuid=3ab4a424-1724-4b5d-8476-d1f89f3afb70"]}],"mendeley":{"formattedCitation":"(Keyvani et al. 2006)","plainTextFormattedCitation":"(Keyvani et al. 2006)","previouslyFormattedCitation":"(Keyvani et al. 2006)"},"properties":{"noteIndex":0},"schema":"https://github.com/citation-style-language/schema/raw/master/csl-citation.json"}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(Keyvani et al. 2006)</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(Canada)</w:t>
            </w:r>
          </w:p>
        </w:tc>
        <w:tc>
          <w:tcPr>
            <w:tcW w:w="1087" w:type="dxa"/>
            <w:tcBorders>
              <w:top w:val="nil"/>
              <w:left w:val="nil"/>
              <w:bottom w:val="single" w:sz="4" w:space="0" w:color="auto"/>
              <w:right w:val="nil"/>
            </w:tcBorders>
            <w:shd w:val="clear" w:color="auto" w:fill="FFFFFF"/>
            <w:vAlign w:val="center"/>
            <w:hideMark/>
          </w:tcPr>
          <w:p w14:paraId="23319E8D"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(tertiary care - 2 centers)</w:t>
            </w:r>
          </w:p>
        </w:tc>
        <w:tc>
          <w:tcPr>
            <w:tcW w:w="1276" w:type="dxa"/>
            <w:tcBorders>
              <w:top w:val="nil"/>
              <w:left w:val="nil"/>
              <w:bottom w:val="single" w:sz="4" w:space="0" w:color="auto"/>
              <w:right w:val="nil"/>
            </w:tcBorders>
            <w:shd w:val="clear" w:color="auto" w:fill="FFFFFF"/>
            <w:vAlign w:val="center"/>
            <w:hideMark/>
          </w:tcPr>
          <w:p w14:paraId="419C4BB5"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2411395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Acute non-variceal UGIB</w:t>
            </w:r>
          </w:p>
        </w:tc>
        <w:tc>
          <w:tcPr>
            <w:tcW w:w="3543" w:type="dxa"/>
            <w:tcBorders>
              <w:top w:val="nil"/>
              <w:left w:val="nil"/>
              <w:bottom w:val="single" w:sz="4" w:space="0" w:color="auto"/>
              <w:right w:val="nil"/>
            </w:tcBorders>
            <w:shd w:val="clear" w:color="auto" w:fill="FFFFFF"/>
            <w:vAlign w:val="center"/>
            <w:hideMark/>
          </w:tcPr>
          <w:p w14:paraId="43D1AF99"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primary diagnosis with acute non-variceal UGIB between April 1999-March 2004</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evidence of only chronic GI bleeding (iron deficiency, stools positive for occult blood);</w:t>
            </w:r>
            <w:r w:rsidRPr="005C4B89">
              <w:rPr>
                <w:rFonts w:ascii="Calibri" w:eastAsia="Times New Roman" w:hAnsi="Calibri" w:cs="Times New Roman"/>
                <w:color w:val="000000"/>
                <w:sz w:val="18"/>
                <w:szCs w:val="18"/>
                <w:lang w:eastAsia="en-CA"/>
              </w:rPr>
              <w:br/>
              <w:t>- GI bleeding related to portal hypertension</w:t>
            </w:r>
            <w:r w:rsidRPr="005C4B89">
              <w:rPr>
                <w:rFonts w:ascii="Calibri" w:eastAsia="Times New Roman" w:hAnsi="Calibri" w:cs="Times New Roman"/>
                <w:color w:val="000000"/>
                <w:sz w:val="18"/>
                <w:szCs w:val="18"/>
                <w:lang w:eastAsia="en-CA"/>
              </w:rPr>
              <w:br/>
              <w:t>- transferred from another health care institution more than 6 hours after initial presentation</w:t>
            </w:r>
            <w:r w:rsidRPr="005C4B89">
              <w:rPr>
                <w:rFonts w:ascii="Calibri" w:eastAsia="Times New Roman" w:hAnsi="Calibri" w:cs="Times New Roman"/>
                <w:color w:val="000000"/>
                <w:sz w:val="18"/>
                <w:szCs w:val="18"/>
                <w:lang w:eastAsia="en-CA"/>
              </w:rPr>
              <w:br/>
              <w:t>- did not undergo endoscopy within 24 hours of initial presentation</w:t>
            </w:r>
          </w:p>
        </w:tc>
        <w:tc>
          <w:tcPr>
            <w:tcW w:w="1559" w:type="dxa"/>
            <w:tcBorders>
              <w:top w:val="nil"/>
              <w:left w:val="nil"/>
              <w:bottom w:val="single" w:sz="4" w:space="0" w:color="auto"/>
              <w:right w:val="nil"/>
            </w:tcBorders>
            <w:shd w:val="clear" w:color="auto" w:fill="FFFFFF"/>
            <w:vAlign w:val="center"/>
            <w:hideMark/>
          </w:tcPr>
          <w:p w14:paraId="5E4A571F"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385</w:t>
            </w:r>
            <w:r w:rsidRPr="005C4B89">
              <w:rPr>
                <w:rFonts w:ascii="Calibri" w:eastAsia="Times New Roman" w:hAnsi="Calibri" w:cs="Times New Roman"/>
                <w:color w:val="000000"/>
                <w:sz w:val="18"/>
                <w:szCs w:val="18"/>
                <w:lang w:eastAsia="en-CA"/>
              </w:rPr>
              <w:br/>
              <w:t>(PPI: 132; No PPI: 253)</w:t>
            </w:r>
          </w:p>
        </w:tc>
        <w:tc>
          <w:tcPr>
            <w:tcW w:w="1417" w:type="dxa"/>
            <w:tcBorders>
              <w:top w:val="nil"/>
              <w:left w:val="nil"/>
              <w:bottom w:val="single" w:sz="4" w:space="0" w:color="auto"/>
              <w:right w:val="nil"/>
            </w:tcBorders>
            <w:shd w:val="clear" w:color="auto" w:fill="FFFFFF"/>
            <w:vAlign w:val="center"/>
            <w:hideMark/>
          </w:tcPr>
          <w:p w14:paraId="64FD389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65</w:t>
            </w:r>
            <w:r w:rsidRPr="005C4B89">
              <w:rPr>
                <w:rFonts w:ascii="Calibri" w:eastAsia="Times New Roman" w:hAnsi="Calibri" w:cs="Times New Roman"/>
                <w:color w:val="000000"/>
                <w:sz w:val="18"/>
                <w:szCs w:val="18"/>
                <w:lang w:eastAsia="en-CA"/>
              </w:rPr>
              <w:br/>
              <w:t>no PPI: 66</w:t>
            </w:r>
          </w:p>
        </w:tc>
        <w:tc>
          <w:tcPr>
            <w:tcW w:w="1262" w:type="dxa"/>
            <w:tcBorders>
              <w:top w:val="nil"/>
              <w:left w:val="nil"/>
              <w:bottom w:val="single" w:sz="4" w:space="0" w:color="auto"/>
              <w:right w:val="nil"/>
            </w:tcBorders>
            <w:shd w:val="clear" w:color="auto" w:fill="FFFFFF"/>
            <w:vAlign w:val="center"/>
            <w:hideMark/>
          </w:tcPr>
          <w:p w14:paraId="6171147B"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37%</w:t>
            </w:r>
            <w:r w:rsidRPr="005C4B89">
              <w:rPr>
                <w:rFonts w:ascii="Calibri" w:eastAsia="Times New Roman" w:hAnsi="Calibri" w:cs="Times New Roman"/>
                <w:color w:val="000000"/>
                <w:sz w:val="18"/>
                <w:szCs w:val="18"/>
                <w:lang w:eastAsia="en-CA"/>
              </w:rPr>
              <w:br/>
              <w:t>no PPI: 40%</w:t>
            </w:r>
          </w:p>
        </w:tc>
        <w:tc>
          <w:tcPr>
            <w:tcW w:w="1148" w:type="dxa"/>
            <w:tcBorders>
              <w:top w:val="nil"/>
              <w:left w:val="nil"/>
              <w:bottom w:val="single" w:sz="4" w:space="0" w:color="auto"/>
              <w:right w:val="nil"/>
            </w:tcBorders>
            <w:shd w:val="clear" w:color="auto" w:fill="FFFFFF"/>
            <w:vAlign w:val="center"/>
            <w:hideMark/>
          </w:tcPr>
          <w:p w14:paraId="4A2B96CA"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7D344D" w:rsidRPr="005C4B89" w14:paraId="2D18B1A9" w14:textId="77777777" w:rsidTr="00646369">
        <w:trPr>
          <w:trHeight w:val="855"/>
        </w:trPr>
        <w:tc>
          <w:tcPr>
            <w:tcW w:w="1465" w:type="dxa"/>
            <w:tcBorders>
              <w:top w:val="nil"/>
              <w:left w:val="nil"/>
              <w:bottom w:val="single" w:sz="4" w:space="0" w:color="auto"/>
              <w:right w:val="nil"/>
            </w:tcBorders>
            <w:shd w:val="clear" w:color="auto" w:fill="FFFFFF"/>
            <w:vAlign w:val="center"/>
            <w:hideMark/>
          </w:tcPr>
          <w:p w14:paraId="326D7B1B"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{"citationItems":[{"id":"ITEM-1","itemData":{"ISBN":"0016-5085","abstract":"Backgrounds &amp; aims: Spontaneous bacterial peritonitis (SBP) is one of the most serious complications in cirrhotic patients. It has been reported that acid suppressants such as PPIs or H2RAs might cause small intestine bacterial overgrowth and bacterial translocation. However, little information is available whether acid suppression increases the risk of SBP and affects mortality rate in patients with advanced cirrhosis. Therefore, we designed a multi-center, cohort study that included a large number of cirrhotic patients to evaluate whether acid suppressive therapy increases the risk of SBP and to define the factors associated with mortality after SBP in cirrhotic patients with ascites. Methods: A total of 1437 consecutive cirrhotic patients with ascites from January 2003 to December 2010 were reviewed in this study. Patients with GI bleeding or antibiotics use within 14 days prior to admission and those who undergone organ transplant were excluded. Those patients were divided into two groups according to the presence or absence of SBP. Factors associated with the development of SBP were analyzed. Mortality rates during hospitalization or within 30 days after SBP and the factors associated with mortality were also analyzed. Results: One thousand one hundred forty patients (Median age, 62; Men, 75%; model for end-stage liver disease (MELD) score, 17) were included. Five hundred thirty three patients were identified as having SBP. In the logistic regression analysis, the use of histamine-2 receptor antagonists (H2RAs), the use of proton pump inhibitors (PPIs), a high admission MELD score, and old age were associated with the development of SBP. The mortality rate during hospitalization or within 30 days after SBP was higher in SBP patients with acid suppressive therapy compared to those without acid suppressive therapy. In the Cox regression analysis, the use of PPIs within 7 days (HR, 1.684; 95% CI, 1.126 to 2.519), the use of PPIs within 8 to 30 days (HR, 2.095; 95% CI, 1.097 to 4.001), and a higher admission MELD score (HR, 1.038; 95% CI, 1.024 to 1.054) were associated with mortality after SBP. Conclusion: Acid suppressive therapy is associated with the development of SBP in cirrhotic patients with ascites. The use of PPIs is a risk factor of mortality after SBP independent of the severity of the underlying liver disease.","author":[{"dropping-particle":"","family":"Kwon","given":"JH","non-dropping-particle":"","parse-names":false,"suffix":""},{"dropping-particle":"","family":"Koh","given":"SJ","non-dropping-particle":"","parse-names":false,"suffix":""},{"dropping-particle":"","family":"Kim","given":"JW","non-dropping-particle":"","parse-names":false,"suffix":""},{"dropping-particle":"","family":"Lee","given":"KL","non-dropping-particle":"","parse-names":false,"suffix":""},{"dropping-particle":"","family":"Kim","given":"BG","non-dropping-particle":"","parse-names":false,"suffix":""}],"collection-title":"Digestive Disease Week 2013, DDW 2013 Orlando, FL United States. Conference Start: 20130518 Conference End: 20130521","container-title":"Gastroenterology","id":"ITEM-1","issue":"5 SUPPL. 1","issued":{"date-parts":[["2013"]]},"note":"299\n","page":"S1014","publisher":"W.B. Saunders","publisher-place":"J.H. Kwon","title":"Proton pump inhibitors independently increase mortality in cirrhotic patients with spontaneous bacterial peritonitis","type":"article","volume":"144"},"uris":["http://www.mendeley.com/documents/?uuid=dd3822ea-48b8-46ee-8110-ecef83b82949"]}],"mendeley":{"formattedCitation":"(Kwon et al. 2013)","plainTextFormattedCitation":"(Kwon et al. 2013)","previouslyFormattedCitation":"(Kwon et al. 2013)"},"properties":{"noteIndex":0},"schema":"https://github.com/citation-style-language/schema/raw/master/csl-citation.json"}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(Kwon et al. 2013)</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(Korea)</w:t>
            </w:r>
          </w:p>
        </w:tc>
        <w:tc>
          <w:tcPr>
            <w:tcW w:w="1087" w:type="dxa"/>
            <w:tcBorders>
              <w:top w:val="nil"/>
              <w:left w:val="nil"/>
              <w:bottom w:val="single" w:sz="4" w:space="0" w:color="auto"/>
              <w:right w:val="nil"/>
            </w:tcBorders>
            <w:shd w:val="clear" w:color="auto" w:fill="FFFFFF"/>
            <w:vAlign w:val="center"/>
            <w:hideMark/>
          </w:tcPr>
          <w:p w14:paraId="2D1895FF"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(Medical centers -2 centers)</w:t>
            </w:r>
          </w:p>
        </w:tc>
        <w:tc>
          <w:tcPr>
            <w:tcW w:w="1276" w:type="dxa"/>
            <w:tcBorders>
              <w:top w:val="nil"/>
              <w:left w:val="nil"/>
              <w:bottom w:val="single" w:sz="4" w:space="0" w:color="auto"/>
              <w:right w:val="nil"/>
            </w:tcBorders>
            <w:shd w:val="clear" w:color="auto" w:fill="FFFFFF"/>
            <w:vAlign w:val="center"/>
            <w:hideMark/>
          </w:tcPr>
          <w:p w14:paraId="233F33A7"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4AAD433E"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Cirrhosis and ascites</w:t>
            </w:r>
          </w:p>
        </w:tc>
        <w:tc>
          <w:tcPr>
            <w:tcW w:w="3543" w:type="dxa"/>
            <w:tcBorders>
              <w:top w:val="nil"/>
              <w:left w:val="nil"/>
              <w:bottom w:val="single" w:sz="4" w:space="0" w:color="auto"/>
              <w:right w:val="nil"/>
            </w:tcBorders>
            <w:shd w:val="clear" w:color="auto" w:fill="FFFFFF"/>
            <w:vAlign w:val="center"/>
            <w:hideMark/>
          </w:tcPr>
          <w:p w14:paraId="73F9767D"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xml:space="preserve">- cirrhotic patients with ascites </w:t>
            </w:r>
          </w:p>
          <w:p w14:paraId="444398DD"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  underwent diagnostic paracentesis after hospitalisation from January 2003 to December 2010 </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lastRenderedPageBreak/>
              <w:t xml:space="preserve">- liver cirrhosis confirmed biopsy or by clinical evidence of cirrhosis </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GI bleeding within 14 days prior to admission</w:t>
            </w:r>
            <w:r w:rsidRPr="005C4B89">
              <w:rPr>
                <w:rFonts w:ascii="Calibri" w:eastAsia="Times New Roman" w:hAnsi="Calibri" w:cs="Times New Roman"/>
                <w:color w:val="000000"/>
                <w:sz w:val="18"/>
                <w:szCs w:val="18"/>
                <w:lang w:eastAsia="en-CA"/>
              </w:rPr>
              <w:br/>
              <w:t>- organ transplantation</w:t>
            </w:r>
            <w:r w:rsidRPr="005C4B89">
              <w:rPr>
                <w:rFonts w:ascii="Calibri" w:eastAsia="Times New Roman" w:hAnsi="Calibri" w:cs="Times New Roman"/>
                <w:color w:val="000000"/>
                <w:sz w:val="18"/>
                <w:szCs w:val="18"/>
                <w:lang w:eastAsia="en-CA"/>
              </w:rPr>
              <w:br/>
              <w:t>-  antibiotic use within 2 weeks prior to admission</w:t>
            </w:r>
            <w:r w:rsidRPr="005C4B89">
              <w:rPr>
                <w:rFonts w:ascii="Calibri" w:eastAsia="Times New Roman" w:hAnsi="Calibri" w:cs="Times New Roman"/>
                <w:color w:val="000000"/>
                <w:sz w:val="18"/>
                <w:szCs w:val="18"/>
                <w:lang w:eastAsia="en-CA"/>
              </w:rPr>
              <w:br/>
              <w:t>- no access to medication list on admission</w:t>
            </w:r>
            <w:r w:rsidRPr="005C4B89">
              <w:rPr>
                <w:rFonts w:ascii="Calibri" w:eastAsia="Times New Roman" w:hAnsi="Calibri" w:cs="Times New Roman"/>
                <w:color w:val="000000"/>
                <w:sz w:val="18"/>
                <w:szCs w:val="18"/>
                <w:lang w:eastAsia="en-CA"/>
              </w:rPr>
              <w:br/>
              <w:t xml:space="preserve">- tuberculous peritonitis </w:t>
            </w:r>
            <w:r w:rsidRPr="005C4B89">
              <w:rPr>
                <w:rFonts w:ascii="Calibri" w:eastAsia="Times New Roman" w:hAnsi="Calibri" w:cs="Times New Roman"/>
                <w:color w:val="000000"/>
                <w:sz w:val="18"/>
                <w:szCs w:val="18"/>
                <w:lang w:eastAsia="en-CA"/>
              </w:rPr>
              <w:br/>
              <w:t>- carcinomatosis</w:t>
            </w:r>
            <w:r w:rsidRPr="005C4B89">
              <w:rPr>
                <w:rFonts w:ascii="Calibri" w:eastAsia="Times New Roman" w:hAnsi="Calibri" w:cs="Times New Roman"/>
                <w:color w:val="000000"/>
                <w:sz w:val="18"/>
                <w:szCs w:val="18"/>
                <w:lang w:eastAsia="en-CA"/>
              </w:rPr>
              <w:br/>
              <w:t>- HIV</w:t>
            </w:r>
          </w:p>
        </w:tc>
        <w:tc>
          <w:tcPr>
            <w:tcW w:w="1559" w:type="dxa"/>
            <w:tcBorders>
              <w:top w:val="nil"/>
              <w:left w:val="nil"/>
              <w:bottom w:val="single" w:sz="4" w:space="0" w:color="auto"/>
              <w:right w:val="nil"/>
            </w:tcBorders>
            <w:shd w:val="clear" w:color="auto" w:fill="FFFFFF"/>
            <w:vAlign w:val="center"/>
            <w:hideMark/>
          </w:tcPr>
          <w:p w14:paraId="704C2F13"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 xml:space="preserve">1,140 </w:t>
            </w:r>
            <w:r w:rsidRPr="005C4B89">
              <w:rPr>
                <w:rFonts w:ascii="Calibri" w:eastAsia="Times New Roman" w:hAnsi="Calibri" w:cs="Times New Roman"/>
                <w:color w:val="000000"/>
                <w:sz w:val="18"/>
                <w:szCs w:val="18"/>
                <w:lang w:eastAsia="en-CA"/>
              </w:rPr>
              <w:br/>
              <w:t>(PPI: 82; No PPI: 451; Others)</w:t>
            </w:r>
          </w:p>
        </w:tc>
        <w:tc>
          <w:tcPr>
            <w:tcW w:w="1417" w:type="dxa"/>
            <w:tcBorders>
              <w:top w:val="nil"/>
              <w:left w:val="nil"/>
              <w:bottom w:val="single" w:sz="4" w:space="0" w:color="auto"/>
              <w:right w:val="nil"/>
            </w:tcBorders>
            <w:shd w:val="clear" w:color="auto" w:fill="FFFFFF"/>
            <w:vAlign w:val="center"/>
            <w:hideMark/>
          </w:tcPr>
          <w:p w14:paraId="35B6CF1C"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62 (10)</w:t>
            </w:r>
            <w:r w:rsidRPr="005C4B89">
              <w:rPr>
                <w:rFonts w:ascii="Calibri" w:eastAsia="Times New Roman" w:hAnsi="Calibri" w:cs="Times New Roman"/>
                <w:color w:val="000000"/>
                <w:sz w:val="18"/>
                <w:szCs w:val="18"/>
                <w:lang w:eastAsia="en-CA"/>
              </w:rPr>
              <w:br/>
              <w:t>no PPI: 63 (9)</w:t>
            </w:r>
          </w:p>
        </w:tc>
        <w:tc>
          <w:tcPr>
            <w:tcW w:w="1262" w:type="dxa"/>
            <w:tcBorders>
              <w:top w:val="nil"/>
              <w:left w:val="nil"/>
              <w:bottom w:val="single" w:sz="4" w:space="0" w:color="auto"/>
              <w:right w:val="nil"/>
            </w:tcBorders>
            <w:shd w:val="clear" w:color="auto" w:fill="FFFFFF"/>
            <w:vAlign w:val="center"/>
            <w:hideMark/>
          </w:tcPr>
          <w:p w14:paraId="41342B8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75%</w:t>
            </w:r>
          </w:p>
        </w:tc>
        <w:tc>
          <w:tcPr>
            <w:tcW w:w="1148" w:type="dxa"/>
            <w:tcBorders>
              <w:top w:val="nil"/>
              <w:left w:val="nil"/>
              <w:bottom w:val="single" w:sz="4" w:space="0" w:color="auto"/>
              <w:right w:val="nil"/>
            </w:tcBorders>
            <w:shd w:val="clear" w:color="auto" w:fill="FFFFFF"/>
            <w:vAlign w:val="center"/>
            <w:hideMark/>
          </w:tcPr>
          <w:p w14:paraId="0976C964"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8F1453" w:rsidRPr="005C4B89" w14:paraId="64B6FF39" w14:textId="77777777" w:rsidTr="00B30898">
        <w:trPr>
          <w:trHeight w:val="1335"/>
        </w:trPr>
        <w:tc>
          <w:tcPr>
            <w:tcW w:w="1465" w:type="dxa"/>
            <w:tcBorders>
              <w:top w:val="single" w:sz="4" w:space="0" w:color="auto"/>
              <w:left w:val="nil"/>
              <w:bottom w:val="single" w:sz="4" w:space="0" w:color="auto"/>
              <w:right w:val="nil"/>
            </w:tcBorders>
            <w:shd w:val="clear" w:color="auto" w:fill="auto"/>
            <w:vAlign w:val="center"/>
          </w:tcPr>
          <w:p w14:paraId="76F66238" w14:textId="2277A861"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(Kwon et al 2016)</w:t>
            </w:r>
            <w:r>
              <w:rPr>
                <w:rFonts w:ascii="Calibri" w:hAnsi="Calibri" w:cs="Calibri"/>
                <w:color w:val="000000"/>
                <w:sz w:val="18"/>
                <w:szCs w:val="18"/>
              </w:rPr>
              <w:br/>
              <w:t>Abstract</w:t>
            </w:r>
          </w:p>
        </w:tc>
        <w:tc>
          <w:tcPr>
            <w:tcW w:w="1087" w:type="dxa"/>
            <w:tcBorders>
              <w:top w:val="single" w:sz="4" w:space="0" w:color="auto"/>
              <w:left w:val="nil"/>
              <w:bottom w:val="single" w:sz="4" w:space="0" w:color="auto"/>
              <w:right w:val="nil"/>
            </w:tcBorders>
            <w:shd w:val="clear" w:color="auto" w:fill="auto"/>
            <w:vAlign w:val="center"/>
          </w:tcPr>
          <w:p w14:paraId="6522FE3F" w14:textId="2ADD838C"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xml:space="preserve">Prospective cohort </w:t>
            </w:r>
            <w:r>
              <w:rPr>
                <w:rFonts w:ascii="Calibri" w:hAnsi="Calibri" w:cs="Calibri"/>
                <w:color w:val="000000"/>
                <w:sz w:val="18"/>
                <w:szCs w:val="18"/>
              </w:rPr>
              <w:br/>
              <w:t>(Single center)</w:t>
            </w:r>
          </w:p>
        </w:tc>
        <w:tc>
          <w:tcPr>
            <w:tcW w:w="1276" w:type="dxa"/>
            <w:tcBorders>
              <w:top w:val="single" w:sz="4" w:space="0" w:color="auto"/>
              <w:left w:val="nil"/>
              <w:bottom w:val="single" w:sz="4" w:space="0" w:color="auto"/>
              <w:right w:val="nil"/>
            </w:tcBorders>
            <w:shd w:val="clear" w:color="auto" w:fill="auto"/>
            <w:vAlign w:val="center"/>
          </w:tcPr>
          <w:p w14:paraId="0A809321" w14:textId="0F0C5214"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w:t>
            </w:r>
          </w:p>
        </w:tc>
        <w:tc>
          <w:tcPr>
            <w:tcW w:w="1134" w:type="dxa"/>
            <w:tcBorders>
              <w:top w:val="single" w:sz="4" w:space="0" w:color="auto"/>
              <w:left w:val="nil"/>
              <w:bottom w:val="single" w:sz="4" w:space="0" w:color="auto"/>
              <w:right w:val="nil"/>
            </w:tcBorders>
            <w:shd w:val="clear" w:color="auto" w:fill="auto"/>
            <w:vAlign w:val="center"/>
          </w:tcPr>
          <w:p w14:paraId="0198FD1C" w14:textId="66B56FED"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Cirrhotic with  variceal bleeding</w:t>
            </w:r>
          </w:p>
        </w:tc>
        <w:tc>
          <w:tcPr>
            <w:tcW w:w="3543" w:type="dxa"/>
            <w:tcBorders>
              <w:top w:val="single" w:sz="4" w:space="0" w:color="auto"/>
              <w:left w:val="nil"/>
              <w:bottom w:val="single" w:sz="4" w:space="0" w:color="auto"/>
              <w:right w:val="nil"/>
            </w:tcBorders>
            <w:shd w:val="clear" w:color="auto" w:fill="auto"/>
            <w:vAlign w:val="center"/>
          </w:tcPr>
          <w:p w14:paraId="6532BD6A" w14:textId="64513120" w:rsidR="008F1453" w:rsidRPr="005C4B89" w:rsidRDefault="008F1453" w:rsidP="008F1453">
            <w:pPr>
              <w:spacing w:after="0" w:line="240" w:lineRule="auto"/>
              <w:rPr>
                <w:rFonts w:ascii="Calibri" w:eastAsia="Times New Roman" w:hAnsi="Calibri" w:cs="Times New Roman"/>
                <w:color w:val="000000"/>
                <w:sz w:val="18"/>
                <w:szCs w:val="18"/>
                <w:lang w:eastAsia="en-CA"/>
              </w:rPr>
            </w:pPr>
            <w:r w:rsidRPr="008F1453">
              <w:rPr>
                <w:rFonts w:ascii="Calibri" w:hAnsi="Calibri" w:cs="Calibri"/>
                <w:i/>
                <w:iCs/>
                <w:color w:val="000000"/>
                <w:sz w:val="18"/>
                <w:szCs w:val="18"/>
              </w:rPr>
              <w:t>Inclusion:</w:t>
            </w:r>
            <w:r>
              <w:rPr>
                <w:rFonts w:ascii="Calibri" w:hAnsi="Calibri" w:cs="Calibri"/>
                <w:color w:val="000000"/>
                <w:sz w:val="18"/>
                <w:szCs w:val="18"/>
              </w:rPr>
              <w:br/>
              <w:t>- with gastroesophageal variceal bleeding and  cirrhosis</w:t>
            </w:r>
          </w:p>
        </w:tc>
        <w:tc>
          <w:tcPr>
            <w:tcW w:w="1559" w:type="dxa"/>
            <w:tcBorders>
              <w:top w:val="single" w:sz="4" w:space="0" w:color="auto"/>
              <w:left w:val="nil"/>
              <w:bottom w:val="single" w:sz="4" w:space="0" w:color="auto"/>
              <w:right w:val="nil"/>
            </w:tcBorders>
            <w:shd w:val="clear" w:color="auto" w:fill="auto"/>
            <w:vAlign w:val="center"/>
          </w:tcPr>
          <w:p w14:paraId="669965B8" w14:textId="162508C1"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Cohort size: 348</w:t>
            </w:r>
            <w:r>
              <w:rPr>
                <w:rFonts w:ascii="Calibri" w:hAnsi="Calibri" w:cs="Calibri"/>
                <w:color w:val="000000"/>
                <w:sz w:val="18"/>
                <w:szCs w:val="18"/>
              </w:rPr>
              <w:br/>
              <w:t xml:space="preserve">PPI: 175; </w:t>
            </w:r>
            <w:r>
              <w:rPr>
                <w:rFonts w:ascii="Calibri" w:hAnsi="Calibri" w:cs="Calibri"/>
                <w:color w:val="000000"/>
                <w:sz w:val="18"/>
                <w:szCs w:val="18"/>
              </w:rPr>
              <w:br/>
              <w:t>No PPI: 173</w:t>
            </w:r>
          </w:p>
        </w:tc>
        <w:tc>
          <w:tcPr>
            <w:tcW w:w="1417" w:type="dxa"/>
            <w:tcBorders>
              <w:top w:val="single" w:sz="4" w:space="0" w:color="auto"/>
              <w:left w:val="nil"/>
              <w:bottom w:val="single" w:sz="4" w:space="0" w:color="auto"/>
              <w:right w:val="nil"/>
            </w:tcBorders>
            <w:shd w:val="clear" w:color="auto" w:fill="auto"/>
            <w:vAlign w:val="center"/>
          </w:tcPr>
          <w:p w14:paraId="25E043D3" w14:textId="25CD88A4"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c>
          <w:tcPr>
            <w:tcW w:w="1262" w:type="dxa"/>
            <w:tcBorders>
              <w:top w:val="single" w:sz="4" w:space="0" w:color="auto"/>
              <w:left w:val="nil"/>
              <w:bottom w:val="single" w:sz="4" w:space="0" w:color="auto"/>
              <w:right w:val="nil"/>
            </w:tcBorders>
            <w:shd w:val="clear" w:color="auto" w:fill="auto"/>
            <w:vAlign w:val="center"/>
          </w:tcPr>
          <w:p w14:paraId="2796B26C" w14:textId="58FFBBB7"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c>
          <w:tcPr>
            <w:tcW w:w="1148" w:type="dxa"/>
            <w:tcBorders>
              <w:top w:val="single" w:sz="4" w:space="0" w:color="auto"/>
              <w:left w:val="nil"/>
              <w:bottom w:val="single" w:sz="4" w:space="0" w:color="auto"/>
              <w:right w:val="nil"/>
            </w:tcBorders>
            <w:shd w:val="clear" w:color="auto" w:fill="auto"/>
            <w:vAlign w:val="center"/>
          </w:tcPr>
          <w:p w14:paraId="5B47989F" w14:textId="65D147E6"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7D344D" w:rsidRPr="005C4B89" w14:paraId="03299B4B" w14:textId="77777777" w:rsidTr="00B30898">
        <w:trPr>
          <w:trHeight w:val="1335"/>
        </w:trPr>
        <w:tc>
          <w:tcPr>
            <w:tcW w:w="1465" w:type="dxa"/>
            <w:tcBorders>
              <w:top w:val="single" w:sz="4" w:space="0" w:color="auto"/>
              <w:left w:val="nil"/>
              <w:bottom w:val="single" w:sz="4" w:space="0" w:color="auto"/>
              <w:right w:val="nil"/>
            </w:tcBorders>
            <w:shd w:val="clear" w:color="auto" w:fill="auto"/>
            <w:vAlign w:val="center"/>
          </w:tcPr>
          <w:p w14:paraId="2CA79927"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(Lei et al 2017)</w:t>
            </w:r>
            <w:r>
              <w:rPr>
                <w:rFonts w:ascii="Calibri" w:hAnsi="Calibri" w:cs="Calibri"/>
                <w:color w:val="000000"/>
                <w:sz w:val="18"/>
                <w:szCs w:val="18"/>
              </w:rPr>
              <w:br/>
              <w:t>(Taiwan)</w:t>
            </w:r>
          </w:p>
        </w:tc>
        <w:tc>
          <w:tcPr>
            <w:tcW w:w="1087" w:type="dxa"/>
            <w:tcBorders>
              <w:top w:val="single" w:sz="4" w:space="0" w:color="auto"/>
              <w:left w:val="nil"/>
              <w:bottom w:val="single" w:sz="4" w:space="0" w:color="auto"/>
              <w:right w:val="nil"/>
            </w:tcBorders>
            <w:shd w:val="clear" w:color="auto" w:fill="auto"/>
            <w:vAlign w:val="center"/>
          </w:tcPr>
          <w:p w14:paraId="34AB3746"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br/>
            </w:r>
            <w:r>
              <w:rPr>
                <w:rFonts w:ascii="Calibri" w:hAnsi="Calibri" w:cs="Calibri"/>
                <w:color w:val="000000"/>
                <w:sz w:val="18"/>
                <w:szCs w:val="18"/>
              </w:rPr>
              <w:br/>
              <w:t xml:space="preserve">Retrospective cohort </w:t>
            </w:r>
            <w:r>
              <w:rPr>
                <w:rFonts w:ascii="Calibri" w:hAnsi="Calibri" w:cs="Calibri"/>
                <w:color w:val="000000"/>
                <w:sz w:val="18"/>
                <w:szCs w:val="18"/>
              </w:rPr>
              <w:br/>
              <w:t>(Database analysis)</w:t>
            </w:r>
          </w:p>
        </w:tc>
        <w:tc>
          <w:tcPr>
            <w:tcW w:w="1276" w:type="dxa"/>
            <w:tcBorders>
              <w:top w:val="single" w:sz="4" w:space="0" w:color="auto"/>
              <w:left w:val="nil"/>
              <w:bottom w:val="single" w:sz="4" w:space="0" w:color="auto"/>
              <w:right w:val="nil"/>
            </w:tcBorders>
            <w:shd w:val="clear" w:color="auto" w:fill="auto"/>
            <w:vAlign w:val="center"/>
          </w:tcPr>
          <w:p w14:paraId="2774448F"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National Health Insurance (NHI)</w:t>
            </w:r>
          </w:p>
        </w:tc>
        <w:tc>
          <w:tcPr>
            <w:tcW w:w="1134" w:type="dxa"/>
            <w:tcBorders>
              <w:top w:val="single" w:sz="4" w:space="0" w:color="auto"/>
              <w:left w:val="nil"/>
              <w:bottom w:val="single" w:sz="4" w:space="0" w:color="auto"/>
              <w:right w:val="nil"/>
            </w:tcBorders>
            <w:shd w:val="clear" w:color="auto" w:fill="auto"/>
            <w:vAlign w:val="center"/>
          </w:tcPr>
          <w:p w14:paraId="3276EA6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GERD</w:t>
            </w:r>
          </w:p>
        </w:tc>
        <w:tc>
          <w:tcPr>
            <w:tcW w:w="3543" w:type="dxa"/>
            <w:tcBorders>
              <w:top w:val="single" w:sz="4" w:space="0" w:color="auto"/>
              <w:left w:val="nil"/>
              <w:bottom w:val="single" w:sz="4" w:space="0" w:color="auto"/>
              <w:right w:val="nil"/>
            </w:tcBorders>
            <w:shd w:val="clear" w:color="auto" w:fill="auto"/>
            <w:vAlign w:val="center"/>
          </w:tcPr>
          <w:p w14:paraId="170B6410"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8F1453">
              <w:rPr>
                <w:rFonts w:ascii="Calibri" w:hAnsi="Calibri" w:cs="Calibri"/>
                <w:i/>
                <w:iCs/>
                <w:color w:val="000000"/>
                <w:sz w:val="18"/>
                <w:szCs w:val="18"/>
              </w:rPr>
              <w:t>Inclusion:</w:t>
            </w:r>
            <w:r>
              <w:rPr>
                <w:rFonts w:ascii="Calibri" w:hAnsi="Calibri" w:cs="Calibri"/>
                <w:color w:val="000000"/>
                <w:sz w:val="18"/>
                <w:szCs w:val="18"/>
              </w:rPr>
              <w:br/>
              <w:t>- newly diagnosed with GERD</w:t>
            </w:r>
            <w:r>
              <w:rPr>
                <w:rFonts w:ascii="Calibri" w:hAnsi="Calibri" w:cs="Calibri"/>
                <w:color w:val="000000"/>
                <w:sz w:val="18"/>
                <w:szCs w:val="18"/>
              </w:rPr>
              <w:br/>
            </w:r>
            <w:r>
              <w:rPr>
                <w:rFonts w:ascii="Calibri" w:hAnsi="Calibri" w:cs="Calibri"/>
                <w:color w:val="000000"/>
                <w:sz w:val="18"/>
                <w:szCs w:val="18"/>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Pr>
                <w:rFonts w:ascii="Calibri" w:hAnsi="Calibri" w:cs="Calibri"/>
                <w:color w:val="000000"/>
                <w:sz w:val="18"/>
                <w:szCs w:val="18"/>
              </w:rPr>
              <w:br/>
              <w:t xml:space="preserve">- diagnosis with CAD, peripheral artery disease, or AMI before enrollment. </w:t>
            </w:r>
          </w:p>
        </w:tc>
        <w:tc>
          <w:tcPr>
            <w:tcW w:w="1559" w:type="dxa"/>
            <w:tcBorders>
              <w:top w:val="single" w:sz="4" w:space="0" w:color="auto"/>
              <w:left w:val="nil"/>
              <w:bottom w:val="single" w:sz="4" w:space="0" w:color="auto"/>
              <w:right w:val="nil"/>
            </w:tcBorders>
            <w:shd w:val="clear" w:color="auto" w:fill="auto"/>
            <w:vAlign w:val="center"/>
          </w:tcPr>
          <w:p w14:paraId="2B0A69D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Cohort size: 54,422;</w:t>
            </w:r>
          </w:p>
        </w:tc>
        <w:tc>
          <w:tcPr>
            <w:tcW w:w="1417" w:type="dxa"/>
            <w:tcBorders>
              <w:top w:val="single" w:sz="4" w:space="0" w:color="auto"/>
              <w:left w:val="nil"/>
              <w:bottom w:val="single" w:sz="4" w:space="0" w:color="auto"/>
              <w:right w:val="nil"/>
            </w:tcBorders>
            <w:shd w:val="clear" w:color="auto" w:fill="auto"/>
            <w:vAlign w:val="center"/>
          </w:tcPr>
          <w:p w14:paraId="498B4781"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xml:space="preserve"> 51.6 (17)</w:t>
            </w:r>
          </w:p>
        </w:tc>
        <w:tc>
          <w:tcPr>
            <w:tcW w:w="1262" w:type="dxa"/>
            <w:tcBorders>
              <w:top w:val="single" w:sz="4" w:space="0" w:color="auto"/>
              <w:left w:val="nil"/>
              <w:bottom w:val="single" w:sz="4" w:space="0" w:color="auto"/>
              <w:right w:val="nil"/>
            </w:tcBorders>
            <w:shd w:val="clear" w:color="auto" w:fill="auto"/>
            <w:vAlign w:val="center"/>
          </w:tcPr>
          <w:p w14:paraId="7F42F700"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46.50%</w:t>
            </w:r>
          </w:p>
        </w:tc>
        <w:tc>
          <w:tcPr>
            <w:tcW w:w="1148" w:type="dxa"/>
            <w:tcBorders>
              <w:top w:val="single" w:sz="4" w:space="0" w:color="auto"/>
              <w:left w:val="nil"/>
              <w:bottom w:val="single" w:sz="4" w:space="0" w:color="auto"/>
              <w:right w:val="nil"/>
            </w:tcBorders>
            <w:shd w:val="clear" w:color="auto" w:fill="auto"/>
            <w:vAlign w:val="center"/>
          </w:tcPr>
          <w:p w14:paraId="470AC4B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7D344D" w:rsidRPr="005C4B89" w14:paraId="4691D162" w14:textId="77777777" w:rsidTr="00646369">
        <w:trPr>
          <w:trHeight w:val="855"/>
        </w:trPr>
        <w:tc>
          <w:tcPr>
            <w:tcW w:w="1465" w:type="dxa"/>
            <w:tcBorders>
              <w:top w:val="nil"/>
              <w:left w:val="nil"/>
              <w:bottom w:val="single" w:sz="4" w:space="0" w:color="auto"/>
              <w:right w:val="nil"/>
            </w:tcBorders>
            <w:shd w:val="clear" w:color="auto" w:fill="FFFFFF"/>
            <w:vAlign w:val="center"/>
            <w:hideMark/>
          </w:tcPr>
          <w:p w14:paraId="6E37348E"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{"citationItems":[{"id":"ITEM-1","itemData":{"ISBN":"1735-1995","abstract":"Background: A high prevalence of gastroesophageal reflux disease symptoms has observed among chronic obstructive pulmonary disease (COPD) patients, and proton-pump inhibitors (PPIs) are the main medication in clinical practices. The aim of this study is to analyze the impact of PPIs to the risk of pneumonia in the cases with COPD. Materials and Methods: This was a nationwide, population-based, cohort study using National Health Insurance Program in Taiwan. The enrolled cases were newly-diagnosed COPD, older than 30 years, between 2001 and 2005. Patients' prescriptions with PPIs and histamine receptor 2 antagonists (HR2As), &gt;2 months, were identified. The appearance of pneumonia and mortality of these enrolled patients was recorded. Multivariate Cox's regression was used to examine the influence of acid-suppressing drugs to pneumonia on individuals with COPD. Results: A total of 17,498 patients were included, of whom 109 (0.6%) and 526 (3%) cases had used PPIs and HR2As respectively. The risk of pneumonia existed when patients had used concurrent PPIs (adjusted hazard ratio [HR] = 1.76; 95% confidence interval [CI] = 1.33-2.34) or HR2As (adjusted HR = 1.25; 95% CI = 1.07-1.47). The positive association was lost in the cases over 70 years. The ratio of mortality also increased in those with PPIs or HR2As. Conclusion: Acid-suppressing drugs, especially PPIs, are attributed to more pneumonia happening in COPD patients compare with nonusers. The association was lost in elderly cases. Use acid-suppressing drugs should be careful about a higher possibility of pneumonia in younger individuals with COPD.","author":[{"dropping-particle":"","family":"Lee","given":"S","non-dropping-particle":"","parse-names":false,"suffix":""},{"dropping-particle":"","family":"Lien","given":"H","non-dropping-particle":"","parse-names":false,"suffix":""},{"dropping-particle":"","family":"Chang","given":"C","non-dropping-particle":"","parse-names":false,"suffix":""},{"dropping-particle":"","family":"Yeh","given":"H","non-dropping-particle":"","parse-names":false,"suffix":""},{"dropping-particle":"","family":"Lee","given":"T","non-dropping-particle":"","parse-names":false,"suffix":""},{"dropping-particle":"","family":"Tung","given":"C","non-dropping-particle":"","parse-names":false,"suffix":""}],"container-title":"Journal of Research in Medical Sciences","id":"ITEM-1","issue":"3","issued":{"date-parts":[["2015"]]},"note":"45","page":"263-267","publisher":"Isfahan University of Medical Sciences(IUMS) (Hezar Jerib Avenue, P.O. Box 81745-319, Isfahan, Iran, Islamic Republic of)","publisher-place":"S.-W. Lee, Department of Internal Medicine, Division of Gastroenterology and Hepatology, Taichung Veterans General Hospital, Taichung, Taiwan (Republic of China)","title":"The impact of acid-suppressing drugs to the patients with chronic obstructive pulmonary disease: A nationwide, population-based, cohort study","type":"article","volume":"20"},"uris":["http://www.mendeley.com/documents/?uuid=839856d2-ca89-4392-b1c4-0df83d93b080"]}],"mendeley":{"formattedCitation":"(Lee et al. 2015)","plainTextFormattedCitation":"(Lee et al. 2015)","previouslyFormattedCitation":"(Lee et al. 2015)"},"properties":{"noteIndex":0},"schema":"https://github.com/citation-style-language/schema/raw/master/csl-citation.json"}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(Lee et al. 2015)</w:t>
            </w:r>
            <w:r w:rsidRPr="005C4B89">
              <w:rPr>
                <w:rFonts w:ascii="Calibri" w:eastAsia="Times New Roman" w:hAnsi="Calibri" w:cs="Times New Roman"/>
                <w:color w:val="000000"/>
                <w:sz w:val="18"/>
                <w:szCs w:val="18"/>
                <w:lang w:eastAsia="en-CA"/>
              </w:rPr>
              <w:fldChar w:fldCharType="end"/>
            </w:r>
          </w:p>
          <w:p w14:paraId="56E82126"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(Taiwan)</w:t>
            </w:r>
          </w:p>
        </w:tc>
        <w:tc>
          <w:tcPr>
            <w:tcW w:w="1087" w:type="dxa"/>
            <w:tcBorders>
              <w:top w:val="nil"/>
              <w:left w:val="nil"/>
              <w:bottom w:val="single" w:sz="4" w:space="0" w:color="auto"/>
              <w:right w:val="nil"/>
            </w:tcBorders>
            <w:shd w:val="clear" w:color="auto" w:fill="FFFFFF"/>
            <w:vAlign w:val="center"/>
            <w:hideMark/>
          </w:tcPr>
          <w:p w14:paraId="224C9F6D"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analysis)</w:t>
            </w:r>
          </w:p>
        </w:tc>
        <w:tc>
          <w:tcPr>
            <w:tcW w:w="1276" w:type="dxa"/>
            <w:tcBorders>
              <w:top w:val="nil"/>
              <w:left w:val="nil"/>
              <w:bottom w:val="single" w:sz="4" w:space="0" w:color="auto"/>
              <w:right w:val="nil"/>
            </w:tcBorders>
            <w:shd w:val="clear" w:color="auto" w:fill="FFFFFF"/>
            <w:vAlign w:val="center"/>
            <w:hideMark/>
          </w:tcPr>
          <w:p w14:paraId="708CCC4C"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National Health Insurance Program (Taiwan)</w:t>
            </w:r>
          </w:p>
        </w:tc>
        <w:tc>
          <w:tcPr>
            <w:tcW w:w="1134" w:type="dxa"/>
            <w:tcBorders>
              <w:top w:val="nil"/>
              <w:left w:val="nil"/>
              <w:bottom w:val="single" w:sz="4" w:space="0" w:color="auto"/>
              <w:right w:val="nil"/>
            </w:tcBorders>
            <w:shd w:val="clear" w:color="auto" w:fill="FFFFFF"/>
            <w:vAlign w:val="center"/>
            <w:hideMark/>
          </w:tcPr>
          <w:p w14:paraId="6486662F"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COPD</w:t>
            </w:r>
          </w:p>
        </w:tc>
        <w:tc>
          <w:tcPr>
            <w:tcW w:w="3543" w:type="dxa"/>
            <w:tcBorders>
              <w:top w:val="nil"/>
              <w:left w:val="nil"/>
              <w:bottom w:val="single" w:sz="4" w:space="0" w:color="auto"/>
              <w:right w:val="nil"/>
            </w:tcBorders>
            <w:shd w:val="clear" w:color="auto" w:fill="FFFFFF"/>
            <w:vAlign w:val="center"/>
            <w:hideMark/>
          </w:tcPr>
          <w:p w14:paraId="130B0C8B"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COPD diagnosis between 2001-2005</w:t>
            </w:r>
            <w:r w:rsidRPr="005C4B89">
              <w:rPr>
                <w:rFonts w:ascii="Calibri" w:eastAsia="Times New Roman" w:hAnsi="Calibri" w:cs="Times New Roman"/>
                <w:color w:val="000000"/>
                <w:sz w:val="18"/>
                <w:szCs w:val="18"/>
                <w:lang w:eastAsia="en-CA"/>
              </w:rPr>
              <w:br/>
              <w:t>-randomly sampled from database</w:t>
            </w:r>
            <w:r w:rsidRPr="005C4B89">
              <w:rPr>
                <w:rFonts w:ascii="Calibri" w:eastAsia="Times New Roman" w:hAnsi="Calibri" w:cs="Times New Roman"/>
                <w:color w:val="000000"/>
                <w:sz w:val="18"/>
                <w:szCs w:val="18"/>
                <w:lang w:eastAsia="en-CA"/>
              </w:rPr>
              <w:br/>
              <w:t>- 30+ years</w:t>
            </w:r>
          </w:p>
        </w:tc>
        <w:tc>
          <w:tcPr>
            <w:tcW w:w="1559" w:type="dxa"/>
            <w:tcBorders>
              <w:top w:val="nil"/>
              <w:left w:val="nil"/>
              <w:bottom w:val="single" w:sz="4" w:space="0" w:color="auto"/>
              <w:right w:val="nil"/>
            </w:tcBorders>
            <w:shd w:val="clear" w:color="auto" w:fill="FFFFFF"/>
            <w:vAlign w:val="center"/>
            <w:hideMark/>
          </w:tcPr>
          <w:p w14:paraId="29ECE074"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17,498</w:t>
            </w:r>
            <w:r w:rsidRPr="005C4B89">
              <w:rPr>
                <w:rFonts w:ascii="Calibri" w:eastAsia="Times New Roman" w:hAnsi="Calibri" w:cs="Times New Roman"/>
                <w:color w:val="000000"/>
                <w:sz w:val="18"/>
                <w:szCs w:val="18"/>
                <w:lang w:eastAsia="en-CA"/>
              </w:rPr>
              <w:br/>
              <w:t xml:space="preserve">(PPI: 109; No PPI: 16,863; Others) </w:t>
            </w:r>
          </w:p>
        </w:tc>
        <w:tc>
          <w:tcPr>
            <w:tcW w:w="1417" w:type="dxa"/>
            <w:tcBorders>
              <w:top w:val="nil"/>
              <w:left w:val="nil"/>
              <w:bottom w:val="single" w:sz="4" w:space="0" w:color="auto"/>
              <w:right w:val="nil"/>
            </w:tcBorders>
            <w:shd w:val="clear" w:color="auto" w:fill="FFFFFF"/>
            <w:vAlign w:val="center"/>
            <w:hideMark/>
          </w:tcPr>
          <w:p w14:paraId="7F6B7F34" w14:textId="77777777" w:rsidR="007D344D" w:rsidRPr="005C4B89" w:rsidRDefault="007D344D" w:rsidP="00646369">
            <w:pPr>
              <w:spacing w:after="0" w:line="240" w:lineRule="auto"/>
              <w:rPr>
                <w:rFonts w:ascii="Calibri" w:eastAsia="Times New Roman" w:hAnsi="Calibri" w:cs="Times New Roman"/>
                <w:sz w:val="18"/>
                <w:szCs w:val="18"/>
                <w:lang w:eastAsia="en-CA"/>
              </w:rPr>
            </w:pPr>
            <w:r w:rsidRPr="005C4B89">
              <w:rPr>
                <w:rFonts w:ascii="Calibri" w:eastAsia="Times New Roman" w:hAnsi="Calibri" w:cs="Times New Roman"/>
                <w:sz w:val="18"/>
                <w:szCs w:val="18"/>
                <w:lang w:eastAsia="en-CA"/>
              </w:rPr>
              <w:t>&gt;30</w:t>
            </w:r>
          </w:p>
        </w:tc>
        <w:tc>
          <w:tcPr>
            <w:tcW w:w="1262" w:type="dxa"/>
            <w:tcBorders>
              <w:top w:val="nil"/>
              <w:left w:val="nil"/>
              <w:bottom w:val="single" w:sz="4" w:space="0" w:color="auto"/>
              <w:right w:val="nil"/>
            </w:tcBorders>
            <w:shd w:val="clear" w:color="auto" w:fill="FFFFFF"/>
            <w:vAlign w:val="center"/>
            <w:hideMark/>
          </w:tcPr>
          <w:p w14:paraId="59FBEF84"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59%</w:t>
            </w:r>
          </w:p>
        </w:tc>
        <w:tc>
          <w:tcPr>
            <w:tcW w:w="1148" w:type="dxa"/>
            <w:tcBorders>
              <w:top w:val="nil"/>
              <w:left w:val="nil"/>
              <w:bottom w:val="single" w:sz="4" w:space="0" w:color="auto"/>
              <w:right w:val="nil"/>
            </w:tcBorders>
            <w:shd w:val="clear" w:color="auto" w:fill="FFFFFF"/>
            <w:vAlign w:val="center"/>
            <w:hideMark/>
          </w:tcPr>
          <w:p w14:paraId="31207E16"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7D344D" w:rsidRPr="005C4B89" w14:paraId="32EA0724" w14:textId="77777777" w:rsidTr="00646369">
        <w:trPr>
          <w:trHeight w:val="855"/>
        </w:trPr>
        <w:tc>
          <w:tcPr>
            <w:tcW w:w="1465" w:type="dxa"/>
            <w:tcBorders>
              <w:top w:val="nil"/>
              <w:left w:val="nil"/>
              <w:bottom w:val="single" w:sz="4" w:space="0" w:color="auto"/>
              <w:right w:val="nil"/>
            </w:tcBorders>
            <w:shd w:val="clear" w:color="auto" w:fill="FFFFFF"/>
            <w:vAlign w:val="center"/>
            <w:hideMark/>
          </w:tcPr>
          <w:p w14:paraId="631A69B3"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{"citationItems":[{"id":"ITEM-1","itemData":{"DOI":"10.1001/jamainternmed.2013.2851","abstract":"Importance: The use of proton pump inhibitors (PPIs) has rapidly increased during the past several years. How- ever, concern remains about risks associated with their long-term use in older populations. Objective: To investigate the relationship between the use of PPIs and the risk of death or the combined end point of death or rehospitalization in older patients dis- charged from acute care hospitals. Design: We investigated the relationship between PPI use and study outcomes using time-dependent Cox pro- portional hazards regression in patients 65 years or older discharged from acute care medical wards from April 1 to June 30, 2007. Setting: Eleven acute care medical wards. Participants: Four hundred ninety-one patients (mean [SD] age, 80.0 [5.9] years).Main Outcome Measures: Mortality and the com- bined end point of death or rehospitalization. Results: The use of PPIs was independently associated with mortality (hazard ratio, 1.51 [95% CI, 1.03-2.77]) but not with the combined end point (1.49 [0.98- 2.17]).Anincreased risk of mortality was observedamong patients exposed to high-dose PPIs vs none (hazard ra- tio, 2.59 [95% CI, 1.22-7.16]). Conclusions and Relevance: In older patients dis- charged from acute care hospitals, the use of high-dose PPIs is associated with increased 1-year mortality. Ran- domized controlled studies including older frail pa- tients are needed. In the meantime, physicians need to use caution and balance benefits and harms in long- term prescription of high-dose PPIs. JAMA","author":[{"dropping-particle":"","family":"Maggio","given":"M","non-dropping-particle":"","parse-names":false,"suffix":""},{"dropping-particle":"","family":"Corsonello","given":"Andrea","non-dropping-particle":"","parse-names":false,"suffix":""},{"dropping-particle":"","family":"Ceda","given":"GP","non-dropping-particle":"","parse-names":false,"suffix":""},{"dropping-particle":"","family":"Cattabiani","given":"C","non-dropping-particle":"","parse-names":false,"suffix":""},{"dropping-particle":"","family":"Lauretani","given":"F","non-dropping-particle":"","parse-names":false,"suffix":""},{"dropping-particle":"","family":"Butto","given":"V","non-dropping-particle":"","parse-names":false,"suffix":""},{"dropping-particle":"","family":"Ferrucci","given":"L","non-dropping-particle":"","parse-names":false,"suffix":""},{"dropping-particle":"","family":"Bandinelli","given":"S","non-dropping-particle":"","parse-names":false,"suffix":""},{"dropping-particle":"","family":"Abbatecola","given":"AM","non-dropping-particle":"","parse-names":false,"suffix":""},{"dropping-particle":"","family":"Spazzafumo","given":"L","non-dropping-particle":"","parse-names":false,"suffix":""},{"dropping-particle":"","family":"Lattanzio","given":"F","non-dropping-particle":"","parse-names":false,"suffix":""}],"container-title":"Americal Medical Asociationsociation","id":"ITEM-1","issue":"7","issued":{"date-parts":[["2013"]]},"page":"518-523","title":"Proton Pump Inhibitors and Risk of 1-Year Mortality and Rehospitalization in Older Patients Discharged From Acute Care Hospitals","type":"article-journal","volume":"173"},"uris":["http://www.mendeley.com/documents/?uuid=0a5131cf-54ea-4375-a42f-4014eaf8fdaa"]}],"mendeley":{"formattedCitation":"(Maggio et al. 2013)","plainTextFormattedCitation":"(Maggio et al. 2013)","previouslyFormattedCitation":"(Maggio et al. 2013)"},"properties":{"noteIndex":0},"schema":"https://github.com/citation-style-language/schema/raw/master/csl-citation.json"}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(Maggio et al. 2013)</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(Italy)</w:t>
            </w:r>
          </w:p>
        </w:tc>
        <w:tc>
          <w:tcPr>
            <w:tcW w:w="1087" w:type="dxa"/>
            <w:tcBorders>
              <w:top w:val="nil"/>
              <w:left w:val="nil"/>
              <w:bottom w:val="single" w:sz="4" w:space="0" w:color="auto"/>
              <w:right w:val="nil"/>
            </w:tcBorders>
            <w:shd w:val="clear" w:color="auto" w:fill="FFFFFF"/>
            <w:vAlign w:val="center"/>
            <w:hideMark/>
          </w:tcPr>
          <w:p w14:paraId="0755F4B6"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Prospective cohort</w:t>
            </w:r>
            <w:r w:rsidRPr="005C4B89">
              <w:rPr>
                <w:rFonts w:ascii="Calibri" w:eastAsia="Times New Roman" w:hAnsi="Calibri" w:cs="Times New Roman"/>
                <w:color w:val="000000"/>
                <w:sz w:val="18"/>
                <w:szCs w:val="18"/>
                <w:lang w:eastAsia="en-CA"/>
              </w:rPr>
              <w:br/>
              <w:t>(acute care medical wards - 11 centers)</w:t>
            </w:r>
          </w:p>
        </w:tc>
        <w:tc>
          <w:tcPr>
            <w:tcW w:w="1276" w:type="dxa"/>
            <w:tcBorders>
              <w:top w:val="nil"/>
              <w:left w:val="nil"/>
              <w:bottom w:val="single" w:sz="4" w:space="0" w:color="auto"/>
              <w:right w:val="nil"/>
            </w:tcBorders>
            <w:shd w:val="clear" w:color="auto" w:fill="FFFFFF"/>
            <w:vAlign w:val="center"/>
            <w:hideMark/>
          </w:tcPr>
          <w:p w14:paraId="0799A730"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Pharmaco-surveillance in the Elderly Care</w:t>
            </w:r>
          </w:p>
        </w:tc>
        <w:tc>
          <w:tcPr>
            <w:tcW w:w="1134" w:type="dxa"/>
            <w:tcBorders>
              <w:top w:val="nil"/>
              <w:left w:val="nil"/>
              <w:bottom w:val="single" w:sz="4" w:space="0" w:color="auto"/>
              <w:right w:val="nil"/>
            </w:tcBorders>
            <w:shd w:val="clear" w:color="auto" w:fill="FFFFFF"/>
            <w:vAlign w:val="center"/>
            <w:hideMark/>
          </w:tcPr>
          <w:p w14:paraId="2CAF9157"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Elderly  (≥65)</w:t>
            </w:r>
          </w:p>
        </w:tc>
        <w:tc>
          <w:tcPr>
            <w:tcW w:w="3543" w:type="dxa"/>
            <w:tcBorders>
              <w:top w:val="nil"/>
              <w:left w:val="nil"/>
              <w:bottom w:val="single" w:sz="4" w:space="0" w:color="auto"/>
              <w:right w:val="nil"/>
            </w:tcBorders>
            <w:shd w:val="clear" w:color="auto" w:fill="FFFFFF"/>
            <w:vAlign w:val="center"/>
            <w:hideMark/>
          </w:tcPr>
          <w:p w14:paraId="6667733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≥65 years</w:t>
            </w:r>
            <w:r w:rsidRPr="005C4B89">
              <w:rPr>
                <w:rFonts w:ascii="Calibri" w:eastAsia="Times New Roman" w:hAnsi="Calibri" w:cs="Times New Roman"/>
                <w:color w:val="000000"/>
                <w:sz w:val="18"/>
                <w:szCs w:val="18"/>
                <w:lang w:eastAsia="en-CA"/>
              </w:rPr>
              <w:br/>
              <w:t>-admitted to participating wards</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in-hospital death</w:t>
            </w:r>
            <w:r w:rsidRPr="005C4B89">
              <w:rPr>
                <w:rFonts w:ascii="Calibri" w:eastAsia="Times New Roman" w:hAnsi="Calibri" w:cs="Times New Roman"/>
                <w:color w:val="000000"/>
                <w:sz w:val="18"/>
                <w:szCs w:val="18"/>
                <w:lang w:eastAsia="en-CA"/>
              </w:rPr>
              <w:br/>
              <w:t>- enrolled in long term care units</w:t>
            </w:r>
          </w:p>
          <w:p w14:paraId="29BC2986"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declined participation</w:t>
            </w:r>
          </w:p>
        </w:tc>
        <w:tc>
          <w:tcPr>
            <w:tcW w:w="1559" w:type="dxa"/>
            <w:tcBorders>
              <w:top w:val="nil"/>
              <w:left w:val="nil"/>
              <w:bottom w:val="single" w:sz="4" w:space="0" w:color="auto"/>
              <w:right w:val="nil"/>
            </w:tcBorders>
            <w:shd w:val="clear" w:color="auto" w:fill="FFFFFF"/>
            <w:vAlign w:val="center"/>
            <w:hideMark/>
          </w:tcPr>
          <w:p w14:paraId="3291CF06"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491</w:t>
            </w:r>
            <w:r w:rsidRPr="005C4B89">
              <w:rPr>
                <w:rFonts w:ascii="Calibri" w:eastAsia="Times New Roman" w:hAnsi="Calibri" w:cs="Times New Roman"/>
                <w:color w:val="000000"/>
                <w:sz w:val="18"/>
                <w:szCs w:val="18"/>
                <w:lang w:eastAsia="en-CA"/>
              </w:rPr>
              <w:br/>
              <w:t>(PPI: 174; no PPI 317)</w:t>
            </w:r>
          </w:p>
        </w:tc>
        <w:tc>
          <w:tcPr>
            <w:tcW w:w="1417" w:type="dxa"/>
            <w:tcBorders>
              <w:top w:val="nil"/>
              <w:left w:val="nil"/>
              <w:bottom w:val="single" w:sz="4" w:space="0" w:color="auto"/>
              <w:right w:val="nil"/>
            </w:tcBorders>
            <w:shd w:val="clear" w:color="auto" w:fill="FFFFFF"/>
            <w:vAlign w:val="center"/>
            <w:hideMark/>
          </w:tcPr>
          <w:p w14:paraId="1EBFEEC0"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80 (6)</w:t>
            </w:r>
            <w:r w:rsidRPr="005C4B89">
              <w:rPr>
                <w:rFonts w:ascii="Calibri" w:eastAsia="Times New Roman" w:hAnsi="Calibri" w:cs="Times New Roman"/>
                <w:color w:val="000000"/>
                <w:sz w:val="18"/>
                <w:szCs w:val="18"/>
                <w:lang w:eastAsia="en-CA"/>
              </w:rPr>
              <w:br/>
              <w:t>no PPI 80 (6)</w:t>
            </w:r>
          </w:p>
        </w:tc>
        <w:tc>
          <w:tcPr>
            <w:tcW w:w="1262" w:type="dxa"/>
            <w:tcBorders>
              <w:top w:val="nil"/>
              <w:left w:val="nil"/>
              <w:bottom w:val="single" w:sz="4" w:space="0" w:color="auto"/>
              <w:right w:val="nil"/>
            </w:tcBorders>
            <w:shd w:val="clear" w:color="auto" w:fill="FFFFFF"/>
            <w:vAlign w:val="center"/>
            <w:hideMark/>
          </w:tcPr>
          <w:p w14:paraId="4436FFDC"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47%</w:t>
            </w:r>
            <w:r w:rsidRPr="005C4B89">
              <w:rPr>
                <w:rFonts w:ascii="Calibri" w:eastAsia="Times New Roman" w:hAnsi="Calibri" w:cs="Times New Roman"/>
                <w:color w:val="000000"/>
                <w:sz w:val="18"/>
                <w:szCs w:val="18"/>
                <w:lang w:eastAsia="en-CA"/>
              </w:rPr>
              <w:br/>
              <w:t>no PPI: 45%</w:t>
            </w:r>
          </w:p>
        </w:tc>
        <w:tc>
          <w:tcPr>
            <w:tcW w:w="1148" w:type="dxa"/>
            <w:tcBorders>
              <w:top w:val="nil"/>
              <w:left w:val="nil"/>
              <w:bottom w:val="single" w:sz="4" w:space="0" w:color="auto"/>
              <w:right w:val="nil"/>
            </w:tcBorders>
            <w:shd w:val="clear" w:color="auto" w:fill="FFFFFF"/>
            <w:vAlign w:val="center"/>
            <w:hideMark/>
          </w:tcPr>
          <w:p w14:paraId="0D027909"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7D344D" w:rsidRPr="005C4B89" w14:paraId="41AD81C5" w14:textId="77777777" w:rsidTr="00646369">
        <w:trPr>
          <w:trHeight w:val="855"/>
        </w:trPr>
        <w:tc>
          <w:tcPr>
            <w:tcW w:w="1465" w:type="dxa"/>
            <w:tcBorders>
              <w:top w:val="nil"/>
              <w:left w:val="nil"/>
              <w:bottom w:val="single" w:sz="4" w:space="0" w:color="auto"/>
              <w:right w:val="nil"/>
            </w:tcBorders>
            <w:shd w:val="clear" w:color="auto" w:fill="FFFFFF"/>
            <w:vAlign w:val="center"/>
            <w:hideMark/>
          </w:tcPr>
          <w:p w14:paraId="5720C4BF"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fldChar w:fldCharType="begin" w:fldLock="1"/>
            </w:r>
            <w:r>
              <w:rPr>
                <w:rFonts w:ascii="Calibri" w:eastAsia="Times New Roman" w:hAnsi="Calibri" w:cs="Times New Roman"/>
                <w:color w:val="000000"/>
                <w:sz w:val="18"/>
                <w:szCs w:val="18"/>
                <w:lang w:eastAsia="en-CA"/>
              </w:rPr>
              <w:instrText>ADDIN CSL_CITATION {"citationItems":[{"id":"ITEM-1","itemData":{"ISSN":"1932-6203","abstract":"BACKGROUND AND AIM: The aim of this study was to assess the impact of proton pump inhibitor (PPI) intake on the development of spontaneous bacterial peritonitis (SBP) or other infections, as well as on mortality, in a thoroughly documented cohort of patients with cirrhosis and ascites., PATIENTS AND METHODS: We performed a retrospective analysis of follow-up data from 607 consecutive patients with cirrhosis undergoing their first paracentesis at a tertiary center. A binary logistic regression model investigating the association between PPI intake and SBP at the first paracentesis was calculated. Competing risk analyses and Cox models were used to investigate the effect of PPIs on the cumulative incidence of SBP or other infections and transplant-free survival, respectively. Adjustments were made for age, hepatocellular carcinoma, history of variceal bleeding, varices and model of end-stage liver disease score., RESULTS: Eighty-six percent of patients were receiving PPIs. After adjusting for potential confounding factors, PPI intake was neither associated with increased SBP prevalence at the first paracentesis (odds ratio (OR):1.11,95% confidence interval (95%CI):0.6-2.06; P = 0.731) nor cumulative incidence of SBP (subdistribution hazard ratio (SHR): 1.38; 95%CI:0.63-3.01; P = 0.42) and SBP or other infections (SHR:1.71; 95%CI:0.85-3.44; P = 0.13) during follow-up. Moreover, PPI intake had no impact on transplant-free survival in both the overall cohort (hazard ratio (HR):0.973,95%CI:0.719-1.317; P = 0.859) as well as in the subgroups of patients without SBP (HR:1.01,95%CI:0.72-1.42; P = 0.971) and without SBP or other infections at the first paracentesis (HR:0.944,95%CI:0.668-1.334; P = 0.742)., CONCLUSIONS: The proportion of cirrhotic patients with PPI intake was higher than in previous reports, suggesting that PPI indications were interpreted liberally. In our cohort with a particularly high prevalence of PPI intake, we observed no association between PPIs and SBP or other infections, as well as mortality. Thus, the severity of liver disease and other factors, rather than PPI treatment per se may predispose for infectious complications.","author":[{"dropping-particle":"","family":"Mandorfer","given":"Mattias","non-dropping-particle":"","parse-names":false,"suffix":""},{"dropping-particle":"","family":"Bota","given":"Simona","non-dropping-particle":"","parse-names":false,"suffix":""},{"dropping-particle":"","family":"Schwabl","given":"Philipp","non-dropping-particle":"","parse-names":false,"suffix":""},{"dropping-particle":"","family":"Bucsics","given":"Theresa","non-dropping-particle":"","parse-names":false,"suffix":""},{"dropping-particle":"","family":"Pfisterer","given":"Nikolaus","non-dropping-particle":"","parse-names":false,"suffix":""},{"dropping-particle":"","family":"Summereder","given":"Christian","non-dropping-particle":"","parse-names":false,"suffix":""},{"dropping-particle":"","family":"Hagmann","given":"Michael","non-dropping-particle":"","parse-names":false,"suffix":""},{"dropping-particle":"","family":"Blacky","given":"Alexander","non-dropping-particle":"","parse-names":false,"suffix":""},{"dropping-particle":"","family":"Ferlitsch","given":"Arnulf","non-dropping-particle":"","parse-names":false,"suffix":""},{"dropping-particle":"","family":"Sieghart","given":"Wolfgang","non-dropping-particle":"","parse-names":false,"suffix":""},{"dropping-particle":"","family":"Trauner","given":"Michael","non-dropping-particle":"","parse-names":false,"suffix":""},{"dropping-particle":"","family":"Peck-Radosavljevic","given":"Markus","non-dropping-particle":"","parse-names":false,"suffix":""},{"dropping-particle":"","family":"Reiberger","given":"Thomas","non-dropping-particle":"","parse-names":false,"suffix":""}],"container-title":"PloS one","id":"ITEM-1","issue":"11","issued":{"date-parts":[["2014"]]},"note":"131","page":"e110503","publisher":"Mandorfer,Mattias. Division of Gastroenterology and Hepatology, Department of Internal Medicine III, Medical University of Vienna, Vienna, Austria; Vienna Hepatic Hemodynamic Lab, Division of Gastroenterology and Hepatology, Department of Internal Medicin","publisher-place":"United States","title":"Proton pump inhibitor intake neither predisposes to spontaneous bacterial peritonitis or other infections nor increases mortality in patients with cirrhosis and ascites","type":"article-journal","volume":"9"},"uris":["http://www.mendeley.com/documents/?uuid=f178a725-4bee-44ec-a092-f5a52e9aac16"]}],"mendeley":{"formattedCitation":"(Mandorfer et al. 2014)","plainTextFormattedCitation":"(Mandorfer et al. 2014)","previouslyFormattedCitation":"(Mandorfer et al. 2014)"},"properties":{"noteIndex":0},"schema":"https://github.com/citation-style-language/schema/raw/master/csl-citation.json"}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(Mandorfer et al. 2014)</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t xml:space="preserve"> </w:t>
            </w:r>
            <w:r w:rsidRPr="005C4B89">
              <w:rPr>
                <w:rFonts w:ascii="Calibri" w:eastAsia="Times New Roman" w:hAnsi="Calibri" w:cs="Times New Roman"/>
                <w:color w:val="000000"/>
                <w:sz w:val="18"/>
                <w:szCs w:val="18"/>
                <w:lang w:eastAsia="en-CA"/>
              </w:rPr>
              <w:br/>
              <w:t>(Austria)</w:t>
            </w:r>
          </w:p>
        </w:tc>
        <w:tc>
          <w:tcPr>
            <w:tcW w:w="1087" w:type="dxa"/>
            <w:tcBorders>
              <w:top w:val="nil"/>
              <w:left w:val="nil"/>
              <w:bottom w:val="single" w:sz="4" w:space="0" w:color="auto"/>
              <w:right w:val="nil"/>
            </w:tcBorders>
            <w:shd w:val="clear" w:color="auto" w:fill="FFFFFF"/>
            <w:vAlign w:val="center"/>
            <w:hideMark/>
          </w:tcPr>
          <w:p w14:paraId="1F28B6F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(medical records, hospitals -1 center)</w:t>
            </w:r>
          </w:p>
        </w:tc>
        <w:tc>
          <w:tcPr>
            <w:tcW w:w="1276" w:type="dxa"/>
            <w:tcBorders>
              <w:top w:val="nil"/>
              <w:left w:val="nil"/>
              <w:bottom w:val="single" w:sz="4" w:space="0" w:color="auto"/>
              <w:right w:val="nil"/>
            </w:tcBorders>
            <w:shd w:val="clear" w:color="auto" w:fill="FFFFFF"/>
            <w:vAlign w:val="center"/>
            <w:hideMark/>
          </w:tcPr>
          <w:p w14:paraId="78000AED"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34B02733"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Cirrhosis and ascites</w:t>
            </w:r>
          </w:p>
        </w:tc>
        <w:tc>
          <w:tcPr>
            <w:tcW w:w="3543" w:type="dxa"/>
            <w:tcBorders>
              <w:top w:val="nil"/>
              <w:left w:val="nil"/>
              <w:bottom w:val="single" w:sz="4" w:space="0" w:color="auto"/>
              <w:right w:val="nil"/>
            </w:tcBorders>
            <w:shd w:val="clear" w:color="auto" w:fill="FFFFFF"/>
            <w:vAlign w:val="center"/>
            <w:hideMark/>
          </w:tcPr>
          <w:p w14:paraId="64DCA82A"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-with cirrhosis and underwent first paracentesis at the medical university between 2006-2011</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with other causes of ascites (such as severe cardiovascular disease, renal insufficiency, extra-hepatic malignancies and non-cirrhotic portal hypertension)</w:t>
            </w:r>
          </w:p>
        </w:tc>
        <w:tc>
          <w:tcPr>
            <w:tcW w:w="1559" w:type="dxa"/>
            <w:tcBorders>
              <w:top w:val="nil"/>
              <w:left w:val="nil"/>
              <w:bottom w:val="single" w:sz="4" w:space="0" w:color="auto"/>
              <w:right w:val="nil"/>
            </w:tcBorders>
            <w:shd w:val="clear" w:color="auto" w:fill="FFFFFF"/>
            <w:vAlign w:val="center"/>
            <w:hideMark/>
          </w:tcPr>
          <w:p w14:paraId="002C4EE5"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607</w:t>
            </w:r>
            <w:r w:rsidRPr="005C4B89">
              <w:rPr>
                <w:rFonts w:ascii="Calibri" w:eastAsia="Times New Roman" w:hAnsi="Calibri" w:cs="Times New Roman"/>
                <w:color w:val="000000"/>
                <w:sz w:val="18"/>
                <w:szCs w:val="18"/>
                <w:lang w:eastAsia="en-CA"/>
              </w:rPr>
              <w:br/>
              <w:t>(PPI: 520; No PPI: 87)</w:t>
            </w:r>
          </w:p>
        </w:tc>
        <w:tc>
          <w:tcPr>
            <w:tcW w:w="1417" w:type="dxa"/>
            <w:tcBorders>
              <w:top w:val="nil"/>
              <w:left w:val="nil"/>
              <w:bottom w:val="single" w:sz="4" w:space="0" w:color="auto"/>
              <w:right w:val="nil"/>
            </w:tcBorders>
            <w:shd w:val="clear" w:color="auto" w:fill="FFFFFF"/>
            <w:vAlign w:val="center"/>
            <w:hideMark/>
          </w:tcPr>
          <w:p w14:paraId="3EDB4F6E"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57 (12)</w:t>
            </w:r>
            <w:r w:rsidRPr="005C4B89">
              <w:rPr>
                <w:rFonts w:ascii="Calibri" w:eastAsia="Times New Roman" w:hAnsi="Calibri" w:cs="Times New Roman"/>
                <w:color w:val="000000"/>
                <w:sz w:val="18"/>
                <w:szCs w:val="18"/>
                <w:lang w:eastAsia="en-CA"/>
              </w:rPr>
              <w:br/>
              <w:t>no PPI: 60 (12)</w:t>
            </w:r>
          </w:p>
        </w:tc>
        <w:tc>
          <w:tcPr>
            <w:tcW w:w="1262" w:type="dxa"/>
            <w:tcBorders>
              <w:top w:val="nil"/>
              <w:left w:val="nil"/>
              <w:bottom w:val="single" w:sz="4" w:space="0" w:color="auto"/>
              <w:right w:val="nil"/>
            </w:tcBorders>
            <w:shd w:val="clear" w:color="auto" w:fill="FFFFFF"/>
            <w:vAlign w:val="center"/>
            <w:hideMark/>
          </w:tcPr>
          <w:p w14:paraId="7E82F731"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70%</w:t>
            </w:r>
          </w:p>
        </w:tc>
        <w:tc>
          <w:tcPr>
            <w:tcW w:w="1148" w:type="dxa"/>
            <w:tcBorders>
              <w:top w:val="nil"/>
              <w:left w:val="nil"/>
              <w:bottom w:val="single" w:sz="4" w:space="0" w:color="auto"/>
              <w:right w:val="nil"/>
            </w:tcBorders>
            <w:shd w:val="clear" w:color="auto" w:fill="FFFFFF"/>
            <w:vAlign w:val="center"/>
            <w:hideMark/>
          </w:tcPr>
          <w:p w14:paraId="0151FEED"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7D344D" w:rsidRPr="005C4B89" w14:paraId="4207249E" w14:textId="77777777" w:rsidTr="00646369">
        <w:trPr>
          <w:trHeight w:val="855"/>
        </w:trPr>
        <w:tc>
          <w:tcPr>
            <w:tcW w:w="1465" w:type="dxa"/>
            <w:tcBorders>
              <w:top w:val="nil"/>
              <w:left w:val="nil"/>
              <w:bottom w:val="single" w:sz="4" w:space="0" w:color="auto"/>
              <w:right w:val="nil"/>
            </w:tcBorders>
            <w:shd w:val="clear" w:color="auto" w:fill="FFFFFF"/>
            <w:vAlign w:val="center"/>
            <w:hideMark/>
          </w:tcPr>
          <w:p w14:paraId="38583AD5"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{"citationItems":[{"id":"ITEM-1","itemData":{"ISBN":"1053-8569","ISSN":"1099-1557","abstract":"Background: Pneumonia is a common diagnosis in general practice in the United Kingdom. Previous studies suggest that commonly prescribed drugs in general practice may influence pneumonia mortality. Aim: We investigated whether statins, angiotensin converting enzyme inhibitors (ACEIs), proton pump inhibitors (PPIs) and Histamine-2-receptor antagonists (H2RAs) have an impact on short-term and long-term mortality in pneumonia cases. Design of Study: Population-based cohort study Settting: United Kingdom Methods: Data on 3681 pneumonia cases above the age of 40 years were obtained from a comprehensive database called the health improvement network (THIN) which has computerised medical records from 300 general practice surgeries in the United Kingdom.We used Cox regression for our analyses. Results: Current statin use was associated with a 67% decrease in 30-day mortality (adj. HR: 0.33, 95% CI: 0.19-0.58) and a 55% decrease in long-term mortality (adj. HR: 0.45, 95% CI: 0.32-0.62) over a median follow-up of 2.8 years as compared to no-use. Current ACEI use decreased the 30-day mortality risk by nearly 38% as compared to no-use (adj. HR: 0.62, 95% CI: 0.47-0.82) but was not associated with longterm mortality. No significant impact on mortality was observed for either gastric acid suppressant. Conclusion: The use of statins is associated with a lower risk of short- and long-term mortality following pneumonia whereas the use of ACEIs is associated with a decreased mortality risk only in the short-term. Copyright © 2009 John Wiley &amp; Sons, Ltd.","author":[{"dropping-particle":"","family":"Myles","given":"Puja R","non-dropping-particle":"","parse-names":false,"suffix":""},{"dropping-particle":"","family":"Hubbard","given":"Richard B","non-dropping-particle":"","parse-names":false,"suffix":""},{"dropping-particle":"","family":"Gibson","given":"Jack E","non-dropping-particle":"","parse-names":false,"suffix":""},{"dropping-particle":"","family":"Pogson","given":"Zara","non-dropping-particle":"","parse-names":false,"suffix":""},{"dropping-particle":"","family":"Smith","given":"Christopher J P","non-dropping-particle":"","parse-names":false,"suffix":""},{"dropping-particle":"","family":"McKeever","given":"Tricia M","non-dropping-particle":"","parse-names":false,"suffix":""}],"container-title":"Pharmacoepidemiology and drug safety","id":"ITEM-1","issue":"8","issued":{"date-parts":[["2009"]]},"note":"783\n\nFrom Duplicate 1 (The impact of statins, ACE inhibitors and gastric acid suppressants on pneumonia mortality in a UK general practice population cohort. - Myles, Puja R; Hubbard, Richard B; Gibson, Jack E; Pogson, Zara; Smith, Christopher J P; McKeever, Tricia M)\n\nComment in: Pharmacoepidemiol Drug Saf. 2009 Nov;18(11):1121-2; PMID: 19852000","page":"697-703","publisher":"Myles,Puja R. Division of Epidemiology &amp; Public Health, University of Nottingham, Clinical Sciences Building, City Hospital, Nottingham NG5 1PB, UK. puja.myles@nottingham.ac.uk","publisher-place":"England","title":"The impact of statins, ACE inhibitors and gastric acid suppressants on pneumonia mortality in a UK general practice population cohort.","type":"article-journal","volume":"18"},"uris":["http://www.mendeley.com/documents/?uuid=18d0c5f0-ea3d-4748-9090-4fb048684a0a"]}],"mendeley":{"formattedCitation":"(Myles et al. 2009)","plainTextFormattedCitation":"(Myles et al. 2009)","previouslyFormattedCitation":"(Myles et al. 2009)"},"properties":{"noteIndex":0},"schema":"https://github.com/citation-style-language/schema/raw/master/csl-citation.json"}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(Myles et al. 2009)</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(UK)</w:t>
            </w:r>
          </w:p>
        </w:tc>
        <w:tc>
          <w:tcPr>
            <w:tcW w:w="1087" w:type="dxa"/>
            <w:tcBorders>
              <w:top w:val="nil"/>
              <w:left w:val="nil"/>
              <w:bottom w:val="single" w:sz="4" w:space="0" w:color="auto"/>
              <w:right w:val="nil"/>
            </w:tcBorders>
            <w:shd w:val="clear" w:color="auto" w:fill="FFFFFF"/>
            <w:vAlign w:val="center"/>
            <w:hideMark/>
          </w:tcPr>
          <w:p w14:paraId="2BD5E1A2"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general practice)</w:t>
            </w:r>
          </w:p>
        </w:tc>
        <w:tc>
          <w:tcPr>
            <w:tcW w:w="1276" w:type="dxa"/>
            <w:tcBorders>
              <w:top w:val="nil"/>
              <w:left w:val="nil"/>
              <w:bottom w:val="single" w:sz="4" w:space="0" w:color="auto"/>
              <w:right w:val="nil"/>
            </w:tcBorders>
            <w:shd w:val="clear" w:color="auto" w:fill="FFFFFF"/>
            <w:vAlign w:val="center"/>
            <w:hideMark/>
          </w:tcPr>
          <w:p w14:paraId="473DDF0A"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The Health Improvement network (THIN) </w:t>
            </w:r>
          </w:p>
        </w:tc>
        <w:tc>
          <w:tcPr>
            <w:tcW w:w="1134" w:type="dxa"/>
            <w:tcBorders>
              <w:top w:val="nil"/>
              <w:left w:val="nil"/>
              <w:bottom w:val="single" w:sz="4" w:space="0" w:color="auto"/>
              <w:right w:val="nil"/>
            </w:tcBorders>
            <w:shd w:val="clear" w:color="auto" w:fill="FFFFFF"/>
            <w:vAlign w:val="center"/>
            <w:hideMark/>
          </w:tcPr>
          <w:p w14:paraId="2BA25EA5"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Pneumonia </w:t>
            </w:r>
          </w:p>
        </w:tc>
        <w:tc>
          <w:tcPr>
            <w:tcW w:w="3543" w:type="dxa"/>
            <w:tcBorders>
              <w:top w:val="nil"/>
              <w:left w:val="nil"/>
              <w:bottom w:val="single" w:sz="4" w:space="0" w:color="auto"/>
              <w:right w:val="nil"/>
            </w:tcBorders>
            <w:shd w:val="clear" w:color="auto" w:fill="FFFFFF"/>
            <w:vAlign w:val="center"/>
            <w:hideMark/>
          </w:tcPr>
          <w:p w14:paraId="0F15BBE2"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≥40 years</w:t>
            </w:r>
            <w:r w:rsidRPr="005C4B89">
              <w:rPr>
                <w:rFonts w:ascii="Calibri" w:eastAsia="Times New Roman" w:hAnsi="Calibri" w:cs="Times New Roman"/>
                <w:color w:val="000000"/>
                <w:sz w:val="18"/>
                <w:szCs w:val="18"/>
                <w:lang w:eastAsia="en-CA"/>
              </w:rPr>
              <w:br/>
              <w:t>-pneumonia diagnosis between July 2001-July 2002</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i/>
                <w:iCs/>
                <w:color w:val="000000"/>
                <w:sz w:val="18"/>
                <w:szCs w:val="18"/>
                <w:lang w:eastAsia="en-CA"/>
              </w:rPr>
              <w:br/>
            </w:r>
            <w:r w:rsidRPr="005C4B89">
              <w:rPr>
                <w:rFonts w:ascii="Calibri" w:eastAsia="Times New Roman" w:hAnsi="Calibri" w:cs="Times New Roman"/>
                <w:color w:val="000000"/>
                <w:sz w:val="18"/>
                <w:szCs w:val="18"/>
                <w:lang w:eastAsia="en-CA"/>
              </w:rPr>
              <w:t>- date of death recorded before pneumonia diagnosis date (errors)</w:t>
            </w:r>
          </w:p>
        </w:tc>
        <w:tc>
          <w:tcPr>
            <w:tcW w:w="1559" w:type="dxa"/>
            <w:tcBorders>
              <w:top w:val="nil"/>
              <w:left w:val="nil"/>
              <w:bottom w:val="single" w:sz="4" w:space="0" w:color="auto"/>
              <w:right w:val="nil"/>
            </w:tcBorders>
            <w:shd w:val="clear" w:color="auto" w:fill="FFFFFF"/>
            <w:vAlign w:val="center"/>
            <w:hideMark/>
          </w:tcPr>
          <w:p w14:paraId="4FD57BB5"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3,681</w:t>
            </w:r>
            <w:r w:rsidRPr="005C4B89">
              <w:rPr>
                <w:rFonts w:ascii="Calibri" w:eastAsia="Times New Roman" w:hAnsi="Calibri" w:cs="Times New Roman"/>
                <w:color w:val="000000"/>
                <w:sz w:val="18"/>
                <w:szCs w:val="18"/>
                <w:lang w:eastAsia="en-CA"/>
              </w:rPr>
              <w:br/>
              <w:t>(PPI: 1,060;  No PPI: 2,621)</w:t>
            </w:r>
          </w:p>
        </w:tc>
        <w:tc>
          <w:tcPr>
            <w:tcW w:w="1417" w:type="dxa"/>
            <w:tcBorders>
              <w:top w:val="nil"/>
              <w:left w:val="nil"/>
              <w:bottom w:val="single" w:sz="4" w:space="0" w:color="auto"/>
              <w:right w:val="nil"/>
            </w:tcBorders>
            <w:shd w:val="clear" w:color="auto" w:fill="FFFFFF"/>
            <w:vAlign w:val="center"/>
            <w:hideMark/>
          </w:tcPr>
          <w:p w14:paraId="4BF7A7D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&gt;40</w:t>
            </w:r>
          </w:p>
        </w:tc>
        <w:tc>
          <w:tcPr>
            <w:tcW w:w="1262" w:type="dxa"/>
            <w:tcBorders>
              <w:top w:val="nil"/>
              <w:left w:val="nil"/>
              <w:bottom w:val="single" w:sz="4" w:space="0" w:color="auto"/>
              <w:right w:val="nil"/>
            </w:tcBorders>
            <w:shd w:val="clear" w:color="auto" w:fill="FFFFFF"/>
            <w:vAlign w:val="center"/>
            <w:hideMark/>
          </w:tcPr>
          <w:p w14:paraId="76EEE22E"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c>
          <w:tcPr>
            <w:tcW w:w="1148" w:type="dxa"/>
            <w:tcBorders>
              <w:top w:val="nil"/>
              <w:left w:val="nil"/>
              <w:bottom w:val="single" w:sz="4" w:space="0" w:color="auto"/>
              <w:right w:val="nil"/>
            </w:tcBorders>
            <w:shd w:val="clear" w:color="auto" w:fill="FFFFFF"/>
            <w:vAlign w:val="center"/>
            <w:hideMark/>
          </w:tcPr>
          <w:p w14:paraId="45680150"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7D344D" w:rsidRPr="005C4B89" w14:paraId="6E218E55" w14:textId="77777777" w:rsidTr="00B30898">
        <w:trPr>
          <w:trHeight w:val="1335"/>
        </w:trPr>
        <w:tc>
          <w:tcPr>
            <w:tcW w:w="1465" w:type="dxa"/>
            <w:tcBorders>
              <w:top w:val="single" w:sz="4" w:space="0" w:color="auto"/>
              <w:left w:val="nil"/>
              <w:bottom w:val="single" w:sz="4" w:space="0" w:color="auto"/>
              <w:right w:val="nil"/>
            </w:tcBorders>
            <w:shd w:val="clear" w:color="auto" w:fill="auto"/>
            <w:vAlign w:val="center"/>
          </w:tcPr>
          <w:p w14:paraId="46FBAAA1"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(Nardelli et al 2018)</w:t>
            </w:r>
            <w:r>
              <w:rPr>
                <w:rFonts w:ascii="Calibri" w:hAnsi="Calibri" w:cs="Calibri"/>
                <w:color w:val="000000"/>
                <w:sz w:val="18"/>
                <w:szCs w:val="18"/>
              </w:rPr>
              <w:br/>
              <w:t>(Italy)</w:t>
            </w:r>
          </w:p>
        </w:tc>
        <w:tc>
          <w:tcPr>
            <w:tcW w:w="1087" w:type="dxa"/>
            <w:tcBorders>
              <w:top w:val="single" w:sz="4" w:space="0" w:color="auto"/>
              <w:left w:val="nil"/>
              <w:bottom w:val="single" w:sz="4" w:space="0" w:color="auto"/>
              <w:right w:val="nil"/>
            </w:tcBorders>
            <w:shd w:val="clear" w:color="auto" w:fill="auto"/>
            <w:vAlign w:val="center"/>
          </w:tcPr>
          <w:p w14:paraId="3FCDC060"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Prospective cohort</w:t>
            </w:r>
          </w:p>
        </w:tc>
        <w:tc>
          <w:tcPr>
            <w:tcW w:w="1276" w:type="dxa"/>
            <w:tcBorders>
              <w:top w:val="single" w:sz="4" w:space="0" w:color="auto"/>
              <w:left w:val="nil"/>
              <w:bottom w:val="single" w:sz="4" w:space="0" w:color="auto"/>
              <w:right w:val="nil"/>
            </w:tcBorders>
            <w:shd w:val="clear" w:color="auto" w:fill="auto"/>
            <w:vAlign w:val="center"/>
          </w:tcPr>
          <w:p w14:paraId="5359ED34"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w:t>
            </w:r>
          </w:p>
        </w:tc>
        <w:tc>
          <w:tcPr>
            <w:tcW w:w="1134" w:type="dxa"/>
            <w:tcBorders>
              <w:top w:val="single" w:sz="4" w:space="0" w:color="auto"/>
              <w:left w:val="nil"/>
              <w:bottom w:val="single" w:sz="4" w:space="0" w:color="auto"/>
              <w:right w:val="nil"/>
            </w:tcBorders>
            <w:shd w:val="clear" w:color="auto" w:fill="auto"/>
            <w:vAlign w:val="center"/>
          </w:tcPr>
          <w:p w14:paraId="3BEDC4EC"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Cirrhotic</w:t>
            </w:r>
          </w:p>
        </w:tc>
        <w:tc>
          <w:tcPr>
            <w:tcW w:w="3543" w:type="dxa"/>
            <w:tcBorders>
              <w:top w:val="single" w:sz="4" w:space="0" w:color="auto"/>
              <w:left w:val="nil"/>
              <w:bottom w:val="single" w:sz="4" w:space="0" w:color="auto"/>
              <w:right w:val="nil"/>
            </w:tcBorders>
            <w:shd w:val="clear" w:color="auto" w:fill="auto"/>
            <w:vAlign w:val="center"/>
          </w:tcPr>
          <w:p w14:paraId="2BA87431" w14:textId="607CAD10" w:rsidR="007D344D" w:rsidRPr="005C4B89" w:rsidRDefault="007D344D" w:rsidP="00B30898">
            <w:pPr>
              <w:spacing w:after="0" w:line="240" w:lineRule="auto"/>
              <w:rPr>
                <w:rFonts w:ascii="Calibri" w:eastAsia="Times New Roman" w:hAnsi="Calibri" w:cs="Times New Roman"/>
                <w:color w:val="000000"/>
                <w:sz w:val="18"/>
                <w:szCs w:val="18"/>
                <w:lang w:eastAsia="en-CA"/>
              </w:rPr>
            </w:pPr>
            <w:r w:rsidRPr="008F1453">
              <w:rPr>
                <w:rFonts w:ascii="Calibri" w:hAnsi="Calibri" w:cs="Calibri"/>
                <w:i/>
                <w:iCs/>
                <w:color w:val="000000"/>
                <w:sz w:val="18"/>
                <w:szCs w:val="18"/>
              </w:rPr>
              <w:t xml:space="preserve">Inclusion: </w:t>
            </w:r>
            <w:r>
              <w:rPr>
                <w:rFonts w:ascii="Calibri" w:hAnsi="Calibri" w:cs="Calibri"/>
                <w:color w:val="000000"/>
                <w:sz w:val="18"/>
                <w:szCs w:val="18"/>
              </w:rPr>
              <w:br/>
              <w:t xml:space="preserve">- cirrhotic patients without overt hepatic encephalopathy </w:t>
            </w:r>
            <w:r>
              <w:rPr>
                <w:rFonts w:ascii="Calibri" w:hAnsi="Calibri" w:cs="Calibri"/>
                <w:color w:val="000000"/>
                <w:sz w:val="18"/>
                <w:szCs w:val="18"/>
              </w:rPr>
              <w:br/>
              <w:t xml:space="preserve">- cirrhosis confirmed by clinical, biochemical and radiological signs. </w:t>
            </w:r>
            <w:r>
              <w:rPr>
                <w:rFonts w:ascii="Calibri" w:hAnsi="Calibri" w:cs="Calibri"/>
                <w:color w:val="000000"/>
                <w:sz w:val="18"/>
                <w:szCs w:val="18"/>
              </w:rPr>
              <w:br/>
            </w:r>
            <w:r>
              <w:rPr>
                <w:rFonts w:ascii="Calibri" w:hAnsi="Calibri" w:cs="Calibri"/>
                <w:color w:val="000000"/>
                <w:sz w:val="18"/>
                <w:szCs w:val="18"/>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 xml:space="preserve">: </w:t>
            </w:r>
            <w:r>
              <w:rPr>
                <w:rFonts w:ascii="Calibri" w:hAnsi="Calibri" w:cs="Calibri"/>
                <w:color w:val="000000"/>
                <w:sz w:val="18"/>
                <w:szCs w:val="18"/>
              </w:rPr>
              <w:br/>
              <w:t>- overt HE based on West-Haven criteria</w:t>
            </w:r>
            <w:r>
              <w:rPr>
                <w:rFonts w:ascii="Calibri" w:hAnsi="Calibri" w:cs="Calibri"/>
                <w:color w:val="000000"/>
                <w:sz w:val="18"/>
                <w:szCs w:val="18"/>
              </w:rPr>
              <w:br/>
              <w:t>- alcohol/psychoactive drugs</w:t>
            </w:r>
            <w:r>
              <w:rPr>
                <w:rFonts w:ascii="Calibri" w:hAnsi="Calibri" w:cs="Calibri"/>
                <w:color w:val="000000"/>
                <w:sz w:val="18"/>
                <w:szCs w:val="18"/>
              </w:rPr>
              <w:br/>
              <w:t>-neurological disease</w:t>
            </w:r>
            <w:r>
              <w:rPr>
                <w:rFonts w:ascii="Calibri" w:hAnsi="Calibri" w:cs="Calibri"/>
                <w:color w:val="000000"/>
                <w:sz w:val="18"/>
                <w:szCs w:val="18"/>
              </w:rPr>
              <w:br/>
              <w:t>- lack of compliance with psychometric evaluations due to language barriers or reduced vision</w:t>
            </w:r>
            <w:r>
              <w:rPr>
                <w:rFonts w:ascii="Calibri" w:hAnsi="Calibri" w:cs="Calibri"/>
                <w:color w:val="000000"/>
                <w:sz w:val="18"/>
                <w:szCs w:val="18"/>
              </w:rPr>
              <w:br/>
              <w:t>-dementia</w:t>
            </w:r>
            <w:r>
              <w:rPr>
                <w:rFonts w:ascii="Calibri" w:hAnsi="Calibri" w:cs="Calibri"/>
                <w:color w:val="000000"/>
                <w:sz w:val="18"/>
                <w:szCs w:val="18"/>
              </w:rPr>
              <w:br/>
              <w:t>- advance hepatocellular carcinoma</w:t>
            </w:r>
            <w:r>
              <w:rPr>
                <w:rFonts w:ascii="Calibri" w:hAnsi="Calibri" w:cs="Calibri"/>
                <w:color w:val="000000"/>
                <w:sz w:val="18"/>
                <w:szCs w:val="18"/>
              </w:rPr>
              <w:br/>
              <w:t xml:space="preserve">- TIPS and/or large porto- systemic shunts and patients with a history of persistent or recurrent HE defined by two or more than two episodes within the last six months, even if without overt HE on first observation were also excluded. </w:t>
            </w:r>
          </w:p>
        </w:tc>
        <w:tc>
          <w:tcPr>
            <w:tcW w:w="1559" w:type="dxa"/>
            <w:tcBorders>
              <w:top w:val="single" w:sz="4" w:space="0" w:color="auto"/>
              <w:left w:val="nil"/>
              <w:bottom w:val="single" w:sz="4" w:space="0" w:color="auto"/>
              <w:right w:val="nil"/>
            </w:tcBorders>
            <w:shd w:val="clear" w:color="auto" w:fill="auto"/>
            <w:vAlign w:val="center"/>
          </w:tcPr>
          <w:p w14:paraId="787E4933"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Cohort size: 310;</w:t>
            </w:r>
            <w:r>
              <w:rPr>
                <w:rFonts w:ascii="Calibri" w:hAnsi="Calibri" w:cs="Calibri"/>
                <w:color w:val="000000"/>
                <w:sz w:val="18"/>
                <w:szCs w:val="18"/>
              </w:rPr>
              <w:br/>
              <w:t>PPI: 125;</w:t>
            </w:r>
            <w:r>
              <w:rPr>
                <w:rFonts w:ascii="Calibri" w:hAnsi="Calibri" w:cs="Calibri"/>
                <w:color w:val="000000"/>
                <w:sz w:val="18"/>
                <w:szCs w:val="18"/>
              </w:rPr>
              <w:br/>
              <w:t>no PPI: 185;</w:t>
            </w:r>
          </w:p>
        </w:tc>
        <w:tc>
          <w:tcPr>
            <w:tcW w:w="1417" w:type="dxa"/>
            <w:tcBorders>
              <w:top w:val="single" w:sz="4" w:space="0" w:color="auto"/>
              <w:left w:val="nil"/>
              <w:bottom w:val="single" w:sz="4" w:space="0" w:color="auto"/>
              <w:right w:val="nil"/>
            </w:tcBorders>
            <w:shd w:val="clear" w:color="auto" w:fill="auto"/>
            <w:vAlign w:val="center"/>
          </w:tcPr>
          <w:p w14:paraId="1FCB1BB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62.2 (11.8);</w:t>
            </w:r>
            <w:r>
              <w:rPr>
                <w:rFonts w:ascii="Calibri" w:hAnsi="Calibri" w:cs="Calibri"/>
                <w:color w:val="000000"/>
                <w:sz w:val="18"/>
                <w:szCs w:val="18"/>
              </w:rPr>
              <w:br/>
              <w:t>PPI: 63.3 (11.6);</w:t>
            </w:r>
            <w:r>
              <w:rPr>
                <w:rFonts w:ascii="Calibri" w:hAnsi="Calibri" w:cs="Calibri"/>
                <w:color w:val="000000"/>
                <w:sz w:val="18"/>
                <w:szCs w:val="18"/>
              </w:rPr>
              <w:br/>
              <w:t>no PPI: 61.5 (11.9);</w:t>
            </w:r>
          </w:p>
        </w:tc>
        <w:tc>
          <w:tcPr>
            <w:tcW w:w="1262" w:type="dxa"/>
            <w:tcBorders>
              <w:top w:val="single" w:sz="4" w:space="0" w:color="auto"/>
              <w:left w:val="nil"/>
              <w:bottom w:val="single" w:sz="4" w:space="0" w:color="auto"/>
              <w:right w:val="nil"/>
            </w:tcBorders>
            <w:shd w:val="clear" w:color="auto" w:fill="auto"/>
            <w:vAlign w:val="center"/>
          </w:tcPr>
          <w:p w14:paraId="4DF334CA"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71.3%;</w:t>
            </w:r>
            <w:r>
              <w:rPr>
                <w:rFonts w:ascii="Calibri" w:hAnsi="Calibri" w:cs="Calibri"/>
                <w:color w:val="000000"/>
                <w:sz w:val="18"/>
                <w:szCs w:val="18"/>
              </w:rPr>
              <w:br/>
              <w:t>PPI: 67.2%;</w:t>
            </w:r>
            <w:r>
              <w:rPr>
                <w:rFonts w:ascii="Calibri" w:hAnsi="Calibri" w:cs="Calibri"/>
                <w:color w:val="000000"/>
                <w:sz w:val="18"/>
                <w:szCs w:val="18"/>
              </w:rPr>
              <w:br/>
              <w:t>no PPI: 74.0%;</w:t>
            </w:r>
          </w:p>
        </w:tc>
        <w:tc>
          <w:tcPr>
            <w:tcW w:w="1148" w:type="dxa"/>
            <w:tcBorders>
              <w:top w:val="single" w:sz="4" w:space="0" w:color="auto"/>
              <w:left w:val="nil"/>
              <w:bottom w:val="single" w:sz="4" w:space="0" w:color="auto"/>
              <w:right w:val="nil"/>
            </w:tcBorders>
            <w:shd w:val="clear" w:color="auto" w:fill="auto"/>
            <w:vAlign w:val="center"/>
          </w:tcPr>
          <w:p w14:paraId="063D0626"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7D344D" w:rsidRPr="005C4B89" w14:paraId="2CE29946" w14:textId="77777777" w:rsidTr="00B30898">
        <w:trPr>
          <w:trHeight w:val="1335"/>
        </w:trPr>
        <w:tc>
          <w:tcPr>
            <w:tcW w:w="1465" w:type="dxa"/>
            <w:tcBorders>
              <w:top w:val="single" w:sz="4" w:space="0" w:color="auto"/>
              <w:left w:val="nil"/>
              <w:bottom w:val="single" w:sz="4" w:space="0" w:color="auto"/>
              <w:right w:val="nil"/>
            </w:tcBorders>
            <w:shd w:val="clear" w:color="auto" w:fill="auto"/>
            <w:vAlign w:val="center"/>
          </w:tcPr>
          <w:p w14:paraId="185E4B5E"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lastRenderedPageBreak/>
              <w:t>(Nguyen et al 2018)</w:t>
            </w:r>
            <w:r>
              <w:rPr>
                <w:rFonts w:ascii="Calibri" w:hAnsi="Calibri" w:cs="Calibri"/>
                <w:color w:val="000000"/>
                <w:sz w:val="18"/>
                <w:szCs w:val="18"/>
              </w:rPr>
              <w:br/>
              <w:t>(USA)</w:t>
            </w:r>
          </w:p>
        </w:tc>
        <w:tc>
          <w:tcPr>
            <w:tcW w:w="1087" w:type="dxa"/>
            <w:tcBorders>
              <w:top w:val="single" w:sz="4" w:space="0" w:color="auto"/>
              <w:left w:val="nil"/>
              <w:bottom w:val="single" w:sz="4" w:space="0" w:color="auto"/>
              <w:right w:val="nil"/>
            </w:tcBorders>
            <w:shd w:val="clear" w:color="auto" w:fill="auto"/>
            <w:vAlign w:val="center"/>
          </w:tcPr>
          <w:p w14:paraId="747E0B9E"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Prospective cohort</w:t>
            </w:r>
          </w:p>
        </w:tc>
        <w:tc>
          <w:tcPr>
            <w:tcW w:w="1276" w:type="dxa"/>
            <w:tcBorders>
              <w:top w:val="single" w:sz="4" w:space="0" w:color="auto"/>
              <w:left w:val="nil"/>
              <w:bottom w:val="single" w:sz="4" w:space="0" w:color="auto"/>
              <w:right w:val="nil"/>
            </w:tcBorders>
            <w:shd w:val="clear" w:color="auto" w:fill="auto"/>
            <w:vAlign w:val="center"/>
          </w:tcPr>
          <w:p w14:paraId="2290AEA0"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Nurse's Health Study and Health Professionals Follow-up Study</w:t>
            </w:r>
          </w:p>
        </w:tc>
        <w:tc>
          <w:tcPr>
            <w:tcW w:w="1134" w:type="dxa"/>
            <w:tcBorders>
              <w:top w:val="single" w:sz="4" w:space="0" w:color="auto"/>
              <w:left w:val="nil"/>
              <w:bottom w:val="single" w:sz="4" w:space="0" w:color="auto"/>
              <w:right w:val="nil"/>
            </w:tcBorders>
            <w:shd w:val="clear" w:color="auto" w:fill="auto"/>
            <w:vAlign w:val="center"/>
          </w:tcPr>
          <w:p w14:paraId="2387FE47"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No history of stroke</w:t>
            </w:r>
          </w:p>
        </w:tc>
        <w:tc>
          <w:tcPr>
            <w:tcW w:w="3543" w:type="dxa"/>
            <w:tcBorders>
              <w:top w:val="single" w:sz="4" w:space="0" w:color="auto"/>
              <w:left w:val="nil"/>
              <w:bottom w:val="single" w:sz="4" w:space="0" w:color="auto"/>
              <w:right w:val="nil"/>
            </w:tcBorders>
            <w:shd w:val="clear" w:color="auto" w:fill="auto"/>
            <w:vAlign w:val="center"/>
          </w:tcPr>
          <w:p w14:paraId="3332AE94" w14:textId="1FAA29A4"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8F1453">
              <w:rPr>
                <w:rFonts w:ascii="Calibri" w:hAnsi="Calibri" w:cs="Calibri"/>
                <w:i/>
                <w:iCs/>
                <w:color w:val="000000"/>
                <w:sz w:val="18"/>
                <w:szCs w:val="18"/>
              </w:rPr>
              <w:t>Inclusion:</w:t>
            </w:r>
            <w:r>
              <w:rPr>
                <w:rFonts w:ascii="Calibri" w:hAnsi="Calibri" w:cs="Calibri"/>
                <w:color w:val="000000"/>
                <w:sz w:val="18"/>
                <w:szCs w:val="18"/>
              </w:rPr>
              <w:br/>
              <w:t xml:space="preserve">- female nurses between 30-55 years at </w:t>
            </w:r>
            <w:r w:rsidR="00E73B88">
              <w:rPr>
                <w:rFonts w:ascii="Calibri" w:hAnsi="Calibri" w:cs="Calibri"/>
                <w:color w:val="000000"/>
                <w:sz w:val="18"/>
                <w:szCs w:val="18"/>
              </w:rPr>
              <w:t>enrollment</w:t>
            </w:r>
            <w:r>
              <w:rPr>
                <w:rFonts w:ascii="Calibri" w:hAnsi="Calibri" w:cs="Calibri"/>
                <w:color w:val="000000"/>
                <w:sz w:val="18"/>
                <w:szCs w:val="18"/>
              </w:rPr>
              <w:t>, since year 2000  (Nurse's Health Study);</w:t>
            </w:r>
            <w:r>
              <w:rPr>
                <w:rFonts w:ascii="Calibri" w:hAnsi="Calibri" w:cs="Calibri"/>
                <w:color w:val="000000"/>
                <w:sz w:val="18"/>
                <w:szCs w:val="18"/>
              </w:rPr>
              <w:br/>
              <w:t>- male health care professionals between 40-75  years at enrollment, since 2004 (Health Professionals Follow-up Study)</w:t>
            </w:r>
            <w:r>
              <w:rPr>
                <w:rFonts w:ascii="Calibri" w:hAnsi="Calibri" w:cs="Calibri"/>
                <w:color w:val="000000"/>
                <w:sz w:val="18"/>
                <w:szCs w:val="18"/>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Pr>
                <w:rFonts w:ascii="Calibri" w:hAnsi="Calibri" w:cs="Calibri"/>
                <w:color w:val="000000"/>
                <w:sz w:val="18"/>
                <w:szCs w:val="18"/>
              </w:rPr>
              <w:br/>
              <w:t>- history of stroke or cancer</w:t>
            </w:r>
            <w:r>
              <w:rPr>
                <w:rFonts w:ascii="Calibri" w:hAnsi="Calibri" w:cs="Calibri"/>
                <w:color w:val="000000"/>
                <w:sz w:val="18"/>
                <w:szCs w:val="18"/>
              </w:rPr>
              <w:br/>
              <w:t>-missing data on exposure of interest</w:t>
            </w:r>
          </w:p>
        </w:tc>
        <w:tc>
          <w:tcPr>
            <w:tcW w:w="1559" w:type="dxa"/>
            <w:tcBorders>
              <w:top w:val="single" w:sz="4" w:space="0" w:color="auto"/>
              <w:left w:val="nil"/>
              <w:bottom w:val="single" w:sz="4" w:space="0" w:color="auto"/>
              <w:right w:val="nil"/>
            </w:tcBorders>
            <w:shd w:val="clear" w:color="auto" w:fill="auto"/>
            <w:vAlign w:val="center"/>
          </w:tcPr>
          <w:p w14:paraId="3A6033DD"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Cohort size: 97,503;</w:t>
            </w:r>
            <w:r>
              <w:rPr>
                <w:rFonts w:ascii="Calibri" w:hAnsi="Calibri" w:cs="Calibri"/>
                <w:color w:val="000000"/>
                <w:sz w:val="18"/>
                <w:szCs w:val="18"/>
              </w:rPr>
              <w:br/>
              <w:t>PPI: 9,122;</w:t>
            </w:r>
            <w:r>
              <w:rPr>
                <w:rFonts w:ascii="Calibri" w:hAnsi="Calibri" w:cs="Calibri"/>
                <w:color w:val="000000"/>
                <w:sz w:val="18"/>
                <w:szCs w:val="18"/>
              </w:rPr>
              <w:br/>
              <w:t>no PPI: 88,381;</w:t>
            </w:r>
          </w:p>
        </w:tc>
        <w:tc>
          <w:tcPr>
            <w:tcW w:w="1417" w:type="dxa"/>
            <w:tcBorders>
              <w:top w:val="single" w:sz="4" w:space="0" w:color="auto"/>
              <w:left w:val="nil"/>
              <w:bottom w:val="single" w:sz="4" w:space="0" w:color="auto"/>
              <w:right w:val="nil"/>
            </w:tcBorders>
            <w:shd w:val="clear" w:color="auto" w:fill="auto"/>
            <w:vAlign w:val="center"/>
          </w:tcPr>
          <w:p w14:paraId="17B285CC" w14:textId="03883C33"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69 (8);</w:t>
            </w:r>
            <w:r>
              <w:rPr>
                <w:rFonts w:ascii="Calibri" w:hAnsi="Calibri" w:cs="Calibri"/>
                <w:color w:val="000000"/>
                <w:sz w:val="18"/>
                <w:szCs w:val="18"/>
              </w:rPr>
              <w:br/>
            </w:r>
            <w:r w:rsidR="00E73B88">
              <w:rPr>
                <w:rFonts w:ascii="Calibri" w:hAnsi="Calibri" w:cs="Calibri"/>
                <w:color w:val="000000"/>
                <w:sz w:val="18"/>
                <w:szCs w:val="18"/>
              </w:rPr>
              <w:t>Nurses’</w:t>
            </w:r>
            <w:r>
              <w:rPr>
                <w:rFonts w:ascii="Calibri" w:hAnsi="Calibri" w:cs="Calibri"/>
                <w:color w:val="000000"/>
                <w:sz w:val="18"/>
                <w:szCs w:val="18"/>
              </w:rPr>
              <w:t xml:space="preserve"> Health Study: 65.7 (7.1);</w:t>
            </w:r>
            <w:r>
              <w:rPr>
                <w:rFonts w:ascii="Calibri" w:hAnsi="Calibri" w:cs="Calibri"/>
                <w:color w:val="000000"/>
                <w:sz w:val="18"/>
                <w:szCs w:val="18"/>
              </w:rPr>
              <w:br/>
              <w:t>Health Professionals Follow-up Study: 69.9 (8.6);</w:t>
            </w:r>
          </w:p>
        </w:tc>
        <w:tc>
          <w:tcPr>
            <w:tcW w:w="1262" w:type="dxa"/>
            <w:tcBorders>
              <w:top w:val="single" w:sz="4" w:space="0" w:color="auto"/>
              <w:left w:val="nil"/>
              <w:bottom w:val="single" w:sz="4" w:space="0" w:color="auto"/>
              <w:right w:val="nil"/>
            </w:tcBorders>
            <w:shd w:val="clear" w:color="auto" w:fill="auto"/>
            <w:vAlign w:val="center"/>
          </w:tcPr>
          <w:p w14:paraId="36C394CA"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29.70%</w:t>
            </w:r>
          </w:p>
        </w:tc>
        <w:tc>
          <w:tcPr>
            <w:tcW w:w="1148" w:type="dxa"/>
            <w:tcBorders>
              <w:top w:val="single" w:sz="4" w:space="0" w:color="auto"/>
              <w:left w:val="nil"/>
              <w:bottom w:val="single" w:sz="4" w:space="0" w:color="auto"/>
              <w:right w:val="nil"/>
            </w:tcBorders>
            <w:shd w:val="clear" w:color="auto" w:fill="auto"/>
            <w:vAlign w:val="center"/>
          </w:tcPr>
          <w:p w14:paraId="082FCD46"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7D344D" w:rsidRPr="005C4B89" w14:paraId="7D18EC54" w14:textId="77777777" w:rsidTr="00646369">
        <w:trPr>
          <w:trHeight w:val="855"/>
        </w:trPr>
        <w:tc>
          <w:tcPr>
            <w:tcW w:w="1465" w:type="dxa"/>
            <w:tcBorders>
              <w:top w:val="nil"/>
              <w:left w:val="nil"/>
              <w:bottom w:val="single" w:sz="4" w:space="0" w:color="auto"/>
              <w:right w:val="nil"/>
            </w:tcBorders>
            <w:shd w:val="clear" w:color="auto" w:fill="FFFFFF"/>
            <w:vAlign w:val="center"/>
            <w:hideMark/>
          </w:tcPr>
          <w:p w14:paraId="271490F9"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{"citationItems":[{"id":"ITEM-1","itemData":{"ISSN":"1879-0844","abstract":"AIMS: Proton pump inhibitors (PPIs) produce negative inotropic effects on the human myocardium at clinically relevant plasma concentrations. We conducted this study to determine whether PPI use was associated with excess mortality in patients with both ischaemic and non-ischaemic heart failure (HF)., METHODS AND RESULTS: The impact of PPIs on all-cause mortality was examined using a population-based cohort of Alberta residents over the age of 65 with a diagnosis of HF, logistic regression analysis, and a nested case-control study were used to examine the association between current medication use and mortality. Compared with non-PPI users (n= 15,676, 71% of the HF cohort), PPI users (n= 6431, 29% of the HF cohort) were more likely to be women and had more co-morbidities. Mortality in the first year after diagnosis of HF was 32% (n= 5659) in PPI non-users and 26% (n= 1153) in PPI users. Logistic regression modelling showed that PPI use was associated with a relative reduction in mortality rates compared with non-use [adjusted odds ratio (aOR) = 0.87, 95% confidence interval (CI) 0.81-0.93]. Nested case-control analysis of the 5815 patients who died matched to 9934 controls, revealed that current PPI use was not associated with excess mortality (aOR 0.88, 95%CI 0.77-1.01), while use of angiotensin-converting enzyme inhibitors/angiotensin receptor blocker s (aOR 0.70, 95%CI 0.62-0.79) or beta-blockers (aOR 0.57, 95%CI 0.50-0.66), was associated with a relative reduction in mortality., CONCLUSION: The use of PPIs in patients with HF is common. Despite in vitro concerns about negative inotropic effects with PPIs, there is no association with increased risk of mortality in chronic HF patients who use PPIs in an ambulatory setting.","author":[{"dropping-particle":"","family":"Oudit","given":"Gavin Y","non-dropping-particle":"","parse-names":false,"suffix":""},{"dropping-particle":"","family":"Bakal","given":"Jeffrey A","non-dropping-particle":"","parse-names":false,"suffix":""},{"dropping-particle":"","family":"McAlister","given":"Finlay A","non-dropping-particle":"","parse-names":false,"suffix":""},{"dropping-particle":"","family":"Ezekowitz","given":"Justin A","non-dropping-particle":"","parse-names":false,"suffix":""}],"container-title":"European journal of heart failure","id":"ITEM-1","issue":"11","issued":{"date-parts":[["2011"]]},"note":"561","page":"1211-1215","publisher":"Oudit,Gavin Y. Division of Cardiology, Department of Medicine, Mazankowski Alberta Heart Institute, University of Alberta, 8440-112 Street, Edmonton, Alberta, Canada. gavin.oudit@ualberta.ca","publisher-place":"Netherlands","title":"Use of oral proton pump inhibitors is not associated with harm in patients with chronic heart failure in an ambulatory setting.","type":"article-journal","volume":"13"},"uris":["http://www.mendeley.com/documents/?uuid=6b31d6f7-059d-47e6-bea8-a6541b8ede3a"]}],"mendeley":{"formattedCitation":"(Oudit et al. 2011)","plainTextFormattedCitation":"(Oudit et al. 2011)","previouslyFormattedCitation":"(Oudit et al. 2011)"},"properties":{"noteIndex":0},"schema":"https://github.com/citation-style-language/schema/raw/master/csl-citation.json"}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(Oudit et al. 2011)</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(Canada)</w:t>
            </w:r>
          </w:p>
        </w:tc>
        <w:tc>
          <w:tcPr>
            <w:tcW w:w="1087" w:type="dxa"/>
            <w:tcBorders>
              <w:top w:val="nil"/>
              <w:left w:val="nil"/>
              <w:bottom w:val="single" w:sz="4" w:space="0" w:color="auto"/>
              <w:right w:val="nil"/>
            </w:tcBorders>
            <w:shd w:val="clear" w:color="auto" w:fill="FFFFFF"/>
            <w:vAlign w:val="center"/>
            <w:hideMark/>
          </w:tcPr>
          <w:p w14:paraId="5B0A768C"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analysis)</w:t>
            </w:r>
          </w:p>
        </w:tc>
        <w:tc>
          <w:tcPr>
            <w:tcW w:w="1276" w:type="dxa"/>
            <w:tcBorders>
              <w:top w:val="nil"/>
              <w:left w:val="nil"/>
              <w:bottom w:val="single" w:sz="4" w:space="0" w:color="auto"/>
              <w:right w:val="nil"/>
            </w:tcBorders>
            <w:shd w:val="clear" w:color="auto" w:fill="FFFFFF"/>
            <w:vAlign w:val="center"/>
            <w:hideMark/>
          </w:tcPr>
          <w:p w14:paraId="3B72CDC0"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Ambulatory Care Database, Alberta Inpatient Discharge Abstract Database, Alberta Health Care Insurance Registry, Blue Cross Medication Database</w:t>
            </w:r>
          </w:p>
        </w:tc>
        <w:tc>
          <w:tcPr>
            <w:tcW w:w="1134" w:type="dxa"/>
            <w:tcBorders>
              <w:top w:val="nil"/>
              <w:left w:val="nil"/>
              <w:bottom w:val="single" w:sz="4" w:space="0" w:color="auto"/>
              <w:right w:val="nil"/>
            </w:tcBorders>
            <w:shd w:val="clear" w:color="auto" w:fill="FFFFFF"/>
            <w:vAlign w:val="center"/>
            <w:hideMark/>
          </w:tcPr>
          <w:p w14:paraId="3E4C0003"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Heart failure</w:t>
            </w:r>
          </w:p>
        </w:tc>
        <w:tc>
          <w:tcPr>
            <w:tcW w:w="3543" w:type="dxa"/>
            <w:tcBorders>
              <w:top w:val="nil"/>
              <w:left w:val="nil"/>
              <w:bottom w:val="single" w:sz="4" w:space="0" w:color="auto"/>
              <w:right w:val="nil"/>
            </w:tcBorders>
            <w:shd w:val="clear" w:color="auto" w:fill="FFFFFF"/>
            <w:vAlign w:val="center"/>
            <w:hideMark/>
          </w:tcPr>
          <w:p w14:paraId="04A954F3"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&gt;65 years</w:t>
            </w:r>
            <w:r w:rsidRPr="005C4B89">
              <w:rPr>
                <w:rFonts w:ascii="Calibri" w:eastAsia="Times New Roman" w:hAnsi="Calibri" w:cs="Times New Roman"/>
                <w:color w:val="000000"/>
                <w:sz w:val="18"/>
                <w:szCs w:val="18"/>
                <w:lang w:eastAsia="en-CA"/>
              </w:rPr>
              <w:br/>
              <w:t>- diagnosed with heart failure as most responsible diagnosis between 1 Apr 1, 1999 – Dec 31, 2005</w:t>
            </w:r>
            <w:r w:rsidRPr="005C4B89">
              <w:rPr>
                <w:rFonts w:ascii="Calibri" w:eastAsia="Times New Roman" w:hAnsi="Calibri" w:cs="Times New Roman"/>
                <w:color w:val="000000"/>
                <w:sz w:val="18"/>
                <w:szCs w:val="18"/>
                <w:lang w:eastAsia="en-CA"/>
              </w:rPr>
              <w:br/>
            </w:r>
          </w:p>
        </w:tc>
        <w:tc>
          <w:tcPr>
            <w:tcW w:w="1559" w:type="dxa"/>
            <w:tcBorders>
              <w:top w:val="nil"/>
              <w:left w:val="nil"/>
              <w:bottom w:val="single" w:sz="4" w:space="0" w:color="auto"/>
              <w:right w:val="nil"/>
            </w:tcBorders>
            <w:shd w:val="clear" w:color="auto" w:fill="FFFFFF"/>
            <w:vAlign w:val="center"/>
            <w:hideMark/>
          </w:tcPr>
          <w:p w14:paraId="6F2CAA4B"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22,107</w:t>
            </w:r>
            <w:r w:rsidRPr="005C4B89">
              <w:rPr>
                <w:rFonts w:ascii="Calibri" w:eastAsia="Times New Roman" w:hAnsi="Calibri" w:cs="Times New Roman"/>
                <w:color w:val="000000"/>
                <w:sz w:val="18"/>
                <w:szCs w:val="18"/>
                <w:lang w:eastAsia="en-CA"/>
              </w:rPr>
              <w:br/>
              <w:t>(PPI: 6,431; No PPI: 15,676</w:t>
            </w:r>
          </w:p>
        </w:tc>
        <w:tc>
          <w:tcPr>
            <w:tcW w:w="1417" w:type="dxa"/>
            <w:tcBorders>
              <w:top w:val="nil"/>
              <w:left w:val="nil"/>
              <w:bottom w:val="single" w:sz="4" w:space="0" w:color="auto"/>
              <w:right w:val="nil"/>
            </w:tcBorders>
            <w:shd w:val="clear" w:color="auto" w:fill="FFFFFF"/>
            <w:vAlign w:val="center"/>
            <w:hideMark/>
          </w:tcPr>
          <w:p w14:paraId="1F8DEC0B"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80</w:t>
            </w:r>
            <w:r w:rsidRPr="005C4B89">
              <w:rPr>
                <w:rFonts w:ascii="Calibri" w:eastAsia="Times New Roman" w:hAnsi="Calibri" w:cs="Times New Roman"/>
                <w:color w:val="000000"/>
                <w:sz w:val="18"/>
                <w:szCs w:val="18"/>
                <w:lang w:eastAsia="en-CA"/>
              </w:rPr>
              <w:br/>
              <w:t>no PPI: 81 (median)</w:t>
            </w:r>
          </w:p>
        </w:tc>
        <w:tc>
          <w:tcPr>
            <w:tcW w:w="1262" w:type="dxa"/>
            <w:tcBorders>
              <w:top w:val="nil"/>
              <w:left w:val="nil"/>
              <w:bottom w:val="single" w:sz="4" w:space="0" w:color="auto"/>
              <w:right w:val="nil"/>
            </w:tcBorders>
            <w:shd w:val="clear" w:color="auto" w:fill="FFFFFF"/>
            <w:vAlign w:val="center"/>
            <w:hideMark/>
          </w:tcPr>
          <w:p w14:paraId="22A531F2"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55%</w:t>
            </w:r>
          </w:p>
        </w:tc>
        <w:tc>
          <w:tcPr>
            <w:tcW w:w="1148" w:type="dxa"/>
            <w:tcBorders>
              <w:top w:val="nil"/>
              <w:left w:val="nil"/>
              <w:bottom w:val="single" w:sz="4" w:space="0" w:color="auto"/>
              <w:right w:val="nil"/>
            </w:tcBorders>
            <w:shd w:val="clear" w:color="auto" w:fill="FFFFFF"/>
            <w:vAlign w:val="center"/>
            <w:hideMark/>
          </w:tcPr>
          <w:p w14:paraId="3679E37C"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8F1453" w:rsidRPr="005C4B89" w14:paraId="1DA4B41D" w14:textId="77777777" w:rsidTr="00B30898">
        <w:trPr>
          <w:trHeight w:val="1335"/>
        </w:trPr>
        <w:tc>
          <w:tcPr>
            <w:tcW w:w="1465" w:type="dxa"/>
            <w:tcBorders>
              <w:top w:val="single" w:sz="4" w:space="0" w:color="auto"/>
              <w:left w:val="nil"/>
              <w:bottom w:val="single" w:sz="4" w:space="0" w:color="auto"/>
              <w:right w:val="nil"/>
            </w:tcBorders>
            <w:shd w:val="clear" w:color="auto" w:fill="auto"/>
            <w:vAlign w:val="center"/>
          </w:tcPr>
          <w:p w14:paraId="5EB85BCB" w14:textId="028D74D7"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(Sehested et al 2018)</w:t>
            </w:r>
            <w:r>
              <w:rPr>
                <w:rFonts w:ascii="Calibri" w:hAnsi="Calibri" w:cs="Calibri"/>
                <w:color w:val="000000"/>
                <w:sz w:val="18"/>
                <w:szCs w:val="18"/>
              </w:rPr>
              <w:br/>
              <w:t>(Denmark)</w:t>
            </w:r>
          </w:p>
        </w:tc>
        <w:tc>
          <w:tcPr>
            <w:tcW w:w="1087" w:type="dxa"/>
            <w:tcBorders>
              <w:top w:val="single" w:sz="4" w:space="0" w:color="auto"/>
              <w:left w:val="nil"/>
              <w:bottom w:val="single" w:sz="4" w:space="0" w:color="auto"/>
              <w:right w:val="nil"/>
            </w:tcBorders>
            <w:shd w:val="clear" w:color="auto" w:fill="auto"/>
            <w:vAlign w:val="center"/>
          </w:tcPr>
          <w:p w14:paraId="61A6528F" w14:textId="71D98923"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xml:space="preserve">Retrospective cohort </w:t>
            </w:r>
            <w:r>
              <w:rPr>
                <w:rFonts w:ascii="Calibri" w:hAnsi="Calibri" w:cs="Calibri"/>
                <w:color w:val="000000"/>
                <w:sz w:val="18"/>
                <w:szCs w:val="18"/>
              </w:rPr>
              <w:br/>
              <w:t>(Database analysis)</w:t>
            </w:r>
          </w:p>
        </w:tc>
        <w:tc>
          <w:tcPr>
            <w:tcW w:w="1276" w:type="dxa"/>
            <w:tcBorders>
              <w:top w:val="single" w:sz="4" w:space="0" w:color="auto"/>
              <w:left w:val="nil"/>
              <w:bottom w:val="single" w:sz="4" w:space="0" w:color="auto"/>
              <w:right w:val="nil"/>
            </w:tcBorders>
            <w:shd w:val="clear" w:color="auto" w:fill="auto"/>
            <w:vAlign w:val="center"/>
          </w:tcPr>
          <w:p w14:paraId="44BA33A8" w14:textId="416F087D"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Six nationwide administrative registers</w:t>
            </w:r>
          </w:p>
        </w:tc>
        <w:tc>
          <w:tcPr>
            <w:tcW w:w="1134" w:type="dxa"/>
            <w:tcBorders>
              <w:top w:val="single" w:sz="4" w:space="0" w:color="auto"/>
              <w:left w:val="nil"/>
              <w:bottom w:val="single" w:sz="4" w:space="0" w:color="auto"/>
              <w:right w:val="nil"/>
            </w:tcBorders>
            <w:shd w:val="clear" w:color="auto" w:fill="auto"/>
            <w:vAlign w:val="center"/>
          </w:tcPr>
          <w:p w14:paraId="365C899A" w14:textId="5BA57827"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UGIB</w:t>
            </w:r>
          </w:p>
        </w:tc>
        <w:tc>
          <w:tcPr>
            <w:tcW w:w="3543" w:type="dxa"/>
            <w:tcBorders>
              <w:top w:val="single" w:sz="4" w:space="0" w:color="auto"/>
              <w:left w:val="nil"/>
              <w:bottom w:val="single" w:sz="4" w:space="0" w:color="auto"/>
              <w:right w:val="nil"/>
            </w:tcBorders>
            <w:shd w:val="clear" w:color="auto" w:fill="auto"/>
            <w:vAlign w:val="center"/>
          </w:tcPr>
          <w:p w14:paraId="17179D0F" w14:textId="47AEC6A2" w:rsidR="008F1453" w:rsidRPr="005C4B89" w:rsidRDefault="008F1453" w:rsidP="008F1453">
            <w:pPr>
              <w:spacing w:after="0" w:line="240" w:lineRule="auto"/>
              <w:rPr>
                <w:rFonts w:ascii="Calibri" w:eastAsia="Times New Roman" w:hAnsi="Calibri" w:cs="Times New Roman"/>
                <w:color w:val="000000"/>
                <w:sz w:val="18"/>
                <w:szCs w:val="18"/>
                <w:lang w:eastAsia="en-CA"/>
              </w:rPr>
            </w:pPr>
            <w:r w:rsidRPr="008F1453">
              <w:rPr>
                <w:rFonts w:ascii="Calibri" w:hAnsi="Calibri" w:cs="Calibri"/>
                <w:i/>
                <w:iCs/>
                <w:color w:val="000000"/>
                <w:sz w:val="18"/>
                <w:szCs w:val="18"/>
              </w:rPr>
              <w:t>Inclusion:</w:t>
            </w:r>
            <w:r>
              <w:rPr>
                <w:rFonts w:ascii="Calibri" w:hAnsi="Calibri" w:cs="Calibri"/>
                <w:color w:val="000000"/>
                <w:sz w:val="18"/>
                <w:szCs w:val="18"/>
              </w:rPr>
              <w:br/>
              <w:t>- elective upper endoscopy</w:t>
            </w:r>
            <w:r>
              <w:rPr>
                <w:rFonts w:ascii="Calibri" w:hAnsi="Calibri" w:cs="Calibri"/>
                <w:color w:val="000000"/>
                <w:sz w:val="18"/>
                <w:szCs w:val="18"/>
              </w:rPr>
              <w:br/>
            </w:r>
            <w:r>
              <w:rPr>
                <w:rFonts w:ascii="Calibri" w:hAnsi="Calibri" w:cs="Calibri"/>
                <w:color w:val="000000"/>
                <w:sz w:val="18"/>
                <w:szCs w:val="18"/>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Pr>
                <w:rFonts w:ascii="Calibri" w:hAnsi="Calibri" w:cs="Calibri"/>
                <w:color w:val="000000"/>
                <w:sz w:val="18"/>
                <w:szCs w:val="18"/>
              </w:rPr>
              <w:br/>
              <w:t>- &lt;30 or &gt;100 years of age</w:t>
            </w:r>
            <w:r>
              <w:rPr>
                <w:rFonts w:ascii="Calibri" w:hAnsi="Calibri" w:cs="Calibri"/>
                <w:color w:val="000000"/>
                <w:sz w:val="18"/>
                <w:szCs w:val="18"/>
              </w:rPr>
              <w:br/>
              <w:t>- patients with prior coronary heart disease, stroke,  atherosclerosis of extremities, users of adenosine diphosphate receptor antagonists or dipyridamole.</w:t>
            </w:r>
          </w:p>
        </w:tc>
        <w:tc>
          <w:tcPr>
            <w:tcW w:w="1559" w:type="dxa"/>
            <w:tcBorders>
              <w:top w:val="single" w:sz="4" w:space="0" w:color="auto"/>
              <w:left w:val="nil"/>
              <w:bottom w:val="single" w:sz="4" w:space="0" w:color="auto"/>
              <w:right w:val="nil"/>
            </w:tcBorders>
            <w:shd w:val="clear" w:color="auto" w:fill="auto"/>
            <w:vAlign w:val="center"/>
          </w:tcPr>
          <w:p w14:paraId="7FF10031" w14:textId="6048038F"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Cohort size: 214, 998</w:t>
            </w:r>
          </w:p>
        </w:tc>
        <w:tc>
          <w:tcPr>
            <w:tcW w:w="1417" w:type="dxa"/>
            <w:tcBorders>
              <w:top w:val="single" w:sz="4" w:space="0" w:color="auto"/>
              <w:left w:val="nil"/>
              <w:bottom w:val="single" w:sz="4" w:space="0" w:color="auto"/>
              <w:right w:val="nil"/>
            </w:tcBorders>
            <w:shd w:val="clear" w:color="auto" w:fill="auto"/>
            <w:vAlign w:val="center"/>
          </w:tcPr>
          <w:p w14:paraId="5BA15D66" w14:textId="45BD6023"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PPI nonusers: 53 (median);</w:t>
            </w:r>
            <w:r>
              <w:rPr>
                <w:rFonts w:ascii="Calibri" w:hAnsi="Calibri" w:cs="Calibri"/>
                <w:color w:val="000000"/>
                <w:sz w:val="18"/>
                <w:szCs w:val="18"/>
              </w:rPr>
              <w:br/>
              <w:t>Short-term PPI users: 55 (median);</w:t>
            </w:r>
            <w:r>
              <w:rPr>
                <w:rFonts w:ascii="Calibri" w:hAnsi="Calibri" w:cs="Calibri"/>
                <w:color w:val="000000"/>
                <w:sz w:val="18"/>
                <w:szCs w:val="18"/>
              </w:rPr>
              <w:br/>
              <w:t>long-term PPI users: 59 (median);</w:t>
            </w:r>
          </w:p>
        </w:tc>
        <w:tc>
          <w:tcPr>
            <w:tcW w:w="1262" w:type="dxa"/>
            <w:tcBorders>
              <w:top w:val="single" w:sz="4" w:space="0" w:color="auto"/>
              <w:left w:val="nil"/>
              <w:bottom w:val="single" w:sz="4" w:space="0" w:color="auto"/>
              <w:right w:val="nil"/>
            </w:tcBorders>
            <w:shd w:val="clear" w:color="auto" w:fill="auto"/>
            <w:vAlign w:val="center"/>
          </w:tcPr>
          <w:p w14:paraId="5888E6CC" w14:textId="0D1DFABB"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43.30%</w:t>
            </w:r>
          </w:p>
        </w:tc>
        <w:tc>
          <w:tcPr>
            <w:tcW w:w="1148" w:type="dxa"/>
            <w:tcBorders>
              <w:top w:val="single" w:sz="4" w:space="0" w:color="auto"/>
              <w:left w:val="nil"/>
              <w:bottom w:val="single" w:sz="4" w:space="0" w:color="auto"/>
              <w:right w:val="nil"/>
            </w:tcBorders>
            <w:shd w:val="clear" w:color="auto" w:fill="auto"/>
            <w:vAlign w:val="center"/>
          </w:tcPr>
          <w:p w14:paraId="170B0AA9" w14:textId="52288D82" w:rsidR="008F1453" w:rsidRPr="005C4B89" w:rsidRDefault="008F1453" w:rsidP="008F1453">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9462F4" w:rsidRPr="005C4B89" w14:paraId="0F1A6A40"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7A6F76FB" w14:textId="787D11D2"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{"citationItems":[{"id":"ITEM-1","itemData":{"DOI":"10.1371/journal.pone.0124653","ISSN":"1932-6203","PMID":"26061035","abstract":"BACKGROUND AND AIMS Proton pump inhibitors (PPIs) have been associated with adverse clinical outcomes amongst clopidogrel users after an acute coronary syndrome. Recent pre-clinical results suggest that this risk might extend to subjects without any prior history of cardiovascular disease. We explore this potential risk in the general population via data-mining approaches. METHODS Using a novel approach for mining clinical data for pharmacovigilance, we queried over 16 million clinical documents on 2.9 million individuals to examine whether PPI usage was associated with cardiovascular risk in the general population. RESULTS In multiple data sources, we found gastroesophageal reflux disease (GERD) patients exposed to PPIs to have a 1.16 fold increased association (95% CI 1.09-1.24) with myocardial infarction (MI). Survival analysis in a prospective cohort found a two-fold (HR = 2.00; 95% CI 1.07-3.78; P = 0.031) increase in association with cardiovascular mortality. We found that this association exists regardless of clopidogrel use. We also found that H2 blockers, an alternate treatment for GERD, were not associated with increased cardiovascular risk; had they been in place, such pharmacovigilance algorithms could have flagged this risk as early as the year 2000. CONCLUSIONS Consistent with our pre-clinical findings that PPIs may adversely impact vascular function, our data-mining study supports the association of PPI exposure with risk for MI in the general population. These data provide an example of how a combination of experimental studies and data-mining approaches can be applied to prioritize drug safety signals for further investigation.","author":[{"dropping-particle":"","family":"Shah","given":"Nigam H","non-dropping-particle":"","parse-names":false,"suffix":""},{"dropping-particle":"","family":"LePendu","given":"Paea","non-dropping-particle":"","parse-names":false,"suffix":""},{"dropping-particle":"","family":"Bauer-Mehren","given":"Anna","non-dropping-particle":"","parse-names":false,"suffix":""},{"dropping-particle":"","family":"Ghebremariam","given":"Yohannes T","non-dropping-particle":"","parse-names":false,"suffix":""},{"dropping-particle":"V","family":"Iyer","given":"Srinivasan","non-dropping-particle":"","parse-names":false,"suffix":""},{"dropping-particle":"","family":"Marcus","given":"Jake","non-dropping-particle":"","parse-names":false,"suffix":""},{"dropping-particle":"","family":"Nead","given":"Kevin T","non-dropping-particle":"","parse-names":false,"suffix":""},{"dropping-particle":"","family":"Cooke","given":"John P","non-dropping-particle":"","parse-names":false,"suffix":""},{"dropping-particle":"","family":"Leeper","given":"Nicholas J","non-dropping-particle":"","parse-names":false,"suffix":""}],"container-title":"PloS one","id":"ITEM-1","issue":"6","issued":{"date-parts":[["2015"]]},"page":"e0124653","publisher":"Public Library of Science","title":"Proton Pump Inhibitor Usage and the Risk of Myocardial Infarction in the General Population.","type":"article-journal","volume":"10"},"uris":["http://www.mendeley.com/documents/?uuid=6eab5f74-e038-3bc6-94db-fb15d50426c2"]}],"mendeley":{"formattedCitation":"(Shah et al. 2015)","plainTextFormattedCitation":"(Shah et al. 2015)","previouslyFormattedCitation":"(Shah et al. 2015)"},"properties":{"noteIndex":0},"schema":"https://github.com/citation-style-language/schema/raw/master/csl-citation.json"}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(Shah et al. 2015)</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(USA)</w:t>
            </w:r>
          </w:p>
        </w:tc>
        <w:tc>
          <w:tcPr>
            <w:tcW w:w="1087" w:type="dxa"/>
            <w:tcBorders>
              <w:top w:val="nil"/>
              <w:left w:val="nil"/>
              <w:bottom w:val="single" w:sz="4" w:space="0" w:color="auto"/>
              <w:right w:val="nil"/>
            </w:tcBorders>
            <w:shd w:val="clear" w:color="auto" w:fill="FFFFFF"/>
            <w:vAlign w:val="center"/>
            <w:hideMark/>
          </w:tcPr>
          <w:p w14:paraId="21347A0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Prospective cohort</w:t>
            </w:r>
            <w:r w:rsidRPr="005C4B89">
              <w:rPr>
                <w:rFonts w:ascii="Calibri" w:eastAsia="Times New Roman" w:hAnsi="Calibri" w:cs="Times New Roman"/>
                <w:color w:val="000000"/>
                <w:sz w:val="18"/>
                <w:szCs w:val="18"/>
                <w:lang w:eastAsia="en-CA"/>
              </w:rPr>
              <w:br/>
              <w:t>(medical centers)</w:t>
            </w:r>
          </w:p>
        </w:tc>
        <w:tc>
          <w:tcPr>
            <w:tcW w:w="1276" w:type="dxa"/>
            <w:tcBorders>
              <w:top w:val="nil"/>
              <w:left w:val="nil"/>
              <w:bottom w:val="single" w:sz="4" w:space="0" w:color="auto"/>
              <w:right w:val="nil"/>
            </w:tcBorders>
            <w:shd w:val="clear" w:color="auto" w:fill="FFFFFF"/>
            <w:vAlign w:val="center"/>
            <w:hideMark/>
          </w:tcPr>
          <w:p w14:paraId="753A990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GenePAD cohort (the Genetic Determinants of Peripheral </w:t>
            </w:r>
            <w:r w:rsidRPr="005C4B89">
              <w:rPr>
                <w:rFonts w:ascii="Calibri" w:eastAsia="Times New Roman" w:hAnsi="Calibri" w:cs="Times New Roman"/>
                <w:color w:val="000000"/>
                <w:sz w:val="18"/>
                <w:szCs w:val="18"/>
                <w:lang w:eastAsia="en-CA"/>
              </w:rPr>
              <w:lastRenderedPageBreak/>
              <w:t xml:space="preserve">Arterial Disease) </w:t>
            </w:r>
          </w:p>
        </w:tc>
        <w:tc>
          <w:tcPr>
            <w:tcW w:w="1134" w:type="dxa"/>
            <w:tcBorders>
              <w:top w:val="nil"/>
              <w:left w:val="nil"/>
              <w:bottom w:val="single" w:sz="4" w:space="0" w:color="auto"/>
              <w:right w:val="nil"/>
            </w:tcBorders>
            <w:shd w:val="clear" w:color="auto" w:fill="FFFFFF"/>
            <w:vAlign w:val="center"/>
            <w:hideMark/>
          </w:tcPr>
          <w:p w14:paraId="640DF271" w14:textId="77777777" w:rsidR="009462F4" w:rsidRPr="005C4B89" w:rsidRDefault="009462F4">
            <w:pPr>
              <w:spacing w:after="0" w:line="240" w:lineRule="auto"/>
              <w:rPr>
                <w:rFonts w:ascii="Calibri" w:eastAsia="Times New Roman" w:hAnsi="Calibri" w:cs="Times New Roman"/>
                <w:sz w:val="18"/>
                <w:szCs w:val="18"/>
                <w:lang w:eastAsia="en-CA"/>
              </w:rPr>
            </w:pPr>
            <w:r w:rsidRPr="005C4B89">
              <w:rPr>
                <w:rFonts w:ascii="Calibri" w:eastAsia="Times New Roman" w:hAnsi="Calibri" w:cs="Times New Roman"/>
                <w:sz w:val="18"/>
                <w:szCs w:val="18"/>
                <w:lang w:eastAsia="en-CA"/>
              </w:rPr>
              <w:lastRenderedPageBreak/>
              <w:t xml:space="preserve">Shortness of breath or abnormal stress test and </w:t>
            </w:r>
            <w:r w:rsidRPr="005C4B89">
              <w:rPr>
                <w:rFonts w:ascii="Calibri" w:eastAsia="Times New Roman" w:hAnsi="Calibri" w:cs="Times New Roman"/>
                <w:sz w:val="18"/>
                <w:szCs w:val="18"/>
                <w:lang w:eastAsia="en-CA"/>
              </w:rPr>
              <w:lastRenderedPageBreak/>
              <w:t>underwent coronary angiogram</w:t>
            </w:r>
          </w:p>
        </w:tc>
        <w:tc>
          <w:tcPr>
            <w:tcW w:w="3543" w:type="dxa"/>
            <w:tcBorders>
              <w:top w:val="nil"/>
              <w:left w:val="nil"/>
              <w:bottom w:val="single" w:sz="4" w:space="0" w:color="auto"/>
              <w:right w:val="nil"/>
            </w:tcBorders>
            <w:shd w:val="clear" w:color="auto" w:fill="FFFFFF"/>
            <w:vAlign w:val="center"/>
            <w:hideMark/>
          </w:tcPr>
          <w:p w14:paraId="061AC2C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lastRenderedPageBreak/>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underwent non-emergent coronary angiogram for angina, shortness of breath or an abnormal stress test at one of the medical enters</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lastRenderedPageBreak/>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xml:space="preserve">- History of radiation treatment, organ transplant or viral diseases </w:t>
            </w:r>
          </w:p>
        </w:tc>
        <w:tc>
          <w:tcPr>
            <w:tcW w:w="1559" w:type="dxa"/>
            <w:tcBorders>
              <w:top w:val="nil"/>
              <w:left w:val="nil"/>
              <w:bottom w:val="single" w:sz="4" w:space="0" w:color="auto"/>
              <w:right w:val="nil"/>
            </w:tcBorders>
            <w:shd w:val="clear" w:color="auto" w:fill="FFFFFF"/>
            <w:vAlign w:val="center"/>
            <w:hideMark/>
          </w:tcPr>
          <w:p w14:paraId="4BAF0B15" w14:textId="77777777" w:rsidR="009462F4" w:rsidRPr="005C4B89" w:rsidRDefault="009462F4">
            <w:pPr>
              <w:spacing w:after="0" w:line="240" w:lineRule="auto"/>
              <w:jc w:val="right"/>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1,503</w:t>
            </w:r>
          </w:p>
        </w:tc>
        <w:tc>
          <w:tcPr>
            <w:tcW w:w="1417" w:type="dxa"/>
            <w:tcBorders>
              <w:top w:val="nil"/>
              <w:left w:val="nil"/>
              <w:bottom w:val="single" w:sz="4" w:space="0" w:color="auto"/>
              <w:right w:val="nil"/>
            </w:tcBorders>
            <w:shd w:val="clear" w:color="auto" w:fill="FFFFFF"/>
            <w:vAlign w:val="center"/>
            <w:hideMark/>
          </w:tcPr>
          <w:p w14:paraId="154906B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66 (11)</w:t>
            </w:r>
          </w:p>
        </w:tc>
        <w:tc>
          <w:tcPr>
            <w:tcW w:w="1262" w:type="dxa"/>
            <w:tcBorders>
              <w:top w:val="nil"/>
              <w:left w:val="nil"/>
              <w:bottom w:val="single" w:sz="4" w:space="0" w:color="auto"/>
              <w:right w:val="nil"/>
            </w:tcBorders>
            <w:shd w:val="clear" w:color="auto" w:fill="FFFFFF"/>
            <w:noWrap/>
            <w:vAlign w:val="center"/>
            <w:hideMark/>
          </w:tcPr>
          <w:p w14:paraId="2D93450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65%</w:t>
            </w:r>
          </w:p>
        </w:tc>
        <w:tc>
          <w:tcPr>
            <w:tcW w:w="1148" w:type="dxa"/>
            <w:tcBorders>
              <w:top w:val="nil"/>
              <w:left w:val="nil"/>
              <w:bottom w:val="single" w:sz="4" w:space="0" w:color="auto"/>
              <w:right w:val="nil"/>
            </w:tcBorders>
            <w:shd w:val="clear" w:color="auto" w:fill="FFFFFF"/>
            <w:vAlign w:val="center"/>
            <w:hideMark/>
          </w:tcPr>
          <w:p w14:paraId="05CC711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Caucasian, Asian, African American, </w:t>
            </w:r>
            <w:r w:rsidRPr="005C4B89">
              <w:rPr>
                <w:rFonts w:ascii="Calibri" w:eastAsia="Times New Roman" w:hAnsi="Calibri" w:cs="Times New Roman"/>
                <w:color w:val="000000"/>
                <w:sz w:val="18"/>
                <w:szCs w:val="18"/>
                <w:lang w:eastAsia="en-CA"/>
              </w:rPr>
              <w:lastRenderedPageBreak/>
              <w:t>Hispanic, Other</w:t>
            </w:r>
          </w:p>
        </w:tc>
      </w:tr>
      <w:tr w:rsidR="009462F4" w:rsidRPr="005C4B89" w14:paraId="18CA212B"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45F7F2F4" w14:textId="4EB0D18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fldChar w:fldCharType="begin" w:fldLock="1"/>
            </w:r>
            <w:r w:rsidR="00D325C7">
              <w:rPr>
                <w:rFonts w:ascii="Calibri" w:eastAsia="Times New Roman" w:hAnsi="Calibri" w:cs="Times New Roman"/>
                <w:color w:val="000000"/>
                <w:sz w:val="18"/>
                <w:szCs w:val="18"/>
                <w:lang w:eastAsia="en-CA"/>
              </w:rPr>
              <w:instrText>ADDIN CSL_CITATION {"citationItems":[{"id":"ITEM-1","itemData":{"ISSN":"1874-1754","abstract":"BACKGROUND: There is substantial debate regarding the development of acute coronary syndrome in patients using proton pump inhibitors (PPIs) combined with clopidogrel. However, data remain limited to address the effect of PPIs alone on the subsequent risk of myocardial infarction (MI). We aimed to explore the subsequent risk of MI in PPI users who had no previous history of MI., METHODS: The records of inpatients and outpatients with PPI prescriptions were retrieved from the Taiwan National Health Insurance Research Database between 2000 and 2009. We conducted two different study designs, the first using propensity score (PS)-matching analyses and the second using case-crossover analyses. The risk of developing MI for PPI users was analyzed in the PS-matched study. The association between risk of MI and prior PPI exposure was further validated in the case-crossover study., RESULTS: In the PS-matched study, we included 126,367 PPI users and 126,367 PS-matched PPI non-users. After 120 days of follow-up, PPI use was associated with a 1.58-fold greater risk of MI (adjusted hazard ratio [HR] = 1.58, 95% confidence interval [CI] = 1.11 to 2.25). In the case-crossover study, adjusted odds ratios of PPI for MI risk were 4.61 (95% CI = 1.76 to 12.07) for the 7-day window and 3.47 (95% CI = 1.76 to 6.83) for the 14-day window., CONCLUSIONS: Use of PPIs may be independently associated with an increased risk of MI. However, the benefits of PPIs may greatly outweigh the risks of adverse cardiovascular effects, with number needed to harm of 4357.Copyright © 2014 Elsevier Ireland Ltd. All rights reserved.","author":[{"dropping-particle":"","family":"Shih","given":"Chia-Jen","non-dropping-particle":"","parse-names":false,"suffix":""},{"dropping-particle":"","family":"Chen","given":"Yung-Tai","non-dropping-particle":"","parse-names":false,"suffix":""},{"dropping-particle":"","family":"Ou","given":"Shuo-Ming","non-dropping-particle":"","parse-names":false,"suffix":""},{"dropping-particle":"","family":"Li","given":"Szu-Yuan","non-dropping-particle":"","parse-names":false,"suffix":""},{"dropping-particle":"","family":"Chen","given":"Tzeng-Ji","non-dropping-particle":"","parse-names":false,"suffix":""},{"dropping-particle":"","family":"Wang","given":"Shuu-Jiun","non-dropping-particle":"","parse-names":false,"suffix":""}],"container-title":"International journal of cardiology","id":"ITEM-1","issue":"1","issued":{"date-parts":[["2014"]]},"note":"103","page":"292-297","publisher":"Shih,Chia-Jen. Department of Medicine, Taipei Veterans General Hospital, Yuanshan Branch, Yilan, Taiwan; School of Medicine, National Yang-Ming University, Taipei, Taiwan.","publisher-place":"Netherlands","title":"Proton pump inhibitor use represents an independent risk factor for myocardial infarction.","type":"article-journal","volume":"177"},"uris":["http://www.mendeley.com/documents/?uuid=cd2c7d11-bfbc-4cc2-9a87-b9374ffd5d7a"]}],"mendeley":{"formattedCitation":"(Shih et al. 2014)","plainTextFormattedCitation":"(Shih et al. 2014)","previouslyFormattedCitation":"(Shih et al. 2014)"},"properties":{"noteIndex":0},"schema":"https://github.com/citation-style-language/schema/raw/master/csl-citation.json"}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(Shih et al. 2014)</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(Taiwan)</w:t>
            </w:r>
          </w:p>
        </w:tc>
        <w:tc>
          <w:tcPr>
            <w:tcW w:w="1087" w:type="dxa"/>
            <w:tcBorders>
              <w:top w:val="nil"/>
              <w:left w:val="nil"/>
              <w:bottom w:val="single" w:sz="4" w:space="0" w:color="auto"/>
              <w:right w:val="nil"/>
            </w:tcBorders>
            <w:shd w:val="clear" w:color="auto" w:fill="FFFFFF"/>
            <w:vAlign w:val="center"/>
            <w:hideMark/>
          </w:tcPr>
          <w:p w14:paraId="543062C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Retrospective cohort </w:t>
            </w:r>
            <w:r w:rsidRPr="005C4B89">
              <w:rPr>
                <w:rFonts w:ascii="Calibri" w:eastAsia="Times New Roman" w:hAnsi="Calibri" w:cs="Times New Roman"/>
                <w:color w:val="000000"/>
                <w:sz w:val="18"/>
                <w:szCs w:val="18"/>
                <w:lang w:eastAsia="en-CA"/>
              </w:rPr>
              <w:br/>
              <w:t>(database analysis)</w:t>
            </w:r>
          </w:p>
        </w:tc>
        <w:tc>
          <w:tcPr>
            <w:tcW w:w="1276" w:type="dxa"/>
            <w:tcBorders>
              <w:top w:val="nil"/>
              <w:left w:val="nil"/>
              <w:bottom w:val="single" w:sz="4" w:space="0" w:color="auto"/>
              <w:right w:val="nil"/>
            </w:tcBorders>
            <w:shd w:val="clear" w:color="auto" w:fill="FFFFFF"/>
            <w:vAlign w:val="center"/>
            <w:hideMark/>
          </w:tcPr>
          <w:p w14:paraId="5F4ACBA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Longitudinal Health Insurance Database (Taiwan)</w:t>
            </w:r>
          </w:p>
        </w:tc>
        <w:tc>
          <w:tcPr>
            <w:tcW w:w="1134" w:type="dxa"/>
            <w:tcBorders>
              <w:top w:val="nil"/>
              <w:left w:val="nil"/>
              <w:bottom w:val="single" w:sz="4" w:space="0" w:color="auto"/>
              <w:right w:val="nil"/>
            </w:tcBorders>
            <w:shd w:val="clear" w:color="auto" w:fill="FFFFFF"/>
            <w:vAlign w:val="center"/>
            <w:hideMark/>
          </w:tcPr>
          <w:p w14:paraId="5373B19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On PPIs</w:t>
            </w:r>
          </w:p>
        </w:tc>
        <w:tc>
          <w:tcPr>
            <w:tcW w:w="3543" w:type="dxa"/>
            <w:tcBorders>
              <w:top w:val="nil"/>
              <w:left w:val="nil"/>
              <w:bottom w:val="single" w:sz="4" w:space="0" w:color="auto"/>
              <w:right w:val="nil"/>
            </w:tcBorders>
            <w:shd w:val="clear" w:color="auto" w:fill="FFFFFF"/>
            <w:vAlign w:val="center"/>
            <w:hideMark/>
          </w:tcPr>
          <w:p w14:paraId="186FD0B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PPI prescription during ambulatory visits between 2000 and 2009</w:t>
            </w:r>
            <w:r w:rsidRPr="005C4B89">
              <w:rPr>
                <w:rFonts w:ascii="Calibri" w:eastAsia="Times New Roman" w:hAnsi="Calibri" w:cs="Times New Roman"/>
                <w:color w:val="000000"/>
                <w:sz w:val="18"/>
                <w:szCs w:val="18"/>
                <w:lang w:eastAsia="en-CA"/>
              </w:rPr>
              <w:br/>
              <w:t>- 18-80 years</w:t>
            </w:r>
            <w:r w:rsidRPr="005C4B89">
              <w:rPr>
                <w:rFonts w:ascii="Calibri" w:eastAsia="Times New Roman" w:hAnsi="Calibri" w:cs="Times New Roman"/>
                <w:color w:val="000000"/>
                <w:sz w:val="18"/>
                <w:szCs w:val="18"/>
                <w:lang w:eastAsia="en-CA"/>
              </w:rPr>
              <w:br/>
              <w:t xml:space="preserve">- no history of MI, acquired immunodeficiency syndrome, HIV infection, or cancer before PPI prescription </w:t>
            </w:r>
            <w:r w:rsidRPr="005C4B89">
              <w:rPr>
                <w:rFonts w:ascii="Calibri" w:eastAsia="Times New Roman" w:hAnsi="Calibri" w:cs="Times New Roman"/>
                <w:color w:val="000000"/>
                <w:sz w:val="18"/>
                <w:szCs w:val="18"/>
                <w:lang w:eastAsia="en-CA"/>
              </w:rPr>
              <w:br/>
              <w:t>- no prior PPI prescription within 120 days</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prescription of PPI within 60 days after an episode of severe UGI bleeding that needed hospitalization, blood transfusion, or inotropic agent</w:t>
            </w:r>
          </w:p>
        </w:tc>
        <w:tc>
          <w:tcPr>
            <w:tcW w:w="1559" w:type="dxa"/>
            <w:tcBorders>
              <w:top w:val="nil"/>
              <w:left w:val="nil"/>
              <w:bottom w:val="single" w:sz="4" w:space="0" w:color="auto"/>
              <w:right w:val="nil"/>
            </w:tcBorders>
            <w:shd w:val="clear" w:color="auto" w:fill="FFFFFF"/>
            <w:vAlign w:val="center"/>
            <w:hideMark/>
          </w:tcPr>
          <w:p w14:paraId="14A7739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252,734</w:t>
            </w:r>
            <w:r w:rsidRPr="005C4B89">
              <w:rPr>
                <w:rFonts w:ascii="Calibri" w:eastAsia="Times New Roman" w:hAnsi="Calibri" w:cs="Times New Roman"/>
                <w:color w:val="000000"/>
                <w:sz w:val="18"/>
                <w:szCs w:val="18"/>
                <w:lang w:eastAsia="en-CA"/>
              </w:rPr>
              <w:br/>
              <w:t>(PPI: 126,367; No PPI: 126,367)</w:t>
            </w:r>
          </w:p>
        </w:tc>
        <w:tc>
          <w:tcPr>
            <w:tcW w:w="1417" w:type="dxa"/>
            <w:tcBorders>
              <w:top w:val="nil"/>
              <w:left w:val="nil"/>
              <w:bottom w:val="single" w:sz="4" w:space="0" w:color="auto"/>
              <w:right w:val="nil"/>
            </w:tcBorders>
            <w:shd w:val="clear" w:color="auto" w:fill="FFFFFF"/>
            <w:vAlign w:val="center"/>
            <w:hideMark/>
          </w:tcPr>
          <w:p w14:paraId="770A6A0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49 (15)</w:t>
            </w:r>
            <w:r w:rsidRPr="005C4B89">
              <w:rPr>
                <w:rFonts w:ascii="Calibri" w:eastAsia="Times New Roman" w:hAnsi="Calibri" w:cs="Times New Roman"/>
                <w:color w:val="000000"/>
                <w:sz w:val="18"/>
                <w:szCs w:val="18"/>
                <w:lang w:eastAsia="en-CA"/>
              </w:rPr>
              <w:br/>
              <w:t>no PPI: 49 (15)</w:t>
            </w:r>
          </w:p>
        </w:tc>
        <w:tc>
          <w:tcPr>
            <w:tcW w:w="1262" w:type="dxa"/>
            <w:tcBorders>
              <w:top w:val="nil"/>
              <w:left w:val="nil"/>
              <w:bottom w:val="single" w:sz="4" w:space="0" w:color="auto"/>
              <w:right w:val="nil"/>
            </w:tcBorders>
            <w:shd w:val="clear" w:color="auto" w:fill="FFFFFF"/>
            <w:vAlign w:val="center"/>
            <w:hideMark/>
          </w:tcPr>
          <w:p w14:paraId="659195C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51%</w:t>
            </w:r>
          </w:p>
        </w:tc>
        <w:tc>
          <w:tcPr>
            <w:tcW w:w="1148" w:type="dxa"/>
            <w:tcBorders>
              <w:top w:val="nil"/>
              <w:left w:val="nil"/>
              <w:bottom w:val="single" w:sz="4" w:space="0" w:color="auto"/>
              <w:right w:val="nil"/>
            </w:tcBorders>
            <w:shd w:val="clear" w:color="auto" w:fill="FFFFFF"/>
            <w:vAlign w:val="center"/>
            <w:hideMark/>
          </w:tcPr>
          <w:p w14:paraId="1D2B14D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5BD9694F"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4449E5BA" w14:textId="3B4BD3AB"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{"citationItems":[{"id":"ITEM-1","itemData":{"ISBN":"0009-7322","ISSN":"1524-4539","abstract":"Background-Clopidogrel requires metabolic activation by cytochrome P450 2C19 (CYP2C19). Proton pump inhibitors (PPIs) that inhibit CYP2C19 are commonly coadministered with clopidogrel to reduce the risk of gastrointestinal bleeding. This analysis compares treatment outcomes for patients in the French Registry of Acute ST-Elevation and Non-ST-Elevation Myocardial Infarction (FAST-MI) who did or did not receive clopidogrel and/or PPIs. Methods and Results-The FAST-MI registry included 3670 patients (2744 clopidogrel- and PPI-naive patients) presenting with definite MI. Patients were categorized according to use of clopidogrel and/or PPI within 48 hours after hospital admission. PPI use was not associated with an increased risk for any of the main in-hospital events (in-hospital survival, reinfarction, stroke, bleeding, and transfusion). Likewise, PPI treatment was not an independent predictor of 1-year survival (hazard ratio, 0.97; 95% confidence interval [CI], 0.87 to 1.08; P=0.57) or 1-year MI, stroke, or death (hazard ratio, 0.98; 95% CI, 0.90 to 1.08; P=0.72). No differences were seen when the type of PPI or CYP2C19 genotype was taken into account. In the propensity-matched cohorts, the odds ratios for major in-hospital events in PPI versus no PPI were 0.29 (95% CI, 0.06 to 1.44) and 1.70 (95% CI, 0.10 to 30.3) for patients with 1 and 2 variant alleles, respectively. Similarly, the hazard ratio for 1-year events in hospital survivors was 0.68 (95% CI, 0.26 to 1.79) and 0.55 (95% CI, 0.06 to 5.30), respectively. Conclusion-PPI use was not associated with an increased risk of cardiovascular events or mortality in patients administered clopidogrel for recent MI, whatever the CYP2C19 genotype, although harm could not be formally excluded in patients with 2 loss-of-function alleles. © 2011 American Heart Association, Inc.","author":[{"dropping-particle":"","family":"Simon","given":"Tabassome","non-dropping-particle":"","parse-names":false,"suffix":""},{"dropping-particle":"","family":"Steg","given":"Philippe Gabriel","non-dropping-particle":"","parse-names":false,"suffix":""},{"dropping-particle":"","family":"Gilard","given":"Martine","non-dropping-particle":"","parse-names":false,"suffix":""},{"dropping-particle":"","family":"Blanchard","given":"Didier","non-dropping-particle":"","parse-names":false,"suffix":""},{"dropping-particle":"","family":"Bonello","given":"Laurent","non-dropping-particle":"","parse-names":false,"suffix":""},{"dropping-particle":"","family":"Hanssen","given":"Michel","non-dropping-particle":"","parse-names":false,"suffix":""},{"dropping-particle":"","family":"Lardoux","given":"Herve","non-dropping-particle":"","parse-names":false,"suffix":""},{"dropping-particle":"","family":"Coste","given":"Pierre","non-dropping-particle":"","parse-names":false,"suffix":""},{"dropping-particle":"","family":"Lefevre","given":"Thierry","non-dropping-particle":"","parse-names":false,"suffix":""},{"dropping-particle":"","family":"Drouet","given":"Elodie","non-dropping-particle":"","parse-names":false,"suffix":""},{"dropping-particle":"","family":"Mulak","given":"Genevieve","non-dropping-particle":"","parse-names":false,"suffix":""},{"dropping-particle":"","family":"Bataille","given":"Vincent","non-dropping-particle":"","parse-names":false,"suffix":""},{"dropping-particle":"","family":"Ferrieres","given":"Jean","non-dropping-particle":"","parse-names":false,"suffix":""},{"dropping-particle":"","family":"Verstuyft","given":"Celine","non-dropping-particle":"","parse-names":false,"suffix":""},{"dropping-particle":"","family":"Danchin","given":"Nicolas","non-dropping-particle":"","parse-names":false,"suffix":""}],"container-title":"Circulation","id":"ITEM-1","issue":"5","issued":{"date-parts":[["2011"]]},"note":"548\n\nFrom Duplicate 1 (Clinical events as a function of proton pump inhibitor use, clopidogrel use, and cytochrome P450 2C19 genotype in a large nationwide cohort of acute myocardial infarction: results from the French Registry of Acute ST-Elevation and Non-ST-Elevation Myocardial Infarction (FAST-MI) registry. - Simon, Tabassome; Steg, Philippe Gabriel; Gilard, Martine; Blanchard, Didier; Bonello, Laurent; Hanssen, Michel; Lardoux, Herve; Coste, Pierre; Lefevre, Thierry; Drouet, Elodie; Mulak, Genevieve; Bataille, Vincent; Ferrieres, Jean; Verstuyft, Celine; Danchin, Nicolas)\n\nComment in: Circulation. 2011 Sep 13;124(11):e297; PMID: 21911791, Comment in: Circulation. 2011 Feb 8;123(5):468-70; PMID: 21262991","page":"474-482","publisher":"Simon,Tabassome. Department of Pharmacology, Clinical Research Unit, APHP, St. Antoine Hospital, UMPC-Paris 06 University, 27 Rue Chaligny, Paris, France. tabassome.simon@sat.aphp.fr","publisher-place":"T. Simon, Department of Pharmacology, St. Antoine Hospital, Paris 06 University, 27 Rue Chaligny, 75012, Paris, France. E-mail: tabassome.simon@sat.aphp.fr","title":"Clinical events as a function of proton pump inhibitor use, clopidogrel use, and cytochrome P450 2C19 genotype in a large nationwide cohort of acute myocardial infarction: results from the French Registry of Acute ST-Elevation and Non-ST-Elevation Myocard","type":"article-journal","volume":"123"},"uris":["http://www.mendeley.com/documents/?uuid=512b8704-9b8f-4f71-afc3-3647a3c4953d"]}],"mendeley":{"formattedCitation":"(Simon et al. 2011)","plainTextFormattedCitation":"(Simon et al. 2011)","previouslyFormattedCitation":"(Simon et al. 2011)"},"properties":{"noteIndex":0},"schema":"https://github.com/citation-style-language/schema/raw/master/csl-citation.json"}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(Simon et al. 2011)</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t xml:space="preserve"> </w:t>
            </w:r>
            <w:r w:rsidRPr="005C4B89">
              <w:rPr>
                <w:rFonts w:ascii="Calibri" w:eastAsia="Times New Roman" w:hAnsi="Calibri" w:cs="Times New Roman"/>
                <w:color w:val="000000"/>
                <w:sz w:val="18"/>
                <w:szCs w:val="18"/>
                <w:lang w:eastAsia="en-CA"/>
              </w:rPr>
              <w:br/>
              <w:t>(France)</w:t>
            </w:r>
          </w:p>
        </w:tc>
        <w:tc>
          <w:tcPr>
            <w:tcW w:w="1087" w:type="dxa"/>
            <w:tcBorders>
              <w:top w:val="nil"/>
              <w:left w:val="nil"/>
              <w:bottom w:val="single" w:sz="4" w:space="0" w:color="auto"/>
              <w:right w:val="nil"/>
            </w:tcBorders>
            <w:shd w:val="clear" w:color="auto" w:fill="FFFFFF"/>
            <w:vAlign w:val="center"/>
            <w:hideMark/>
          </w:tcPr>
          <w:p w14:paraId="61FEE7A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(Hospitals and private clinics with ICU - 223 centers)</w:t>
            </w:r>
          </w:p>
        </w:tc>
        <w:tc>
          <w:tcPr>
            <w:tcW w:w="1276" w:type="dxa"/>
            <w:tcBorders>
              <w:top w:val="nil"/>
              <w:left w:val="nil"/>
              <w:bottom w:val="single" w:sz="4" w:space="0" w:color="auto"/>
              <w:right w:val="nil"/>
            </w:tcBorders>
            <w:shd w:val="clear" w:color="auto" w:fill="FFFFFF"/>
            <w:vAlign w:val="center"/>
            <w:hideMark/>
          </w:tcPr>
          <w:p w14:paraId="0B09349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French Registry of Acute ST-Elevation and Non–ST-Elevation Myocardial Infarction (FAST-MI) Registry</w:t>
            </w:r>
          </w:p>
        </w:tc>
        <w:tc>
          <w:tcPr>
            <w:tcW w:w="1134" w:type="dxa"/>
            <w:tcBorders>
              <w:top w:val="nil"/>
              <w:left w:val="nil"/>
              <w:bottom w:val="single" w:sz="4" w:space="0" w:color="auto"/>
              <w:right w:val="nil"/>
            </w:tcBorders>
            <w:shd w:val="clear" w:color="auto" w:fill="FFFFFF"/>
            <w:vAlign w:val="center"/>
            <w:hideMark/>
          </w:tcPr>
          <w:p w14:paraId="7B33D05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MI</w:t>
            </w:r>
          </w:p>
        </w:tc>
        <w:tc>
          <w:tcPr>
            <w:tcW w:w="3543" w:type="dxa"/>
            <w:tcBorders>
              <w:top w:val="nil"/>
              <w:left w:val="nil"/>
              <w:bottom w:val="single" w:sz="4" w:space="0" w:color="auto"/>
              <w:right w:val="nil"/>
            </w:tcBorders>
            <w:shd w:val="clear" w:color="auto" w:fill="FFFFFF"/>
            <w:vAlign w:val="center"/>
            <w:hideMark/>
          </w:tcPr>
          <w:p w14:paraId="0DCD402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&gt;18 years</w:t>
            </w:r>
            <w:r w:rsidRPr="005C4B89">
              <w:rPr>
                <w:rFonts w:ascii="Calibri" w:eastAsia="Times New Roman" w:hAnsi="Calibri" w:cs="Times New Roman"/>
                <w:color w:val="000000"/>
                <w:sz w:val="18"/>
                <w:szCs w:val="18"/>
                <w:lang w:eastAsia="en-CA"/>
              </w:rPr>
              <w:br/>
              <w:t>- admitted to ICU with definite MI</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diagnosed with iatrogenic MI (invalidated for an alternative diagnosis)</w:t>
            </w:r>
            <w:r w:rsidRPr="005C4B89">
              <w:rPr>
                <w:rFonts w:ascii="Calibri" w:eastAsia="Times New Roman" w:hAnsi="Calibri" w:cs="Times New Roman"/>
                <w:color w:val="000000"/>
                <w:sz w:val="18"/>
                <w:szCs w:val="18"/>
                <w:lang w:eastAsia="en-CA"/>
              </w:rPr>
              <w:br/>
              <w:t>- unstable angina with no elevation of cardiac necrosis</w:t>
            </w:r>
          </w:p>
        </w:tc>
        <w:tc>
          <w:tcPr>
            <w:tcW w:w="1559" w:type="dxa"/>
            <w:tcBorders>
              <w:top w:val="nil"/>
              <w:left w:val="nil"/>
              <w:bottom w:val="single" w:sz="4" w:space="0" w:color="auto"/>
              <w:right w:val="nil"/>
            </w:tcBorders>
            <w:shd w:val="clear" w:color="auto" w:fill="FFFFFF"/>
            <w:vAlign w:val="center"/>
            <w:hideMark/>
          </w:tcPr>
          <w:p w14:paraId="1622CCD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2,744</w:t>
            </w:r>
            <w:r w:rsidRPr="005C4B89">
              <w:rPr>
                <w:rFonts w:ascii="Calibri" w:eastAsia="Times New Roman" w:hAnsi="Calibri" w:cs="Times New Roman"/>
                <w:color w:val="000000"/>
                <w:sz w:val="18"/>
                <w:szCs w:val="18"/>
                <w:lang w:eastAsia="en-CA"/>
              </w:rPr>
              <w:br/>
              <w:t>(PPI: 1611; No PPI: 1,133)</w:t>
            </w:r>
          </w:p>
        </w:tc>
        <w:tc>
          <w:tcPr>
            <w:tcW w:w="1417" w:type="dxa"/>
            <w:tcBorders>
              <w:top w:val="nil"/>
              <w:left w:val="nil"/>
              <w:bottom w:val="single" w:sz="4" w:space="0" w:color="auto"/>
              <w:right w:val="nil"/>
            </w:tcBorders>
            <w:shd w:val="clear" w:color="auto" w:fill="FFFFFF"/>
            <w:vAlign w:val="center"/>
            <w:hideMark/>
          </w:tcPr>
          <w:p w14:paraId="5019488B" w14:textId="77777777" w:rsidR="009462F4" w:rsidRPr="005C4B89" w:rsidRDefault="009462F4">
            <w:pPr>
              <w:spacing w:after="0" w:line="240" w:lineRule="auto"/>
              <w:rPr>
                <w:rFonts w:ascii="Calibri" w:eastAsia="Times New Roman" w:hAnsi="Calibri" w:cs="Times New Roman"/>
                <w:sz w:val="18"/>
                <w:szCs w:val="18"/>
                <w:lang w:eastAsia="en-CA"/>
              </w:rPr>
            </w:pPr>
            <w:r w:rsidRPr="005C4B89">
              <w:rPr>
                <w:rFonts w:ascii="Calibri" w:eastAsia="Times New Roman" w:hAnsi="Calibri" w:cs="Times New Roman"/>
                <w:sz w:val="18"/>
                <w:szCs w:val="18"/>
                <w:lang w:eastAsia="en-CA"/>
              </w:rPr>
              <w:t>PS matched cohorts:</w:t>
            </w:r>
            <w:r w:rsidRPr="005C4B89">
              <w:rPr>
                <w:rFonts w:ascii="Calibri" w:eastAsia="Times New Roman" w:hAnsi="Calibri" w:cs="Times New Roman"/>
                <w:sz w:val="18"/>
                <w:szCs w:val="18"/>
                <w:lang w:eastAsia="en-CA"/>
              </w:rPr>
              <w:br/>
              <w:t>PPI: 65 (12)</w:t>
            </w:r>
            <w:r w:rsidRPr="005C4B89">
              <w:rPr>
                <w:rFonts w:ascii="Calibri" w:eastAsia="Times New Roman" w:hAnsi="Calibri" w:cs="Times New Roman"/>
                <w:sz w:val="18"/>
                <w:szCs w:val="18"/>
                <w:lang w:eastAsia="en-CA"/>
              </w:rPr>
              <w:br/>
              <w:t>no PPI: 66 (13)</w:t>
            </w:r>
          </w:p>
        </w:tc>
        <w:tc>
          <w:tcPr>
            <w:tcW w:w="1262" w:type="dxa"/>
            <w:tcBorders>
              <w:top w:val="nil"/>
              <w:left w:val="nil"/>
              <w:bottom w:val="single" w:sz="4" w:space="0" w:color="auto"/>
              <w:right w:val="nil"/>
            </w:tcBorders>
            <w:shd w:val="clear" w:color="auto" w:fill="FFFFFF"/>
            <w:vAlign w:val="center"/>
            <w:hideMark/>
          </w:tcPr>
          <w:p w14:paraId="7500E0A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27%- 42% between groups</w:t>
            </w:r>
          </w:p>
        </w:tc>
        <w:tc>
          <w:tcPr>
            <w:tcW w:w="1148" w:type="dxa"/>
            <w:tcBorders>
              <w:top w:val="nil"/>
              <w:left w:val="nil"/>
              <w:bottom w:val="single" w:sz="4" w:space="0" w:color="auto"/>
              <w:right w:val="nil"/>
            </w:tcBorders>
            <w:shd w:val="clear" w:color="auto" w:fill="FFFFFF"/>
            <w:vAlign w:val="center"/>
            <w:hideMark/>
          </w:tcPr>
          <w:p w14:paraId="3DB8211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6DC676B4"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581D9BB6" w14:textId="420C8EB2"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{"citationItems":[{"id":"ITEM-1","itemData":{"ISBN":"0016-5085","abstract":"BACKGROUND &amp; AIMS Proton pump inhibitors (PPIs), when given following endoscopy for acute upper gastrointestinal bleeding (UGIB), can reduce the need for blood transfusion and surgery; little is known about their benefit when used in the period before endoscopy. We therefore aimed to investigate the outcomes of UGIB in patients given intravenous PPIs before their endoscopy. METHODS A total of 404 patients with UGIB were included; 202 received intravenous omeprazole for a median of 1 day (IQR 0.25-2) before endoscopy and 202 did not, this treatment being at their physician's discretion. Omeprazole was given either in bolus doses of 40-mg bid (n=103; 51%), or as an infusion of 8-mg/ hour after a loading dose of 80-mg (n=99; 49%). After endoscopy, omeprazole was continued intravenously or orally in patients found to have ulcers/ erosions in their oesophagus, stomach, or duodenum. Patients' clinical details were noted including their Charlson comorbidity and Blatchford risk scores. Three major outcomes were measured: need for blood transfusion; hospital stay &gt; 6 days; and death within 30 days. The Mann-Whitney test, Chi-squared test and logistic regression were used as appropriate RESULTS The two groups were comparable with respect to their gender, smoking, alcohol intake, and use of NSAIDs, aspirin, antithrombotic and other drugs. The treated group was older and had higher Blatchford and Charlson scores. However, when these factors were adjusted for, as shown in Table-1, below, no significant differences were noted between patients who received pre-endoscopic PPI and those who did not in terms of need for blood transfusion, length of hospital stay, or 30-day mortality. CONCLUSIONS The administration of intravenous PPI before endoscopy did not affect the outcomes of acute upper gastrointestinal bleeding in this retrospective study. This is relevant to the appropriate management of this common condition. Table-1. Odds ratios (95% CI) for outcomes of UGIB, with vs. without pre-endoscopic PPI use, before and after adjustment for other factors in a logistic regression model (Table Presented).","author":[{"dropping-particle":"","family":"Taha","given":"AS","non-dropping-particle":"","parse-names":false,"suffix":""},{"dropping-particle":"","family":"Saffouri","given":"E","non-dropping-particle":"","parse-names":false,"suffix":""},{"dropping-particle":"","family":"McCloskey","given":"C","non-dropping-particle":"","parse-names":false,"suffix":""},{"dropping-particle":"","family":"Craigen","given":"T","non-dropping-particle":"","parse-names":false,"suffix":""},{"dropping-particle":"","family":"Angerson","given":"WJ","non-dropping-particle":"","parse-names":false,"suffix":""}],"collection-title":"Digestive Disease Week 2013, DDW 2013 Orlando, FL United States. Conference Start: 20130518 Conference End: 20130521","container-title":"Gastroenterology","id":"ITEM-1","issue":"5 SUPPL. 1","issued":{"date-parts":[["2013"]]},"note":"247","page":"S211","publisher":"W.B. Saunders","publisher-place":"A.S. Taha","title":"Pre-endoscopic intravenous proton pump inhibition and the outcomes of acute upper gastrointestinal bleeding","type":"article","volume":"144"},"uris":["http://www.mendeley.com/documents/?uuid=efd67aed-df2d-4c26-8511-ba27f39dce7a"]}],"mendeley":{"formattedCitation":"(Taha et al. 2013)","plainTextFormattedCitation":"(Taha et al. 2013)","previouslyFormattedCitation":"(Taha et al. 2013)"},"properties":{"noteIndex":0},"schema":"https://github.com/citation-style-language/schema/raw/master/csl-citation.json"}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(Taha et al. 2013)</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(NR)</w:t>
            </w:r>
          </w:p>
          <w:p w14:paraId="02EB6BF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[abstract]</w:t>
            </w:r>
          </w:p>
        </w:tc>
        <w:tc>
          <w:tcPr>
            <w:tcW w:w="1087" w:type="dxa"/>
            <w:tcBorders>
              <w:top w:val="nil"/>
              <w:left w:val="nil"/>
              <w:bottom w:val="single" w:sz="4" w:space="0" w:color="auto"/>
              <w:right w:val="nil"/>
            </w:tcBorders>
            <w:shd w:val="clear" w:color="auto" w:fill="FFFFFF"/>
            <w:vAlign w:val="center"/>
            <w:hideMark/>
          </w:tcPr>
          <w:p w14:paraId="1C9983D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Prospective cohort/ (Hospitals)</w:t>
            </w:r>
          </w:p>
        </w:tc>
        <w:tc>
          <w:tcPr>
            <w:tcW w:w="1276" w:type="dxa"/>
            <w:tcBorders>
              <w:top w:val="nil"/>
              <w:left w:val="nil"/>
              <w:bottom w:val="single" w:sz="4" w:space="0" w:color="auto"/>
              <w:right w:val="nil"/>
            </w:tcBorders>
            <w:shd w:val="clear" w:color="auto" w:fill="FFFFFF"/>
            <w:vAlign w:val="center"/>
            <w:hideMark/>
          </w:tcPr>
          <w:p w14:paraId="4864009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3F785D4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UGIB</w:t>
            </w:r>
          </w:p>
        </w:tc>
        <w:tc>
          <w:tcPr>
            <w:tcW w:w="3543" w:type="dxa"/>
            <w:tcBorders>
              <w:top w:val="nil"/>
              <w:left w:val="nil"/>
              <w:bottom w:val="single" w:sz="4" w:space="0" w:color="auto"/>
              <w:right w:val="nil"/>
            </w:tcBorders>
            <w:shd w:val="clear" w:color="auto" w:fill="FFFFFF"/>
            <w:vAlign w:val="center"/>
            <w:hideMark/>
          </w:tcPr>
          <w:p w14:paraId="079F494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undergoing endoscopy for UGIB</w:t>
            </w:r>
          </w:p>
        </w:tc>
        <w:tc>
          <w:tcPr>
            <w:tcW w:w="1559" w:type="dxa"/>
            <w:tcBorders>
              <w:top w:val="nil"/>
              <w:left w:val="nil"/>
              <w:bottom w:val="single" w:sz="4" w:space="0" w:color="auto"/>
              <w:right w:val="nil"/>
            </w:tcBorders>
            <w:shd w:val="clear" w:color="auto" w:fill="FFFFFF"/>
            <w:vAlign w:val="center"/>
            <w:hideMark/>
          </w:tcPr>
          <w:p w14:paraId="04CA220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Cohort size : 404 (202 PPI, others no PPI)</w:t>
            </w:r>
          </w:p>
        </w:tc>
        <w:tc>
          <w:tcPr>
            <w:tcW w:w="1417" w:type="dxa"/>
            <w:tcBorders>
              <w:top w:val="nil"/>
              <w:left w:val="nil"/>
              <w:bottom w:val="single" w:sz="4" w:space="0" w:color="auto"/>
              <w:right w:val="nil"/>
            </w:tcBorders>
            <w:shd w:val="clear" w:color="auto" w:fill="FFFFFF"/>
            <w:vAlign w:val="center"/>
            <w:hideMark/>
          </w:tcPr>
          <w:p w14:paraId="5987163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NR</w:t>
            </w:r>
          </w:p>
        </w:tc>
        <w:tc>
          <w:tcPr>
            <w:tcW w:w="1262" w:type="dxa"/>
            <w:tcBorders>
              <w:top w:val="nil"/>
              <w:left w:val="nil"/>
              <w:bottom w:val="single" w:sz="4" w:space="0" w:color="auto"/>
              <w:right w:val="nil"/>
            </w:tcBorders>
            <w:shd w:val="clear" w:color="auto" w:fill="FFFFFF"/>
            <w:vAlign w:val="center"/>
            <w:hideMark/>
          </w:tcPr>
          <w:p w14:paraId="2E6D23D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NR</w:t>
            </w:r>
          </w:p>
        </w:tc>
        <w:tc>
          <w:tcPr>
            <w:tcW w:w="1148" w:type="dxa"/>
            <w:tcBorders>
              <w:top w:val="nil"/>
              <w:left w:val="nil"/>
              <w:bottom w:val="single" w:sz="4" w:space="0" w:color="auto"/>
              <w:right w:val="nil"/>
            </w:tcBorders>
            <w:shd w:val="clear" w:color="auto" w:fill="FFFFFF"/>
            <w:vAlign w:val="center"/>
            <w:hideMark/>
          </w:tcPr>
          <w:p w14:paraId="2C0598D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65C768B3"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1DD44B4F" w14:textId="7A08890F"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{"citationItems":[{"id":"ITEM-1","itemData":{"ISBN":"1525-8610","ISSN":"1538-9375","abstract":"Objectives: To (1) explore clinical and demographic characteristics of users and nonusers of PPIs in 3 cohorts of institutionalized older people in Finland, and (2) compare the risk of death associated with use of PPIs in each setting. Design: Cross-sectional assessment of 3 institutionalized cohorts with 1-year follow-up of all-cause mortality. Setting and Participants: A total of 1389 residents of 69 assisted living facilities (first cohort), 1004 residents of long term care hospitals (second cohort), and 425 residents in acute geriatric wards or in nursing homes (third cohort). Measurements: Demographic, drug use, and diagnostic data were collected during structured assessments conducted by trained nurses or geriatricians. Cox proportional hazards models were used to compute unadjusted and adjusted hazard ratios (HRs) and 95% confidence intervals (CIs) for the association between use of PPIs and mortality. Results: In the assisted living facility, the mortality was 20.2% (n = 74) and 20.4% (n = 208) among users and nonusers of PPIs, respectively (P = 0.94). PPIs were not associated with mortality in unadjusted or adjusted analyses. In the long term care hospitals, use of PPIs was associated with increased mortality (HR, 1.36; 95% CI 1.04-1.77) when adjusted for age, sex, comorbidity, use of SSRIs, and malnutrition. In the acute geriatric wards and nursing homes, use of PPIs was associated with increased mortality (HR, 1.90; 95% CI 1.23-2.94) when adjusted for age, sex, comorbidity, delirium, and use of aspirin and SSRIs. Conclusion: PPIs were not associated with mortality among residents in assisted living facilities, but were associated with increased mortality in settings where residents experienced higher levels of disability and possible susceptibility to adverse drug events. © 2012 American Medical Directors Association, Inc.","author":[{"dropping-particle":"","family":"Teramura-Gronblad","given":"Mariko","non-dropping-particle":"","parse-names":false,"suffix":""},{"dropping-particle":"","family":"Bell","given":"J Simon","non-dropping-particle":"","parse-names":false,"suffix":""},{"dropping-particle":"","family":"Poysti","given":"Minna M","non-dropping-particle":"","parse-names":false,"suffix":""},{"dropping-particle":"","family":"Strandberg","given":"Timo E","non-dropping-particle":"","parse-names":false,"suffix":""},{"dropping-particle":"V","family":"Laurila","given":"Jouko","non-dropping-particle":"","parse-names":false,"suffix":""},{"dropping-particle":"","family":"Tilvis","given":"Reijo S","non-dropping-particle":"","parse-names":false,"suffix":""},{"dropping-particle":"","family":"Soini","given":"Helena","non-dropping-particle":"","parse-names":false,"suffix":""},{"dropping-particle":"","family":"Pitkala","given":"Kaisu H","non-dropping-particle":"","parse-names":false,"suffix":""}],"container-title":"Journal of the American Medical Directors Association","id":"ITEM-1","issue":"5","issued":{"date-parts":[["2012"]]},"note":"398","page":"488.e9-13","publisher":"Elsevier Inc. (360 Park Avenue South, New York NY 10010, United States)","publisher-place":"United States","title":"Risk of Death Associated With Use of PPIs in Three Cohorts of Institutionalized Older People in Finland","type":"article-journal","volume":"13"},"uris":["http://www.mendeley.com/documents/?uuid=6ae587eb-c63d-455d-aa76-9c2c1731e5ef"]}],"mendeley":{"formattedCitation":"(Teramura-Gronblad et al. 2012)","plainTextFormattedCitation":"(Teramura-Gronblad et al. 2012)","previouslyFormattedCitation":"(Teramura-Gronblad et al. 2012)"},"properties":{"noteIndex":0},"schema":"https://github.com/citation-style-language/schema/raw/master/csl-citation.json"}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(Teramura-Gronblad et al. 2012)</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t xml:space="preserve"> -Cohort 2</w:t>
            </w:r>
            <w:r w:rsidRPr="005C4B89">
              <w:rPr>
                <w:rFonts w:ascii="Calibri" w:eastAsia="Times New Roman" w:hAnsi="Calibri" w:cs="Times New Roman"/>
                <w:color w:val="000000"/>
                <w:sz w:val="18"/>
                <w:szCs w:val="18"/>
                <w:lang w:eastAsia="en-CA"/>
              </w:rPr>
              <w:br/>
              <w:t>(Finland)</w:t>
            </w:r>
          </w:p>
        </w:tc>
        <w:tc>
          <w:tcPr>
            <w:tcW w:w="1087" w:type="dxa"/>
            <w:tcBorders>
              <w:top w:val="nil"/>
              <w:left w:val="nil"/>
              <w:bottom w:val="single" w:sz="4" w:space="0" w:color="auto"/>
              <w:right w:val="nil"/>
            </w:tcBorders>
            <w:shd w:val="clear" w:color="auto" w:fill="FFFFFF"/>
            <w:vAlign w:val="center"/>
            <w:hideMark/>
          </w:tcPr>
          <w:p w14:paraId="7459D64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(Long term care hospitals)</w:t>
            </w:r>
          </w:p>
        </w:tc>
        <w:tc>
          <w:tcPr>
            <w:tcW w:w="1276" w:type="dxa"/>
            <w:tcBorders>
              <w:top w:val="nil"/>
              <w:left w:val="nil"/>
              <w:bottom w:val="single" w:sz="4" w:space="0" w:color="auto"/>
              <w:right w:val="nil"/>
            </w:tcBorders>
            <w:shd w:val="clear" w:color="auto" w:fill="FFFFFF"/>
            <w:vAlign w:val="center"/>
            <w:hideMark/>
          </w:tcPr>
          <w:p w14:paraId="357E9E6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558F1D2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Chronic patients requiring 24-hr care</w:t>
            </w:r>
          </w:p>
        </w:tc>
        <w:tc>
          <w:tcPr>
            <w:tcW w:w="3543" w:type="dxa"/>
            <w:tcBorders>
              <w:top w:val="nil"/>
              <w:left w:val="nil"/>
              <w:bottom w:val="single" w:sz="4" w:space="0" w:color="auto"/>
              <w:right w:val="nil"/>
            </w:tcBorders>
            <w:shd w:val="clear" w:color="auto" w:fill="FFFFFF"/>
            <w:vAlign w:val="center"/>
            <w:hideMark/>
          </w:tcPr>
          <w:p w14:paraId="6E5E04D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agree to participate in study</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incomplete medical data</w:t>
            </w:r>
          </w:p>
        </w:tc>
        <w:tc>
          <w:tcPr>
            <w:tcW w:w="1559" w:type="dxa"/>
            <w:tcBorders>
              <w:top w:val="nil"/>
              <w:left w:val="nil"/>
              <w:bottom w:val="single" w:sz="4" w:space="0" w:color="auto"/>
              <w:right w:val="nil"/>
            </w:tcBorders>
            <w:shd w:val="clear" w:color="auto" w:fill="FFFFFF"/>
            <w:vAlign w:val="center"/>
            <w:hideMark/>
          </w:tcPr>
          <w:p w14:paraId="27EC4AE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1004</w:t>
            </w:r>
            <w:r w:rsidRPr="005C4B89">
              <w:rPr>
                <w:rFonts w:ascii="Calibri" w:eastAsia="Times New Roman" w:hAnsi="Calibri" w:cs="Times New Roman"/>
                <w:color w:val="000000"/>
                <w:sz w:val="18"/>
                <w:szCs w:val="18"/>
                <w:lang w:eastAsia="en-CA"/>
              </w:rPr>
              <w:br/>
              <w:t>(PPI: 231; No PPI: 773)</w:t>
            </w:r>
          </w:p>
        </w:tc>
        <w:tc>
          <w:tcPr>
            <w:tcW w:w="1417" w:type="dxa"/>
            <w:tcBorders>
              <w:top w:val="nil"/>
              <w:left w:val="nil"/>
              <w:bottom w:val="single" w:sz="4" w:space="0" w:color="auto"/>
              <w:right w:val="nil"/>
            </w:tcBorders>
            <w:shd w:val="clear" w:color="auto" w:fill="FFFFFF"/>
            <w:vAlign w:val="center"/>
            <w:hideMark/>
          </w:tcPr>
          <w:p w14:paraId="2F024C92" w14:textId="77777777" w:rsidR="009462F4" w:rsidRPr="005C4B89" w:rsidRDefault="009462F4">
            <w:pPr>
              <w:spacing w:after="0" w:line="240" w:lineRule="auto"/>
              <w:rPr>
                <w:rFonts w:ascii="Calibri" w:eastAsia="Times New Roman" w:hAnsi="Calibri" w:cs="Times New Roman"/>
                <w:sz w:val="18"/>
                <w:szCs w:val="18"/>
                <w:lang w:eastAsia="en-CA"/>
              </w:rPr>
            </w:pPr>
            <w:r w:rsidRPr="005C4B89">
              <w:rPr>
                <w:rFonts w:ascii="Calibri" w:eastAsia="Times New Roman" w:hAnsi="Calibri" w:cs="Times New Roman"/>
                <w:sz w:val="18"/>
                <w:szCs w:val="18"/>
                <w:lang w:eastAsia="en-CA"/>
              </w:rPr>
              <w:t>PPI: 81 (11)</w:t>
            </w:r>
            <w:r w:rsidRPr="005C4B89">
              <w:rPr>
                <w:rFonts w:ascii="Calibri" w:eastAsia="Times New Roman" w:hAnsi="Calibri" w:cs="Times New Roman"/>
                <w:sz w:val="18"/>
                <w:szCs w:val="18"/>
                <w:lang w:eastAsia="en-CA"/>
              </w:rPr>
              <w:br/>
              <w:t>no PPI: 82 (11)</w:t>
            </w:r>
          </w:p>
        </w:tc>
        <w:tc>
          <w:tcPr>
            <w:tcW w:w="1262" w:type="dxa"/>
            <w:tcBorders>
              <w:top w:val="nil"/>
              <w:left w:val="nil"/>
              <w:bottom w:val="single" w:sz="4" w:space="0" w:color="auto"/>
              <w:right w:val="nil"/>
            </w:tcBorders>
            <w:shd w:val="clear" w:color="auto" w:fill="FFFFFF"/>
            <w:vAlign w:val="center"/>
            <w:hideMark/>
          </w:tcPr>
          <w:p w14:paraId="06404FE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29%</w:t>
            </w:r>
            <w:r w:rsidRPr="005C4B89">
              <w:rPr>
                <w:rFonts w:ascii="Calibri" w:eastAsia="Times New Roman" w:hAnsi="Calibri" w:cs="Times New Roman"/>
                <w:color w:val="000000"/>
                <w:sz w:val="18"/>
                <w:szCs w:val="18"/>
                <w:lang w:eastAsia="en-CA"/>
              </w:rPr>
              <w:br/>
              <w:t>no PPI: 24%</w:t>
            </w:r>
          </w:p>
        </w:tc>
        <w:tc>
          <w:tcPr>
            <w:tcW w:w="1148" w:type="dxa"/>
            <w:tcBorders>
              <w:top w:val="nil"/>
              <w:left w:val="nil"/>
              <w:bottom w:val="single" w:sz="4" w:space="0" w:color="auto"/>
              <w:right w:val="nil"/>
            </w:tcBorders>
            <w:shd w:val="clear" w:color="auto" w:fill="FFFFFF"/>
            <w:vAlign w:val="center"/>
            <w:hideMark/>
          </w:tcPr>
          <w:p w14:paraId="6C46736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14E42B6E" w14:textId="77777777" w:rsidTr="001B1380">
        <w:trPr>
          <w:trHeight w:val="312"/>
        </w:trPr>
        <w:tc>
          <w:tcPr>
            <w:tcW w:w="1465" w:type="dxa"/>
            <w:tcBorders>
              <w:top w:val="nil"/>
              <w:left w:val="nil"/>
              <w:bottom w:val="single" w:sz="4" w:space="0" w:color="auto"/>
              <w:right w:val="nil"/>
            </w:tcBorders>
            <w:shd w:val="clear" w:color="auto" w:fill="FFFFFF"/>
            <w:vAlign w:val="center"/>
            <w:hideMark/>
          </w:tcPr>
          <w:p w14:paraId="47815102" w14:textId="5248E6E6"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{"citationItems":[{"id":"ITEM-1","itemData":{"ISBN":"1525-8610","ISSN":"1538-9375","abstract":"Objectives: To (1) explore clinical and demographic characteristics of users and nonusers of PPIs in 3 cohorts of institutionalized older people in Finland, and (2) compare the risk of death associated with use of PPIs in each setting. Design: Cross-sectional assessment of 3 institutionalized cohorts with 1-year follow-up of all-cause mortality. Setting and Participants: A total of 1389 residents of 69 assisted living facilities (first cohort), 1004 residents of long term care hospitals (second cohort), and 425 residents in acute geriatric wards or in nursing homes (third cohort). Measurements: Demographic, drug use, and diagnostic data were collected during structured assessments conducted by trained nurses or geriatricians. Cox proportional hazards models were used to compute unadjusted and adjusted hazard ratios (HRs) and 95% confidence intervals (CIs) for the association between use of PPIs and mortality. Results: In the assisted living facility, the mortality was 20.2% (n = 74) and 20.4% (n = 208) among users and nonusers of PPIs, respectively (P = 0.94). PPIs were not associated with mortality in unadjusted or adjusted analyses. In the long term care hospitals, use of PPIs was associated with increased mortality (HR, 1.36; 95% CI 1.04-1.77) when adjusted for age, sex, comorbidity, use of SSRIs, and malnutrition. In the acute geriatric wards and nursing homes, use of PPIs was associated with increased mortality (HR, 1.90; 95% CI 1.23-2.94) when adjusted for age, sex, comorbidity, delirium, and use of aspirin and SSRIs. Conclusion: PPIs were not associated with mortality among residents in assisted living facilities, but were associated with increased mortality in settings where residents experienced higher levels of disability and possible susceptibility to adverse drug events. © 2012 American Medical Directors Association, Inc.","author":[{"dropping-particle":"","family":"Teramura-Gronblad","given":"Mariko","non-dropping-particle":"","parse-names":false,"suffix":""},{"dropping-particle":"","family":"Bell","given":"J Simon","non-dropping-particle":"","parse-names":false,"suffix":""},{"dropping-particle":"","family":"Poysti","given":"Minna M","non-dropping-particle":"","parse-names":false,"suffix":""},{"dropping-particle":"","family":"Strandberg","given":"Timo E","non-dropping-particle":"","parse-names":false,"suffix":""},{"dropping-particle":"V","family":"Laurila","given":"Jouko","non-dropping-particle":"","parse-names":false,"suffix":""},{"dropping-particle":"","family":"Tilvis","given":"Reijo S","non-dropping-particle":"","parse-names":false,"suffix":""},{"dropping-particle":"","family":"Soini","given":"Helena","non-dropping-particle":"","parse-names":false,"suffix":""},{"dropping-particle":"","family":"Pitkala","given":"Kaisu H","non-dropping-particle":"","parse-names":false,"suffix":""}],"container-title":"Journal of the American Medical Directors Association","id":"ITEM-1","issue":"5","issued":{"date-parts":[["2012"]]},"note":"398","page":"488.e9-13","publisher":"Elsevier Inc. (360 Park Avenue South, New York NY 10010, United States)","publisher-place":"United States","title":"Risk of Death Associated With Use of PPIs in Three Cohorts of Institutionalized Older People in Finland","type":"article-journal","volume":"13"},"uris":["http://www.mendeley.com/documents/?uuid=6ae587eb-c63d-455d-aa76-9c2c1731e5ef"]}],"mendeley":{"formattedCitation":"(Teramura-Gronblad et al. 2012)","plainTextFormattedCitation":"(Teramura-Gronblad et al. 2012)","previouslyFormattedCitation":"(Teramura-Gronblad et al. 2012)"},"properties":{"noteIndex":0},"schema":"https://github.com/citation-style-language/schema/raw/master/csl-citation.json"}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 xml:space="preserve">(Teramura-Gronblad et al. </w:t>
            </w:r>
            <w:r w:rsidRPr="005C4B89">
              <w:rPr>
                <w:rFonts w:ascii="Calibri" w:eastAsia="Times New Roman" w:hAnsi="Calibri" w:cs="Times New Roman"/>
                <w:noProof/>
                <w:color w:val="000000"/>
                <w:sz w:val="18"/>
                <w:szCs w:val="18"/>
                <w:lang w:eastAsia="en-CA"/>
              </w:rPr>
              <w:lastRenderedPageBreak/>
              <w:t>2012)</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t xml:space="preserve"> –Cohort 1</w:t>
            </w:r>
            <w:r w:rsidRPr="005C4B89">
              <w:rPr>
                <w:rFonts w:ascii="Calibri" w:eastAsia="Times New Roman" w:hAnsi="Calibri" w:cs="Times New Roman"/>
                <w:color w:val="000000"/>
                <w:sz w:val="18"/>
                <w:szCs w:val="18"/>
                <w:lang w:eastAsia="en-CA"/>
              </w:rPr>
              <w:br/>
              <w:t>(Finland)</w:t>
            </w:r>
          </w:p>
        </w:tc>
        <w:tc>
          <w:tcPr>
            <w:tcW w:w="1087" w:type="dxa"/>
            <w:tcBorders>
              <w:top w:val="nil"/>
              <w:left w:val="nil"/>
              <w:bottom w:val="single" w:sz="4" w:space="0" w:color="auto"/>
              <w:right w:val="nil"/>
            </w:tcBorders>
            <w:shd w:val="clear" w:color="auto" w:fill="FFFFFF"/>
            <w:vAlign w:val="center"/>
            <w:hideMark/>
          </w:tcPr>
          <w:p w14:paraId="470D85D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Retrospective cohort</w:t>
            </w:r>
            <w:r w:rsidRPr="005C4B89">
              <w:rPr>
                <w:rFonts w:ascii="Calibri" w:eastAsia="Times New Roman" w:hAnsi="Calibri" w:cs="Times New Roman"/>
                <w:color w:val="000000"/>
                <w:sz w:val="18"/>
                <w:szCs w:val="18"/>
                <w:lang w:eastAsia="en-CA"/>
              </w:rPr>
              <w:br/>
              <w:t xml:space="preserve">(assisted </w:t>
            </w:r>
            <w:r w:rsidRPr="005C4B89">
              <w:rPr>
                <w:rFonts w:ascii="Calibri" w:eastAsia="Times New Roman" w:hAnsi="Calibri" w:cs="Times New Roman"/>
                <w:color w:val="000000"/>
                <w:sz w:val="18"/>
                <w:szCs w:val="18"/>
                <w:lang w:eastAsia="en-CA"/>
              </w:rPr>
              <w:lastRenderedPageBreak/>
              <w:t>living facilities - 69 centers)</w:t>
            </w:r>
          </w:p>
        </w:tc>
        <w:tc>
          <w:tcPr>
            <w:tcW w:w="1276" w:type="dxa"/>
            <w:tcBorders>
              <w:top w:val="nil"/>
              <w:left w:val="nil"/>
              <w:bottom w:val="single" w:sz="4" w:space="0" w:color="auto"/>
              <w:right w:val="nil"/>
            </w:tcBorders>
            <w:shd w:val="clear" w:color="auto" w:fill="FFFFFF"/>
            <w:vAlign w:val="center"/>
            <w:hideMark/>
          </w:tcPr>
          <w:p w14:paraId="6CD4EB0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 </w:t>
            </w:r>
          </w:p>
        </w:tc>
        <w:tc>
          <w:tcPr>
            <w:tcW w:w="1134" w:type="dxa"/>
            <w:tcBorders>
              <w:top w:val="nil"/>
              <w:left w:val="nil"/>
              <w:bottom w:val="single" w:sz="4" w:space="0" w:color="auto"/>
              <w:right w:val="nil"/>
            </w:tcBorders>
            <w:shd w:val="clear" w:color="auto" w:fill="FFFFFF"/>
            <w:vAlign w:val="center"/>
            <w:hideMark/>
          </w:tcPr>
          <w:p w14:paraId="3F48C4B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 assisted-living facilities</w:t>
            </w:r>
          </w:p>
        </w:tc>
        <w:tc>
          <w:tcPr>
            <w:tcW w:w="3543" w:type="dxa"/>
            <w:tcBorders>
              <w:top w:val="nil"/>
              <w:left w:val="nil"/>
              <w:bottom w:val="single" w:sz="4" w:space="0" w:color="auto"/>
              <w:right w:val="nil"/>
            </w:tcBorders>
            <w:shd w:val="clear" w:color="auto" w:fill="FFFFFF"/>
            <w:vAlign w:val="center"/>
            <w:hideMark/>
          </w:tcPr>
          <w:p w14:paraId="65B0107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residents in assisted living facilities in Helsinki and Espoo in 2007</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lastRenderedPageBreak/>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decline to participate</w:t>
            </w:r>
            <w:r w:rsidRPr="005C4B89">
              <w:rPr>
                <w:rFonts w:ascii="Calibri" w:eastAsia="Times New Roman" w:hAnsi="Calibri" w:cs="Times New Roman"/>
                <w:color w:val="000000"/>
                <w:sz w:val="18"/>
                <w:szCs w:val="18"/>
                <w:lang w:eastAsia="en-CA"/>
              </w:rPr>
              <w:br/>
              <w:t>- incomplete medication data</w:t>
            </w:r>
            <w:r w:rsidRPr="005C4B89">
              <w:rPr>
                <w:rFonts w:ascii="Calibri" w:eastAsia="Times New Roman" w:hAnsi="Calibri" w:cs="Times New Roman"/>
                <w:color w:val="000000"/>
                <w:sz w:val="18"/>
                <w:szCs w:val="18"/>
                <w:lang w:eastAsia="en-CA"/>
              </w:rPr>
              <w:br/>
              <w:t>- residents of temporary respite care</w:t>
            </w:r>
          </w:p>
        </w:tc>
        <w:tc>
          <w:tcPr>
            <w:tcW w:w="1559" w:type="dxa"/>
            <w:tcBorders>
              <w:top w:val="nil"/>
              <w:left w:val="nil"/>
              <w:bottom w:val="single" w:sz="4" w:space="0" w:color="auto"/>
              <w:right w:val="nil"/>
            </w:tcBorders>
            <w:shd w:val="clear" w:color="auto" w:fill="FFFFFF"/>
            <w:vAlign w:val="center"/>
            <w:hideMark/>
          </w:tcPr>
          <w:p w14:paraId="2E74EA4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1,389 (Cohort 1)</w:t>
            </w:r>
            <w:r w:rsidRPr="005C4B89">
              <w:rPr>
                <w:rFonts w:ascii="Calibri" w:eastAsia="Times New Roman" w:hAnsi="Calibri" w:cs="Times New Roman"/>
                <w:color w:val="000000"/>
                <w:sz w:val="18"/>
                <w:szCs w:val="18"/>
                <w:lang w:eastAsia="en-CA"/>
              </w:rPr>
              <w:br/>
              <w:t>(PPI: 367; No PPI: 1,022)</w:t>
            </w:r>
          </w:p>
        </w:tc>
        <w:tc>
          <w:tcPr>
            <w:tcW w:w="1417" w:type="dxa"/>
            <w:tcBorders>
              <w:top w:val="nil"/>
              <w:left w:val="nil"/>
              <w:bottom w:val="single" w:sz="4" w:space="0" w:color="auto"/>
              <w:right w:val="nil"/>
            </w:tcBorders>
            <w:shd w:val="clear" w:color="auto" w:fill="FFFFFF"/>
            <w:vAlign w:val="center"/>
            <w:hideMark/>
          </w:tcPr>
          <w:p w14:paraId="564D0E2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84 (8)</w:t>
            </w:r>
            <w:r w:rsidRPr="005C4B89">
              <w:rPr>
                <w:rFonts w:ascii="Calibri" w:eastAsia="Times New Roman" w:hAnsi="Calibri" w:cs="Times New Roman"/>
                <w:color w:val="000000"/>
                <w:sz w:val="18"/>
                <w:szCs w:val="18"/>
                <w:lang w:eastAsia="en-CA"/>
              </w:rPr>
              <w:br/>
              <w:t>no PPI: 82 (8)</w:t>
            </w:r>
          </w:p>
        </w:tc>
        <w:tc>
          <w:tcPr>
            <w:tcW w:w="1262" w:type="dxa"/>
            <w:tcBorders>
              <w:top w:val="nil"/>
              <w:left w:val="nil"/>
              <w:bottom w:val="single" w:sz="4" w:space="0" w:color="auto"/>
              <w:right w:val="nil"/>
            </w:tcBorders>
            <w:shd w:val="clear" w:color="auto" w:fill="FFFFFF"/>
            <w:vAlign w:val="center"/>
            <w:hideMark/>
          </w:tcPr>
          <w:p w14:paraId="6524858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24%</w:t>
            </w:r>
            <w:r w:rsidRPr="005C4B89">
              <w:rPr>
                <w:rFonts w:ascii="Calibri" w:eastAsia="Times New Roman" w:hAnsi="Calibri" w:cs="Times New Roman"/>
                <w:color w:val="000000"/>
                <w:sz w:val="18"/>
                <w:szCs w:val="18"/>
                <w:lang w:eastAsia="en-CA"/>
              </w:rPr>
              <w:br/>
              <w:t>no PPI: 20%</w:t>
            </w:r>
          </w:p>
        </w:tc>
        <w:tc>
          <w:tcPr>
            <w:tcW w:w="1148" w:type="dxa"/>
            <w:tcBorders>
              <w:top w:val="nil"/>
              <w:left w:val="nil"/>
              <w:bottom w:val="single" w:sz="4" w:space="0" w:color="auto"/>
              <w:right w:val="nil"/>
            </w:tcBorders>
            <w:shd w:val="clear" w:color="auto" w:fill="FFFFFF"/>
            <w:vAlign w:val="center"/>
            <w:hideMark/>
          </w:tcPr>
          <w:p w14:paraId="4524191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2F57E146"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1C54C4D9" w14:textId="283A95C2"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{"citationItems":[{"id":"ITEM-1","itemData":{"ISBN":"1525-8610","ISSN":"1538-9375","abstract":"Objectives: To (1) explore clinical and demographic characteristics of users and nonusers of PPIs in 3 cohorts of institutionalized older people in Finland, and (2) compare the risk of death associated with use of PPIs in each setting. Design: Cross-sectional assessment of 3 institutionalized cohorts with 1-year follow-up of all-cause mortality. Setting and Participants: A total of 1389 residents of 69 assisted living facilities (first cohort), 1004 residents of long term care hospitals (second cohort), and 425 residents in acute geriatric wards or in nursing homes (third cohort). Measurements: Demographic, drug use, and diagnostic data were collected during structured assessments conducted by trained nurses or geriatricians. Cox proportional hazards models were used to compute unadjusted and adjusted hazard ratios (HRs) and 95% confidence intervals (CIs) for the association between use of PPIs and mortality. Results: In the assisted living facility, the mortality was 20.2% (n = 74) and 20.4% (n = 208) among users and nonusers of PPIs, respectively (P = 0.94). PPIs were not associated with mortality in unadjusted or adjusted analyses. In the long term care hospitals, use of PPIs was associated with increased mortality (HR, 1.36; 95% CI 1.04-1.77) when adjusted for age, sex, comorbidity, use of SSRIs, and malnutrition. In the acute geriatric wards and nursing homes, use of PPIs was associated with increased mortality (HR, 1.90; 95% CI 1.23-2.94) when adjusted for age, sex, comorbidity, delirium, and use of aspirin and SSRIs. Conclusion: PPIs were not associated with mortality among residents in assisted living facilities, but were associated with increased mortality in settings where residents experienced higher levels of disability and possible susceptibility to adverse drug events. © 2012 American Medical Directors Association, Inc.","author":[{"dropping-particle":"","family":"Teramura-Gronblad","given":"Mariko","non-dropping-particle":"","parse-names":false,"suffix":""},{"dropping-particle":"","family":"Bell","given":"J Simon","non-dropping-particle":"","parse-names":false,"suffix":""},{"dropping-particle":"","family":"Poysti","given":"Minna M","non-dropping-particle":"","parse-names":false,"suffix":""},{"dropping-particle":"","family":"Strandberg","given":"Timo E","non-dropping-particle":"","parse-names":false,"suffix":""},{"dropping-particle":"V","family":"Laurila","given":"Jouko","non-dropping-particle":"","parse-names":false,"suffix":""},{"dropping-particle":"","family":"Tilvis","given":"Reijo S","non-dropping-particle":"","parse-names":false,"suffix":""},{"dropping-particle":"","family":"Soini","given":"Helena","non-dropping-particle":"","parse-names":false,"suffix":""},{"dropping-particle":"","family":"Pitkala","given":"Kaisu H","non-dropping-particle":"","parse-names":false,"suffix":""}],"container-title":"Journal of the American Medical Directors Association","id":"ITEM-1","issue":"5","issued":{"date-parts":[["2012"]]},"note":"398","page":"488.e9-13","publisher":"Elsevier Inc. (360 Park Avenue South, New York NY 10010, United States)","publisher-place":"United States","title":"Risk of Death Associated With Use of PPIs in Three Cohorts of Institutionalized Older People in Finland","type":"article-journal","volume":"13"},"uris":["http://www.mendeley.com/documents/?uuid=6ae587eb-c63d-455d-aa76-9c2c1731e5ef"]}],"mendeley":{"formattedCitation":"(Teramura-Gronblad et al. 2012)","plainTextFormattedCitation":"(Teramura-Gronblad et al. 2012)","previouslyFormattedCitation":"(Teramura-Gronblad et al. 2012)"},"properties":{"noteIndex":0},"schema":"https://github.com/citation-style-language/schema/raw/master/csl-citation.json"}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(Teramura-Gronblad et al. 2012)</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t xml:space="preserve"> –Cohort 3</w:t>
            </w:r>
          </w:p>
          <w:p w14:paraId="7B10676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(Finland)</w:t>
            </w:r>
          </w:p>
        </w:tc>
        <w:tc>
          <w:tcPr>
            <w:tcW w:w="1087" w:type="dxa"/>
            <w:tcBorders>
              <w:top w:val="nil"/>
              <w:left w:val="nil"/>
              <w:bottom w:val="single" w:sz="4" w:space="0" w:color="auto"/>
              <w:right w:val="nil"/>
            </w:tcBorders>
            <w:shd w:val="clear" w:color="auto" w:fill="FFFFFF"/>
            <w:vAlign w:val="center"/>
            <w:hideMark/>
          </w:tcPr>
          <w:p w14:paraId="3F5D0CC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(hospital and nursing home)</w:t>
            </w:r>
          </w:p>
        </w:tc>
        <w:tc>
          <w:tcPr>
            <w:tcW w:w="1276" w:type="dxa"/>
            <w:tcBorders>
              <w:top w:val="nil"/>
              <w:left w:val="nil"/>
              <w:bottom w:val="single" w:sz="4" w:space="0" w:color="auto"/>
              <w:right w:val="nil"/>
            </w:tcBorders>
            <w:shd w:val="clear" w:color="auto" w:fill="FFFFFF"/>
            <w:vAlign w:val="center"/>
            <w:hideMark/>
          </w:tcPr>
          <w:p w14:paraId="6FC0071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34DC93D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Geriatric, frail patients</w:t>
            </w:r>
          </w:p>
        </w:tc>
        <w:tc>
          <w:tcPr>
            <w:tcW w:w="3543" w:type="dxa"/>
            <w:tcBorders>
              <w:top w:val="nil"/>
              <w:left w:val="nil"/>
              <w:bottom w:val="single" w:sz="4" w:space="0" w:color="auto"/>
              <w:right w:val="nil"/>
            </w:tcBorders>
            <w:shd w:val="clear" w:color="auto" w:fill="FFFFFF"/>
            <w:vAlign w:val="center"/>
            <w:hideMark/>
          </w:tcPr>
          <w:p w14:paraId="0D203F1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in geriatric wards and nursing homes in Helsinki</w:t>
            </w:r>
            <w:r w:rsidRPr="005C4B89">
              <w:rPr>
                <w:rFonts w:ascii="Calibri" w:eastAsia="Times New Roman" w:hAnsi="Calibri" w:cs="Times New Roman"/>
                <w:color w:val="000000"/>
                <w:sz w:val="18"/>
                <w:szCs w:val="18"/>
                <w:lang w:eastAsia="en-CA"/>
              </w:rPr>
              <w:br/>
              <w:t>- agree to participate in study</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&lt;70 years</w:t>
            </w:r>
          </w:p>
        </w:tc>
        <w:tc>
          <w:tcPr>
            <w:tcW w:w="1559" w:type="dxa"/>
            <w:tcBorders>
              <w:top w:val="nil"/>
              <w:left w:val="nil"/>
              <w:bottom w:val="single" w:sz="4" w:space="0" w:color="auto"/>
              <w:right w:val="nil"/>
            </w:tcBorders>
            <w:shd w:val="clear" w:color="auto" w:fill="FFFFFF"/>
            <w:vAlign w:val="center"/>
            <w:hideMark/>
          </w:tcPr>
          <w:p w14:paraId="2921916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425</w:t>
            </w:r>
            <w:r w:rsidRPr="005C4B89">
              <w:rPr>
                <w:rFonts w:ascii="Calibri" w:eastAsia="Times New Roman" w:hAnsi="Calibri" w:cs="Times New Roman"/>
                <w:color w:val="000000"/>
                <w:sz w:val="18"/>
                <w:szCs w:val="18"/>
                <w:lang w:eastAsia="en-CA"/>
              </w:rPr>
              <w:br/>
              <w:t>(PPI: 91; No PPI: 334)</w:t>
            </w:r>
          </w:p>
        </w:tc>
        <w:tc>
          <w:tcPr>
            <w:tcW w:w="1417" w:type="dxa"/>
            <w:tcBorders>
              <w:top w:val="nil"/>
              <w:left w:val="nil"/>
              <w:bottom w:val="single" w:sz="4" w:space="0" w:color="auto"/>
              <w:right w:val="nil"/>
            </w:tcBorders>
            <w:shd w:val="clear" w:color="auto" w:fill="FFFFFF"/>
            <w:vAlign w:val="center"/>
            <w:hideMark/>
          </w:tcPr>
          <w:p w14:paraId="07D4D94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86 (7)</w:t>
            </w:r>
            <w:r w:rsidRPr="005C4B89">
              <w:rPr>
                <w:rFonts w:ascii="Calibri" w:eastAsia="Times New Roman" w:hAnsi="Calibri" w:cs="Times New Roman"/>
                <w:color w:val="000000"/>
                <w:sz w:val="18"/>
                <w:szCs w:val="18"/>
                <w:lang w:eastAsia="en-CA"/>
              </w:rPr>
              <w:br/>
              <w:t>no PPI: 86 (7)</w:t>
            </w:r>
          </w:p>
        </w:tc>
        <w:tc>
          <w:tcPr>
            <w:tcW w:w="1262" w:type="dxa"/>
            <w:tcBorders>
              <w:top w:val="nil"/>
              <w:left w:val="nil"/>
              <w:bottom w:val="single" w:sz="4" w:space="0" w:color="auto"/>
              <w:right w:val="nil"/>
            </w:tcBorders>
            <w:shd w:val="clear" w:color="auto" w:fill="FFFFFF"/>
            <w:vAlign w:val="center"/>
            <w:hideMark/>
          </w:tcPr>
          <w:p w14:paraId="0BA0CBC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21%</w:t>
            </w:r>
            <w:r w:rsidRPr="005C4B89">
              <w:rPr>
                <w:rFonts w:ascii="Calibri" w:eastAsia="Times New Roman" w:hAnsi="Calibri" w:cs="Times New Roman"/>
                <w:color w:val="000000"/>
                <w:sz w:val="18"/>
                <w:szCs w:val="18"/>
                <w:lang w:eastAsia="en-CA"/>
              </w:rPr>
              <w:br/>
              <w:t>no PPI: 18%</w:t>
            </w:r>
          </w:p>
        </w:tc>
        <w:tc>
          <w:tcPr>
            <w:tcW w:w="1148" w:type="dxa"/>
            <w:tcBorders>
              <w:top w:val="nil"/>
              <w:left w:val="nil"/>
              <w:bottom w:val="single" w:sz="4" w:space="0" w:color="auto"/>
              <w:right w:val="nil"/>
            </w:tcBorders>
            <w:shd w:val="clear" w:color="auto" w:fill="FFFFFF"/>
            <w:vAlign w:val="center"/>
            <w:hideMark/>
          </w:tcPr>
          <w:p w14:paraId="32B6F16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33787A51"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778008B1" w14:textId="20FA014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{"citationItems":[{"id":"ITEM-1","itemData":{"ISSN":"1432-1041","abstract":"PURPOSE: The purpose of this study is to investigate if the prescription of proton-pump inhibitors (PPIs) was associated with a sudden risk of acute myocardial infarction (AMI) while controlling for time-invariant confounding by using a case-crossover design. An association might indicate that physicians take prodromal symptoms of myocardial ischaemia for dyspepsia., METHODS: We applied a case-crossover design to investigate all AMI patients admitted to the hospital in the Skane region, Sweden, between Oct 14, 2005 and Dec 31, 2006 and their PPI prescriptions and dispensations 3 months prior to the AMI onset. We retrieved the information about prescribed medication from the Swedish Drug Register containing individual information on all dispensed drugs prescribed in the outpatient care and dispensed in any of the Swedish pharmacies. Additionally, we stratified the analyses by history of AMI., RESULTS: We identified 3490 AMI cases aged 40 to 90; 61 % were men. The odds ratio for AMI onset in those with a prescription of PPIs during a hazard period of 3 days compared to control periods was 1.36 (95 % confidence interval (CI) 0.82-2.25) in the whole study cohort and 1.66 (95 % CI 1.00-2.76) in those without history of AMI. The corresponding odds ratio (OR) based on the dispensation date (suggesting use of the drug) was 1.26 (95 % CI 0.92-1.72) and 1.29 (95 % CI 0.92-1.83), respectively., CONCLUSIONS: In our opinion, the previously reported increase in risk of adverse cardiac events in patients using PPIs may reflect the fact that an AMI may be misinterpreted as dyspepsia.","author":[{"dropping-particle":"","family":"Turkiewicz","given":"Aleksandra","non-dropping-particle":"","parse-names":false,"suffix":""},{"dropping-particle":"","family":"Vicente","given":"Raquel Perez","non-dropping-particle":"","parse-names":false,"suffix":""},{"dropping-particle":"","family":"Ohlsson","given":"Henrik","non-dropping-particle":"","parse-names":false,"suffix":""},{"dropping-particle":"","family":"Tyden","given":"Patrik","non-dropping-particle":"","parse-names":false,"suffix":""},{"dropping-particle":"","family":"Merlo","given":"Juan","non-dropping-particle":"","parse-names":false,"suffix":""}],"container-title":"European journal of clinical pharmacology","id":"ITEM-1","issue":"1","issued":{"date-parts":[["2015"]]},"note":"10","page":"125-129","publisher":"Turkiewicz,Aleksandra. Social Epidemiology, Department of Clinical Sciences, Faculty of Medicine, Lund University, Malmo, Sweden, aleksandra.turkiewicz@med.lu.se.","publisher-place":"Germany","title":"Revising the link between proton-pump inhibitors and risk of acute myocardial infarction-a case-crossover analysis.","type":"article-journal","volume":"71"},"uris":["http://www.mendeley.com/documents/?uuid=13949fea-5905-47d7-9258-bd4b9f18c66a"]}],"mendeley":{"formattedCitation":"(Turkiewicz et al. 2015)","plainTextFormattedCitation":"(Turkiewicz et al. 2015)","previouslyFormattedCitation":"(Turkiewicz et al. 2015)"},"properties":{"noteIndex":0},"schema":"https://github.com/citation-style-language/schema/raw/master/csl-citation.json"}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(Turkiewicz et al. 2015)</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(Sweden)</w:t>
            </w:r>
          </w:p>
        </w:tc>
        <w:tc>
          <w:tcPr>
            <w:tcW w:w="1087" w:type="dxa"/>
            <w:tcBorders>
              <w:top w:val="nil"/>
              <w:left w:val="nil"/>
              <w:bottom w:val="single" w:sz="4" w:space="0" w:color="auto"/>
              <w:right w:val="nil"/>
            </w:tcBorders>
            <w:shd w:val="clear" w:color="auto" w:fill="FFFFFF"/>
            <w:vAlign w:val="center"/>
            <w:hideMark/>
          </w:tcPr>
          <w:p w14:paraId="05DA73D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Self-controlled case series</w:t>
            </w:r>
            <w:r w:rsidRPr="005C4B89">
              <w:rPr>
                <w:rFonts w:ascii="Calibri" w:eastAsia="Times New Roman" w:hAnsi="Calibri" w:cs="Times New Roman"/>
                <w:color w:val="000000"/>
                <w:sz w:val="18"/>
                <w:szCs w:val="18"/>
                <w:lang w:eastAsia="en-CA"/>
              </w:rPr>
              <w:br/>
              <w:t>(hospital records)</w:t>
            </w:r>
          </w:p>
        </w:tc>
        <w:tc>
          <w:tcPr>
            <w:tcW w:w="1276" w:type="dxa"/>
            <w:tcBorders>
              <w:top w:val="nil"/>
              <w:left w:val="nil"/>
              <w:bottom w:val="single" w:sz="4" w:space="0" w:color="auto"/>
              <w:right w:val="nil"/>
            </w:tcBorders>
            <w:shd w:val="clear" w:color="auto" w:fill="FFFFFF"/>
            <w:vAlign w:val="center"/>
            <w:hideMark/>
          </w:tcPr>
          <w:p w14:paraId="289A338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Swedish Population Register and  Skåne Healthcare Register</w:t>
            </w:r>
          </w:p>
        </w:tc>
        <w:tc>
          <w:tcPr>
            <w:tcW w:w="1134" w:type="dxa"/>
            <w:tcBorders>
              <w:top w:val="nil"/>
              <w:left w:val="nil"/>
              <w:bottom w:val="single" w:sz="4" w:space="0" w:color="auto"/>
              <w:right w:val="nil"/>
            </w:tcBorders>
            <w:shd w:val="clear" w:color="auto" w:fill="FFFFFF"/>
            <w:vAlign w:val="center"/>
            <w:hideMark/>
          </w:tcPr>
          <w:p w14:paraId="3EB6AB2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MI</w:t>
            </w:r>
          </w:p>
        </w:tc>
        <w:tc>
          <w:tcPr>
            <w:tcW w:w="3543" w:type="dxa"/>
            <w:tcBorders>
              <w:top w:val="nil"/>
              <w:left w:val="nil"/>
              <w:bottom w:val="single" w:sz="4" w:space="0" w:color="auto"/>
              <w:right w:val="nil"/>
            </w:tcBorders>
            <w:shd w:val="clear" w:color="auto" w:fill="FFFFFF"/>
            <w:vAlign w:val="center"/>
            <w:hideMark/>
          </w:tcPr>
          <w:p w14:paraId="00D03E4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xml:space="preserve">- included in database </w:t>
            </w:r>
            <w:r w:rsidRPr="005C4B89">
              <w:rPr>
                <w:rFonts w:ascii="Calibri" w:eastAsia="Times New Roman" w:hAnsi="Calibri" w:cs="Times New Roman"/>
                <w:color w:val="000000"/>
                <w:sz w:val="18"/>
                <w:szCs w:val="18"/>
                <w:lang w:eastAsia="en-CA"/>
              </w:rPr>
              <w:br/>
              <w:t xml:space="preserve">- AMI event between Oct 14, 2005 and Dec 31, 2006 </w:t>
            </w:r>
            <w:r w:rsidRPr="005C4B89">
              <w:rPr>
                <w:rFonts w:ascii="Calibri" w:eastAsia="Times New Roman" w:hAnsi="Calibri" w:cs="Times New Roman"/>
                <w:color w:val="000000"/>
                <w:sz w:val="18"/>
                <w:szCs w:val="18"/>
                <w:lang w:eastAsia="en-CA"/>
              </w:rPr>
              <w:br/>
              <w:t>- age 40 to 90 at AMI event</w:t>
            </w:r>
          </w:p>
        </w:tc>
        <w:tc>
          <w:tcPr>
            <w:tcW w:w="1559" w:type="dxa"/>
            <w:tcBorders>
              <w:top w:val="nil"/>
              <w:left w:val="nil"/>
              <w:bottom w:val="single" w:sz="4" w:space="0" w:color="auto"/>
              <w:right w:val="nil"/>
            </w:tcBorders>
            <w:shd w:val="clear" w:color="auto" w:fill="FFFFFF"/>
            <w:vAlign w:val="center"/>
            <w:hideMark/>
          </w:tcPr>
          <w:p w14:paraId="4FF2C89E" w14:textId="77777777" w:rsidR="009462F4" w:rsidRPr="005C4B89" w:rsidRDefault="009462F4">
            <w:pPr>
              <w:spacing w:after="0" w:line="240" w:lineRule="auto"/>
              <w:jc w:val="right"/>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3,490</w:t>
            </w:r>
          </w:p>
        </w:tc>
        <w:tc>
          <w:tcPr>
            <w:tcW w:w="1417" w:type="dxa"/>
            <w:tcBorders>
              <w:top w:val="nil"/>
              <w:left w:val="nil"/>
              <w:bottom w:val="single" w:sz="4" w:space="0" w:color="auto"/>
              <w:right w:val="nil"/>
            </w:tcBorders>
            <w:shd w:val="clear" w:color="auto" w:fill="FFFFFF"/>
            <w:vAlign w:val="center"/>
            <w:hideMark/>
          </w:tcPr>
          <w:p w14:paraId="30073B8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73 (12)</w:t>
            </w:r>
          </w:p>
        </w:tc>
        <w:tc>
          <w:tcPr>
            <w:tcW w:w="1262" w:type="dxa"/>
            <w:tcBorders>
              <w:top w:val="nil"/>
              <w:left w:val="nil"/>
              <w:bottom w:val="single" w:sz="4" w:space="0" w:color="auto"/>
              <w:right w:val="nil"/>
            </w:tcBorders>
            <w:shd w:val="clear" w:color="auto" w:fill="FFFFFF"/>
            <w:noWrap/>
            <w:vAlign w:val="center"/>
            <w:hideMark/>
          </w:tcPr>
          <w:p w14:paraId="20837F1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61%</w:t>
            </w:r>
          </w:p>
        </w:tc>
        <w:tc>
          <w:tcPr>
            <w:tcW w:w="1148" w:type="dxa"/>
            <w:tcBorders>
              <w:top w:val="nil"/>
              <w:left w:val="nil"/>
              <w:bottom w:val="single" w:sz="4" w:space="0" w:color="auto"/>
              <w:right w:val="nil"/>
            </w:tcBorders>
            <w:shd w:val="clear" w:color="auto" w:fill="FFFFFF"/>
            <w:vAlign w:val="center"/>
            <w:hideMark/>
          </w:tcPr>
          <w:p w14:paraId="6FAF4F0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513E2D15"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6648B51C" w14:textId="0B9AB8C9"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{"citationItems":[{"id":"ITEM-1","itemData":{"ISBN":"0269-2813","ISSN":"1365-2036","abstract":"BACKGROUND: The association between myocardial infarction (MI) and co-administration of proton pump inhibitors (PPIs) and clopidogrel remains controversial., AIM: To quantify the association between concomitant use of PPIs and clopidogrel and occurrence of recurrent MI., METHODS: We conducted a case-control study within a cohort of acute MI patients in PHARMO Record Linkage System (1999-2008). The cases were patients readmitted for MI. PPI exposure was categorized as current (3-1 days before MI), past (30-3 days before MI), or no use (&gt;30 days before MI). We used conditional logistic regression analyses., RESULTS: Among 23 655 patients hospitalized following MI, we identified 1247 patients readmitted for MI. Among clopidogrel users, current PPI use was associated with an increased risk of recurrent MI (OR: 1.62, 95% CI: 1.15-2.27) when compared with no PPI use, but not when compared with past PPI use (OR: 0.95, 95% CI: 0.38-2.41). Among clopidogrel non-users, current PPI use was associated with an increased risk of recurrent MI (OR: 1.38, 95% CI: 1.18-1.61) when compared with no PPI use., CONCLUSIONS: The apparent association between recurrent MI and use of PPIs with clopidogrel depends on the design, and is affected by confounding by indication. The association is not present when (un)measured confounding is addressed by design.Copyright © 2010 Blackwell Publishing Ltd.","author":[{"dropping-particle":"","family":"Valkhoff","given":"V E","non-dropping-particle":"","parse-names":false,"suffix":""},{"dropping-particle":"","family":"'t Jong","given":"G W","non-dropping-particle":"","parse-names":false,"suffix":""},{"dropping-particle":"","family":"Soest","given":"E M","non-dropping-particle":"Van","parse-names":false,"suffix":""},{"dropping-particle":"","family":"Kuipers","given":"E J","non-dropping-particle":"","parse-names":false,"suffix":""},{"dropping-particle":"","family":"Sturkenboom","given":"M C J M","non-dropping-particle":"","parse-names":false,"suffix":""}],"container-title":"Alimentary pharmacology &amp; therapeutics","id":"ITEM-1","issue":"1","issued":{"date-parts":[["2011"]]},"note":"NULL","page":"77-88","publisher":"Blackwell Publishing Ltd (9600 Garsington Road, Oxford OX4 2XG, United Kingdom)","publisher-place":"England","title":"Risk of recurrent myocardial infarction with the concomitant use of clopidogrel and proton pump inhibitors.","type":"article-journal","volume":"33"},"uris":["http://www.mendeley.com/documents/?uuid=9cdc9a9f-8bb6-4c06-a39a-f950907df585"]}],"mendeley":{"formattedCitation":"(Valkhoff et al. 2011)","plainTextFormattedCitation":"(Valkhoff et al. 2011)","previouslyFormattedCitation":"(Valkhoff et al. 2011)"},"properties":{"noteIndex":0},"schema":"https://github.com/citation-style-language/schema/raw/master/csl-citation.json"}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(Valkhoff et al. 2011)</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t xml:space="preserve"> </w:t>
            </w:r>
            <w:r w:rsidRPr="005C4B89">
              <w:rPr>
                <w:rFonts w:ascii="Calibri" w:eastAsia="Times New Roman" w:hAnsi="Calibri" w:cs="Times New Roman"/>
                <w:color w:val="000000"/>
                <w:sz w:val="18"/>
                <w:szCs w:val="18"/>
                <w:lang w:eastAsia="en-CA"/>
              </w:rPr>
              <w:br/>
              <w:t>(Netherlands)</w:t>
            </w:r>
          </w:p>
        </w:tc>
        <w:tc>
          <w:tcPr>
            <w:tcW w:w="1087" w:type="dxa"/>
            <w:tcBorders>
              <w:top w:val="nil"/>
              <w:left w:val="nil"/>
              <w:bottom w:val="single" w:sz="4" w:space="0" w:color="auto"/>
              <w:right w:val="nil"/>
            </w:tcBorders>
            <w:shd w:val="clear" w:color="auto" w:fill="FFFFFF"/>
            <w:vAlign w:val="center"/>
            <w:hideMark/>
          </w:tcPr>
          <w:p w14:paraId="0E58CFA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Nested case-control</w:t>
            </w:r>
            <w:r w:rsidRPr="005C4B89">
              <w:rPr>
                <w:rFonts w:ascii="Calibri" w:eastAsia="Times New Roman" w:hAnsi="Calibri" w:cs="Times New Roman"/>
                <w:color w:val="000000"/>
                <w:sz w:val="18"/>
                <w:szCs w:val="18"/>
                <w:lang w:eastAsia="en-CA"/>
              </w:rPr>
              <w:br/>
              <w:t>(database analysis)</w:t>
            </w:r>
          </w:p>
        </w:tc>
        <w:tc>
          <w:tcPr>
            <w:tcW w:w="1276" w:type="dxa"/>
            <w:tcBorders>
              <w:top w:val="nil"/>
              <w:left w:val="nil"/>
              <w:bottom w:val="single" w:sz="4" w:space="0" w:color="auto"/>
              <w:right w:val="nil"/>
            </w:tcBorders>
            <w:shd w:val="clear" w:color="auto" w:fill="FFFFFF"/>
            <w:vAlign w:val="center"/>
            <w:hideMark/>
          </w:tcPr>
          <w:p w14:paraId="0022593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PHARMO Record Linkage System (Netherlands)</w:t>
            </w:r>
          </w:p>
        </w:tc>
        <w:tc>
          <w:tcPr>
            <w:tcW w:w="1134" w:type="dxa"/>
            <w:tcBorders>
              <w:top w:val="nil"/>
              <w:left w:val="nil"/>
              <w:bottom w:val="single" w:sz="4" w:space="0" w:color="auto"/>
              <w:right w:val="nil"/>
            </w:tcBorders>
            <w:shd w:val="clear" w:color="auto" w:fill="FFFFFF"/>
            <w:vAlign w:val="center"/>
            <w:hideMark/>
          </w:tcPr>
          <w:p w14:paraId="40C6356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MI</w:t>
            </w:r>
          </w:p>
        </w:tc>
        <w:tc>
          <w:tcPr>
            <w:tcW w:w="3543" w:type="dxa"/>
            <w:tcBorders>
              <w:top w:val="nil"/>
              <w:left w:val="nil"/>
              <w:bottom w:val="single" w:sz="4" w:space="0" w:color="auto"/>
              <w:right w:val="nil"/>
            </w:tcBorders>
            <w:shd w:val="clear" w:color="auto" w:fill="FFFFFF"/>
            <w:vAlign w:val="center"/>
            <w:hideMark/>
          </w:tcPr>
          <w:p w14:paraId="0EFB8BC3" w14:textId="08244189" w:rsidR="009462F4" w:rsidRPr="005C4B89" w:rsidRDefault="009462F4" w:rsidP="001B1380">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xml:space="preserve">Cohort: patients admitted for MI between Jan 1999- Dec 2008 </w:t>
            </w:r>
            <w:r w:rsidRPr="005C4B89">
              <w:rPr>
                <w:rFonts w:ascii="Calibri" w:eastAsia="Times New Roman" w:hAnsi="Calibri" w:cs="Times New Roman"/>
                <w:color w:val="000000"/>
                <w:sz w:val="18"/>
                <w:szCs w:val="18"/>
                <w:lang w:eastAsia="en-CA"/>
              </w:rPr>
              <w:br/>
              <w:t xml:space="preserve">-required to have had one prescription filled at least 1 year preceding the date of cohort entry </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u w:val="single"/>
                <w:lang w:eastAsia="en-CA"/>
              </w:rPr>
              <w:t>Cases</w:t>
            </w:r>
            <w:r w:rsidRPr="005C4B89">
              <w:rPr>
                <w:rFonts w:ascii="Calibri" w:eastAsia="Times New Roman" w:hAnsi="Calibri" w:cs="Times New Roman"/>
                <w:i/>
                <w:iCs/>
                <w:color w:val="000000"/>
                <w:sz w:val="18"/>
                <w:szCs w:val="18"/>
                <w:lang w:eastAsia="en-CA"/>
              </w:rPr>
              <w:br/>
            </w:r>
            <w:r w:rsidRPr="005C4B89">
              <w:rPr>
                <w:rFonts w:ascii="Calibri" w:eastAsia="Times New Roman" w:hAnsi="Calibri" w:cs="Times New Roman"/>
                <w:color w:val="000000"/>
                <w:sz w:val="18"/>
                <w:szCs w:val="18"/>
                <w:lang w:eastAsia="en-CA"/>
              </w:rPr>
              <w:t xml:space="preserve">- recurrent MI 30 days of baseline MI </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u w:val="single"/>
                <w:lang w:eastAsia="en-CA"/>
              </w:rPr>
              <w:t>Controls</w:t>
            </w:r>
            <w:r w:rsidRPr="005C4B89">
              <w:rPr>
                <w:rFonts w:ascii="Calibri" w:eastAsia="Times New Roman" w:hAnsi="Calibri" w:cs="Times New Roman"/>
                <w:i/>
                <w:iCs/>
                <w:color w:val="000000"/>
                <w:sz w:val="18"/>
                <w:szCs w:val="18"/>
                <w:lang w:eastAsia="en-CA"/>
              </w:rPr>
              <w:br/>
            </w:r>
            <w:r w:rsidRPr="005C4B89">
              <w:rPr>
                <w:rFonts w:ascii="Calibri" w:eastAsia="Times New Roman" w:hAnsi="Calibri" w:cs="Times New Roman"/>
                <w:color w:val="000000"/>
                <w:sz w:val="18"/>
                <w:szCs w:val="18"/>
                <w:lang w:eastAsia="en-CA"/>
              </w:rPr>
              <w:t>- randomly selected from cohort, matched on gender, age, risk of recurrent MI, and calendar time;</w:t>
            </w:r>
          </w:p>
        </w:tc>
        <w:tc>
          <w:tcPr>
            <w:tcW w:w="1559" w:type="dxa"/>
            <w:tcBorders>
              <w:top w:val="nil"/>
              <w:left w:val="nil"/>
              <w:bottom w:val="single" w:sz="4" w:space="0" w:color="auto"/>
              <w:right w:val="nil"/>
            </w:tcBorders>
            <w:shd w:val="clear" w:color="auto" w:fill="FFFFFF"/>
            <w:vAlign w:val="center"/>
            <w:hideMark/>
          </w:tcPr>
          <w:p w14:paraId="632D637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(Cases: 616; Controls 126,817)</w:t>
            </w:r>
          </w:p>
        </w:tc>
        <w:tc>
          <w:tcPr>
            <w:tcW w:w="1417" w:type="dxa"/>
            <w:tcBorders>
              <w:top w:val="nil"/>
              <w:left w:val="nil"/>
              <w:bottom w:val="single" w:sz="4" w:space="0" w:color="auto"/>
              <w:right w:val="nil"/>
            </w:tcBorders>
            <w:shd w:val="clear" w:color="auto" w:fill="FFFFFF"/>
            <w:vAlign w:val="center"/>
            <w:hideMark/>
          </w:tcPr>
          <w:p w14:paraId="5F4D01A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65 (13)</w:t>
            </w:r>
          </w:p>
        </w:tc>
        <w:tc>
          <w:tcPr>
            <w:tcW w:w="1262" w:type="dxa"/>
            <w:tcBorders>
              <w:top w:val="nil"/>
              <w:left w:val="nil"/>
              <w:bottom w:val="single" w:sz="4" w:space="0" w:color="auto"/>
              <w:right w:val="nil"/>
            </w:tcBorders>
            <w:shd w:val="clear" w:color="auto" w:fill="FFFFFF"/>
            <w:vAlign w:val="center"/>
            <w:hideMark/>
          </w:tcPr>
          <w:p w14:paraId="28462DF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67%</w:t>
            </w:r>
          </w:p>
        </w:tc>
        <w:tc>
          <w:tcPr>
            <w:tcW w:w="1148" w:type="dxa"/>
            <w:tcBorders>
              <w:top w:val="nil"/>
              <w:left w:val="nil"/>
              <w:bottom w:val="single" w:sz="4" w:space="0" w:color="auto"/>
              <w:right w:val="nil"/>
            </w:tcBorders>
            <w:shd w:val="clear" w:color="auto" w:fill="FFFFFF"/>
            <w:vAlign w:val="center"/>
            <w:hideMark/>
          </w:tcPr>
          <w:p w14:paraId="275DB6E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6558C374" w14:textId="77777777" w:rsidTr="002066DB">
        <w:trPr>
          <w:trHeight w:val="58"/>
        </w:trPr>
        <w:tc>
          <w:tcPr>
            <w:tcW w:w="1465" w:type="dxa"/>
            <w:tcBorders>
              <w:top w:val="nil"/>
              <w:left w:val="nil"/>
              <w:bottom w:val="single" w:sz="4" w:space="0" w:color="auto"/>
              <w:right w:val="nil"/>
            </w:tcBorders>
            <w:shd w:val="clear" w:color="auto" w:fill="FFFFFF"/>
            <w:vAlign w:val="center"/>
            <w:hideMark/>
          </w:tcPr>
          <w:p w14:paraId="58DA0D20" w14:textId="679DFE12"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{"citationItems":[{"id":"ITEM-1","itemData":{"ISBN":"8756-3282","abstract":"Objectives: Proton pump inhibitors (PPIs) are among the most prescribed medications worldwide, however, there is growing concern regarding potential negative effects on bone health. The aim was to examine the effect of dose and type of PPI use on subsequent use of osteoporosis medication and fractures in older Australian women. Methods: Data were included from 4432 participants (born 1921-26) in the 2002 survey of the Australian Longitudinal Study on Women's Health. Medication data were from the national pharmaceutical administrative database (2003-2012, inclusive). Fractures were sourced from linked hospital datasets available for four major States of Australia. Competing risk regression models used PPI exposure as a time-dependent covariate and either time to first osteoporosis medication prescription or fracture as the outcome, with death as a competing risk. Results: Of the 2328 PPI users and 2104 PPI non-users, 827 (36%) and 550 (26%) became users of osteoporosis medication, respectively. PPI use was associated with an increased risk of subsequent use of osteoporosis medication (adjusted sub-hazard ratio [SHR] = 1.28; 95% confidence interval [CI] = 1.13-1.44) and subsequent fracture (SHR = 1.29, CI = 1.08-1.55). Analysis with PPI categorized according to defined daily dose (DDD), showed some evidence for a dose-response effect (osteoporosis medication: &lt;400 DDD: SHR = 1.23, CI = 1.06-1.42 and &gt;400 DDD: SHR = 1.39, CI = 1.17-1.65, compared with non-users; SHRs were in the same range for fractures). Esomeprazole was the most common PPI prescribed (22.9%). Analysis by type of PPI use showed an increased subsequent risk for: (1) use of osteoporosis medication for rabeprazole (SHR = 1.51, CI = 1.08-2.10) and esomeprazole (SHR = 1.48, CI = 1.17-1.88); and (2) fractures for rabeprazole (SHR = 2.06, CI = 1.37-3.10). Users of multiple types of PPI also had increased risks for use of osteoporosis medication and fractures. Conclusion: An appropriate benefit/risk assessment should be made when prescribing PPIs, especially for esomeprazole and rabeprazole, as osteoporosis and fracture risks were increased in this cohort of elderly females subsequent to PPI prescription.","author":[{"dropping-particle":"","family":"Hoorn","given":"M","non-dropping-particle":"van der","parse-names":false,"suffix":""},{"dropping-particle":"","family":"Tett","given":"S","non-dropping-particle":"","parse-names":false,"suffix":""},{"dropping-particle":"","family":"Vries","given":"O","non-dropping-particle":"de","parse-names":false,"suffix":""},{"dropping-particle":"","family":"Dobson","given":"A","non-dropping-particle":"","parse-names":false,"suffix":""},{"dropping-particle":"","family":"Peeters","given":"G","non-dropping-particle":"","parse-names":false,"suffix":""}],"container-title":"Bone","id":"ITEM-1","issued":{"date-parts":[["2015"]]},"note":"7","page":"675-682","publisher":"Elsevier Inc.","publisher-place":"G.M.E.E.G. Peeters, The University of Queensland, School of Public Health, Herston Road, Herston, QLD 4006, Australia","title":"The effect of dose and type of proton pump inhibitor use on risk of fractures and osteoporosis treatment in older Australian women: A prospective cohort study","type":"article","volume":"81"},"uris":["http://www.mendeley.com/documents/?uuid=690c4ecb-baed-41db-bc5d-6bd348bb1ddf"]}],"mendeley":{"formattedCitation":"(van der Hoorn et al. 2015)","plainTextFormattedCitation":"(van der Hoorn et al. 2015)","previouslyFormattedCitation":"(van der Hoorn et al. 2015)"},"properties":{"noteIndex":0},"schema":"https://github.com/citation-style-language/schema/raw/master/csl-citation.json"}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(van der Hoorn et al. 2015)</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(Australia)</w:t>
            </w:r>
          </w:p>
        </w:tc>
        <w:tc>
          <w:tcPr>
            <w:tcW w:w="1087" w:type="dxa"/>
            <w:tcBorders>
              <w:top w:val="nil"/>
              <w:left w:val="nil"/>
              <w:bottom w:val="single" w:sz="4" w:space="0" w:color="auto"/>
              <w:right w:val="nil"/>
            </w:tcBorders>
            <w:shd w:val="clear" w:color="auto" w:fill="FFFFFF"/>
            <w:vAlign w:val="center"/>
            <w:hideMark/>
          </w:tcPr>
          <w:p w14:paraId="4036599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Prospective cohort</w:t>
            </w:r>
            <w:r w:rsidRPr="005C4B89">
              <w:rPr>
                <w:rFonts w:ascii="Calibri" w:eastAsia="Times New Roman" w:hAnsi="Calibri" w:cs="Times New Roman"/>
                <w:color w:val="000000"/>
                <w:sz w:val="18"/>
                <w:szCs w:val="18"/>
                <w:lang w:eastAsia="en-CA"/>
              </w:rPr>
              <w:br/>
              <w:t>(database analysis)</w:t>
            </w:r>
          </w:p>
        </w:tc>
        <w:tc>
          <w:tcPr>
            <w:tcW w:w="1276" w:type="dxa"/>
            <w:tcBorders>
              <w:top w:val="nil"/>
              <w:left w:val="nil"/>
              <w:bottom w:val="single" w:sz="4" w:space="0" w:color="auto"/>
              <w:right w:val="nil"/>
            </w:tcBorders>
            <w:shd w:val="clear" w:color="auto" w:fill="FFFFFF"/>
            <w:vAlign w:val="center"/>
            <w:hideMark/>
          </w:tcPr>
          <w:p w14:paraId="0017F55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Australian Longitudinal Study data linked to Pharmaceutical Benefits Scheme</w:t>
            </w:r>
          </w:p>
        </w:tc>
        <w:tc>
          <w:tcPr>
            <w:tcW w:w="1134" w:type="dxa"/>
            <w:tcBorders>
              <w:top w:val="nil"/>
              <w:left w:val="nil"/>
              <w:bottom w:val="single" w:sz="4" w:space="0" w:color="auto"/>
              <w:right w:val="nil"/>
            </w:tcBorders>
            <w:shd w:val="clear" w:color="auto" w:fill="FFFFFF"/>
            <w:vAlign w:val="center"/>
            <w:hideMark/>
          </w:tcPr>
          <w:p w14:paraId="322AB06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Elderly women</w:t>
            </w:r>
          </w:p>
        </w:tc>
        <w:tc>
          <w:tcPr>
            <w:tcW w:w="3543" w:type="dxa"/>
            <w:tcBorders>
              <w:top w:val="nil"/>
              <w:left w:val="nil"/>
              <w:bottom w:val="single" w:sz="4" w:space="0" w:color="auto"/>
              <w:right w:val="nil"/>
            </w:tcBorders>
            <w:shd w:val="clear" w:color="auto" w:fill="FFFFFF"/>
            <w:vAlign w:val="center"/>
            <w:hideMark/>
          </w:tcPr>
          <w:p w14:paraId="2ABEAEBF" w14:textId="452A3E9D"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Australian citizens and permanent residents</w:t>
            </w:r>
            <w:r w:rsidRPr="005C4B89">
              <w:rPr>
                <w:rFonts w:ascii="Calibri" w:eastAsia="Times New Roman" w:hAnsi="Calibri" w:cs="Times New Roman"/>
                <w:color w:val="000000"/>
                <w:sz w:val="18"/>
                <w:szCs w:val="18"/>
                <w:lang w:eastAsia="en-CA"/>
              </w:rPr>
              <w:br/>
              <w:t>- women born 1921-1926</w:t>
            </w:r>
            <w:r w:rsidRPr="005C4B89">
              <w:rPr>
                <w:rFonts w:ascii="Calibri" w:eastAsia="Times New Roman" w:hAnsi="Calibri" w:cs="Times New Roman"/>
                <w:color w:val="000000"/>
                <w:sz w:val="18"/>
                <w:szCs w:val="18"/>
                <w:lang w:eastAsia="en-CA"/>
              </w:rPr>
              <w:br/>
              <w:t>- included in Medicare database</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completed a short version of the survey</w:t>
            </w:r>
            <w:r w:rsidRPr="005C4B89">
              <w:rPr>
                <w:rFonts w:ascii="Calibri" w:eastAsia="Times New Roman" w:hAnsi="Calibri" w:cs="Times New Roman"/>
                <w:color w:val="000000"/>
                <w:sz w:val="18"/>
                <w:szCs w:val="18"/>
                <w:lang w:eastAsia="en-CA"/>
              </w:rPr>
              <w:br/>
              <w:t>- did not consent to data linkage</w:t>
            </w:r>
            <w:r w:rsidRPr="005C4B89">
              <w:rPr>
                <w:rFonts w:ascii="Calibri" w:eastAsia="Times New Roman" w:hAnsi="Calibri" w:cs="Times New Roman"/>
                <w:color w:val="000000"/>
                <w:sz w:val="18"/>
                <w:szCs w:val="18"/>
                <w:lang w:eastAsia="en-CA"/>
              </w:rPr>
              <w:br/>
              <w:t>- died before 2003</w:t>
            </w:r>
            <w:r w:rsidRPr="005C4B89">
              <w:rPr>
                <w:rFonts w:ascii="Calibri" w:eastAsia="Times New Roman" w:hAnsi="Calibri" w:cs="Times New Roman"/>
                <w:color w:val="000000"/>
                <w:sz w:val="18"/>
                <w:szCs w:val="18"/>
                <w:lang w:eastAsia="en-CA"/>
              </w:rPr>
              <w:br/>
              <w:t xml:space="preserve">- received PPI and/or osteoporosis </w:t>
            </w:r>
            <w:r w:rsidRPr="005C4B89">
              <w:rPr>
                <w:rFonts w:ascii="Calibri" w:eastAsia="Times New Roman" w:hAnsi="Calibri" w:cs="Times New Roman"/>
                <w:color w:val="000000"/>
                <w:sz w:val="18"/>
                <w:szCs w:val="18"/>
                <w:lang w:eastAsia="en-CA"/>
              </w:rPr>
              <w:lastRenderedPageBreak/>
              <w:t>medication in 2002</w:t>
            </w:r>
            <w:r w:rsidRPr="005C4B89">
              <w:rPr>
                <w:rFonts w:ascii="Calibri" w:eastAsia="Times New Roman" w:hAnsi="Calibri" w:cs="Times New Roman"/>
                <w:color w:val="000000"/>
                <w:sz w:val="18"/>
                <w:szCs w:val="18"/>
                <w:lang w:eastAsia="en-CA"/>
              </w:rPr>
              <w:br/>
              <w:t>- missing confounder data</w:t>
            </w:r>
          </w:p>
        </w:tc>
        <w:tc>
          <w:tcPr>
            <w:tcW w:w="1559" w:type="dxa"/>
            <w:tcBorders>
              <w:top w:val="nil"/>
              <w:left w:val="nil"/>
              <w:bottom w:val="single" w:sz="4" w:space="0" w:color="auto"/>
              <w:right w:val="nil"/>
            </w:tcBorders>
            <w:shd w:val="clear" w:color="auto" w:fill="FFFFFF"/>
            <w:vAlign w:val="center"/>
            <w:hideMark/>
          </w:tcPr>
          <w:p w14:paraId="7042AD8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 xml:space="preserve">4,432 </w:t>
            </w:r>
            <w:r w:rsidRPr="005C4B89">
              <w:rPr>
                <w:rFonts w:ascii="Calibri" w:eastAsia="Times New Roman" w:hAnsi="Calibri" w:cs="Times New Roman"/>
                <w:color w:val="000000"/>
                <w:sz w:val="18"/>
                <w:szCs w:val="18"/>
                <w:lang w:eastAsia="en-CA"/>
              </w:rPr>
              <w:br/>
              <w:t>(PPI: 2,328; No PPI: 2,104)</w:t>
            </w:r>
          </w:p>
        </w:tc>
        <w:tc>
          <w:tcPr>
            <w:tcW w:w="1417" w:type="dxa"/>
            <w:tcBorders>
              <w:top w:val="nil"/>
              <w:left w:val="nil"/>
              <w:bottom w:val="single" w:sz="4" w:space="0" w:color="auto"/>
              <w:right w:val="nil"/>
            </w:tcBorders>
            <w:shd w:val="clear" w:color="auto" w:fill="FFFFFF"/>
            <w:vAlign w:val="center"/>
            <w:hideMark/>
          </w:tcPr>
          <w:p w14:paraId="4906F8B7" w14:textId="77777777" w:rsidR="009462F4" w:rsidRPr="005C4B89" w:rsidRDefault="009462F4">
            <w:pPr>
              <w:spacing w:after="0" w:line="240" w:lineRule="auto"/>
              <w:rPr>
                <w:rFonts w:ascii="Calibri" w:eastAsia="Times New Roman" w:hAnsi="Calibri" w:cs="Times New Roman"/>
                <w:sz w:val="18"/>
                <w:szCs w:val="18"/>
                <w:lang w:eastAsia="en-CA"/>
              </w:rPr>
            </w:pPr>
            <w:r w:rsidRPr="005C4B89">
              <w:rPr>
                <w:rFonts w:ascii="Calibri" w:eastAsia="Times New Roman" w:hAnsi="Calibri" w:cs="Times New Roman"/>
                <w:sz w:val="18"/>
                <w:szCs w:val="18"/>
                <w:lang w:eastAsia="en-CA"/>
              </w:rPr>
              <w:t>PPI: 78 (1); no PPI: 78 (2)</w:t>
            </w:r>
          </w:p>
        </w:tc>
        <w:tc>
          <w:tcPr>
            <w:tcW w:w="1262" w:type="dxa"/>
            <w:tcBorders>
              <w:top w:val="nil"/>
              <w:left w:val="nil"/>
              <w:bottom w:val="single" w:sz="4" w:space="0" w:color="auto"/>
              <w:right w:val="nil"/>
            </w:tcBorders>
            <w:shd w:val="clear" w:color="auto" w:fill="FFFFFF"/>
            <w:vAlign w:val="center"/>
            <w:hideMark/>
          </w:tcPr>
          <w:p w14:paraId="2B80700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0</w:t>
            </w:r>
          </w:p>
        </w:tc>
        <w:tc>
          <w:tcPr>
            <w:tcW w:w="1148" w:type="dxa"/>
            <w:tcBorders>
              <w:top w:val="nil"/>
              <w:left w:val="nil"/>
              <w:bottom w:val="single" w:sz="4" w:space="0" w:color="auto"/>
              <w:right w:val="nil"/>
            </w:tcBorders>
            <w:shd w:val="clear" w:color="auto" w:fill="FFFFFF"/>
            <w:vAlign w:val="center"/>
            <w:hideMark/>
          </w:tcPr>
          <w:p w14:paraId="7955A2F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7D344D" w:rsidRPr="005C4B89" w14:paraId="54D90E5E" w14:textId="77777777" w:rsidTr="00B30898">
        <w:trPr>
          <w:trHeight w:val="1335"/>
        </w:trPr>
        <w:tc>
          <w:tcPr>
            <w:tcW w:w="1465" w:type="dxa"/>
            <w:tcBorders>
              <w:top w:val="single" w:sz="4" w:space="0" w:color="auto"/>
              <w:left w:val="nil"/>
              <w:bottom w:val="single" w:sz="4" w:space="0" w:color="auto"/>
              <w:right w:val="nil"/>
            </w:tcBorders>
            <w:shd w:val="clear" w:color="auto" w:fill="auto"/>
            <w:vAlign w:val="center"/>
          </w:tcPr>
          <w:p w14:paraId="1297A079"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(Wang 2017)</w:t>
            </w:r>
            <w:r>
              <w:rPr>
                <w:rFonts w:ascii="Calibri" w:hAnsi="Calibri" w:cs="Calibri"/>
                <w:color w:val="000000"/>
                <w:sz w:val="18"/>
                <w:szCs w:val="18"/>
              </w:rPr>
              <w:br/>
              <w:t>(Taiwan)</w:t>
            </w:r>
          </w:p>
        </w:tc>
        <w:tc>
          <w:tcPr>
            <w:tcW w:w="1087" w:type="dxa"/>
            <w:tcBorders>
              <w:top w:val="single" w:sz="4" w:space="0" w:color="auto"/>
              <w:left w:val="nil"/>
              <w:bottom w:val="single" w:sz="4" w:space="0" w:color="auto"/>
              <w:right w:val="nil"/>
            </w:tcBorders>
            <w:shd w:val="clear" w:color="auto" w:fill="auto"/>
            <w:vAlign w:val="center"/>
          </w:tcPr>
          <w:p w14:paraId="5DF3FB47"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Retrospective cohort</w:t>
            </w:r>
            <w:r>
              <w:rPr>
                <w:rFonts w:ascii="Calibri" w:hAnsi="Calibri" w:cs="Calibri"/>
                <w:color w:val="000000"/>
                <w:sz w:val="18"/>
                <w:szCs w:val="18"/>
              </w:rPr>
              <w:br/>
              <w:t>(Database analysis)</w:t>
            </w:r>
          </w:p>
        </w:tc>
        <w:tc>
          <w:tcPr>
            <w:tcW w:w="1276" w:type="dxa"/>
            <w:tcBorders>
              <w:top w:val="single" w:sz="4" w:space="0" w:color="auto"/>
              <w:left w:val="nil"/>
              <w:bottom w:val="single" w:sz="4" w:space="0" w:color="auto"/>
              <w:right w:val="nil"/>
            </w:tcBorders>
            <w:shd w:val="clear" w:color="auto" w:fill="auto"/>
            <w:vAlign w:val="center"/>
          </w:tcPr>
          <w:p w14:paraId="73FBAAE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Longitudinal Health Insurance Database</w:t>
            </w:r>
          </w:p>
        </w:tc>
        <w:tc>
          <w:tcPr>
            <w:tcW w:w="1134" w:type="dxa"/>
            <w:tcBorders>
              <w:top w:val="single" w:sz="4" w:space="0" w:color="auto"/>
              <w:left w:val="nil"/>
              <w:bottom w:val="single" w:sz="4" w:space="0" w:color="auto"/>
              <w:right w:val="nil"/>
            </w:tcBorders>
            <w:shd w:val="clear" w:color="auto" w:fill="auto"/>
            <w:vAlign w:val="center"/>
          </w:tcPr>
          <w:p w14:paraId="18D87780"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General population</w:t>
            </w:r>
          </w:p>
        </w:tc>
        <w:tc>
          <w:tcPr>
            <w:tcW w:w="3543" w:type="dxa"/>
            <w:tcBorders>
              <w:top w:val="single" w:sz="4" w:space="0" w:color="auto"/>
              <w:left w:val="nil"/>
              <w:bottom w:val="single" w:sz="4" w:space="0" w:color="auto"/>
              <w:right w:val="nil"/>
            </w:tcBorders>
            <w:shd w:val="clear" w:color="auto" w:fill="auto"/>
            <w:vAlign w:val="center"/>
          </w:tcPr>
          <w:p w14:paraId="436D2EA9"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sidRPr="008F1453">
              <w:rPr>
                <w:rFonts w:ascii="Calibri" w:hAnsi="Calibri" w:cs="Calibri"/>
                <w:i/>
                <w:iCs/>
                <w:color w:val="000000"/>
                <w:sz w:val="18"/>
                <w:szCs w:val="18"/>
              </w:rPr>
              <w:t>Inclusion:</w:t>
            </w:r>
            <w:r>
              <w:rPr>
                <w:rFonts w:ascii="Calibri" w:hAnsi="Calibri" w:cs="Calibri"/>
                <w:color w:val="000000"/>
                <w:sz w:val="18"/>
                <w:szCs w:val="18"/>
              </w:rPr>
              <w:br/>
              <w:t>- ≥ 20 years</w:t>
            </w:r>
            <w:r>
              <w:rPr>
                <w:rFonts w:ascii="Calibri" w:hAnsi="Calibri" w:cs="Calibri"/>
                <w:color w:val="000000"/>
                <w:sz w:val="18"/>
                <w:szCs w:val="18"/>
              </w:rPr>
              <w:br/>
              <w:t>- no prior diagnosis of atrial fibrillation, AIDS, HIV infection, cerebrovascular disease, or cancer before the prescription of PPI</w:t>
            </w:r>
            <w:r>
              <w:rPr>
                <w:rFonts w:ascii="Calibri" w:hAnsi="Calibri" w:cs="Calibri"/>
                <w:color w:val="000000"/>
                <w:sz w:val="18"/>
                <w:szCs w:val="18"/>
              </w:rPr>
              <w:br/>
              <w:t>- no use of any PPI within 30 days before the current prescription</w:t>
            </w:r>
            <w:r>
              <w:rPr>
                <w:rFonts w:ascii="Calibri" w:hAnsi="Calibri" w:cs="Calibri"/>
                <w:color w:val="000000"/>
                <w:sz w:val="18"/>
                <w:szCs w:val="18"/>
              </w:rPr>
              <w:br/>
              <w:t>- no hospitalizations in prior 30 days</w:t>
            </w:r>
          </w:p>
        </w:tc>
        <w:tc>
          <w:tcPr>
            <w:tcW w:w="1559" w:type="dxa"/>
            <w:tcBorders>
              <w:top w:val="single" w:sz="4" w:space="0" w:color="auto"/>
              <w:left w:val="nil"/>
              <w:bottom w:val="single" w:sz="4" w:space="0" w:color="auto"/>
              <w:right w:val="nil"/>
            </w:tcBorders>
            <w:shd w:val="clear" w:color="auto" w:fill="auto"/>
            <w:vAlign w:val="center"/>
          </w:tcPr>
          <w:p w14:paraId="4EA3D5F8"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Cohort size: 396,296;</w:t>
            </w:r>
            <w:r>
              <w:rPr>
                <w:rFonts w:ascii="Calibri" w:hAnsi="Calibri" w:cs="Calibri"/>
                <w:color w:val="000000"/>
                <w:sz w:val="18"/>
                <w:szCs w:val="18"/>
              </w:rPr>
              <w:br/>
              <w:t>PPI: 198,148;</w:t>
            </w:r>
            <w:r>
              <w:rPr>
                <w:rFonts w:ascii="Calibri" w:hAnsi="Calibri" w:cs="Calibri"/>
                <w:color w:val="000000"/>
                <w:sz w:val="18"/>
                <w:szCs w:val="18"/>
              </w:rPr>
              <w:br/>
              <w:t>No PPI: 198,148;</w:t>
            </w:r>
          </w:p>
        </w:tc>
        <w:tc>
          <w:tcPr>
            <w:tcW w:w="1417" w:type="dxa"/>
            <w:tcBorders>
              <w:top w:val="single" w:sz="4" w:space="0" w:color="auto"/>
              <w:left w:val="nil"/>
              <w:bottom w:val="single" w:sz="4" w:space="0" w:color="auto"/>
              <w:right w:val="nil"/>
            </w:tcBorders>
            <w:shd w:val="clear" w:color="auto" w:fill="auto"/>
            <w:vAlign w:val="center"/>
          </w:tcPr>
          <w:p w14:paraId="7E547D5B"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51.7 (15.4)</w:t>
            </w:r>
          </w:p>
        </w:tc>
        <w:tc>
          <w:tcPr>
            <w:tcW w:w="1262" w:type="dxa"/>
            <w:tcBorders>
              <w:top w:val="single" w:sz="4" w:space="0" w:color="auto"/>
              <w:left w:val="nil"/>
              <w:bottom w:val="single" w:sz="4" w:space="0" w:color="auto"/>
              <w:right w:val="nil"/>
            </w:tcBorders>
            <w:shd w:val="clear" w:color="auto" w:fill="auto"/>
            <w:vAlign w:val="center"/>
          </w:tcPr>
          <w:p w14:paraId="0A5A0C57"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53.60%</w:t>
            </w:r>
          </w:p>
        </w:tc>
        <w:tc>
          <w:tcPr>
            <w:tcW w:w="1148" w:type="dxa"/>
            <w:tcBorders>
              <w:top w:val="single" w:sz="4" w:space="0" w:color="auto"/>
              <w:left w:val="nil"/>
              <w:bottom w:val="single" w:sz="4" w:space="0" w:color="auto"/>
              <w:right w:val="nil"/>
            </w:tcBorders>
            <w:shd w:val="clear" w:color="auto" w:fill="auto"/>
            <w:vAlign w:val="center"/>
          </w:tcPr>
          <w:p w14:paraId="3B9817E2" w14:textId="77777777" w:rsidR="007D344D" w:rsidRPr="005C4B89" w:rsidRDefault="007D344D" w:rsidP="00646369">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9462F4" w:rsidRPr="005C4B89" w14:paraId="2DE20F90"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02BF96BC" w14:textId="5D0A85A2"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{"citationItems":[{"id":"ITEM-1","itemData":{"ISBN":"0002-9270","abstract":"Purpose: Administration of PPIs while awaiting endoscopy in patients who present with UGIB rapidly raises the intra-gastric pH which may promote early healing and decrease bleeding of high risk lesions. However, PPI therapy is associated with significant expense and there is little evidence to support that PPI usage prior to presentation with UGIB (baseline PPI use) leads to improved outcomes. We hypothesized those patients taking PPIs prior to admission will be less likely to have peptic ulcer disease and will have overall better outcomes when they are admitted for overt UGIB. Methods: A retrospective chart review was performed from January, 2005 to December, 2008 on patients presenting for endoscopic evaluation of overt UGIB defined as hematemesis, bloody nasogastric tube lavage, melena, hematochezia +/- acute hematocrit drop or orthorstasis. Patients who had UGIB secondary to varices, portal hypertensive gastropathy, and patients who had no significant finding on upper endoscopy were excluded. Eligible patients were assigned to two groups: patients who were taking a PPI prior to admission and patients who were not taking a PPI prior to admission. Logistic regression analysis was performed using treatment with a PPI within the last 4 weeks prior to admission as a predictor variable in both groups. Peptic ulcer disease, erosions, esophagitis, gastritis, duodenitis and arterial bleeding were considered to be a cause of non-variceal UGIB. Results: 843 consecutive patients were referred for endoscopic evaluation of UGIB, 658 patients met the inclusion criteria. There were 110 patients who were on PPI prior to admission and 548 patients who were not on PPI prior to admission. Demographic and clinical data are shown in Table 1. Conclusion: Patients taking a PPI prior to admission were less likely to have peptic ulcer disease (p=0.04), has decreased length of stay (p=0.05), and a trend toward lower mortality (p=0.06) when admitted for overt UGIB. (Table Presented) .","author":[{"dropping-particle":"","family":"Win","given":"M","non-dropping-particle":"","parse-names":false,"suffix":""},{"dropping-particle":"","family":"Joseph","given":"J","non-dropping-particle":"","parse-names":false,"suffix":""},{"dropping-particle":"","family":"Gress","given":"F","non-dropping-particle":"","parse-names":false,"suffix":""},{"dropping-particle":"","family":"Lee","given":"Y","non-dropping-particle":"","parse-names":false,"suffix":""},{"dropping-particle":"","family":"Goodman","given":"A","non-dropping-particle":"","parse-names":false,"suffix":""}],"collection-title":"75th Annual Scientific Meeting of the American College of Gastroenterology San Antonio, TX United States. Conference Start: 20101015 Conference End: 20101020","container-title":"American Journal of Gastroenterology","id":"ITEM-1","issued":{"date-parts":[["2010"]]},"note":"647","page":"S526-S527","publisher":"Nature Publishing Group","publisher-place":"M. Win, SUNY Downstate Medical Center, Brooklyn, NY, United States","title":"Effect of baseline Proton Pump Inhibitor (PPI) use on the prevalence and outcomes of peptic ulcer disease in african american patients with overt Upper Gastrointestinal Bleeding (UGIB)","type":"article","volume":"105"},"uris":["http://www.mendeley.com/documents/?uuid=0862ce2b-54e6-482c-bdd1-a326ec96978b"]}],"mendeley":{"formattedCitation":"(Win et al. 2010)","plainTextFormattedCitation":"(Win et al. 2010)","previouslyFormattedCitation":"(Win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(Win et al.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(USA)</w:t>
            </w:r>
          </w:p>
          <w:p w14:paraId="0B0652E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[abstract]</w:t>
            </w:r>
          </w:p>
        </w:tc>
        <w:tc>
          <w:tcPr>
            <w:tcW w:w="1087" w:type="dxa"/>
            <w:tcBorders>
              <w:top w:val="nil"/>
              <w:left w:val="nil"/>
              <w:bottom w:val="single" w:sz="4" w:space="0" w:color="auto"/>
              <w:right w:val="nil"/>
            </w:tcBorders>
            <w:shd w:val="clear" w:color="auto" w:fill="FFFFFF"/>
            <w:vAlign w:val="center"/>
            <w:hideMark/>
          </w:tcPr>
          <w:p w14:paraId="0CA7795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Retrospective cohort </w:t>
            </w:r>
            <w:r w:rsidRPr="005C4B89">
              <w:rPr>
                <w:rFonts w:ascii="Calibri" w:eastAsia="Times New Roman" w:hAnsi="Calibri" w:cs="Times New Roman"/>
                <w:color w:val="000000"/>
                <w:sz w:val="18"/>
                <w:szCs w:val="18"/>
                <w:lang w:eastAsia="en-CA"/>
              </w:rPr>
              <w:br/>
              <w:t>(chart review, hospital)</w:t>
            </w:r>
          </w:p>
        </w:tc>
        <w:tc>
          <w:tcPr>
            <w:tcW w:w="1276" w:type="dxa"/>
            <w:tcBorders>
              <w:top w:val="nil"/>
              <w:left w:val="nil"/>
              <w:bottom w:val="single" w:sz="4" w:space="0" w:color="auto"/>
              <w:right w:val="nil"/>
            </w:tcBorders>
            <w:shd w:val="clear" w:color="auto" w:fill="FFFFFF"/>
            <w:vAlign w:val="center"/>
            <w:hideMark/>
          </w:tcPr>
          <w:p w14:paraId="0FE7782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3DFA6F6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UGIB</w:t>
            </w:r>
          </w:p>
        </w:tc>
        <w:tc>
          <w:tcPr>
            <w:tcW w:w="3543" w:type="dxa"/>
            <w:tcBorders>
              <w:top w:val="nil"/>
              <w:left w:val="nil"/>
              <w:bottom w:val="single" w:sz="4" w:space="0" w:color="auto"/>
              <w:right w:val="nil"/>
            </w:tcBorders>
            <w:shd w:val="clear" w:color="auto" w:fill="FFFFFF"/>
            <w:vAlign w:val="center"/>
            <w:hideMark/>
          </w:tcPr>
          <w:p w14:paraId="4B8FBA0C" w14:textId="3012328E"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endoscopic evaluation of UGIB between Jan 2005-Dec 2008</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no significant finding on upper endoscopy</w:t>
            </w:r>
          </w:p>
        </w:tc>
        <w:tc>
          <w:tcPr>
            <w:tcW w:w="1559" w:type="dxa"/>
            <w:tcBorders>
              <w:top w:val="nil"/>
              <w:left w:val="nil"/>
              <w:bottom w:val="single" w:sz="4" w:space="0" w:color="auto"/>
              <w:right w:val="nil"/>
            </w:tcBorders>
            <w:shd w:val="clear" w:color="auto" w:fill="FFFFFF"/>
            <w:vAlign w:val="center"/>
            <w:hideMark/>
          </w:tcPr>
          <w:p w14:paraId="63E1481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658</w:t>
            </w:r>
            <w:r w:rsidRPr="005C4B89">
              <w:rPr>
                <w:rFonts w:ascii="Calibri" w:eastAsia="Times New Roman" w:hAnsi="Calibri" w:cs="Times New Roman"/>
                <w:color w:val="000000"/>
                <w:sz w:val="18"/>
                <w:szCs w:val="18"/>
                <w:lang w:eastAsia="en-CA"/>
              </w:rPr>
              <w:br/>
              <w:t>(PPI: 110; No PPI: 548)</w:t>
            </w:r>
          </w:p>
        </w:tc>
        <w:tc>
          <w:tcPr>
            <w:tcW w:w="1417" w:type="dxa"/>
            <w:tcBorders>
              <w:top w:val="nil"/>
              <w:left w:val="nil"/>
              <w:bottom w:val="single" w:sz="4" w:space="0" w:color="auto"/>
              <w:right w:val="nil"/>
            </w:tcBorders>
            <w:shd w:val="clear" w:color="auto" w:fill="FFFFFF"/>
            <w:vAlign w:val="center"/>
            <w:hideMark/>
          </w:tcPr>
          <w:p w14:paraId="549732C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59 (15)</w:t>
            </w:r>
          </w:p>
        </w:tc>
        <w:tc>
          <w:tcPr>
            <w:tcW w:w="1262" w:type="dxa"/>
            <w:tcBorders>
              <w:top w:val="nil"/>
              <w:left w:val="nil"/>
              <w:bottom w:val="single" w:sz="4" w:space="0" w:color="auto"/>
              <w:right w:val="nil"/>
            </w:tcBorders>
            <w:shd w:val="clear" w:color="auto" w:fill="FFFFFF"/>
            <w:vAlign w:val="center"/>
            <w:hideMark/>
          </w:tcPr>
          <w:p w14:paraId="478404B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60%</w:t>
            </w:r>
          </w:p>
        </w:tc>
        <w:tc>
          <w:tcPr>
            <w:tcW w:w="1148" w:type="dxa"/>
            <w:tcBorders>
              <w:top w:val="nil"/>
              <w:left w:val="nil"/>
              <w:bottom w:val="single" w:sz="4" w:space="0" w:color="auto"/>
              <w:right w:val="nil"/>
            </w:tcBorders>
            <w:shd w:val="clear" w:color="auto" w:fill="FFFFFF"/>
            <w:vAlign w:val="center"/>
            <w:hideMark/>
          </w:tcPr>
          <w:p w14:paraId="2EB6979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African American (95%); others;</w:t>
            </w:r>
          </w:p>
        </w:tc>
      </w:tr>
      <w:tr w:rsidR="009462F4" w:rsidRPr="005C4B89" w14:paraId="3AEFBB6B" w14:textId="77777777" w:rsidTr="001B1380">
        <w:trPr>
          <w:trHeight w:val="556"/>
        </w:trPr>
        <w:tc>
          <w:tcPr>
            <w:tcW w:w="2552" w:type="dxa"/>
            <w:gridSpan w:val="2"/>
            <w:tcBorders>
              <w:top w:val="nil"/>
              <w:left w:val="nil"/>
              <w:bottom w:val="single" w:sz="4" w:space="0" w:color="auto"/>
              <w:right w:val="nil"/>
            </w:tcBorders>
            <w:shd w:val="clear" w:color="auto" w:fill="DEEAF6" w:themeFill="accent1" w:themeFillTint="33"/>
            <w:noWrap/>
            <w:vAlign w:val="center"/>
            <w:hideMark/>
          </w:tcPr>
          <w:p w14:paraId="793CBA4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b/>
                <w:bCs/>
                <w:i/>
                <w:iCs/>
                <w:color w:val="000000"/>
                <w:sz w:val="18"/>
                <w:szCs w:val="18"/>
                <w:lang w:eastAsia="en-CA"/>
              </w:rPr>
              <w:t>Intervention studies</w:t>
            </w:r>
          </w:p>
        </w:tc>
        <w:tc>
          <w:tcPr>
            <w:tcW w:w="1276" w:type="dxa"/>
            <w:tcBorders>
              <w:top w:val="nil"/>
              <w:left w:val="nil"/>
              <w:bottom w:val="single" w:sz="4" w:space="0" w:color="auto"/>
              <w:right w:val="nil"/>
            </w:tcBorders>
            <w:shd w:val="clear" w:color="auto" w:fill="DEEAF6" w:themeFill="accent1" w:themeFillTint="33"/>
            <w:noWrap/>
            <w:vAlign w:val="center"/>
            <w:hideMark/>
          </w:tcPr>
          <w:p w14:paraId="29C371A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DEEAF6" w:themeFill="accent1" w:themeFillTint="33"/>
            <w:noWrap/>
            <w:vAlign w:val="center"/>
            <w:hideMark/>
          </w:tcPr>
          <w:p w14:paraId="49EB627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3543" w:type="dxa"/>
            <w:tcBorders>
              <w:top w:val="nil"/>
              <w:left w:val="nil"/>
              <w:bottom w:val="single" w:sz="4" w:space="0" w:color="auto"/>
              <w:right w:val="nil"/>
            </w:tcBorders>
            <w:shd w:val="clear" w:color="auto" w:fill="DEEAF6" w:themeFill="accent1" w:themeFillTint="33"/>
            <w:vAlign w:val="center"/>
            <w:hideMark/>
          </w:tcPr>
          <w:p w14:paraId="662C55ED" w14:textId="77777777" w:rsidR="009462F4" w:rsidRPr="005C4B89" w:rsidRDefault="009462F4">
            <w:pPr>
              <w:rPr>
                <w:rFonts w:ascii="Calibri" w:eastAsia="Times New Roman" w:hAnsi="Calibri" w:cs="Times New Roman"/>
                <w:color w:val="000000"/>
                <w:sz w:val="18"/>
                <w:szCs w:val="18"/>
                <w:lang w:eastAsia="en-CA"/>
              </w:rPr>
            </w:pPr>
          </w:p>
        </w:tc>
        <w:tc>
          <w:tcPr>
            <w:tcW w:w="1559" w:type="dxa"/>
            <w:tcBorders>
              <w:top w:val="nil"/>
              <w:left w:val="nil"/>
              <w:bottom w:val="single" w:sz="4" w:space="0" w:color="auto"/>
              <w:right w:val="nil"/>
            </w:tcBorders>
            <w:shd w:val="clear" w:color="auto" w:fill="DEEAF6" w:themeFill="accent1" w:themeFillTint="33"/>
            <w:noWrap/>
            <w:vAlign w:val="center"/>
            <w:hideMark/>
          </w:tcPr>
          <w:p w14:paraId="4DE94CD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417" w:type="dxa"/>
            <w:tcBorders>
              <w:top w:val="nil"/>
              <w:left w:val="nil"/>
              <w:bottom w:val="single" w:sz="4" w:space="0" w:color="auto"/>
              <w:right w:val="nil"/>
            </w:tcBorders>
            <w:shd w:val="clear" w:color="auto" w:fill="DEEAF6" w:themeFill="accent1" w:themeFillTint="33"/>
            <w:noWrap/>
            <w:vAlign w:val="center"/>
            <w:hideMark/>
          </w:tcPr>
          <w:p w14:paraId="0A36F6C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262" w:type="dxa"/>
            <w:tcBorders>
              <w:top w:val="nil"/>
              <w:left w:val="nil"/>
              <w:bottom w:val="single" w:sz="4" w:space="0" w:color="auto"/>
              <w:right w:val="nil"/>
            </w:tcBorders>
            <w:shd w:val="clear" w:color="auto" w:fill="DEEAF6" w:themeFill="accent1" w:themeFillTint="33"/>
            <w:noWrap/>
            <w:vAlign w:val="center"/>
            <w:hideMark/>
          </w:tcPr>
          <w:p w14:paraId="79A716F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48" w:type="dxa"/>
            <w:tcBorders>
              <w:top w:val="nil"/>
              <w:left w:val="nil"/>
              <w:bottom w:val="single" w:sz="4" w:space="0" w:color="auto"/>
              <w:right w:val="nil"/>
            </w:tcBorders>
            <w:shd w:val="clear" w:color="auto" w:fill="DEEAF6" w:themeFill="accent1" w:themeFillTint="33"/>
            <w:noWrap/>
            <w:vAlign w:val="center"/>
            <w:hideMark/>
          </w:tcPr>
          <w:p w14:paraId="1A293C0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r>
      <w:tr w:rsidR="009462F4" w:rsidRPr="005C4B89" w14:paraId="6F9D0858"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307AAB33" w14:textId="062AC952"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{"citationItems":[{"id":"ITEM-1","itemData":{"ISBN":"0959-8146","ISSN":"0959-8138","abstract":"Objective - To investigate the possible therapeutic role of omeprazole, a powerful proton pump inhibitor, in unselected patients presenting with upper gastrointestinal bleeding. Design - Double blind placebo controlled parallel group study. Active treatment was omeprazole 80 mg intravenously immediately, then three doses of 40 mg intravenously at eight hourly intervals, then 40 mg orally at 12 hourly intervals. Treatment was started within 12 hours of admission and given for four days or until surgery, discharge, or death. Setting - The medical wards of University and City Hospitals, Nottingham. Subjects - 1147 consecutive patients aged 18 years or more admitted over 40 months with acute upper gastrointestinal bleeding. Main outcome measures - Mortality from all causes; rate of rebleeding, transfusion requirements, and operation rate; effect of treatment on endoscopic appearances at initial endoscopy. Results - Of 1147 patients included in the intention to treat analysis, 569 received placebo and 578 omeprazole. No significant differences were found between the placebo and omeprazole groups for rates of transfusion (302 (53%) placebo v 298 (52%) omeprazole), rebleeding (100 (18%) v 85 (15%)), operation (63 (11%) v 62 (11%)),and death (30 (5.3%) v 40 (6.9%)). However, there was an unexpected but significant reduction in endoscopic signs of upper gastrointestinal bleeding in patients treated with omeprazole compared with those treated with placebo (236 (45%) placebo v 176 (33%) omeprazole; p &lt; 0.0001). Conclusions - Omeprazole failed to reduce mortality, rebleeding, or transfusion requirements, although the reduction in endoscopic signs of bleeding suggests that inhibition of acid may be capable of influencing intragastric bleeding. Our data do not justify the routine use of acid inhibiting drugs in the management of haematemesis and melaena.","author":[{"dropping-particle":"","family":"Daneshmend","given":"T K","non-dropping-particle":"","parse-names":false,"suffix":""},{"dropping-particle":"","family":"Hawkey","given":"C J","non-dropping-particle":"","parse-names":false,"suffix":""},{"dropping-particle":"","family":"Langman","given":"M J","non-dropping-particle":"","parse-names":false,"suffix":""},{"dropping-particle":"","family":"Logan","given":"R F","non-dropping-particle":"","parse-names":false,"suffix":""},{"dropping-particle":"","family":"Long","given":"R G","non-dropping-particle":"","parse-names":false,"suffix":""},{"dropping-particle":"","family":"Walt","given":"R P","non-dropping-particle":"","parse-names":false,"suffix":""}],"container-title":"BMJ (Clinical research ed.)","id":"ITEM-1","issue":"6820","issued":{"date-parts":[["1992"]]},"note":"1250\n\nFrom Duplicate 2 (Omeprazole versus placebo for acute upper gastrointestinal bleeding: randomised double blind controlled trial. - Daneshmend, T K; Hawkey, C J; Langman, M J; Logan, R F; Long, R G; Walt, R P)\n\nComment in: BMJ. 1992 Jan 18;304(6820):135-6; PMID: 1737156, Comment in: BMJ. 1992 Feb 8;304(6823):383; PMID: 1540748","page":"143-147","publisher":"Daneshmend,T K. Department of Therapeutics, University Hospital, Nottingham, England.","publisher-place":"ENGLAND","title":"Omeprazole versus placebo for acute upper gastrointestinal bleeding: randomised double blind controlled trial.","type":"article-journal","volume":"304"},"uris":["http://www.mendeley.com/documents/?uuid=553482a6-9357-4da8-88a5-3dc4bb7e7dc3"]}],"mendeley":{"formattedCitation":"(Daneshmend et al. 1992)","plainTextFormattedCitation":"(Daneshmend et al. 1992)","previouslyFormattedCitation":"(Daneshmend et al. 1992)"},"properties":{"noteIndex":0},"schema":"https://github.com/citation-style-language/schema/raw/master/csl-citation.json"}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(Daneshmend et al. 1992)</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(England)</w:t>
            </w:r>
          </w:p>
        </w:tc>
        <w:tc>
          <w:tcPr>
            <w:tcW w:w="1087" w:type="dxa"/>
            <w:tcBorders>
              <w:top w:val="nil"/>
              <w:left w:val="nil"/>
              <w:bottom w:val="single" w:sz="4" w:space="0" w:color="auto"/>
              <w:right w:val="nil"/>
            </w:tcBorders>
            <w:shd w:val="clear" w:color="auto" w:fill="FFFFFF"/>
            <w:vAlign w:val="center"/>
            <w:hideMark/>
          </w:tcPr>
          <w:p w14:paraId="6D067E7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(hospitals -2 centers)</w:t>
            </w:r>
          </w:p>
        </w:tc>
        <w:tc>
          <w:tcPr>
            <w:tcW w:w="1276" w:type="dxa"/>
            <w:tcBorders>
              <w:top w:val="nil"/>
              <w:left w:val="nil"/>
              <w:bottom w:val="single" w:sz="4" w:space="0" w:color="auto"/>
              <w:right w:val="nil"/>
            </w:tcBorders>
            <w:shd w:val="clear" w:color="auto" w:fill="FFFFFF"/>
            <w:vAlign w:val="center"/>
            <w:hideMark/>
          </w:tcPr>
          <w:p w14:paraId="2D2FA61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180416E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UGIB</w:t>
            </w:r>
          </w:p>
        </w:tc>
        <w:tc>
          <w:tcPr>
            <w:tcW w:w="3543" w:type="dxa"/>
            <w:tcBorders>
              <w:top w:val="nil"/>
              <w:left w:val="nil"/>
              <w:bottom w:val="single" w:sz="4" w:space="0" w:color="auto"/>
              <w:right w:val="nil"/>
            </w:tcBorders>
            <w:shd w:val="clear" w:color="auto" w:fill="FFFFFF"/>
            <w:vAlign w:val="center"/>
            <w:hideMark/>
          </w:tcPr>
          <w:p w14:paraId="6FEE6AA3" w14:textId="05628843"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xml:space="preserve">- UGIB </w:t>
            </w:r>
            <w:r w:rsidRPr="005C4B89">
              <w:rPr>
                <w:rFonts w:ascii="Calibri" w:eastAsia="Times New Roman" w:hAnsi="Calibri" w:cs="Times New Roman"/>
                <w:color w:val="000000"/>
                <w:sz w:val="18"/>
                <w:szCs w:val="18"/>
                <w:lang w:eastAsia="en-CA"/>
              </w:rPr>
              <w:br/>
              <w:t>- history of hematemesis or melena within 24 hours preceding admission</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&lt;18 years</w:t>
            </w:r>
            <w:r w:rsidRPr="005C4B89">
              <w:rPr>
                <w:rFonts w:ascii="Calibri" w:eastAsia="Times New Roman" w:hAnsi="Calibri" w:cs="Times New Roman"/>
                <w:color w:val="000000"/>
                <w:sz w:val="18"/>
                <w:szCs w:val="18"/>
                <w:lang w:eastAsia="en-CA"/>
              </w:rPr>
              <w:br/>
              <w:t>- pregnant</w:t>
            </w:r>
            <w:r w:rsidRPr="005C4B89">
              <w:rPr>
                <w:rFonts w:ascii="Calibri" w:eastAsia="Times New Roman" w:hAnsi="Calibri" w:cs="Times New Roman"/>
                <w:color w:val="000000"/>
                <w:sz w:val="18"/>
                <w:szCs w:val="18"/>
                <w:lang w:eastAsia="en-CA"/>
              </w:rPr>
              <w:br/>
              <w:t>- severe illness making active treatment inappropriate (terminal disease, advanced malignancy) or inability to start treatment within 12 hours of admission</w:t>
            </w:r>
            <w:r w:rsidRPr="005C4B89">
              <w:rPr>
                <w:rFonts w:ascii="Calibri" w:eastAsia="Times New Roman" w:hAnsi="Calibri" w:cs="Times New Roman"/>
                <w:color w:val="000000"/>
                <w:sz w:val="18"/>
                <w:szCs w:val="18"/>
                <w:lang w:eastAsia="en-CA"/>
              </w:rPr>
              <w:br/>
              <w:t>- severe bleeding that needs surgery, trivial bleeding, bleeding for other reasons</w:t>
            </w:r>
            <w:r w:rsidRPr="005C4B89">
              <w:rPr>
                <w:rFonts w:ascii="Calibri" w:eastAsia="Times New Roman" w:hAnsi="Calibri" w:cs="Times New Roman"/>
                <w:color w:val="000000"/>
                <w:sz w:val="18"/>
                <w:szCs w:val="18"/>
                <w:lang w:eastAsia="en-CA"/>
              </w:rPr>
              <w:br/>
              <w:t>- potential to drug interactions with concomitant medications (such as warfarin)</w:t>
            </w:r>
          </w:p>
        </w:tc>
        <w:tc>
          <w:tcPr>
            <w:tcW w:w="1559" w:type="dxa"/>
            <w:tcBorders>
              <w:top w:val="nil"/>
              <w:left w:val="nil"/>
              <w:bottom w:val="single" w:sz="4" w:space="0" w:color="auto"/>
              <w:right w:val="nil"/>
            </w:tcBorders>
            <w:shd w:val="clear" w:color="auto" w:fill="FFFFFF"/>
            <w:vAlign w:val="center"/>
            <w:hideMark/>
          </w:tcPr>
          <w:p w14:paraId="287DD23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1,147 </w:t>
            </w:r>
            <w:r w:rsidRPr="005C4B89">
              <w:rPr>
                <w:rFonts w:ascii="Calibri" w:eastAsia="Times New Roman" w:hAnsi="Calibri" w:cs="Times New Roman"/>
                <w:color w:val="000000"/>
                <w:sz w:val="18"/>
                <w:szCs w:val="18"/>
                <w:lang w:eastAsia="en-CA"/>
              </w:rPr>
              <w:br/>
              <w:t>(PPI (omeprazole): 578; No PPI: 569)</w:t>
            </w:r>
          </w:p>
        </w:tc>
        <w:tc>
          <w:tcPr>
            <w:tcW w:w="1417" w:type="dxa"/>
            <w:tcBorders>
              <w:top w:val="nil"/>
              <w:left w:val="nil"/>
              <w:bottom w:val="single" w:sz="4" w:space="0" w:color="auto"/>
              <w:right w:val="nil"/>
            </w:tcBorders>
            <w:shd w:val="clear" w:color="auto" w:fill="FFFFFF"/>
            <w:vAlign w:val="center"/>
            <w:hideMark/>
          </w:tcPr>
          <w:p w14:paraId="7DF5A00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59 (19)</w:t>
            </w:r>
            <w:r w:rsidRPr="005C4B89">
              <w:rPr>
                <w:rFonts w:ascii="Calibri" w:eastAsia="Times New Roman" w:hAnsi="Calibri" w:cs="Times New Roman"/>
                <w:color w:val="000000"/>
                <w:sz w:val="18"/>
                <w:szCs w:val="18"/>
                <w:lang w:eastAsia="en-CA"/>
              </w:rPr>
              <w:br/>
              <w:t xml:space="preserve">no PPI: 60 (19) </w:t>
            </w:r>
          </w:p>
        </w:tc>
        <w:tc>
          <w:tcPr>
            <w:tcW w:w="1262" w:type="dxa"/>
            <w:tcBorders>
              <w:top w:val="nil"/>
              <w:left w:val="nil"/>
              <w:bottom w:val="single" w:sz="4" w:space="0" w:color="auto"/>
              <w:right w:val="nil"/>
            </w:tcBorders>
            <w:shd w:val="clear" w:color="auto" w:fill="FFFFFF"/>
            <w:vAlign w:val="center"/>
            <w:hideMark/>
          </w:tcPr>
          <w:p w14:paraId="530A156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62%</w:t>
            </w:r>
            <w:r w:rsidRPr="005C4B89">
              <w:rPr>
                <w:rFonts w:ascii="Calibri" w:eastAsia="Times New Roman" w:hAnsi="Calibri" w:cs="Times New Roman"/>
                <w:color w:val="000000"/>
                <w:sz w:val="18"/>
                <w:szCs w:val="18"/>
                <w:lang w:eastAsia="en-CA"/>
              </w:rPr>
              <w:br/>
              <w:t>no PPI: 65%</w:t>
            </w:r>
          </w:p>
        </w:tc>
        <w:tc>
          <w:tcPr>
            <w:tcW w:w="1148" w:type="dxa"/>
            <w:tcBorders>
              <w:top w:val="nil"/>
              <w:left w:val="nil"/>
              <w:bottom w:val="single" w:sz="4" w:space="0" w:color="auto"/>
              <w:right w:val="nil"/>
            </w:tcBorders>
            <w:shd w:val="clear" w:color="auto" w:fill="FFFFFF"/>
            <w:vAlign w:val="center"/>
            <w:hideMark/>
          </w:tcPr>
          <w:p w14:paraId="44E3BB8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7BB267FB"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02DD0647" w14:textId="321AD054"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{"citationItems":[{"id":"ITEM-1","itemData":{"ISBN":"0929-5305","ISSN":"1573-742X","abstract":"Background: Bleeding complications are not uncommon in patients with acute myocardial infarction (AMI) during treatments. How to prevent the occurrence of upper gastrointestinal bleeding in AMI patients has become one of the most intractable problems. And there are conflicting data on the efficacy and complication rate of omeprazole treatment. We conducted an intervention study to determine whether using omeprazole could benefit AMI patients. Methods: A total of 237 patients with AMI were divided into two groups at random: omeprazole group including 114 patients and control group including 123 patients. Omeprazole 40 mg by intravenous drip was given to the patients in omeprazole group when they were admitted to the hospitals. From the second day they were given omeprazole 20 mg per day by oral administration for 7 days. In contrast, no gastric acid inhibitor was given to the patients in control group. The incidence of upper gastrointestinal bleeding, the recanalization rate and overall mortality in both groups were observed. Results: The incidence of uppergastrointestinal bleeding in omeprazole group was 5.3% (6/114) which was much lower than 14.6% (18/123) in control group (P = 0.017), but the recanalization rate had no significant difference between the two groups (P = 0.681). The overall mortality in omeprazole group was lower than that of control group (3.5% vs. 10.6%, P = 0.035). Conclusions: Our findings suggest that early useof omeprazole in AMI patients could decrease the incidence of upper gastrointestinal bleeding and the overall mortality, without influencing the recanalization rate. Early use of omeprazole might benefit AMI patients. © Springer Science+Business Media, LLC 2008.","author":[{"dropping-particle":"","family":"Gao","given":"Qian-Ping","non-dropping-particle":"","parse-names":false,"suffix":""},{"dropping-particle":"","family":"Sun","given":"Yan Yu-Xue","non-dropping-particle":"","parse-names":false,"suffix":""},{"dropping-particle":"","family":"Sun","given":"Yan Yu-Xue","non-dropping-particle":"","parse-names":false,"suffix":""},{"dropping-particle":"","family":"Wang","given":"Lan-Feng","non-dropping-particle":"","parse-names":false,"suffix":""},{"dropping-particle":"","family":"Fu","given":"Lu","non-dropping-particle":"","parse-names":false,"suffix":""}],"container-title":"Journal of thrombosis and thrombolysis","id":"ITEM-1","issue":"3","issued":{"date-parts":[["2009"]]},"note":"811","page":"282-287","publisher":"Gao,Qian-Ping. Department of Cardiology, The First Affiliated Hospital of Harbin Medical University, Harbin, Heilongjiang Province, China.","publisher-place":"Netherlands","title":"Early use of omeprazole benefits patients with acute myocardial infarction.","type":"article-journal","volume":"28"},"uris":["http://www.mendeley.com/documents/?uuid=7e930386-6b16-4b49-9fe0-91e7b22220f3"]}],"mendeley":{"formattedCitation":"(Gao et al. 2009)","plainTextFormattedCitation":"(Gao et al. 2009)","previouslyFormattedCitation":"(Gao et al. 2009)"},"properties":{"noteIndex":0},"schema":"https://github.com/citation-style-language/schema/raw/master/csl-citation.json"}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(Gao et al. 2009)</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(China)</w:t>
            </w:r>
          </w:p>
        </w:tc>
        <w:tc>
          <w:tcPr>
            <w:tcW w:w="1087" w:type="dxa"/>
            <w:tcBorders>
              <w:top w:val="nil"/>
              <w:left w:val="nil"/>
              <w:bottom w:val="single" w:sz="4" w:space="0" w:color="auto"/>
              <w:right w:val="nil"/>
            </w:tcBorders>
            <w:shd w:val="clear" w:color="auto" w:fill="FFFFFF"/>
            <w:vAlign w:val="center"/>
            <w:hideMark/>
          </w:tcPr>
          <w:p w14:paraId="7446803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(hospitals – 2  centers)</w:t>
            </w:r>
          </w:p>
        </w:tc>
        <w:tc>
          <w:tcPr>
            <w:tcW w:w="1276" w:type="dxa"/>
            <w:tcBorders>
              <w:top w:val="nil"/>
              <w:left w:val="nil"/>
              <w:bottom w:val="single" w:sz="4" w:space="0" w:color="auto"/>
              <w:right w:val="nil"/>
            </w:tcBorders>
            <w:shd w:val="clear" w:color="auto" w:fill="FFFFFF"/>
            <w:vAlign w:val="center"/>
            <w:hideMark/>
          </w:tcPr>
          <w:p w14:paraId="4FB2E26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1CA4816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MI</w:t>
            </w:r>
          </w:p>
        </w:tc>
        <w:tc>
          <w:tcPr>
            <w:tcW w:w="3543" w:type="dxa"/>
            <w:tcBorders>
              <w:top w:val="nil"/>
              <w:left w:val="nil"/>
              <w:bottom w:val="single" w:sz="4" w:space="0" w:color="auto"/>
              <w:right w:val="nil"/>
            </w:tcBorders>
            <w:shd w:val="clear" w:color="auto" w:fill="FFFFFF"/>
            <w:vAlign w:val="center"/>
            <w:hideMark/>
          </w:tcPr>
          <w:p w14:paraId="6E0438A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hospitalized for MI from  Jan 2003 - Dec 2007</w:t>
            </w:r>
            <w:r w:rsidRPr="005C4B89">
              <w:rPr>
                <w:rFonts w:ascii="Calibri" w:eastAsia="Times New Roman" w:hAnsi="Calibri" w:cs="Times New Roman"/>
                <w:color w:val="000000"/>
                <w:sz w:val="18"/>
                <w:szCs w:val="18"/>
                <w:lang w:eastAsia="en-CA"/>
              </w:rPr>
              <w:br/>
              <w:t>- underwent  "canalization"</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did not undergo "canalization"</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lastRenderedPageBreak/>
              <w:t>- had presented UGIB in 6 months before hospitalization</w:t>
            </w:r>
          </w:p>
        </w:tc>
        <w:tc>
          <w:tcPr>
            <w:tcW w:w="1559" w:type="dxa"/>
            <w:tcBorders>
              <w:top w:val="nil"/>
              <w:left w:val="nil"/>
              <w:bottom w:val="single" w:sz="4" w:space="0" w:color="auto"/>
              <w:right w:val="nil"/>
            </w:tcBorders>
            <w:shd w:val="clear" w:color="auto" w:fill="FFFFFF"/>
            <w:vAlign w:val="center"/>
            <w:hideMark/>
          </w:tcPr>
          <w:p w14:paraId="32FE7DB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237</w:t>
            </w:r>
            <w:r w:rsidRPr="005C4B89">
              <w:rPr>
                <w:rFonts w:ascii="Calibri" w:eastAsia="Times New Roman" w:hAnsi="Calibri" w:cs="Times New Roman"/>
                <w:color w:val="000000"/>
                <w:sz w:val="18"/>
                <w:szCs w:val="18"/>
                <w:lang w:eastAsia="en-CA"/>
              </w:rPr>
              <w:br/>
              <w:t>(PPI (omeprazole): 114; No PPI: 123)</w:t>
            </w:r>
          </w:p>
        </w:tc>
        <w:tc>
          <w:tcPr>
            <w:tcW w:w="1417" w:type="dxa"/>
            <w:tcBorders>
              <w:top w:val="nil"/>
              <w:left w:val="nil"/>
              <w:bottom w:val="single" w:sz="4" w:space="0" w:color="auto"/>
              <w:right w:val="nil"/>
            </w:tcBorders>
            <w:shd w:val="clear" w:color="auto" w:fill="FFFFFF"/>
            <w:vAlign w:val="center"/>
            <w:hideMark/>
          </w:tcPr>
          <w:p w14:paraId="682AAD7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58 (9)</w:t>
            </w:r>
            <w:r w:rsidRPr="005C4B89">
              <w:rPr>
                <w:rFonts w:ascii="Calibri" w:eastAsia="Times New Roman" w:hAnsi="Calibri" w:cs="Times New Roman"/>
                <w:color w:val="000000"/>
                <w:sz w:val="18"/>
                <w:szCs w:val="18"/>
                <w:lang w:eastAsia="en-CA"/>
              </w:rPr>
              <w:br/>
              <w:t>no PPI: 58 (9)</w:t>
            </w:r>
          </w:p>
        </w:tc>
        <w:tc>
          <w:tcPr>
            <w:tcW w:w="1262" w:type="dxa"/>
            <w:tcBorders>
              <w:top w:val="nil"/>
              <w:left w:val="nil"/>
              <w:bottom w:val="single" w:sz="4" w:space="0" w:color="auto"/>
              <w:right w:val="nil"/>
            </w:tcBorders>
            <w:shd w:val="clear" w:color="auto" w:fill="FFFFFF"/>
            <w:vAlign w:val="center"/>
            <w:hideMark/>
          </w:tcPr>
          <w:p w14:paraId="484DF7C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53%</w:t>
            </w:r>
          </w:p>
        </w:tc>
        <w:tc>
          <w:tcPr>
            <w:tcW w:w="1148" w:type="dxa"/>
            <w:tcBorders>
              <w:top w:val="nil"/>
              <w:left w:val="nil"/>
              <w:bottom w:val="single" w:sz="4" w:space="0" w:color="auto"/>
              <w:right w:val="nil"/>
            </w:tcBorders>
            <w:shd w:val="clear" w:color="auto" w:fill="FFFFFF"/>
            <w:vAlign w:val="center"/>
            <w:hideMark/>
          </w:tcPr>
          <w:p w14:paraId="7227CB6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6E81C6F2"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76E6B30A" w14:textId="67424599"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{"citationItems":[{"id":"ITEM-1","itemData":{"ISBN":"0036-5521","ISSN":"0036-5521","abstract":"BACKGROUND: Does profound acid inhibition by continuous infusion of omeprazole for 72 h reduce further bleeding in elderly patients with peptic ulcer bleeding (PUB)?, METHODS: Three hundred and thirty-three patients &gt; or = 60 years old with PUB were randomized to omeprazole (80 mg + mg/h) or placebo as continuous infusion for 72 h. From day 4 to 21 all patients received 20 mg omeprazole orally once daily., RESULTS: When evaluated on day 3, the primary variable 'overall outcome' (based on an ordinal ranking scale; see Study variables) (P = 0.017) and the secondary variables, surgery (P = 0.003), degree (P = 0.004) and duration of bleeding (P = 0.003) all favored the omeprazole group. Blood transfusions, need for endoscopic treatment, and mortality were not statistically different. On follow-up, by day 21, the mortality in the group initially receiving intravenous omeprazole was 6.9%, while the intravenous placebo group showed an extremely low mortality, 0.6%., CONCLUSION: Three days' infusion of omeprazole improved overall outcome and reduced need for intervention in PUB patients.","author":[{"dropping-particle":"","family":"Hasselgren","given":"G","non-dropping-particle":"","parse-names":false,"suffix":""},{"dropping-particle":"","family":"Lundell","given":"L","non-dropping-particle":"","parse-names":false,"suffix":""},{"dropping-particle":"","family":"Aadland","given":"E","non-dropping-particle":"","parse-names":false,"suffix":""},{"dropping-particle":"","family":"Efskind","given":"P","non-dropping-particle":"","parse-names":false,"suffix":""},{"dropping-particle":"","family":"Falk","given":"A","non-dropping-particle":"","parse-names":false,"suffix":""},{"dropping-particle":"","family":"Hyltander","given":"A","non-dropping-particle":"","parse-names":false,"suffix":""},{"dropping-particle":"","family":"Soderlund","given":"C","non-dropping-particle":"","parse-names":false,"suffix":""},{"dropping-particle":"","family":"Eriksson","given":"S","non-dropping-particle":"","parse-names":false,"suffix":""},{"dropping-particle":"","family":"Fernstrom","given":"P","non-dropping-particle":"","parse-names":false,"suffix":""},{"dropping-particle":"","family":"Lind","given":"T","non-dropping-particle":"","parse-names":false,"suffix":""}],"container-title":"Scandinavian journal of gastroenterology","id":"ITEM-1","issue":"4","issued":{"date-parts":[["1997"]]},"note":"From Duplicate 1 (Continuous intravenous infusion of omeprazole in elderly patients with peptic ulcer bleeding. Results of a placebo-controlled multicenter study. - Hasselgren, G; Lind, T; Lundell, L; Aadland, E; Efskind, P; Falk, A; Hyltander, A; Soderlund, C; Eriksson, S; Fernstrom, P)\n\nComment in: Scand J Gastroenterol. 1997 Apr;32(4):396-8; PMID: 9140165","page":"328-333","publisher":"Hasselgren,G. Dept. of Surgery, Sahlgrenska University Hospital, Goteborg, Sweden.","publisher-place":"T. Lind, Dept. of Surgery, Karnsjukhuset, S-541 85 Skovde, Sweden","title":"Continuous intravenous infusion of omeprazole in elderly patients with peptic ulcer bleeding. Results of a placebo-controlled multicenter study.","type":"article-journal","volume":"32"},"uris":["http://www.mendeley.com/documents/?uuid=71880bdb-7da4-40fe-8eac-2c97f9199e82"]}],"mendeley":{"formattedCitation":"(Hasselgren et al. 1997)","plainTextFormattedCitation":"(Hasselgren et al. 1997)","previouslyFormattedCitation":"(Hasselgren et al. 1997)"},"properties":{"noteIndex":0},"schema":"https://github.com/citation-style-language/schema/raw/master/csl-citation.json"}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(Hasselgren et al. 1997)</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(Sweden and Norway)</w:t>
            </w:r>
          </w:p>
        </w:tc>
        <w:tc>
          <w:tcPr>
            <w:tcW w:w="1087" w:type="dxa"/>
            <w:tcBorders>
              <w:top w:val="nil"/>
              <w:left w:val="nil"/>
              <w:bottom w:val="single" w:sz="4" w:space="0" w:color="auto"/>
              <w:right w:val="nil"/>
            </w:tcBorders>
            <w:shd w:val="clear" w:color="auto" w:fill="FFFFFF"/>
            <w:vAlign w:val="center"/>
            <w:hideMark/>
          </w:tcPr>
          <w:p w14:paraId="0B6F823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(hospitals - 29 centers)</w:t>
            </w:r>
          </w:p>
        </w:tc>
        <w:tc>
          <w:tcPr>
            <w:tcW w:w="1276" w:type="dxa"/>
            <w:tcBorders>
              <w:top w:val="nil"/>
              <w:left w:val="nil"/>
              <w:bottom w:val="single" w:sz="4" w:space="0" w:color="auto"/>
              <w:right w:val="nil"/>
            </w:tcBorders>
            <w:shd w:val="clear" w:color="auto" w:fill="FFFFFF"/>
            <w:vAlign w:val="center"/>
            <w:hideMark/>
          </w:tcPr>
          <w:p w14:paraId="4FE2598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3990A38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UGIB</w:t>
            </w:r>
          </w:p>
        </w:tc>
        <w:tc>
          <w:tcPr>
            <w:tcW w:w="3543" w:type="dxa"/>
            <w:tcBorders>
              <w:top w:val="nil"/>
              <w:left w:val="nil"/>
              <w:bottom w:val="single" w:sz="4" w:space="0" w:color="auto"/>
              <w:right w:val="nil"/>
            </w:tcBorders>
            <w:shd w:val="clear" w:color="auto" w:fill="FFFFFF"/>
            <w:vAlign w:val="center"/>
            <w:hideMark/>
          </w:tcPr>
          <w:p w14:paraId="7CDF0B1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&gt;60 years</w:t>
            </w:r>
            <w:r w:rsidRPr="005C4B89">
              <w:rPr>
                <w:rFonts w:ascii="Calibri" w:eastAsia="Times New Roman" w:hAnsi="Calibri" w:cs="Times New Roman"/>
                <w:color w:val="000000"/>
                <w:sz w:val="18"/>
                <w:szCs w:val="18"/>
                <w:lang w:eastAsia="en-CA"/>
              </w:rPr>
              <w:br/>
              <w:t>- admitted with melena or hematemesis, endoscoped within 12 hours of admission</w:t>
            </w:r>
            <w:r w:rsidRPr="005C4B89">
              <w:rPr>
                <w:rFonts w:ascii="Calibri" w:eastAsia="Times New Roman" w:hAnsi="Calibri" w:cs="Times New Roman"/>
                <w:color w:val="000000"/>
                <w:sz w:val="18"/>
                <w:szCs w:val="18"/>
                <w:lang w:eastAsia="en-CA"/>
              </w:rPr>
              <w:br/>
              <w:t>- UGIB</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UGI malignancy</w:t>
            </w:r>
            <w:r w:rsidRPr="005C4B89">
              <w:rPr>
                <w:rFonts w:ascii="Calibri" w:eastAsia="Times New Roman" w:hAnsi="Calibri" w:cs="Times New Roman"/>
                <w:color w:val="000000"/>
                <w:sz w:val="18"/>
                <w:szCs w:val="18"/>
                <w:lang w:eastAsia="en-CA"/>
              </w:rPr>
              <w:br/>
              <w:t>- deficient hemostasis</w:t>
            </w:r>
            <w:r w:rsidRPr="005C4B89">
              <w:rPr>
                <w:rFonts w:ascii="Calibri" w:eastAsia="Times New Roman" w:hAnsi="Calibri" w:cs="Times New Roman"/>
                <w:color w:val="000000"/>
                <w:sz w:val="18"/>
                <w:szCs w:val="18"/>
                <w:lang w:eastAsia="en-CA"/>
              </w:rPr>
              <w:br/>
              <w:t xml:space="preserve">- renal, hepatic or cardiac failure </w:t>
            </w:r>
            <w:r w:rsidRPr="005C4B89">
              <w:rPr>
                <w:rFonts w:ascii="Calibri" w:eastAsia="Times New Roman" w:hAnsi="Calibri" w:cs="Times New Roman"/>
                <w:color w:val="000000"/>
                <w:sz w:val="18"/>
                <w:szCs w:val="18"/>
                <w:lang w:eastAsia="en-CA"/>
              </w:rPr>
              <w:br/>
              <w:t>- significant abnormalities in laboratory screening</w:t>
            </w:r>
            <w:r w:rsidRPr="005C4B89">
              <w:rPr>
                <w:rFonts w:ascii="Calibri" w:eastAsia="Times New Roman" w:hAnsi="Calibri" w:cs="Times New Roman"/>
                <w:color w:val="000000"/>
                <w:sz w:val="18"/>
                <w:szCs w:val="18"/>
                <w:lang w:eastAsia="en-CA"/>
              </w:rPr>
              <w:br/>
              <w:t>- anticoagulation therapy within 5 days of admission</w:t>
            </w:r>
          </w:p>
        </w:tc>
        <w:tc>
          <w:tcPr>
            <w:tcW w:w="1559" w:type="dxa"/>
            <w:tcBorders>
              <w:top w:val="nil"/>
              <w:left w:val="nil"/>
              <w:bottom w:val="single" w:sz="4" w:space="0" w:color="auto"/>
              <w:right w:val="nil"/>
            </w:tcBorders>
            <w:shd w:val="clear" w:color="auto" w:fill="FFFFFF"/>
            <w:vAlign w:val="center"/>
            <w:hideMark/>
          </w:tcPr>
          <w:p w14:paraId="13B9A4B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322</w:t>
            </w:r>
            <w:r w:rsidRPr="005C4B89">
              <w:rPr>
                <w:rFonts w:ascii="Calibri" w:eastAsia="Times New Roman" w:hAnsi="Calibri" w:cs="Times New Roman"/>
                <w:color w:val="000000"/>
                <w:sz w:val="18"/>
                <w:szCs w:val="18"/>
                <w:lang w:eastAsia="en-CA"/>
              </w:rPr>
              <w:br/>
              <w:t xml:space="preserve">(PPI (omeprazole): 159; No PPI: 163)  </w:t>
            </w:r>
          </w:p>
        </w:tc>
        <w:tc>
          <w:tcPr>
            <w:tcW w:w="1417" w:type="dxa"/>
            <w:tcBorders>
              <w:top w:val="nil"/>
              <w:left w:val="nil"/>
              <w:bottom w:val="single" w:sz="4" w:space="0" w:color="auto"/>
              <w:right w:val="nil"/>
            </w:tcBorders>
            <w:shd w:val="clear" w:color="auto" w:fill="FFFFFF"/>
            <w:vAlign w:val="center"/>
            <w:hideMark/>
          </w:tcPr>
          <w:p w14:paraId="53F1947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75 (8)</w:t>
            </w:r>
            <w:r w:rsidRPr="005C4B89">
              <w:rPr>
                <w:rFonts w:ascii="Calibri" w:eastAsia="Times New Roman" w:hAnsi="Calibri" w:cs="Times New Roman"/>
                <w:color w:val="000000"/>
                <w:sz w:val="18"/>
                <w:szCs w:val="18"/>
                <w:lang w:eastAsia="en-CA"/>
              </w:rPr>
              <w:br/>
              <w:t>no PPI: 74 (7)</w:t>
            </w:r>
          </w:p>
        </w:tc>
        <w:tc>
          <w:tcPr>
            <w:tcW w:w="1262" w:type="dxa"/>
            <w:tcBorders>
              <w:top w:val="nil"/>
              <w:left w:val="nil"/>
              <w:bottom w:val="single" w:sz="4" w:space="0" w:color="auto"/>
              <w:right w:val="nil"/>
            </w:tcBorders>
            <w:shd w:val="clear" w:color="auto" w:fill="FFFFFF"/>
            <w:vAlign w:val="center"/>
            <w:hideMark/>
          </w:tcPr>
          <w:p w14:paraId="75D88C3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56%</w:t>
            </w:r>
            <w:r w:rsidRPr="005C4B89">
              <w:rPr>
                <w:rFonts w:ascii="Calibri" w:eastAsia="Times New Roman" w:hAnsi="Calibri" w:cs="Times New Roman"/>
                <w:color w:val="000000"/>
                <w:sz w:val="18"/>
                <w:szCs w:val="18"/>
                <w:lang w:eastAsia="en-CA"/>
              </w:rPr>
              <w:br/>
              <w:t>no PPI: 60%</w:t>
            </w:r>
          </w:p>
        </w:tc>
        <w:tc>
          <w:tcPr>
            <w:tcW w:w="1148" w:type="dxa"/>
            <w:tcBorders>
              <w:top w:val="nil"/>
              <w:left w:val="nil"/>
              <w:bottom w:val="single" w:sz="4" w:space="0" w:color="auto"/>
              <w:right w:val="nil"/>
            </w:tcBorders>
            <w:shd w:val="clear" w:color="auto" w:fill="FFFFFF"/>
            <w:vAlign w:val="center"/>
            <w:hideMark/>
          </w:tcPr>
          <w:p w14:paraId="0F87F9A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0341C905" w14:textId="77777777" w:rsidTr="002B686E">
        <w:trPr>
          <w:trHeight w:val="312"/>
        </w:trPr>
        <w:tc>
          <w:tcPr>
            <w:tcW w:w="1465" w:type="dxa"/>
            <w:tcBorders>
              <w:top w:val="nil"/>
              <w:left w:val="nil"/>
              <w:bottom w:val="single" w:sz="4" w:space="0" w:color="auto"/>
              <w:right w:val="nil"/>
            </w:tcBorders>
            <w:shd w:val="clear" w:color="auto" w:fill="FFFFFF"/>
            <w:vAlign w:val="center"/>
            <w:hideMark/>
          </w:tcPr>
          <w:p w14:paraId="1CF9CA21" w14:textId="10AE05B8"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{"citationItems":[{"id":"ITEM-1","itemData":{"author":[{"dropping-particle":"","family":"Hawkey","given":"G M","non-dropping-particle":"","parse-names":false,"suffix":""},{"dropping-particle":"","family":"Cole","given":"A T","non-dropping-particle":"","parse-names":false,"suffix":""},{"dropping-particle":"","family":"Mcintyre","given":"A S","non-dropping-particle":"","parse-names":false,"suffix":""},{"dropping-particle":"","family":"Long","given":"R G","non-dropping-particle":"","parse-names":false,"suffix":""},{"dropping-particle":"","family":"Hawkey","given":"C J","non-dropping-particle":"","parse-names":false,"suffix":""},{"dropping-particle":"","family":"Alexandra","given":"Queen","non-dropping-particle":"","parse-names":false,"suffix":""},{"dropping-particle":"","family":"Wycombe","given":"High","non-dropping-particle":"","parse-names":false,"suffix":""}],"container-title":"Gut","id":"ITEM-1","issued":{"date-parts":[["2001"]]},"note":"NULL","page":"372-379","title":"Drug treatments in upper gastrointestinal bleeding : value of endoscopic findings as surrogate end points","type":"article-journal","volume":"49"},"uris":["http://www.mendeley.com/documents/?uuid=309459d3-5adf-4547-ae78-5566b545d28f"]}],"mendeley":{"formattedCitation":"(Hawkey et al. 2001)","plainTextFormattedCitation":"(Hawkey et al. 2001)","previouslyFormattedCitation":"(Hawkey et al. 2001)"},"properties":{"noteIndex":0},"schema":"https://github.com/citation-style-language/schema/raw/master/csl-citation.json"}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(Hawkey et al. 2001)</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(UK)</w:t>
            </w:r>
          </w:p>
        </w:tc>
        <w:tc>
          <w:tcPr>
            <w:tcW w:w="1087" w:type="dxa"/>
            <w:tcBorders>
              <w:top w:val="nil"/>
              <w:left w:val="nil"/>
              <w:bottom w:val="single" w:sz="4" w:space="0" w:color="auto"/>
              <w:right w:val="nil"/>
            </w:tcBorders>
            <w:shd w:val="clear" w:color="auto" w:fill="FFFFFF"/>
            <w:vAlign w:val="center"/>
            <w:hideMark/>
          </w:tcPr>
          <w:p w14:paraId="35CC207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(hospitals - 2 centers)</w:t>
            </w:r>
          </w:p>
        </w:tc>
        <w:tc>
          <w:tcPr>
            <w:tcW w:w="1276" w:type="dxa"/>
            <w:tcBorders>
              <w:top w:val="nil"/>
              <w:left w:val="nil"/>
              <w:bottom w:val="single" w:sz="4" w:space="0" w:color="auto"/>
              <w:right w:val="nil"/>
            </w:tcBorders>
            <w:shd w:val="clear" w:color="auto" w:fill="FFFFFF"/>
            <w:vAlign w:val="center"/>
            <w:hideMark/>
          </w:tcPr>
          <w:p w14:paraId="730746B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79306BC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UGIB</w:t>
            </w:r>
          </w:p>
        </w:tc>
        <w:tc>
          <w:tcPr>
            <w:tcW w:w="3543" w:type="dxa"/>
            <w:tcBorders>
              <w:top w:val="nil"/>
              <w:left w:val="nil"/>
              <w:bottom w:val="single" w:sz="4" w:space="0" w:color="auto"/>
              <w:right w:val="nil"/>
            </w:tcBorders>
            <w:shd w:val="clear" w:color="auto" w:fill="FFFFFF"/>
            <w:vAlign w:val="center"/>
            <w:hideMark/>
          </w:tcPr>
          <w:p w14:paraId="51A3FCB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admitted for suspected UGIB</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absence of UGIB upon endoscopy</w:t>
            </w:r>
            <w:r w:rsidRPr="005C4B89">
              <w:rPr>
                <w:rFonts w:ascii="Calibri" w:eastAsia="Times New Roman" w:hAnsi="Calibri" w:cs="Times New Roman"/>
                <w:color w:val="000000"/>
                <w:sz w:val="18"/>
                <w:szCs w:val="18"/>
                <w:lang w:eastAsia="en-CA"/>
              </w:rPr>
              <w:br/>
              <w:t>-severe bleeding requiring surgical interventions</w:t>
            </w:r>
            <w:r w:rsidRPr="005C4B89">
              <w:rPr>
                <w:rFonts w:ascii="Calibri" w:eastAsia="Times New Roman" w:hAnsi="Calibri" w:cs="Times New Roman"/>
                <w:color w:val="000000"/>
                <w:sz w:val="18"/>
                <w:szCs w:val="18"/>
                <w:lang w:eastAsia="en-CA"/>
              </w:rPr>
              <w:br/>
              <w:t>- other conditions: pregnancy, lactation, active thromboembolism or intravascular coagulopathy, high creatinine levels</w:t>
            </w:r>
          </w:p>
        </w:tc>
        <w:tc>
          <w:tcPr>
            <w:tcW w:w="1559" w:type="dxa"/>
            <w:tcBorders>
              <w:top w:val="nil"/>
              <w:left w:val="nil"/>
              <w:bottom w:val="single" w:sz="4" w:space="0" w:color="auto"/>
              <w:right w:val="nil"/>
            </w:tcBorders>
            <w:shd w:val="clear" w:color="auto" w:fill="FFFFFF"/>
            <w:vAlign w:val="center"/>
            <w:hideMark/>
          </w:tcPr>
          <w:p w14:paraId="1B23250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(lansoprazole): 102</w:t>
            </w:r>
            <w:r w:rsidRPr="005C4B89">
              <w:rPr>
                <w:rFonts w:ascii="Calibri" w:eastAsia="Times New Roman" w:hAnsi="Calibri" w:cs="Times New Roman"/>
                <w:color w:val="000000"/>
                <w:sz w:val="18"/>
                <w:szCs w:val="18"/>
                <w:lang w:eastAsia="en-CA"/>
              </w:rPr>
              <w:br/>
              <w:t>No PPI (placebo): 103</w:t>
            </w:r>
            <w:r w:rsidRPr="005C4B89">
              <w:rPr>
                <w:rFonts w:ascii="Calibri" w:eastAsia="Times New Roman" w:hAnsi="Calibri" w:cs="Times New Roman"/>
                <w:color w:val="000000"/>
                <w:sz w:val="18"/>
                <w:szCs w:val="18"/>
                <w:lang w:eastAsia="en-CA"/>
              </w:rPr>
              <w:br/>
              <w:t>Other groups: 209</w:t>
            </w:r>
          </w:p>
        </w:tc>
        <w:tc>
          <w:tcPr>
            <w:tcW w:w="1417" w:type="dxa"/>
            <w:tcBorders>
              <w:top w:val="nil"/>
              <w:left w:val="nil"/>
              <w:bottom w:val="single" w:sz="4" w:space="0" w:color="auto"/>
              <w:right w:val="nil"/>
            </w:tcBorders>
            <w:shd w:val="clear" w:color="auto" w:fill="FFFFFF"/>
            <w:vAlign w:val="center"/>
            <w:hideMark/>
          </w:tcPr>
          <w:p w14:paraId="2E50D6B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59</w:t>
            </w:r>
            <w:r w:rsidRPr="005C4B89">
              <w:rPr>
                <w:rFonts w:ascii="Calibri" w:eastAsia="Times New Roman" w:hAnsi="Calibri" w:cs="Times New Roman"/>
                <w:color w:val="000000"/>
                <w:sz w:val="18"/>
                <w:szCs w:val="18"/>
                <w:lang w:eastAsia="en-CA"/>
              </w:rPr>
              <w:br/>
              <w:t>no PPI: 56</w:t>
            </w:r>
          </w:p>
        </w:tc>
        <w:tc>
          <w:tcPr>
            <w:tcW w:w="1262" w:type="dxa"/>
            <w:tcBorders>
              <w:top w:val="nil"/>
              <w:left w:val="nil"/>
              <w:bottom w:val="single" w:sz="4" w:space="0" w:color="auto"/>
              <w:right w:val="nil"/>
            </w:tcBorders>
            <w:shd w:val="clear" w:color="auto" w:fill="FFFFFF"/>
            <w:vAlign w:val="center"/>
            <w:hideMark/>
          </w:tcPr>
          <w:p w14:paraId="6E48E08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80%</w:t>
            </w:r>
            <w:r w:rsidRPr="005C4B89">
              <w:rPr>
                <w:rFonts w:ascii="Calibri" w:eastAsia="Times New Roman" w:hAnsi="Calibri" w:cs="Times New Roman"/>
                <w:color w:val="000000"/>
                <w:sz w:val="18"/>
                <w:szCs w:val="18"/>
                <w:lang w:eastAsia="en-CA"/>
              </w:rPr>
              <w:br/>
              <w:t>no PPI: 77%</w:t>
            </w:r>
          </w:p>
        </w:tc>
        <w:tc>
          <w:tcPr>
            <w:tcW w:w="1148" w:type="dxa"/>
            <w:tcBorders>
              <w:top w:val="nil"/>
              <w:left w:val="nil"/>
              <w:bottom w:val="single" w:sz="4" w:space="0" w:color="auto"/>
              <w:right w:val="nil"/>
            </w:tcBorders>
            <w:shd w:val="clear" w:color="auto" w:fill="FFFFFF"/>
            <w:vAlign w:val="center"/>
            <w:hideMark/>
          </w:tcPr>
          <w:p w14:paraId="7CDB470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73234F4E"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3F92F822" w14:textId="6CD306AB"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{"citationItems":[{"id":"ITEM-1","itemData":{"ISBN":"1445-1433","ISSN":"1445-1433","abstract":"BACKGROUND: To study the effects of pantoprazole on gastric pH and recurrent bleeding after endoscopic treatment for bleeding peptic ulcers., METHODS: After endoscopic haemostasis, patients were randomly assigned to infusion group (pantoprazole 80 mg i.v. bolus followed by continuous infusion of 8 mg/h for 3 days), bolus group (pantoprazole 80 mg i.v. bolus followed by 40 mg i.v. bolus every 12 h for 3 days) and no-treatment group (no acid suppression in the first 3 days). Gastric pH was monitored. Rebleeding rate within 30 days, the need for surgery, transfusion requirement, total hospital stay, mortality rate and gastric pH were compared., RESULTS: One hundred and sixty-eight patients were included, with 15 patients excluded from the analysis. There were 54 patients in the infusion group, 49 in the bolus group and 50 in the no-treatment group. There was fewer rebleeding (3.7 vs 16.0%, P = 0.034), less operative intervention (0 vs 8.0%, P = 0.034) and shorter hospital stay (6.4 vs 8.2 days, P = 0.040) in the infusion group compared with that in no-treatment group. When the bolus group was compared with no-treatment group, there were fewer rebleed (4.1 vs 16.0%, P = 0.049) and less blood transfusion (1.5 vs 2.9 units, P = 0.007). There was no difference in mortality among the three groups. Patients who received either pantoprazole infusion or bolus had significantly higher mean pH and longer duration of pH above 6 compared with the no-treatment group. There was no difference in the rebleeding rate, transfusion requirement, need for operation and hospital stay between the infusion and bolus groups. The mean pH and the duration of pH above 6 were also similar., CONCLUSION: Pantoprazole either as infusion or bolus decreased rebleeding after endoscopic treatment for bleeding peptic ulcer.","author":[{"dropping-particle":"","family":"Hung","given":"Wai-Ka","non-dropping-particle":"","parse-names":false,"suffix":""},{"dropping-particle":"","family":"Li","given":"Vicky K M","non-dropping-particle":"","parse-names":false,"suffix":""},{"dropping-particle":"","family":"Chung","given":"Chi-Kin","non-dropping-particle":"","parse-names":false,"suffix":""},{"dropping-particle":"","family":"Ying","given":"Marcus W L","non-dropping-particle":"","parse-names":false,"suffix":""},{"dropping-particle":"","family":"Loo","given":"Ching-Kong","non-dropping-particle":"","parse-names":false,"suffix":""},{"dropping-particle":"","family":"Liu","given":"Cecilia K T","non-dropping-particle":"","parse-names":false,"suffix":""},{"dropping-particle":"","family":"Lam","given":"Billy Y K","non-dropping-particle":"","parse-names":false,"suffix":""},{"dropping-particle":"","family":"Chan","given":"Miranda C M","non-dropping-particle":"","parse-names":false,"suffix":""}],"container-title":"ANZ journal of surgery","id":"ITEM-1","issue":"8","issued":{"date-parts":[["2007"]]},"note":"921","page":"677-681","publisher":"Hung,Wai-Ka. Department of Surgery, Kwong Wah Hospital, Hong Kong, China. hwkhwk@netvigator.com","publisher-place":"W.-K. Hung, Department of Surgery, Kwong Wah Hospital, 25 Waterloo Road, Kowloon, Hong Kong. E-mail: hwkhwk@netvigator.com","title":"Randomized trial comparing pantoprazole infusion, bolus and no treatment on gastric pH and recurrent bleeding in peptic ulcers.","type":"article-journal","volume":"77"},"uris":["http://www.mendeley.com/documents/?uuid=d1047c32-d5d0-4d33-bea3-98d85922153a"]}],"mendeley":{"formattedCitation":"(Hung et al. 2007)","plainTextFormattedCitation":"(Hung et al. 2007)","previouslyFormattedCitation":"(Hung et al. 2007)"},"properties":{"noteIndex":0},"schema":"https://github.com/citation-style-language/schema/raw/master/csl-citation.json"}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(Hung et al. 2007)</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(China)</w:t>
            </w:r>
          </w:p>
        </w:tc>
        <w:tc>
          <w:tcPr>
            <w:tcW w:w="1087" w:type="dxa"/>
            <w:tcBorders>
              <w:top w:val="nil"/>
              <w:left w:val="nil"/>
              <w:bottom w:val="single" w:sz="4" w:space="0" w:color="auto"/>
              <w:right w:val="nil"/>
            </w:tcBorders>
            <w:shd w:val="clear" w:color="auto" w:fill="FFFFFF"/>
            <w:vAlign w:val="center"/>
            <w:hideMark/>
          </w:tcPr>
          <w:p w14:paraId="0446034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w:t>
            </w:r>
          </w:p>
        </w:tc>
        <w:tc>
          <w:tcPr>
            <w:tcW w:w="1276" w:type="dxa"/>
            <w:tcBorders>
              <w:top w:val="nil"/>
              <w:left w:val="nil"/>
              <w:bottom w:val="single" w:sz="4" w:space="0" w:color="auto"/>
              <w:right w:val="nil"/>
            </w:tcBorders>
            <w:shd w:val="clear" w:color="auto" w:fill="FFFFFF"/>
            <w:vAlign w:val="center"/>
            <w:hideMark/>
          </w:tcPr>
          <w:p w14:paraId="0CF96E6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580C24B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UGIB</w:t>
            </w:r>
          </w:p>
        </w:tc>
        <w:tc>
          <w:tcPr>
            <w:tcW w:w="3543" w:type="dxa"/>
            <w:tcBorders>
              <w:top w:val="nil"/>
              <w:left w:val="nil"/>
              <w:bottom w:val="single" w:sz="4" w:space="0" w:color="auto"/>
              <w:right w:val="nil"/>
            </w:tcBorders>
            <w:shd w:val="clear" w:color="auto" w:fill="FFFFFF"/>
            <w:vAlign w:val="center"/>
            <w:hideMark/>
          </w:tcPr>
          <w:p w14:paraId="64E8E05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-with UGIB  that had upper endoscopy</w:t>
            </w:r>
            <w:r w:rsidRPr="005C4B89">
              <w:rPr>
                <w:rFonts w:ascii="Calibri" w:eastAsia="Times New Roman" w:hAnsi="Calibri" w:cs="Times New Roman"/>
                <w:color w:val="000000"/>
                <w:sz w:val="18"/>
                <w:szCs w:val="18"/>
                <w:lang w:eastAsia="en-CA"/>
              </w:rPr>
              <w:br/>
              <w:t>-with successful haemostasis</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with previous gastrectomy or vagotomy, those that had taken warfarin , H2RAs or PPI in the previous 48 hours</w:t>
            </w:r>
          </w:p>
        </w:tc>
        <w:tc>
          <w:tcPr>
            <w:tcW w:w="1559" w:type="dxa"/>
            <w:tcBorders>
              <w:top w:val="nil"/>
              <w:left w:val="nil"/>
              <w:bottom w:val="single" w:sz="4" w:space="0" w:color="auto"/>
              <w:right w:val="nil"/>
            </w:tcBorders>
            <w:shd w:val="clear" w:color="auto" w:fill="FFFFFF"/>
            <w:vAlign w:val="center"/>
            <w:hideMark/>
          </w:tcPr>
          <w:p w14:paraId="54F3200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168</w:t>
            </w:r>
            <w:r w:rsidRPr="005C4B89">
              <w:rPr>
                <w:rFonts w:ascii="Calibri" w:eastAsia="Times New Roman" w:hAnsi="Calibri" w:cs="Times New Roman"/>
                <w:color w:val="000000"/>
                <w:sz w:val="18"/>
                <w:szCs w:val="18"/>
                <w:lang w:eastAsia="en-CA"/>
              </w:rPr>
              <w:br/>
              <w:t>(PPI: 114; No PPI: 54)</w:t>
            </w:r>
          </w:p>
        </w:tc>
        <w:tc>
          <w:tcPr>
            <w:tcW w:w="1417" w:type="dxa"/>
            <w:tcBorders>
              <w:top w:val="nil"/>
              <w:left w:val="nil"/>
              <w:bottom w:val="single" w:sz="4" w:space="0" w:color="auto"/>
              <w:right w:val="nil"/>
            </w:tcBorders>
            <w:shd w:val="clear" w:color="auto" w:fill="FFFFFF"/>
            <w:vAlign w:val="center"/>
            <w:hideMark/>
          </w:tcPr>
          <w:p w14:paraId="0E1F9B4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PPI infusion: 64 </w:t>
            </w:r>
            <w:r w:rsidRPr="005C4B89">
              <w:rPr>
                <w:rFonts w:ascii="Calibri" w:eastAsia="Times New Roman" w:hAnsi="Calibri" w:cs="Times New Roman"/>
                <w:color w:val="000000"/>
                <w:sz w:val="18"/>
                <w:szCs w:val="18"/>
                <w:lang w:eastAsia="en-CA"/>
              </w:rPr>
              <w:br/>
              <w:t xml:space="preserve">PPI bolus: 58 </w:t>
            </w:r>
            <w:r w:rsidRPr="005C4B89">
              <w:rPr>
                <w:rFonts w:ascii="Calibri" w:eastAsia="Times New Roman" w:hAnsi="Calibri" w:cs="Times New Roman"/>
                <w:color w:val="000000"/>
                <w:sz w:val="18"/>
                <w:szCs w:val="18"/>
                <w:lang w:eastAsia="en-CA"/>
              </w:rPr>
              <w:br/>
              <w:t>no PPI: 63</w:t>
            </w:r>
          </w:p>
        </w:tc>
        <w:tc>
          <w:tcPr>
            <w:tcW w:w="1262" w:type="dxa"/>
            <w:tcBorders>
              <w:top w:val="nil"/>
              <w:left w:val="nil"/>
              <w:bottom w:val="single" w:sz="4" w:space="0" w:color="auto"/>
              <w:right w:val="nil"/>
            </w:tcBorders>
            <w:shd w:val="clear" w:color="auto" w:fill="FFFFFF"/>
            <w:vAlign w:val="center"/>
            <w:hideMark/>
          </w:tcPr>
          <w:p w14:paraId="6D94051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PPI infusion: 59% </w:t>
            </w:r>
            <w:r w:rsidRPr="005C4B89">
              <w:rPr>
                <w:rFonts w:ascii="Calibri" w:eastAsia="Times New Roman" w:hAnsi="Calibri" w:cs="Times New Roman"/>
                <w:color w:val="000000"/>
                <w:sz w:val="18"/>
                <w:szCs w:val="18"/>
                <w:lang w:eastAsia="en-CA"/>
              </w:rPr>
              <w:br/>
              <w:t>PPI bolus:  72%</w:t>
            </w:r>
            <w:r w:rsidRPr="005C4B89">
              <w:rPr>
                <w:rFonts w:ascii="Calibri" w:eastAsia="Times New Roman" w:hAnsi="Calibri" w:cs="Times New Roman"/>
                <w:color w:val="000000"/>
                <w:sz w:val="18"/>
                <w:szCs w:val="18"/>
                <w:lang w:eastAsia="en-CA"/>
              </w:rPr>
              <w:br/>
              <w:t>no PPI: 74%</w:t>
            </w:r>
          </w:p>
        </w:tc>
        <w:tc>
          <w:tcPr>
            <w:tcW w:w="1148" w:type="dxa"/>
            <w:tcBorders>
              <w:top w:val="nil"/>
              <w:left w:val="nil"/>
              <w:bottom w:val="single" w:sz="4" w:space="0" w:color="auto"/>
              <w:right w:val="nil"/>
            </w:tcBorders>
            <w:shd w:val="clear" w:color="auto" w:fill="FFFFFF"/>
            <w:vAlign w:val="center"/>
            <w:hideMark/>
          </w:tcPr>
          <w:p w14:paraId="62946CE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Asian</w:t>
            </w:r>
          </w:p>
        </w:tc>
      </w:tr>
      <w:tr w:rsidR="009462F4" w:rsidRPr="005C4B89" w14:paraId="4283495E"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32107313" w14:textId="38C5998E"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{"citationItems":[{"id":"ITEM-1","itemData":{"ISBN":"0002-9343","abstract":"BACKGROUND: Therapeutic endoscopy has provided a new means of treating bleeding peptic ulcers. Additional medical therapy may enhance the therapeutic benefit. Hemostasis is highly pH dependent and is severely impaired at low pH. Proton pump inhibitors, by achieving a significantly higher inhibition of gastric acidity, may improve the therapeutic outcomes after endoscopic treatment of ulcers. PATIENT AND METHODS: We enrolled 166 patients with hemorrhage from duodenal, gastric, or stomal ulcers and signs of recent hemorrhage, as confirmed by endoscopy. Twenty-six patients had ulcers with an arterial spurt, 41 patients had active ooze, 37 had a visible vessel, and 62 patients had an adherent clot. All patients received endoscopic injection sclerotherapy using 1:10,000 adrenaline and 1% polidocanol and were randomly assigned to receive omeprazole (40 mg orally) every 12 hours for 5 days or an identical-looking placebo. The outcome measures used were recurrent bleeding, surgery, blood transfusion, and hospital stay. RESULTS: Six (7%) of 82 patients in the omeprazole group had recurrent bleeding, as compared with 18 (21%) in the placebo group (P = 0.02). Two patients in the omeprazole group and 7 patients in the placebo group needed surgery to control their bleeding (P = 0.17). One patient in the omeprazole group and 2 patients in the placebo group died (P = 0.98). Twenty-nine patients (35%) in the omeprazole group and 61 patients (73%) in the placebo group received blood transfusions (P &lt; 0.001). The average hospital stay was 4.6 +/- 1.1 days in the omeprazole group and 6.0 +/- 0.7 days in the placebo group (P &lt; 0.001). CONCLUSION: The addition of oral omeprazole to combination injection sclerotherapy decreases the rate of recurrent bleeding, reduces the need for surgery and transfusion, and shortens the hospital stay for patients with stigmata of recent hemorrhage. © 2001 by Excerpta Medica, Inc.","author":[{"dropping-particle":"","family":"Javid","given":"G","non-dropping-particle":"","parse-names":false,"suffix":""},{"dropping-particle":"","family":"Masoodi","given":"I","non-dropping-particle":"","parse-names":false,"suffix":""},{"dropping-particle":"","family":"Zargar","given":"SA","non-dropping-particle":"","parse-names":false,"suffix":""},{"dropping-particle":"","family":"Khan","given":"BA","non-dropping-particle":"","parse-names":false,"suffix":""},{"dropping-particle":"","family":"Yatoo","given":"GN","non-dropping-particle":"","parse-names":false,"suffix":""},{"dropping-particle":"","family":"Shah","given":"AH","non-dropping-particle":"","parse-names":false,"suffix":""},{"dropping-particle":"","family":"Gulzar","given":"GM","non-dropping-particle":"","parse-names":false,"suffix":""},{"dropping-particle":"","family":"Sodhi","given":"JS","non-dropping-particle":"","parse-names":false,"suffix":""}],"container-title":"American Journal of Medicine","id":"ITEM-1","issue":"4","issued":{"date-parts":[["2001"]]},"note":"1166","page":"280-284","publisher":"Elsevier Inc. (360 Park Avenue South, New York NY 10010, United States)","publisher-place":"G. Javid, Gulistan Manzil Amira Kadal, Srinagar 190001, Kashmir, India","title":"Omeprazole as adjuvant therapy to endoscopic combination injection sclerotherapy for treating bleeding peptic ulcer","type":"article","volume":"111"},"uris":["http://www.mendeley.com/documents/?uuid=eb73fc71-83d6-44bb-8f5f-1232e1930e0f"]}],"mendeley":{"formattedCitation":"(Javid et al. 2001)","plainTextFormattedCitation":"(Javid et al. 2001)","previouslyFormattedCitation":"(Javid et al. 2001)"},"properties":{"noteIndex":0},"schema":"https://github.com/citation-style-language/schema/raw/master/csl-citation.json"}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(Javid et al. 2001)</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(India)</w:t>
            </w:r>
          </w:p>
        </w:tc>
        <w:tc>
          <w:tcPr>
            <w:tcW w:w="1087" w:type="dxa"/>
            <w:tcBorders>
              <w:top w:val="nil"/>
              <w:left w:val="nil"/>
              <w:bottom w:val="single" w:sz="4" w:space="0" w:color="auto"/>
              <w:right w:val="nil"/>
            </w:tcBorders>
            <w:shd w:val="clear" w:color="auto" w:fill="FFFFFF"/>
            <w:vAlign w:val="center"/>
            <w:hideMark/>
          </w:tcPr>
          <w:p w14:paraId="3C1B73E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w:t>
            </w:r>
          </w:p>
        </w:tc>
        <w:tc>
          <w:tcPr>
            <w:tcW w:w="1276" w:type="dxa"/>
            <w:tcBorders>
              <w:top w:val="nil"/>
              <w:left w:val="nil"/>
              <w:bottom w:val="single" w:sz="4" w:space="0" w:color="auto"/>
              <w:right w:val="nil"/>
            </w:tcBorders>
            <w:shd w:val="clear" w:color="auto" w:fill="FFFFFF"/>
            <w:vAlign w:val="center"/>
            <w:hideMark/>
          </w:tcPr>
          <w:p w14:paraId="043A09C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4196259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UGIB</w:t>
            </w:r>
          </w:p>
        </w:tc>
        <w:tc>
          <w:tcPr>
            <w:tcW w:w="3543" w:type="dxa"/>
            <w:tcBorders>
              <w:top w:val="nil"/>
              <w:left w:val="nil"/>
              <w:bottom w:val="single" w:sz="4" w:space="0" w:color="auto"/>
              <w:right w:val="nil"/>
            </w:tcBorders>
            <w:shd w:val="clear" w:color="auto" w:fill="FFFFFF"/>
            <w:vAlign w:val="center"/>
            <w:hideMark/>
          </w:tcPr>
          <w:p w14:paraId="382C9C7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UGIB</w:t>
            </w:r>
            <w:r w:rsidRPr="005C4B89">
              <w:rPr>
                <w:rFonts w:ascii="Calibri" w:eastAsia="Times New Roman" w:hAnsi="Calibri" w:cs="Times New Roman"/>
                <w:color w:val="000000"/>
                <w:sz w:val="18"/>
                <w:szCs w:val="18"/>
                <w:lang w:eastAsia="en-CA"/>
              </w:rPr>
              <w:br/>
              <w:t>- underwent GI endoscopy within 12 hours of admission and showed peptic ulcers or stigmata of recent hemorrhage</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lastRenderedPageBreak/>
              <w:t>- terminal cancer</w:t>
            </w:r>
            <w:r w:rsidRPr="005C4B89">
              <w:rPr>
                <w:rFonts w:ascii="Calibri" w:eastAsia="Times New Roman" w:hAnsi="Calibri" w:cs="Times New Roman"/>
                <w:color w:val="000000"/>
                <w:sz w:val="18"/>
                <w:szCs w:val="18"/>
                <w:lang w:eastAsia="en-CA"/>
              </w:rPr>
              <w:br/>
              <w:t>- perfuse hemorrhage accompanied by persistent shock</w:t>
            </w:r>
            <w:r w:rsidRPr="005C4B89">
              <w:rPr>
                <w:rFonts w:ascii="Calibri" w:eastAsia="Times New Roman" w:hAnsi="Calibri" w:cs="Times New Roman"/>
                <w:color w:val="000000"/>
                <w:sz w:val="18"/>
                <w:szCs w:val="18"/>
                <w:lang w:eastAsia="en-CA"/>
              </w:rPr>
              <w:br/>
              <w:t>- continued bleeding within 34 hours of endoscopic treatment and needed emergency surgery</w:t>
            </w:r>
          </w:p>
          <w:p w14:paraId="227C860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could not provide consent</w:t>
            </w:r>
          </w:p>
        </w:tc>
        <w:tc>
          <w:tcPr>
            <w:tcW w:w="1559" w:type="dxa"/>
            <w:tcBorders>
              <w:top w:val="nil"/>
              <w:left w:val="nil"/>
              <w:bottom w:val="single" w:sz="4" w:space="0" w:color="auto"/>
              <w:right w:val="nil"/>
            </w:tcBorders>
            <w:shd w:val="clear" w:color="auto" w:fill="FFFFFF"/>
            <w:vAlign w:val="center"/>
            <w:hideMark/>
          </w:tcPr>
          <w:p w14:paraId="1E2ECF3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166</w:t>
            </w:r>
            <w:r w:rsidRPr="005C4B89">
              <w:rPr>
                <w:rFonts w:ascii="Calibri" w:eastAsia="Times New Roman" w:hAnsi="Calibri" w:cs="Times New Roman"/>
                <w:color w:val="000000"/>
                <w:sz w:val="18"/>
                <w:szCs w:val="18"/>
                <w:lang w:eastAsia="en-CA"/>
              </w:rPr>
              <w:br/>
              <w:t>(PPI (omeprazole): 82; No PPI: 84)</w:t>
            </w:r>
          </w:p>
        </w:tc>
        <w:tc>
          <w:tcPr>
            <w:tcW w:w="1417" w:type="dxa"/>
            <w:tcBorders>
              <w:top w:val="nil"/>
              <w:left w:val="nil"/>
              <w:bottom w:val="single" w:sz="4" w:space="0" w:color="auto"/>
              <w:right w:val="nil"/>
            </w:tcBorders>
            <w:shd w:val="clear" w:color="auto" w:fill="FFFFFF"/>
            <w:vAlign w:val="center"/>
            <w:hideMark/>
          </w:tcPr>
          <w:p w14:paraId="04CFBFC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55 (10)</w:t>
            </w:r>
            <w:r w:rsidRPr="005C4B89">
              <w:rPr>
                <w:rFonts w:ascii="Calibri" w:eastAsia="Times New Roman" w:hAnsi="Calibri" w:cs="Times New Roman"/>
                <w:color w:val="000000"/>
                <w:sz w:val="18"/>
                <w:szCs w:val="18"/>
                <w:lang w:eastAsia="en-CA"/>
              </w:rPr>
              <w:br/>
              <w:t>no PPI: 56 (8)</w:t>
            </w:r>
          </w:p>
        </w:tc>
        <w:tc>
          <w:tcPr>
            <w:tcW w:w="1262" w:type="dxa"/>
            <w:tcBorders>
              <w:top w:val="nil"/>
              <w:left w:val="nil"/>
              <w:bottom w:val="single" w:sz="4" w:space="0" w:color="auto"/>
              <w:right w:val="nil"/>
            </w:tcBorders>
            <w:shd w:val="clear" w:color="auto" w:fill="FFFFFF"/>
            <w:vAlign w:val="center"/>
            <w:hideMark/>
          </w:tcPr>
          <w:p w14:paraId="30FC1BF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63%</w:t>
            </w:r>
            <w:r w:rsidRPr="005C4B89">
              <w:rPr>
                <w:rFonts w:ascii="Calibri" w:eastAsia="Times New Roman" w:hAnsi="Calibri" w:cs="Times New Roman"/>
                <w:color w:val="000000"/>
                <w:sz w:val="18"/>
                <w:szCs w:val="18"/>
                <w:lang w:eastAsia="en-CA"/>
              </w:rPr>
              <w:br/>
              <w:t>no PPI: 61%</w:t>
            </w:r>
          </w:p>
        </w:tc>
        <w:tc>
          <w:tcPr>
            <w:tcW w:w="1148" w:type="dxa"/>
            <w:tcBorders>
              <w:top w:val="nil"/>
              <w:left w:val="nil"/>
              <w:bottom w:val="single" w:sz="4" w:space="0" w:color="auto"/>
              <w:right w:val="nil"/>
            </w:tcBorders>
            <w:shd w:val="clear" w:color="auto" w:fill="FFFFFF"/>
            <w:vAlign w:val="center"/>
            <w:hideMark/>
          </w:tcPr>
          <w:p w14:paraId="52CAA0A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7CBAB7ED"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419DD815" w14:textId="5826F6AD"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{"citationItems":[{"id":"ITEM-1","itemData":{"ISBN":"0172-6390","ISSN":"0172-6390","abstract":"BACKGROUND/AIMS: Critically ill patients especially who require mechanical ventilation or have coagulopathy are at increased risk for stress-related gastrointestinal hemorrhage. There are conflicting data on the efficacy and complication rates of various prophylactic regimens., METHODOLOGY: Our single-center randomized, placebo-controlled study included 287 patients with high risk for stress-related upper gastrointestinal hemorrhage (&gt;48 h mechanical ventilation, coagulopathy). We compared 3 prophylactic regimens (proton pump inhibitor--omeprazole 40 mg i.v. once daily, n=72; H2 antagonists--famotidine 40 mg twice a day, n=71; and sucralfate 1 g every 6 hours, n=69) with placebo (n=75) in patients with trauma or after major surgery., RESULTS: Of 287 assessable patients, clinically significant stress-related upper gastrointestinal bleeding was observed in 1%, 3%, 4%, and 1% of patients assigned to receive omeprazole, famotidine, sucralfate, and placebo, respectively (p&gt;0.28). Bleeding developed significantly more often in patients with coagulopathy compared with the others (10% vs. 2%; p=0.006). The gastric pH (p&gt;0.001) and gastric colonization (p&lt;0.05) was significantly higher in the patients who received pH increasing substances when compared with the other 2 groups. Nosocomial pneumonia occurred in 11% of patients receiving omeprazole, in 10% of famotidine patients, in 9% of sucralfate patients and in 7% of controls (p&gt;0.34). No statistically significant differences were found for days on ventilator, length of ICU stay, or mortality among all the 4 groups., CONCLUSIONS: We could not show that omeprazole, famotidine, or sucralfate prophylaxis can affect already very low incidence of clinically important stress-related bleeding in high-risk surgical intensive care unit patients. Furthermore, our data suggested that especially gastric pH increasing medication could increase the risk for nosocomial pneumonia. Routine prophylaxis for stress-related bleeding even in high-risk patients seems not to be justified.","author":[{"dropping-particle":"","family":"Kantorova","given":"Ilona","non-dropping-particle":"","parse-names":false,"suffix":""},{"dropping-particle":"","family":"Svoboda","given":"Petr","non-dropping-particle":"","parse-names":false,"suffix":""},{"dropping-particle":"","family":"Scheer","given":"Peter","non-dropping-particle":"","parse-names":false,"suffix":""},{"dropping-particle":"","family":"Doubek","given":"Jaroslav","non-dropping-particle":"","parse-names":false,"suffix":""},{"dropping-particle":"","family":"Rehorkova","given":"Dagmar","non-dropping-particle":"","parse-names":false,"suffix":""},{"dropping-particle":"","family":"Bosakova","given":"Hana","non-dropping-particle":"","parse-names":false,"suffix":""},{"dropping-particle":"","family":"Ochmann","given":"Jiri","non-dropping-particle":"","parse-names":false,"suffix":""}],"container-title":"Hepato-gastroenterology","id":"ITEM-1","issue":"57","issued":{"date-parts":[["2004"]]},"note":"1078 cant find","page":"757-761","publisher":"H.G.E. Update Medical Publishing Ltd.","publisher-place":"P. Svoboda, Ponavka 6, 662 50 Brno, Czech Republic. E-mail: p.svoboda@unbr.cz","title":"Stress ulcer prophylaxis in critically ill patients: a randomized controlled trial.","type":"article-journal","volume":"51"},"uris":["http://www.mendeley.com/documents/?uuid=e0bd9e57-4dd5-4c21-887f-b3250ee32b89"]}],"mendeley":{"formattedCitation":"(Kantorova et al. 2004)","plainTextFormattedCitation":"(Kantorova et al. 2004)","previouslyFormattedCitation":"(Kantorova et al. 2004)"},"properties":{"noteIndex":0},"schema":"https://github.com/citation-style-language/schema/raw/master/csl-citation.json"}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(Kantorova et al. 2004)</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(Czech Republic)</w:t>
            </w:r>
          </w:p>
        </w:tc>
        <w:tc>
          <w:tcPr>
            <w:tcW w:w="1087" w:type="dxa"/>
            <w:tcBorders>
              <w:top w:val="nil"/>
              <w:left w:val="nil"/>
              <w:bottom w:val="single" w:sz="4" w:space="0" w:color="auto"/>
              <w:right w:val="nil"/>
            </w:tcBorders>
            <w:shd w:val="clear" w:color="auto" w:fill="FFFFFF"/>
            <w:vAlign w:val="center"/>
            <w:hideMark/>
          </w:tcPr>
          <w:p w14:paraId="5F776D5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w:t>
            </w:r>
          </w:p>
        </w:tc>
        <w:tc>
          <w:tcPr>
            <w:tcW w:w="1276" w:type="dxa"/>
            <w:tcBorders>
              <w:top w:val="nil"/>
              <w:left w:val="nil"/>
              <w:bottom w:val="single" w:sz="4" w:space="0" w:color="auto"/>
              <w:right w:val="nil"/>
            </w:tcBorders>
            <w:shd w:val="clear" w:color="auto" w:fill="FFFFFF"/>
            <w:vAlign w:val="center"/>
            <w:hideMark/>
          </w:tcPr>
          <w:p w14:paraId="03AAF9B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513B1ADA" w14:textId="77777777" w:rsidR="009462F4" w:rsidRPr="005C4B89" w:rsidRDefault="009462F4">
            <w:pPr>
              <w:spacing w:after="0" w:line="240" w:lineRule="auto"/>
              <w:rPr>
                <w:rFonts w:ascii="Calibri" w:eastAsia="Times New Roman" w:hAnsi="Calibri" w:cs="Times New Roman"/>
                <w:sz w:val="18"/>
                <w:szCs w:val="18"/>
                <w:lang w:eastAsia="en-CA"/>
              </w:rPr>
            </w:pPr>
            <w:r w:rsidRPr="005C4B89">
              <w:rPr>
                <w:rFonts w:ascii="Calibri" w:eastAsia="Times New Roman" w:hAnsi="Calibri" w:cs="Times New Roman"/>
                <w:sz w:val="18"/>
                <w:szCs w:val="18"/>
                <w:lang w:eastAsia="en-CA"/>
              </w:rPr>
              <w:t xml:space="preserve">high UGIB risk </w:t>
            </w:r>
          </w:p>
        </w:tc>
        <w:tc>
          <w:tcPr>
            <w:tcW w:w="3543" w:type="dxa"/>
            <w:tcBorders>
              <w:top w:val="nil"/>
              <w:left w:val="nil"/>
              <w:bottom w:val="single" w:sz="4" w:space="0" w:color="auto"/>
              <w:right w:val="nil"/>
            </w:tcBorders>
            <w:shd w:val="clear" w:color="auto" w:fill="FFFFFF"/>
            <w:vAlign w:val="center"/>
            <w:hideMark/>
          </w:tcPr>
          <w:p w14:paraId="63820592" w14:textId="4C236B80" w:rsidR="009462F4" w:rsidRPr="005C4B89" w:rsidRDefault="009462F4" w:rsidP="002B686E">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&gt;18 years</w:t>
            </w:r>
            <w:r w:rsidRPr="005C4B89">
              <w:rPr>
                <w:rFonts w:ascii="Calibri" w:eastAsia="Times New Roman" w:hAnsi="Calibri" w:cs="Times New Roman"/>
                <w:color w:val="000000"/>
                <w:sz w:val="18"/>
                <w:szCs w:val="18"/>
                <w:lang w:eastAsia="en-CA"/>
              </w:rPr>
              <w:br/>
              <w:t>- admitted to ICU for major abdominal or thoracic surgery  between Feb 2000 - June 2002</w:t>
            </w:r>
            <w:r w:rsidRPr="005C4B89">
              <w:rPr>
                <w:rFonts w:ascii="Calibri" w:eastAsia="Times New Roman" w:hAnsi="Calibri" w:cs="Times New Roman"/>
                <w:color w:val="000000"/>
                <w:sz w:val="18"/>
                <w:szCs w:val="18"/>
                <w:lang w:eastAsia="en-CA"/>
              </w:rPr>
              <w:br/>
              <w:t>- need mechanical ventilation for at least 48 hours or had coagulopathy, and nasogastric tube in place</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&lt;48 hours expected length of stay</w:t>
            </w:r>
            <w:r w:rsidRPr="005C4B89">
              <w:rPr>
                <w:rFonts w:ascii="Calibri" w:eastAsia="Times New Roman" w:hAnsi="Calibri" w:cs="Times New Roman"/>
                <w:color w:val="000000"/>
                <w:sz w:val="18"/>
                <w:szCs w:val="18"/>
                <w:lang w:eastAsia="en-CA"/>
              </w:rPr>
              <w:br/>
              <w:t xml:space="preserve">- history of esophago-gastric surgery </w:t>
            </w:r>
            <w:r w:rsidRPr="005C4B89">
              <w:rPr>
                <w:rFonts w:ascii="Calibri" w:eastAsia="Times New Roman" w:hAnsi="Calibri" w:cs="Times New Roman"/>
                <w:color w:val="000000"/>
                <w:sz w:val="18"/>
                <w:szCs w:val="18"/>
                <w:lang w:eastAsia="en-CA"/>
              </w:rPr>
              <w:br/>
              <w:t>- GI bleeding at time of admission or in previous year</w:t>
            </w:r>
            <w:r w:rsidRPr="005C4B89">
              <w:rPr>
                <w:rFonts w:ascii="Calibri" w:eastAsia="Times New Roman" w:hAnsi="Calibri" w:cs="Times New Roman"/>
                <w:color w:val="000000"/>
                <w:sz w:val="18"/>
                <w:szCs w:val="18"/>
                <w:lang w:eastAsia="en-CA"/>
              </w:rPr>
              <w:br/>
              <w:t>- pneumonia</w:t>
            </w:r>
            <w:r w:rsidRPr="005C4B89">
              <w:rPr>
                <w:rFonts w:ascii="Calibri" w:eastAsia="Times New Roman" w:hAnsi="Calibri" w:cs="Times New Roman"/>
                <w:color w:val="000000"/>
                <w:sz w:val="18"/>
                <w:szCs w:val="18"/>
                <w:lang w:eastAsia="en-CA"/>
              </w:rPr>
              <w:br/>
              <w:t>- treatment with PPIs, H2RAs, antacids or sucralfate in prior 72 hours</w:t>
            </w:r>
            <w:r w:rsidRPr="005C4B89">
              <w:rPr>
                <w:rFonts w:ascii="Calibri" w:eastAsia="Times New Roman" w:hAnsi="Calibri" w:cs="Times New Roman"/>
                <w:color w:val="000000"/>
                <w:sz w:val="18"/>
                <w:szCs w:val="18"/>
                <w:lang w:eastAsia="en-CA"/>
              </w:rPr>
              <w:br/>
              <w:t>- peptic ulcer disease in prior year</w:t>
            </w:r>
            <w:r w:rsidRPr="005C4B89">
              <w:rPr>
                <w:rFonts w:ascii="Calibri" w:eastAsia="Times New Roman" w:hAnsi="Calibri" w:cs="Times New Roman"/>
                <w:color w:val="000000"/>
                <w:sz w:val="18"/>
                <w:szCs w:val="18"/>
                <w:lang w:eastAsia="en-CA"/>
              </w:rPr>
              <w:br/>
              <w:t>- use of anticoagulants, high dose oral corticosteroids or thrombolytic agents during previous week</w:t>
            </w:r>
            <w:r w:rsidRPr="005C4B89">
              <w:rPr>
                <w:rFonts w:ascii="Calibri" w:eastAsia="Times New Roman" w:hAnsi="Calibri" w:cs="Times New Roman"/>
                <w:color w:val="000000"/>
                <w:sz w:val="18"/>
                <w:szCs w:val="18"/>
                <w:lang w:eastAsia="en-CA"/>
              </w:rPr>
              <w:br/>
              <w:t>- renal insufficiency needing hemodialysis</w:t>
            </w:r>
            <w:r w:rsidRPr="005C4B89">
              <w:rPr>
                <w:rFonts w:ascii="Calibri" w:eastAsia="Times New Roman" w:hAnsi="Calibri" w:cs="Times New Roman"/>
                <w:color w:val="000000"/>
                <w:sz w:val="18"/>
                <w:szCs w:val="18"/>
                <w:lang w:eastAsia="en-CA"/>
              </w:rPr>
              <w:br/>
              <w:t>- thrombocytopenia &lt;30,000/ml</w:t>
            </w:r>
            <w:r w:rsidRPr="005C4B89">
              <w:rPr>
                <w:rFonts w:ascii="Calibri" w:eastAsia="Times New Roman" w:hAnsi="Calibri" w:cs="Times New Roman"/>
                <w:color w:val="000000"/>
                <w:sz w:val="18"/>
                <w:szCs w:val="18"/>
                <w:lang w:eastAsia="en-CA"/>
              </w:rPr>
              <w:br/>
              <w:t>- life expectancy &lt; 3 months</w:t>
            </w:r>
            <w:r w:rsidRPr="005C4B89">
              <w:rPr>
                <w:rFonts w:ascii="Calibri" w:eastAsia="Times New Roman" w:hAnsi="Calibri" w:cs="Times New Roman"/>
                <w:color w:val="000000"/>
                <w:sz w:val="18"/>
                <w:szCs w:val="18"/>
                <w:lang w:eastAsia="en-CA"/>
              </w:rPr>
              <w:br/>
              <w:t>- cannot give informed consent</w:t>
            </w:r>
          </w:p>
        </w:tc>
        <w:tc>
          <w:tcPr>
            <w:tcW w:w="1559" w:type="dxa"/>
            <w:tcBorders>
              <w:top w:val="nil"/>
              <w:left w:val="nil"/>
              <w:bottom w:val="single" w:sz="4" w:space="0" w:color="auto"/>
              <w:right w:val="nil"/>
            </w:tcBorders>
            <w:shd w:val="clear" w:color="auto" w:fill="FFFFFF"/>
            <w:vAlign w:val="center"/>
            <w:hideMark/>
          </w:tcPr>
          <w:p w14:paraId="0E1C8CD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323 </w:t>
            </w:r>
            <w:r w:rsidRPr="005C4B89">
              <w:rPr>
                <w:rFonts w:ascii="Calibri" w:eastAsia="Times New Roman" w:hAnsi="Calibri" w:cs="Times New Roman"/>
                <w:color w:val="000000"/>
                <w:sz w:val="18"/>
                <w:szCs w:val="18"/>
                <w:lang w:eastAsia="en-CA"/>
              </w:rPr>
              <w:br/>
              <w:t>(PPI (omeprazole); No PPI: 75; others)</w:t>
            </w:r>
          </w:p>
        </w:tc>
        <w:tc>
          <w:tcPr>
            <w:tcW w:w="1417" w:type="dxa"/>
            <w:tcBorders>
              <w:top w:val="nil"/>
              <w:left w:val="nil"/>
              <w:bottom w:val="single" w:sz="4" w:space="0" w:color="auto"/>
              <w:right w:val="nil"/>
            </w:tcBorders>
            <w:shd w:val="clear" w:color="auto" w:fill="FFFFFF"/>
            <w:vAlign w:val="center"/>
            <w:hideMark/>
          </w:tcPr>
          <w:p w14:paraId="785466B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44 (15)</w:t>
            </w:r>
            <w:r w:rsidRPr="005C4B89">
              <w:rPr>
                <w:rFonts w:ascii="Calibri" w:eastAsia="Times New Roman" w:hAnsi="Calibri" w:cs="Times New Roman"/>
                <w:color w:val="000000"/>
                <w:sz w:val="18"/>
                <w:szCs w:val="18"/>
                <w:lang w:eastAsia="en-CA"/>
              </w:rPr>
              <w:br/>
              <w:t>no PPI:  46 (19)</w:t>
            </w:r>
          </w:p>
        </w:tc>
        <w:tc>
          <w:tcPr>
            <w:tcW w:w="1262" w:type="dxa"/>
            <w:tcBorders>
              <w:top w:val="nil"/>
              <w:left w:val="nil"/>
              <w:bottom w:val="single" w:sz="4" w:space="0" w:color="auto"/>
              <w:right w:val="nil"/>
            </w:tcBorders>
            <w:shd w:val="clear" w:color="auto" w:fill="FFFFFF"/>
            <w:vAlign w:val="center"/>
            <w:hideMark/>
          </w:tcPr>
          <w:p w14:paraId="58F5DE1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67%</w:t>
            </w:r>
            <w:r w:rsidRPr="005C4B89">
              <w:rPr>
                <w:rFonts w:ascii="Calibri" w:eastAsia="Times New Roman" w:hAnsi="Calibri" w:cs="Times New Roman"/>
                <w:color w:val="000000"/>
                <w:sz w:val="18"/>
                <w:szCs w:val="18"/>
                <w:lang w:eastAsia="en-CA"/>
              </w:rPr>
              <w:br/>
              <w:t>no PPI: 67%</w:t>
            </w:r>
          </w:p>
        </w:tc>
        <w:tc>
          <w:tcPr>
            <w:tcW w:w="1148" w:type="dxa"/>
            <w:tcBorders>
              <w:top w:val="nil"/>
              <w:left w:val="nil"/>
              <w:bottom w:val="single" w:sz="4" w:space="0" w:color="auto"/>
              <w:right w:val="nil"/>
            </w:tcBorders>
            <w:shd w:val="clear" w:color="auto" w:fill="FFFFFF"/>
            <w:vAlign w:val="center"/>
            <w:hideMark/>
          </w:tcPr>
          <w:p w14:paraId="6B56D1C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043F9EED" w14:textId="77777777" w:rsidTr="001B1380">
        <w:trPr>
          <w:trHeight w:val="454"/>
        </w:trPr>
        <w:tc>
          <w:tcPr>
            <w:tcW w:w="1465" w:type="dxa"/>
            <w:tcBorders>
              <w:top w:val="nil"/>
              <w:left w:val="nil"/>
              <w:bottom w:val="single" w:sz="4" w:space="0" w:color="auto"/>
              <w:right w:val="nil"/>
            </w:tcBorders>
            <w:shd w:val="clear" w:color="auto" w:fill="FFFFFF"/>
            <w:vAlign w:val="center"/>
            <w:hideMark/>
          </w:tcPr>
          <w:p w14:paraId="048F4042" w14:textId="376A04F9"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{"citationItems":[{"id":"ITEM-1","itemData":{"ISBN":"0269-2813","abstract":"Background: Endoscopic therapies and continuous intravenous omeprazole can decrease the morbidity and duration of hospital stay of patients with high-risk peptic ulcer. Aim: To evaluate the role of oral omeprazole in high-risk bleeders. Methods: After injection therapy of 160 patients with high-risk peptic ulcer, 80 received oral omeprazole and 80 received placebo, and all were followed up. Results: One hundred and forty-nine patients (71 omeprazole and 78 placebo) completed the study. Eleven patients were excluded from the study. Thirty-seven (25%) patients had gastric ulcer and 112 (75%) had duodenal ulcer. Fifty-seven (38%) ulcers showed visible vessels, 80 (54%) showed oozing of blood and 12 (8%) showed a spurting artery. Only one patient died (placebo group). The mean hospital stays were 62.8 +/- 28.6 h and 75 +/- 39 h in the omeprazole and placebo groups, respectively (P = 0.032). The mean amounts of blood transfused were 1.13 +/- 1.36 and 1.68 +/- 1.68 bags in the omeprazole and placebo groups, respectively (P = 0.029). The re-bleeding rate was lower in the omeprazole group than in the placebo group (12 vs. 26, respectively; P = 0.022). Conclusion: Oral omeprazole is effective in decreasing the hospital stay, re-bleeding rate and the need for blood transfusion in high-risk ulcer bleeders treated with endoscopic injection therapy.","author":[{"dropping-particle":"","family":"Kaviani","given":"MJ","non-dropping-particle":"","parse-names":false,"suffix":""},{"dropping-particle":"","family":"Hashemi","given":"MR","non-dropping-particle":"","parse-names":false,"suffix":""},{"dropping-particle":"","family":"Kazemifar","given":"AR","non-dropping-particle":"","parse-names":false,"suffix":""},{"dropping-particle":"","family":"Roozitalab","given":"S","non-dropping-particle":"","parse-names":false,"suffix":""},{"dropping-particle":"","family":"Mostaghni","given":"AA","non-dropping-particle":"","parse-names":false,"suffix":""},{"dropping-particle":"","family":"Merat","given":"S","non-dropping-particle":"","parse-names":false,"suffix":""},{"dropping-particle":"","family":"Alizadeh-Naini","given":"M","non-dropping-particle":"","parse-names":false,"suffix":""},{"dropping-particle":"","family":"Yarmohammadi","given":"H","non-dropping-particle":"","parse-names":false,"suffix":""}],"container-title":"Alimentary Pharmacology and Therapeutics","id":"ITEM-1","issue":"2","issued":{"date-parts":[["2003"]]},"note":"1110","page":"211-216","publisher":"Blackwell Publishing Ltd.","publisher-place":"M.J. Kaviani, Gastroenterohepatology Res. Center, Nemazee Hospital, Shiraz Univ. of Medical Sciences, P.O. Box 71935-1311, Shiraz, Iran, Islamic Republic of. E-mail: kavianim@sums.ac.ir","title":"Effect of oral omeprazole in reducing re-bleeding in bleeding peptic ulcers: A prospective, double-blind, randomized, clinical trial","type":"article","volume":"17"},"uris":["http://www.mendeley.com/documents/?uuid=08041c5b-4259-407d-ad7e-fa84bbb97638"]}],"mendeley":{"formattedCitation":"(Kaviani et al. 2003)","plainTextFormattedCitation":"(Kaviani et al. 2003)","previouslyFormattedCitation":"(Kaviani et al. 2003)"},"properties":{"noteIndex":0},"schema":"https://github.com/citation-style-language/schema/raw/master/csl-citation.json"}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(Kaviani et al. 2003)</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(Iran)</w:t>
            </w:r>
          </w:p>
        </w:tc>
        <w:tc>
          <w:tcPr>
            <w:tcW w:w="1087" w:type="dxa"/>
            <w:tcBorders>
              <w:top w:val="nil"/>
              <w:left w:val="nil"/>
              <w:bottom w:val="single" w:sz="4" w:space="0" w:color="auto"/>
              <w:right w:val="nil"/>
            </w:tcBorders>
            <w:shd w:val="clear" w:color="auto" w:fill="FFFFFF"/>
            <w:vAlign w:val="center"/>
            <w:hideMark/>
          </w:tcPr>
          <w:p w14:paraId="06A0D09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(hospitals - 2 centers)</w:t>
            </w:r>
          </w:p>
        </w:tc>
        <w:tc>
          <w:tcPr>
            <w:tcW w:w="1276" w:type="dxa"/>
            <w:tcBorders>
              <w:top w:val="nil"/>
              <w:left w:val="nil"/>
              <w:bottom w:val="single" w:sz="4" w:space="0" w:color="auto"/>
              <w:right w:val="nil"/>
            </w:tcBorders>
            <w:shd w:val="clear" w:color="auto" w:fill="FFFFFF"/>
            <w:vAlign w:val="center"/>
            <w:hideMark/>
          </w:tcPr>
          <w:p w14:paraId="626DDAB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2B6C4D0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UGIB</w:t>
            </w:r>
          </w:p>
        </w:tc>
        <w:tc>
          <w:tcPr>
            <w:tcW w:w="3543" w:type="dxa"/>
            <w:tcBorders>
              <w:top w:val="nil"/>
              <w:left w:val="nil"/>
              <w:bottom w:val="single" w:sz="4" w:space="0" w:color="auto"/>
              <w:right w:val="nil"/>
            </w:tcBorders>
            <w:shd w:val="clear" w:color="auto" w:fill="FFFFFF"/>
            <w:vAlign w:val="center"/>
            <w:hideMark/>
          </w:tcPr>
          <w:p w14:paraId="74D33E35" w14:textId="0B52DFDB"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&gt;15 years</w:t>
            </w:r>
            <w:r w:rsidRPr="005C4B89">
              <w:rPr>
                <w:rFonts w:ascii="Calibri" w:eastAsia="Times New Roman" w:hAnsi="Calibri" w:cs="Times New Roman"/>
                <w:color w:val="000000"/>
                <w:sz w:val="18"/>
                <w:szCs w:val="18"/>
                <w:lang w:eastAsia="en-CA"/>
              </w:rPr>
              <w:br/>
              <w:t>- UGIB</w:t>
            </w:r>
            <w:r w:rsidRPr="005C4B89">
              <w:rPr>
                <w:rFonts w:ascii="Calibri" w:eastAsia="Times New Roman" w:hAnsi="Calibri" w:cs="Times New Roman"/>
                <w:color w:val="000000"/>
                <w:sz w:val="18"/>
                <w:szCs w:val="18"/>
                <w:lang w:eastAsia="en-CA"/>
              </w:rPr>
              <w:br/>
              <w:t>- successful endoscopic treatment of actively bleeding ulcers or ulcers with non-bleeding visible vessels b</w:t>
            </w:r>
            <w:r w:rsidR="00DE19B3">
              <w:rPr>
                <w:rFonts w:ascii="Calibri" w:eastAsia="Times New Roman" w:hAnsi="Calibri" w:cs="Times New Roman"/>
                <w:color w:val="000000"/>
                <w:sz w:val="18"/>
                <w:szCs w:val="18"/>
                <w:lang w:eastAsia="en-CA"/>
              </w:rPr>
              <w:t>etween April 1999 and May 2000</w:t>
            </w:r>
            <w:r w:rsidR="00DE19B3">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lastRenderedPageBreak/>
              <w:t>- low risk bleeders</w:t>
            </w:r>
            <w:r w:rsidRPr="005C4B89">
              <w:rPr>
                <w:rFonts w:ascii="Calibri" w:eastAsia="Times New Roman" w:hAnsi="Calibri" w:cs="Times New Roman"/>
                <w:color w:val="000000"/>
                <w:sz w:val="18"/>
                <w:szCs w:val="18"/>
                <w:lang w:eastAsia="en-CA"/>
              </w:rPr>
              <w:br/>
              <w:t>- unknown source of bleeding</w:t>
            </w:r>
            <w:r w:rsidRPr="005C4B89">
              <w:rPr>
                <w:rFonts w:ascii="Calibri" w:eastAsia="Times New Roman" w:hAnsi="Calibri" w:cs="Times New Roman"/>
                <w:color w:val="000000"/>
                <w:sz w:val="18"/>
                <w:szCs w:val="18"/>
                <w:lang w:eastAsia="en-CA"/>
              </w:rPr>
              <w:br/>
              <w:t>- on anti-secretory drugs (PPIs or H2RAs)</w:t>
            </w:r>
            <w:r w:rsidRPr="005C4B89">
              <w:rPr>
                <w:rFonts w:ascii="Calibri" w:eastAsia="Times New Roman" w:hAnsi="Calibri" w:cs="Times New Roman"/>
                <w:color w:val="000000"/>
                <w:sz w:val="18"/>
                <w:szCs w:val="18"/>
                <w:lang w:eastAsia="en-CA"/>
              </w:rPr>
              <w:br/>
              <w:t>- highly probable gastric malignancies</w:t>
            </w:r>
            <w:r w:rsidRPr="005C4B89">
              <w:rPr>
                <w:rFonts w:ascii="Calibri" w:eastAsia="Times New Roman" w:hAnsi="Calibri" w:cs="Times New Roman"/>
                <w:color w:val="000000"/>
                <w:sz w:val="18"/>
                <w:szCs w:val="18"/>
                <w:lang w:eastAsia="en-CA"/>
              </w:rPr>
              <w:br/>
              <w:t>- unsuccessful endoscopic treatment</w:t>
            </w:r>
          </w:p>
        </w:tc>
        <w:tc>
          <w:tcPr>
            <w:tcW w:w="1559" w:type="dxa"/>
            <w:tcBorders>
              <w:top w:val="nil"/>
              <w:left w:val="nil"/>
              <w:bottom w:val="single" w:sz="4" w:space="0" w:color="auto"/>
              <w:right w:val="nil"/>
            </w:tcBorders>
            <w:shd w:val="clear" w:color="auto" w:fill="FFFFFF"/>
            <w:vAlign w:val="center"/>
            <w:hideMark/>
          </w:tcPr>
          <w:p w14:paraId="67067A7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160</w:t>
            </w:r>
            <w:r w:rsidRPr="005C4B89">
              <w:rPr>
                <w:rFonts w:ascii="Calibri" w:eastAsia="Times New Roman" w:hAnsi="Calibri" w:cs="Times New Roman"/>
                <w:color w:val="000000"/>
                <w:sz w:val="18"/>
                <w:szCs w:val="18"/>
                <w:lang w:eastAsia="en-CA"/>
              </w:rPr>
              <w:br/>
              <w:t>(PPI-omeprazole: 80; No PPI: 80)</w:t>
            </w:r>
          </w:p>
        </w:tc>
        <w:tc>
          <w:tcPr>
            <w:tcW w:w="1417" w:type="dxa"/>
            <w:tcBorders>
              <w:top w:val="nil"/>
              <w:left w:val="nil"/>
              <w:bottom w:val="single" w:sz="4" w:space="0" w:color="auto"/>
              <w:right w:val="nil"/>
            </w:tcBorders>
            <w:shd w:val="clear" w:color="auto" w:fill="FFFFFF"/>
            <w:vAlign w:val="center"/>
            <w:hideMark/>
          </w:tcPr>
          <w:p w14:paraId="7E94901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53 (18)</w:t>
            </w:r>
            <w:r w:rsidRPr="005C4B89">
              <w:rPr>
                <w:rFonts w:ascii="Calibri" w:eastAsia="Times New Roman" w:hAnsi="Calibri" w:cs="Times New Roman"/>
                <w:color w:val="000000"/>
                <w:sz w:val="18"/>
                <w:szCs w:val="18"/>
                <w:lang w:eastAsia="en-CA"/>
              </w:rPr>
              <w:br/>
              <w:t>no PPI: 52 (19)</w:t>
            </w:r>
          </w:p>
        </w:tc>
        <w:tc>
          <w:tcPr>
            <w:tcW w:w="1262" w:type="dxa"/>
            <w:tcBorders>
              <w:top w:val="nil"/>
              <w:left w:val="nil"/>
              <w:bottom w:val="single" w:sz="4" w:space="0" w:color="auto"/>
              <w:right w:val="nil"/>
            </w:tcBorders>
            <w:shd w:val="clear" w:color="auto" w:fill="FFFFFF"/>
            <w:vAlign w:val="center"/>
            <w:hideMark/>
          </w:tcPr>
          <w:p w14:paraId="2468243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80%</w:t>
            </w:r>
            <w:r w:rsidRPr="005C4B89">
              <w:rPr>
                <w:rFonts w:ascii="Calibri" w:eastAsia="Times New Roman" w:hAnsi="Calibri" w:cs="Times New Roman"/>
                <w:color w:val="000000"/>
                <w:sz w:val="18"/>
                <w:szCs w:val="18"/>
                <w:lang w:eastAsia="en-CA"/>
              </w:rPr>
              <w:br/>
              <w:t>no PPI: 80%</w:t>
            </w:r>
          </w:p>
        </w:tc>
        <w:tc>
          <w:tcPr>
            <w:tcW w:w="1148" w:type="dxa"/>
            <w:tcBorders>
              <w:top w:val="nil"/>
              <w:left w:val="nil"/>
              <w:bottom w:val="single" w:sz="4" w:space="0" w:color="auto"/>
              <w:right w:val="nil"/>
            </w:tcBorders>
            <w:shd w:val="clear" w:color="auto" w:fill="FFFFFF"/>
            <w:vAlign w:val="center"/>
            <w:hideMark/>
          </w:tcPr>
          <w:p w14:paraId="4A42EB0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0D76AC42"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069E88D3" w14:textId="3F4F7722"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{"citationItems":[{"id":"ITEM-1","itemData":{"ISBN":"0028-4793","ISSN":"0028-4793","abstract":"Background: The role of medical treatment for patients with bleeding peptic ulcers is uncertain. Methods: We conducted a double-blind, placebo- controlled trial in 220 patients with duodenal, gastric, or stomal ulcers and signs of recent bleeding, as confirmed by endoscopy. In 26 patients the ulcers showed arterial spurting, in 34 there was active oozing, in 35 there were nonbleeding, visible vessels, and in 125 there were adherent clots. The patients were randomly assigned to receive omeprazole (40 mg given orally every 12 hours for five days) or placebo. The outcome measures studied were further bleeding, surgery, and death. Results: Twelve of the 110 patients treated with omeprazole (10.9 percent) had continued bleeding or further bleeding, as compared with 40 of the 110 patients who received placebo (36.4 percent) (P&lt;0.001). Eight patients in the omeprazole group and 26 in the placebo group required surgery to control their bleeding (P&lt;0.001). Two patients in the omeprazole group and six in the placebo group died. Thirty- two patients in the omeprazole group (29.1 percent) and 78 in the placebo group (70.9 percent) received transfusions (P&lt;0.001). A subgroup analysis showed that omeprazole was associated with significant reductions in recurrent bleeding and surgery in patients with nonbleeding, visible vessels or adherent clots, but not in these with arterial spurting or oozing. Conclusions: In patients with bleeding peptic ulcers and signs of recent bleeding, treatment with omeprazole decreases the rate of further bleeding and the need for surgery.","author":[{"dropping-particle":"","family":"Khuroo","given":"M S","non-dropping-particle":"","parse-names":false,"suffix":""},{"dropping-particle":"","family":"Yattoo","given":"G N","non-dropping-particle":"","parse-names":false,"suffix":""},{"dropping-particle":"","family":"Javid","given":"G","non-dropping-particle":"","parse-names":false,"suffix":""},{"dropping-particle":"","family":"Khan","given":"B A","non-dropping-particle":"","parse-names":false,"suffix":""},{"dropping-particle":"","family":"Shah","given":"A A","non-dropping-particle":"","parse-names":false,"suffix":""},{"dropping-particle":"","family":"Gulzar","given":"G M","non-dropping-particle":"","parse-names":false,"suffix":""},{"dropping-particle":"","family":"Sodi","given":"J S","non-dropping-particle":"","parse-names":false,"suffix":""}],"container-title":"New England Journal of Medicine","id":"ITEM-1","issue":"15","issued":{"date-parts":[["1997"]]},"note":"From Duplicate 2 (A comparison of omeprazole and placebo for bleeding peptic ulcer. - Khuroo, M S; Yattoo, G N; Javid, G; Khan, B A; Shah, A A; Gulzar, G M; Sodi, J S)\n\nComment in: N Engl J Med. 1997 Apr 10;336(15):1091-3; PMID: 9091808","page":"1054-1058","publisher":"Khuroo,M S. Department of Gastroenterology, Sheri Kashmir Institute of Medical Sciences, Soura, Srinagar, Kashmir, India.","publisher-place":"UNITED STATES","title":"A comparison of omeprazole and placebo for bleeding peptic ulcer.","type":"article-journal","volume":"336"},"uris":["http://www.mendeley.com/documents/?uuid=58d39780-3ea0-470b-a6fa-3f5ced1943c9"]}],"mendeley":{"formattedCitation":"(Khuroo et al. 1997)","plainTextFormattedCitation":"(Khuroo et al. 1997)","previouslyFormattedCitation":"(Khuroo et al. 1997)"},"properties":{"noteIndex":0},"schema":"https://github.com/citation-style-language/schema/raw/master/csl-citation.json"}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(Khuroo et al. 1997)</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(India)</w:t>
            </w:r>
          </w:p>
        </w:tc>
        <w:tc>
          <w:tcPr>
            <w:tcW w:w="1087" w:type="dxa"/>
            <w:tcBorders>
              <w:top w:val="nil"/>
              <w:left w:val="nil"/>
              <w:bottom w:val="single" w:sz="4" w:space="0" w:color="auto"/>
              <w:right w:val="nil"/>
            </w:tcBorders>
            <w:shd w:val="clear" w:color="auto" w:fill="FFFFFF"/>
            <w:vAlign w:val="center"/>
            <w:hideMark/>
          </w:tcPr>
          <w:p w14:paraId="0AF3B7A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w:t>
            </w:r>
          </w:p>
        </w:tc>
        <w:tc>
          <w:tcPr>
            <w:tcW w:w="1276" w:type="dxa"/>
            <w:tcBorders>
              <w:top w:val="nil"/>
              <w:left w:val="nil"/>
              <w:bottom w:val="single" w:sz="4" w:space="0" w:color="auto"/>
              <w:right w:val="nil"/>
            </w:tcBorders>
            <w:shd w:val="clear" w:color="auto" w:fill="FFFFFF"/>
            <w:vAlign w:val="center"/>
            <w:hideMark/>
          </w:tcPr>
          <w:p w14:paraId="42D979E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2C27676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UGIB</w:t>
            </w:r>
          </w:p>
        </w:tc>
        <w:tc>
          <w:tcPr>
            <w:tcW w:w="3543" w:type="dxa"/>
            <w:tcBorders>
              <w:top w:val="nil"/>
              <w:left w:val="nil"/>
              <w:bottom w:val="single" w:sz="4" w:space="0" w:color="auto"/>
              <w:right w:val="nil"/>
            </w:tcBorders>
            <w:shd w:val="clear" w:color="auto" w:fill="FFFFFF"/>
            <w:vAlign w:val="center"/>
            <w:hideMark/>
          </w:tcPr>
          <w:p w14:paraId="7EB64F8D" w14:textId="2BCF41F2" w:rsidR="009462F4" w:rsidRPr="005C4B89" w:rsidRDefault="009462F4" w:rsidP="007D344D">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007D344D">
              <w:rPr>
                <w:rFonts w:ascii="Calibri" w:eastAsia="Times New Roman" w:hAnsi="Calibri" w:cs="Times New Roman"/>
                <w:color w:val="000000"/>
                <w:sz w:val="18"/>
                <w:szCs w:val="18"/>
                <w:lang w:eastAsia="en-CA"/>
              </w:rPr>
              <w:t>:</w:t>
            </w:r>
            <w:r w:rsidR="007D344D">
              <w:rPr>
                <w:rFonts w:ascii="Calibri" w:eastAsia="Times New Roman" w:hAnsi="Calibri" w:cs="Times New Roman"/>
                <w:color w:val="000000"/>
                <w:sz w:val="18"/>
                <w:szCs w:val="18"/>
                <w:lang w:eastAsia="en-CA"/>
              </w:rPr>
              <w:br/>
              <w:t>- UGIB</w:t>
            </w:r>
            <w:r w:rsidR="007D344D">
              <w:rPr>
                <w:rFonts w:ascii="Calibri" w:eastAsia="Times New Roman" w:hAnsi="Calibri" w:cs="Times New Roman"/>
                <w:color w:val="000000"/>
                <w:sz w:val="18"/>
                <w:szCs w:val="18"/>
                <w:lang w:eastAsia="en-CA"/>
              </w:rPr>
              <w:br/>
              <w:t>- endoscopy</w:t>
            </w:r>
            <w:r w:rsidRPr="005C4B89">
              <w:rPr>
                <w:rFonts w:ascii="Calibri" w:eastAsia="Times New Roman" w:hAnsi="Calibri" w:cs="Times New Roman"/>
                <w:color w:val="000000"/>
                <w:sz w:val="18"/>
                <w:szCs w:val="18"/>
                <w:lang w:eastAsia="en-CA"/>
              </w:rPr>
              <w:t xml:space="preserve"> between Jan 1992 - Aug 1994</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terminal illness preventing endoscopy</w:t>
            </w:r>
            <w:r w:rsidRPr="005C4B89">
              <w:rPr>
                <w:rFonts w:ascii="Calibri" w:eastAsia="Times New Roman" w:hAnsi="Calibri" w:cs="Times New Roman"/>
                <w:color w:val="000000"/>
                <w:sz w:val="18"/>
                <w:szCs w:val="18"/>
                <w:lang w:eastAsia="en-CA"/>
              </w:rPr>
              <w:br/>
              <w:t>- profuse hemorrhage with persistent shock</w:t>
            </w:r>
          </w:p>
        </w:tc>
        <w:tc>
          <w:tcPr>
            <w:tcW w:w="1559" w:type="dxa"/>
            <w:tcBorders>
              <w:top w:val="nil"/>
              <w:left w:val="nil"/>
              <w:bottom w:val="single" w:sz="4" w:space="0" w:color="auto"/>
              <w:right w:val="nil"/>
            </w:tcBorders>
            <w:shd w:val="clear" w:color="auto" w:fill="FFFFFF"/>
            <w:vAlign w:val="center"/>
            <w:hideMark/>
          </w:tcPr>
          <w:p w14:paraId="3316C77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220 </w:t>
            </w:r>
            <w:r w:rsidRPr="005C4B89">
              <w:rPr>
                <w:rFonts w:ascii="Calibri" w:eastAsia="Times New Roman" w:hAnsi="Calibri" w:cs="Times New Roman"/>
                <w:color w:val="000000"/>
                <w:sz w:val="18"/>
                <w:szCs w:val="18"/>
                <w:lang w:eastAsia="en-CA"/>
              </w:rPr>
              <w:br/>
              <w:t>(PPI: 110; No PPI 110)</w:t>
            </w:r>
          </w:p>
        </w:tc>
        <w:tc>
          <w:tcPr>
            <w:tcW w:w="1417" w:type="dxa"/>
            <w:tcBorders>
              <w:top w:val="nil"/>
              <w:left w:val="nil"/>
              <w:bottom w:val="single" w:sz="4" w:space="0" w:color="auto"/>
              <w:right w:val="nil"/>
            </w:tcBorders>
            <w:shd w:val="clear" w:color="auto" w:fill="FFFFFF"/>
            <w:vAlign w:val="center"/>
            <w:hideMark/>
          </w:tcPr>
          <w:p w14:paraId="0BEEE1C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58 (8)</w:t>
            </w:r>
            <w:r w:rsidRPr="005C4B89">
              <w:rPr>
                <w:rFonts w:ascii="Calibri" w:eastAsia="Times New Roman" w:hAnsi="Calibri" w:cs="Times New Roman"/>
                <w:color w:val="000000"/>
                <w:sz w:val="18"/>
                <w:szCs w:val="18"/>
                <w:lang w:eastAsia="en-CA"/>
              </w:rPr>
              <w:br/>
              <w:t>no PPI: 56 (8)</w:t>
            </w:r>
          </w:p>
        </w:tc>
        <w:tc>
          <w:tcPr>
            <w:tcW w:w="1262" w:type="dxa"/>
            <w:tcBorders>
              <w:top w:val="nil"/>
              <w:left w:val="nil"/>
              <w:bottom w:val="single" w:sz="4" w:space="0" w:color="auto"/>
              <w:right w:val="nil"/>
            </w:tcBorders>
            <w:shd w:val="clear" w:color="auto" w:fill="FFFFFF"/>
            <w:vAlign w:val="center"/>
            <w:hideMark/>
          </w:tcPr>
          <w:p w14:paraId="6659001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62%</w:t>
            </w:r>
            <w:r w:rsidRPr="005C4B89">
              <w:rPr>
                <w:rFonts w:ascii="Calibri" w:eastAsia="Times New Roman" w:hAnsi="Calibri" w:cs="Times New Roman"/>
                <w:color w:val="000000"/>
                <w:sz w:val="18"/>
                <w:szCs w:val="18"/>
                <w:lang w:eastAsia="en-CA"/>
              </w:rPr>
              <w:br/>
              <w:t>no PPI: 60%</w:t>
            </w:r>
          </w:p>
        </w:tc>
        <w:tc>
          <w:tcPr>
            <w:tcW w:w="1148" w:type="dxa"/>
            <w:tcBorders>
              <w:top w:val="nil"/>
              <w:left w:val="nil"/>
              <w:bottom w:val="single" w:sz="4" w:space="0" w:color="auto"/>
              <w:right w:val="nil"/>
            </w:tcBorders>
            <w:shd w:val="clear" w:color="auto" w:fill="FFFFFF"/>
            <w:vAlign w:val="center"/>
            <w:hideMark/>
          </w:tcPr>
          <w:p w14:paraId="7F662A6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7D344D" w:rsidRPr="005C4B89" w14:paraId="7CD63847" w14:textId="77777777" w:rsidTr="00B30898">
        <w:trPr>
          <w:trHeight w:val="855"/>
        </w:trPr>
        <w:tc>
          <w:tcPr>
            <w:tcW w:w="1465" w:type="dxa"/>
            <w:tcBorders>
              <w:top w:val="nil"/>
              <w:left w:val="nil"/>
              <w:bottom w:val="single" w:sz="4" w:space="0" w:color="auto"/>
              <w:right w:val="nil"/>
            </w:tcBorders>
            <w:shd w:val="clear" w:color="auto" w:fill="auto"/>
            <w:vAlign w:val="center"/>
          </w:tcPr>
          <w:p w14:paraId="757F7DEA" w14:textId="013D08B2"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(Krag et al 2018)</w:t>
            </w:r>
            <w:r>
              <w:rPr>
                <w:rFonts w:ascii="Calibri" w:hAnsi="Calibri" w:cs="Calibri"/>
                <w:color w:val="000000"/>
                <w:sz w:val="18"/>
                <w:szCs w:val="18"/>
              </w:rPr>
              <w:br/>
              <w:t>[Multicenter - 2 European countries]</w:t>
            </w:r>
          </w:p>
        </w:tc>
        <w:tc>
          <w:tcPr>
            <w:tcW w:w="1087" w:type="dxa"/>
            <w:tcBorders>
              <w:top w:val="nil"/>
              <w:left w:val="nil"/>
              <w:bottom w:val="single" w:sz="4" w:space="0" w:color="auto"/>
              <w:right w:val="nil"/>
            </w:tcBorders>
            <w:shd w:val="clear" w:color="auto" w:fill="auto"/>
            <w:vAlign w:val="center"/>
          </w:tcPr>
          <w:p w14:paraId="370E8201" w14:textId="1D8333B0"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RCT</w:t>
            </w:r>
            <w:r>
              <w:rPr>
                <w:rFonts w:ascii="Calibri" w:hAnsi="Calibri" w:cs="Calibri"/>
                <w:color w:val="000000"/>
                <w:sz w:val="18"/>
                <w:szCs w:val="18"/>
              </w:rPr>
              <w:br/>
              <w:t>(33 Intensive care units)</w:t>
            </w:r>
          </w:p>
        </w:tc>
        <w:tc>
          <w:tcPr>
            <w:tcW w:w="1276" w:type="dxa"/>
            <w:tcBorders>
              <w:top w:val="nil"/>
              <w:left w:val="nil"/>
              <w:bottom w:val="single" w:sz="4" w:space="0" w:color="auto"/>
              <w:right w:val="nil"/>
            </w:tcBorders>
            <w:shd w:val="clear" w:color="auto" w:fill="auto"/>
            <w:vAlign w:val="center"/>
          </w:tcPr>
          <w:p w14:paraId="429E2DEA" w14:textId="4D62A20E"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NCT02467621</w:t>
            </w:r>
          </w:p>
        </w:tc>
        <w:tc>
          <w:tcPr>
            <w:tcW w:w="1134" w:type="dxa"/>
            <w:tcBorders>
              <w:top w:val="nil"/>
              <w:left w:val="nil"/>
              <w:bottom w:val="single" w:sz="4" w:space="0" w:color="auto"/>
              <w:right w:val="nil"/>
            </w:tcBorders>
            <w:shd w:val="clear" w:color="auto" w:fill="auto"/>
            <w:vAlign w:val="center"/>
          </w:tcPr>
          <w:p w14:paraId="495443C6" w14:textId="5BEFE47D"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ICU patients at risk for GI bleeding</w:t>
            </w:r>
          </w:p>
        </w:tc>
        <w:tc>
          <w:tcPr>
            <w:tcW w:w="3543" w:type="dxa"/>
            <w:tcBorders>
              <w:top w:val="nil"/>
              <w:left w:val="nil"/>
              <w:bottom w:val="single" w:sz="4" w:space="0" w:color="auto"/>
              <w:right w:val="nil"/>
            </w:tcBorders>
            <w:shd w:val="clear" w:color="auto" w:fill="auto"/>
            <w:vAlign w:val="center"/>
          </w:tcPr>
          <w:p w14:paraId="40B8CDA2" w14:textId="2A06FDD4" w:rsidR="007D344D" w:rsidRPr="005C4B89" w:rsidRDefault="007D344D" w:rsidP="007D344D">
            <w:pPr>
              <w:spacing w:after="0" w:line="240" w:lineRule="auto"/>
              <w:rPr>
                <w:rFonts w:ascii="Calibri" w:eastAsia="Times New Roman" w:hAnsi="Calibri" w:cs="Times New Roman"/>
                <w:i/>
                <w:iCs/>
                <w:color w:val="000000"/>
                <w:sz w:val="18"/>
                <w:szCs w:val="18"/>
                <w:lang w:eastAsia="en-CA"/>
              </w:rPr>
            </w:pPr>
            <w:r w:rsidRPr="005C4B89">
              <w:rPr>
                <w:rFonts w:ascii="Calibri" w:eastAsia="Times New Roman" w:hAnsi="Calibri" w:cs="Times New Roman"/>
                <w:i/>
                <w:iCs/>
                <w:color w:val="000000"/>
                <w:sz w:val="18"/>
                <w:szCs w:val="18"/>
                <w:lang w:eastAsia="en-CA"/>
              </w:rPr>
              <w:t>Inclusion</w:t>
            </w:r>
            <w:r>
              <w:rPr>
                <w:rFonts w:ascii="Calibri" w:hAnsi="Calibri" w:cs="Calibri"/>
                <w:color w:val="000000"/>
                <w:sz w:val="18"/>
                <w:szCs w:val="18"/>
              </w:rPr>
              <w:br/>
              <w:t>- 18 or over</w:t>
            </w:r>
            <w:r>
              <w:rPr>
                <w:rFonts w:ascii="Calibri" w:hAnsi="Calibri" w:cs="Calibri"/>
                <w:color w:val="000000"/>
                <w:sz w:val="18"/>
                <w:szCs w:val="18"/>
              </w:rPr>
              <w:br/>
              <w:t xml:space="preserve">admitted to ICU for acute conditions </w:t>
            </w:r>
            <w:r>
              <w:rPr>
                <w:rFonts w:ascii="Calibri" w:hAnsi="Calibri" w:cs="Calibri"/>
                <w:color w:val="000000"/>
                <w:sz w:val="18"/>
                <w:szCs w:val="18"/>
              </w:rPr>
              <w:br/>
              <w:t>-had at least one risk factor for GI bleeding;</w:t>
            </w:r>
            <w:r>
              <w:rPr>
                <w:rFonts w:ascii="Calibri" w:hAnsi="Calibri" w:cs="Calibri"/>
                <w:color w:val="000000"/>
                <w:sz w:val="18"/>
                <w:szCs w:val="18"/>
              </w:rPr>
              <w:br/>
            </w:r>
            <w:r>
              <w:rPr>
                <w:rFonts w:ascii="Calibri" w:hAnsi="Calibri" w:cs="Calibri"/>
                <w:color w:val="000000"/>
                <w:sz w:val="18"/>
                <w:szCs w:val="18"/>
              </w:rPr>
              <w:br/>
            </w:r>
            <w:r w:rsidRPr="005C4B89">
              <w:rPr>
                <w:rFonts w:ascii="Calibri" w:eastAsia="Times New Roman" w:hAnsi="Calibri" w:cs="Times New Roman"/>
                <w:i/>
                <w:iCs/>
                <w:color w:val="000000"/>
                <w:sz w:val="18"/>
                <w:szCs w:val="18"/>
                <w:lang w:eastAsia="en-CA"/>
              </w:rPr>
              <w:t>Exclusion</w:t>
            </w:r>
            <w:r>
              <w:rPr>
                <w:rFonts w:ascii="Calibri" w:hAnsi="Calibri" w:cs="Calibri"/>
                <w:color w:val="000000"/>
                <w:sz w:val="18"/>
                <w:szCs w:val="18"/>
              </w:rPr>
              <w:t>:</w:t>
            </w:r>
            <w:r>
              <w:rPr>
                <w:rFonts w:ascii="Calibri" w:hAnsi="Calibri" w:cs="Calibri"/>
                <w:color w:val="000000"/>
                <w:sz w:val="18"/>
                <w:szCs w:val="18"/>
              </w:rPr>
              <w:br/>
              <w:t>-ongoing daily treatment with acid suppressants</w:t>
            </w:r>
            <w:r>
              <w:rPr>
                <w:rFonts w:ascii="Calibri" w:hAnsi="Calibri" w:cs="Calibri"/>
                <w:color w:val="000000"/>
                <w:sz w:val="18"/>
                <w:szCs w:val="18"/>
              </w:rPr>
              <w:br/>
              <w:t>- consent could not be obtained</w:t>
            </w:r>
            <w:r>
              <w:rPr>
                <w:rFonts w:ascii="Calibri" w:hAnsi="Calibri" w:cs="Calibri"/>
                <w:color w:val="000000"/>
                <w:sz w:val="18"/>
                <w:szCs w:val="18"/>
              </w:rPr>
              <w:br/>
              <w:t>- gastrointestinal bleeding during index hospital admission</w:t>
            </w:r>
            <w:r>
              <w:rPr>
                <w:rFonts w:ascii="Calibri" w:hAnsi="Calibri" w:cs="Calibri"/>
                <w:color w:val="000000"/>
                <w:sz w:val="18"/>
                <w:szCs w:val="18"/>
              </w:rPr>
              <w:br/>
              <w:t>- withdrawn from active therapy or were brain dead</w:t>
            </w:r>
            <w:r>
              <w:rPr>
                <w:rFonts w:ascii="Calibri" w:hAnsi="Calibri" w:cs="Calibri"/>
                <w:color w:val="000000"/>
                <w:sz w:val="18"/>
                <w:szCs w:val="18"/>
              </w:rPr>
              <w:br/>
              <w:t>- underwent organ transplantation during index hospital admission</w:t>
            </w:r>
            <w:r>
              <w:rPr>
                <w:rFonts w:ascii="Calibri" w:hAnsi="Calibri" w:cs="Calibri"/>
                <w:color w:val="000000"/>
                <w:sz w:val="18"/>
                <w:szCs w:val="18"/>
              </w:rPr>
              <w:br/>
              <w:t>- peptic ulcer confirmed by endoscopy or other method during index hospital admission</w:t>
            </w:r>
            <w:r>
              <w:rPr>
                <w:rFonts w:ascii="Calibri" w:hAnsi="Calibri" w:cs="Calibri"/>
                <w:color w:val="000000"/>
                <w:sz w:val="18"/>
                <w:szCs w:val="18"/>
              </w:rPr>
              <w:br/>
              <w:t>- contraindication to pantoprazole 17 Were pregnant</w:t>
            </w:r>
            <w:r>
              <w:rPr>
                <w:rFonts w:ascii="Calibri" w:hAnsi="Calibri" w:cs="Calibri"/>
                <w:color w:val="000000"/>
                <w:sz w:val="18"/>
                <w:szCs w:val="18"/>
              </w:rPr>
              <w:br/>
              <w:t xml:space="preserve">- pregnancy </w:t>
            </w:r>
          </w:p>
        </w:tc>
        <w:tc>
          <w:tcPr>
            <w:tcW w:w="1559" w:type="dxa"/>
            <w:tcBorders>
              <w:top w:val="nil"/>
              <w:left w:val="nil"/>
              <w:bottom w:val="single" w:sz="4" w:space="0" w:color="auto"/>
              <w:right w:val="nil"/>
            </w:tcBorders>
            <w:shd w:val="clear" w:color="auto" w:fill="auto"/>
            <w:vAlign w:val="center"/>
          </w:tcPr>
          <w:p w14:paraId="0CB59D5E" w14:textId="0EBA12A3"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xml:space="preserve">3,298; </w:t>
            </w:r>
            <w:r>
              <w:rPr>
                <w:rFonts w:ascii="Calibri" w:hAnsi="Calibri" w:cs="Calibri"/>
                <w:color w:val="000000"/>
                <w:sz w:val="18"/>
                <w:szCs w:val="18"/>
              </w:rPr>
              <w:br/>
              <w:t>PPI (pantoprazole 40 mg): 1,645;</w:t>
            </w:r>
            <w:r>
              <w:rPr>
                <w:rFonts w:ascii="Calibri" w:hAnsi="Calibri" w:cs="Calibri"/>
                <w:color w:val="000000"/>
                <w:sz w:val="18"/>
                <w:szCs w:val="18"/>
              </w:rPr>
              <w:br/>
              <w:t>Placebo: 1,653;</w:t>
            </w:r>
          </w:p>
        </w:tc>
        <w:tc>
          <w:tcPr>
            <w:tcW w:w="1417" w:type="dxa"/>
            <w:tcBorders>
              <w:top w:val="nil"/>
              <w:left w:val="nil"/>
              <w:bottom w:val="single" w:sz="4" w:space="0" w:color="auto"/>
              <w:right w:val="nil"/>
            </w:tcBorders>
            <w:shd w:val="clear" w:color="auto" w:fill="auto"/>
            <w:vAlign w:val="center"/>
          </w:tcPr>
          <w:p w14:paraId="2E62C6A3" w14:textId="1369B70F"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Pantoprazole: 67 (IQR 56-75);</w:t>
            </w:r>
            <w:r>
              <w:rPr>
                <w:rFonts w:ascii="Calibri" w:hAnsi="Calibri" w:cs="Calibri"/>
                <w:color w:val="000000"/>
                <w:sz w:val="18"/>
                <w:szCs w:val="18"/>
              </w:rPr>
              <w:br/>
              <w:t>Placebo: 67 (IQR 55-75);</w:t>
            </w:r>
          </w:p>
        </w:tc>
        <w:tc>
          <w:tcPr>
            <w:tcW w:w="1262" w:type="dxa"/>
            <w:tcBorders>
              <w:top w:val="nil"/>
              <w:left w:val="nil"/>
              <w:bottom w:val="single" w:sz="4" w:space="0" w:color="auto"/>
              <w:right w:val="nil"/>
            </w:tcBorders>
            <w:shd w:val="clear" w:color="auto" w:fill="auto"/>
            <w:vAlign w:val="center"/>
          </w:tcPr>
          <w:p w14:paraId="1E6B2A7E" w14:textId="59A064A2"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Pantoprazole: 63%;</w:t>
            </w:r>
            <w:r>
              <w:rPr>
                <w:rFonts w:ascii="Calibri" w:hAnsi="Calibri" w:cs="Calibri"/>
                <w:color w:val="000000"/>
                <w:sz w:val="18"/>
                <w:szCs w:val="18"/>
              </w:rPr>
              <w:br/>
              <w:t>Placebo: 65%.</w:t>
            </w:r>
          </w:p>
        </w:tc>
        <w:tc>
          <w:tcPr>
            <w:tcW w:w="1148" w:type="dxa"/>
            <w:tcBorders>
              <w:top w:val="nil"/>
              <w:left w:val="nil"/>
              <w:bottom w:val="single" w:sz="4" w:space="0" w:color="auto"/>
              <w:right w:val="nil"/>
            </w:tcBorders>
            <w:shd w:val="clear" w:color="auto" w:fill="auto"/>
            <w:vAlign w:val="center"/>
          </w:tcPr>
          <w:p w14:paraId="1049DDFF" w14:textId="79417ECD"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9462F4" w:rsidRPr="005C4B89" w14:paraId="37AB9C22"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7E6EE1F5" w14:textId="20E5F1D6"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{"citationItems":[{"id":"ITEM-1","itemData":{"ISBN":"0741-238X","ISSN":"1865-8652","abstract":"INTRODUCTION: Efficacy of a continuous high-dose intravenous infusion of esomeprazole, followed by an oral regimen after successful endoscopic therapy for peptic ulcer bleeding (PUB) was established in the PUB study (ClinicalTrials. gov identifier: NCT00251979). Mortality rates and detailed safety and tolerability results from this study are reported here., METHODS: This was a double-blind, randomized study in patients &gt;18 years with overt signs of upper gastrointestinal bleeding, following endoscopic diagnosis of a single gastric or duodenal ulcer (&gt;5 mm) with stigmata indicating current/ recent bleeding (Forrest class Ia, Ib, IIa, or IIb). Postendoscopic hemostasis, patients received intravenous esomeprazole (80 mg/30 minutes, then 8 mg/hour for 71.5 hours) or placebo. Postinfusion, all patients received open-label oral esomeprazole 40 mg once daily for 27 days. Mortality rates were analyzed using Fisher's exact test; other safety variables were analyzed descriptively., RESULTS: A total of 767 patients were randomized; 764 comprised the safety analysis set (375 patients received esomeprazole, 389 placebo). Baseline characteristics were similar across the two treatment groups. Three deaths from the esomeprazole treatment group and eight from the placebo group occurred during the trial (0.8% versus 2.1%; P=0.22). From these 11 all-cause deaths, one (esomeprazole group; rebleeding from duodenal ulcer) occurred during the 72-hour intravenous treatment phase. Adverse event (AE) frequency was similar for the two groups over the intravenous treatment phase (esomeprazole, 39.2%; placebo, 41.9%), with gastrointestinal disorders being most commonly reported (12.3% and 19.8%, respectively). Serious AEs were mostly related to bleeding events. Infusion-site reactions (mild, transient) were reported in 4.3% of esomeprazole-treated patients versus 0.5% of placebo patients. These did not lead to treatment discontinuation., CONCLUSION: Esomeprazole, given as a continuous high-dose intravenous infusion followed by an oral regimen after successful endoscopic therapy for PUB, was well tolerated, with no apparent safety concerns from either the high-dose intravenous treatment or oral phases.","author":[{"dropping-particle":"","family":"Kuipers","given":"Ernst J","non-dropping-particle":"","parse-names":false,"suffix":""},{"dropping-particle":"","family":"Sung","given":"Joseph J Y","non-dropping-particle":"","parse-names":false,"suffix":""},{"dropping-particle":"","family":"Barkun","given":"Alan","non-dropping-particle":"","parse-names":false,"suffix":""},{"dropping-particle":"","family":"Mossner","given":"Joachim","non-dropping-particle":"","parse-names":false,"suffix":""},{"dropping-particle":"","family":"Jensen","given":"Dennis","non-dropping-particle":"","parse-names":false,"suffix":""},{"dropping-particle":"","family":"Stuart","given":"Robert","non-dropping-particle":"","parse-names":false,"suffix":""},{"dropping-particle":"","family":"Lau","given":"James Y W","non-dropping-particle":"","parse-names":false,"suffix":""},{"dropping-particle":"","family":"Ahlbom","given":"Henrik","non-dropping-particle":"","parse-names":false,"suffix":""},{"dropping-particle":"","family":"Lind","given":"Tore","non-dropping-particle":"","parse-names":false,"suffix":""},{"dropping-particle":"","family":"Kilhamn","given":"Jan","non-dropping-particle":"","parse-names":false,"suffix":""}],"container-title":"Advances in therapy","id":"ITEM-1","issue":"2","issued":{"date-parts":[["2011"]]},"note":"585","page":"150-159","publisher":"Kuipers,Ernst J. Department of Gastroenterology, Erasmus MC University Medical Center, Rotterdam, The Netherlands. e.j.kuipers@erasmusmc.nl","publisher-place":"E. J. Kuipers, Departments of Gastroenterology and Hepatology, and Internal Medicine, Erasmus MC University, Medical Center, 's-Gravendijkwal 230, Rotterdam 3015 CE, Netherlands. E-mail: e.j.kuipers@erasmusmc.nl","title":"Safety and tolerability of high-dose intravenous esomeprazole for prevention of peptic ulcer rebleeding.","type":"article-journal","volume":"28"},"uris":["http://www.mendeley.com/documents/?uuid=3a02a126-4af9-44c1-b5d0-7a03e1458af0"]}],"mendeley":{"formattedCitation":"(Kuipers et al. 2011)","plainTextFormattedCitation":"(Kuipers et al. 2011)","previouslyFormattedCitation":"(Kuipers et al. 2011)"},"properties":{"noteIndex":0},"schema":"https://github.com/citation-style-language/schema/raw/master/csl-citation.json"}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(Kuipers et al. 2011)</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(16 countries)</w:t>
            </w:r>
          </w:p>
        </w:tc>
        <w:tc>
          <w:tcPr>
            <w:tcW w:w="1087" w:type="dxa"/>
            <w:tcBorders>
              <w:top w:val="nil"/>
              <w:left w:val="nil"/>
              <w:bottom w:val="single" w:sz="4" w:space="0" w:color="auto"/>
              <w:right w:val="nil"/>
            </w:tcBorders>
            <w:shd w:val="clear" w:color="auto" w:fill="FFFFFF"/>
            <w:vAlign w:val="center"/>
            <w:hideMark/>
          </w:tcPr>
          <w:p w14:paraId="7EDF63C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(emergency departments (91 centers))</w:t>
            </w:r>
          </w:p>
        </w:tc>
        <w:tc>
          <w:tcPr>
            <w:tcW w:w="1276" w:type="dxa"/>
            <w:tcBorders>
              <w:top w:val="nil"/>
              <w:left w:val="nil"/>
              <w:bottom w:val="single" w:sz="4" w:space="0" w:color="auto"/>
              <w:right w:val="nil"/>
            </w:tcBorders>
            <w:shd w:val="clear" w:color="auto" w:fill="FFFFFF"/>
            <w:vAlign w:val="center"/>
            <w:hideMark/>
          </w:tcPr>
          <w:p w14:paraId="5B04633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NCT00251979</w:t>
            </w:r>
          </w:p>
        </w:tc>
        <w:tc>
          <w:tcPr>
            <w:tcW w:w="1134" w:type="dxa"/>
            <w:tcBorders>
              <w:top w:val="nil"/>
              <w:left w:val="nil"/>
              <w:bottom w:val="single" w:sz="4" w:space="0" w:color="auto"/>
              <w:right w:val="nil"/>
            </w:tcBorders>
            <w:shd w:val="clear" w:color="auto" w:fill="FFFFFF"/>
            <w:vAlign w:val="center"/>
            <w:hideMark/>
          </w:tcPr>
          <w:p w14:paraId="5260558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UGIB</w:t>
            </w:r>
          </w:p>
        </w:tc>
        <w:tc>
          <w:tcPr>
            <w:tcW w:w="3543" w:type="dxa"/>
            <w:tcBorders>
              <w:top w:val="nil"/>
              <w:left w:val="nil"/>
              <w:bottom w:val="single" w:sz="4" w:space="0" w:color="auto"/>
              <w:right w:val="nil"/>
            </w:tcBorders>
            <w:shd w:val="clear" w:color="auto" w:fill="FFFFFF"/>
            <w:vAlign w:val="center"/>
            <w:hideMark/>
          </w:tcPr>
          <w:p w14:paraId="54BD2C1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- 18+ years</w:t>
            </w:r>
            <w:r w:rsidRPr="005C4B89">
              <w:rPr>
                <w:rFonts w:ascii="Calibri" w:eastAsia="Times New Roman" w:hAnsi="Calibri" w:cs="Times New Roman"/>
                <w:color w:val="000000"/>
                <w:sz w:val="18"/>
                <w:szCs w:val="18"/>
                <w:lang w:eastAsia="en-CA"/>
              </w:rPr>
              <w:br/>
              <w:t>- successful hemostatic treatment of  a bleeding peptic ulcer by endoscopy</w:t>
            </w:r>
            <w:r w:rsidRPr="005C4B89">
              <w:rPr>
                <w:rFonts w:ascii="Calibri" w:eastAsia="Times New Roman" w:hAnsi="Calibri" w:cs="Times New Roman"/>
                <w:color w:val="000000"/>
                <w:sz w:val="18"/>
                <w:szCs w:val="18"/>
                <w:lang w:eastAsia="en-CA"/>
              </w:rPr>
              <w:br/>
              <w:t>- single peptic ulcer (≥55 mm in diameter) and current or recent bleeding</w:t>
            </w:r>
          </w:p>
        </w:tc>
        <w:tc>
          <w:tcPr>
            <w:tcW w:w="1559" w:type="dxa"/>
            <w:tcBorders>
              <w:top w:val="nil"/>
              <w:left w:val="nil"/>
              <w:bottom w:val="single" w:sz="4" w:space="0" w:color="auto"/>
              <w:right w:val="nil"/>
            </w:tcBorders>
            <w:shd w:val="clear" w:color="auto" w:fill="FFFFFF"/>
            <w:vAlign w:val="center"/>
            <w:hideMark/>
          </w:tcPr>
          <w:p w14:paraId="7851AD0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767</w:t>
            </w:r>
            <w:r w:rsidRPr="005C4B89">
              <w:rPr>
                <w:rFonts w:ascii="Calibri" w:eastAsia="Times New Roman" w:hAnsi="Calibri" w:cs="Times New Roman"/>
                <w:color w:val="000000"/>
                <w:sz w:val="18"/>
                <w:szCs w:val="18"/>
                <w:lang w:eastAsia="en-CA"/>
              </w:rPr>
              <w:br/>
              <w:t>(PPI: 376; No PPI:391)</w:t>
            </w:r>
          </w:p>
        </w:tc>
        <w:tc>
          <w:tcPr>
            <w:tcW w:w="1417" w:type="dxa"/>
            <w:tcBorders>
              <w:top w:val="nil"/>
              <w:left w:val="nil"/>
              <w:bottom w:val="single" w:sz="4" w:space="0" w:color="auto"/>
              <w:right w:val="nil"/>
            </w:tcBorders>
            <w:shd w:val="clear" w:color="auto" w:fill="FFFFFF"/>
            <w:vAlign w:val="center"/>
            <w:hideMark/>
          </w:tcPr>
          <w:p w14:paraId="706889C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62</w:t>
            </w:r>
            <w:r w:rsidRPr="005C4B89">
              <w:rPr>
                <w:rFonts w:ascii="Calibri" w:eastAsia="Times New Roman" w:hAnsi="Calibri" w:cs="Times New Roman"/>
                <w:color w:val="000000"/>
                <w:sz w:val="18"/>
                <w:szCs w:val="18"/>
                <w:lang w:eastAsia="en-CA"/>
              </w:rPr>
              <w:br/>
              <w:t>no PPI: 60</w:t>
            </w:r>
          </w:p>
        </w:tc>
        <w:tc>
          <w:tcPr>
            <w:tcW w:w="1262" w:type="dxa"/>
            <w:tcBorders>
              <w:top w:val="nil"/>
              <w:left w:val="nil"/>
              <w:bottom w:val="single" w:sz="4" w:space="0" w:color="auto"/>
              <w:right w:val="nil"/>
            </w:tcBorders>
            <w:shd w:val="clear" w:color="auto" w:fill="FFFFFF"/>
            <w:vAlign w:val="center"/>
            <w:hideMark/>
          </w:tcPr>
          <w:p w14:paraId="7579E6F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68%</w:t>
            </w:r>
            <w:r w:rsidRPr="005C4B89">
              <w:rPr>
                <w:rFonts w:ascii="Calibri" w:eastAsia="Times New Roman" w:hAnsi="Calibri" w:cs="Times New Roman"/>
                <w:color w:val="000000"/>
                <w:sz w:val="18"/>
                <w:szCs w:val="18"/>
                <w:lang w:eastAsia="en-CA"/>
              </w:rPr>
              <w:br/>
              <w:t>no PPI: 69%</w:t>
            </w:r>
          </w:p>
        </w:tc>
        <w:tc>
          <w:tcPr>
            <w:tcW w:w="1148" w:type="dxa"/>
            <w:tcBorders>
              <w:top w:val="nil"/>
              <w:left w:val="nil"/>
              <w:bottom w:val="single" w:sz="4" w:space="0" w:color="auto"/>
              <w:right w:val="nil"/>
            </w:tcBorders>
            <w:shd w:val="clear" w:color="auto" w:fill="FFFFFF"/>
            <w:vAlign w:val="center"/>
            <w:hideMark/>
          </w:tcPr>
          <w:p w14:paraId="609E659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(88% Caucasian)</w:t>
            </w:r>
          </w:p>
        </w:tc>
      </w:tr>
      <w:tr w:rsidR="009462F4" w:rsidRPr="005C4B89" w14:paraId="09BC73FE"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1B3AE194" w14:textId="41F8D101" w:rsidR="009462F4" w:rsidRPr="005C4B89" w:rsidRDefault="009462F4">
            <w:pPr>
              <w:spacing w:after="0" w:line="240" w:lineRule="auto"/>
              <w:rPr>
                <w:rFonts w:ascii="Calibri" w:eastAsia="Times New Roman" w:hAnsi="Calibri" w:cs="Times New Roman"/>
                <w:color w:val="000000"/>
                <w:sz w:val="18"/>
                <w:szCs w:val="18"/>
                <w:lang w:val="fr-CA" w:eastAsia="en-CA"/>
              </w:rPr>
            </w:pPr>
            <w:r w:rsidRPr="005C4B89">
              <w:rPr>
                <w:rFonts w:ascii="Calibri" w:eastAsia="Times New Roman" w:hAnsi="Calibri" w:cs="Times New Roman"/>
                <w:color w:val="000000"/>
                <w:sz w:val="18"/>
                <w:szCs w:val="18"/>
                <w:lang w:eastAsia="en-CA"/>
              </w:rPr>
              <w:lastRenderedPageBreak/>
              <w:fldChar w:fldCharType="begin" w:fldLock="1"/>
            </w:r>
            <w:r w:rsidR="00D325C7">
              <w:rPr>
                <w:rFonts w:ascii="Calibri" w:eastAsia="Times New Roman" w:hAnsi="Calibri" w:cs="Times New Roman"/>
                <w:color w:val="000000"/>
                <w:sz w:val="18"/>
                <w:szCs w:val="18"/>
                <w:lang w:val="fr-CA" w:eastAsia="en-CA"/>
              </w:rPr>
              <w:instrText>ADDIN CSL_CITATION {"citationItems":[{"id":"ITEM-1","itemData":{"author":[{"dropping-particle":"","family":"Lau","given":"J Y","non-dropping-particle":"","parse-names":false,"suffix":""},{"dropping-particle":"","family":"Sung","given":"Joseph J Y","non-dropping-particle":"","parse-names":false,"suffix":""},{"dropping-particle":"","family":"Lee","given":"Kenneth K C","non-dropping-particle":"","parse-names":false,"suffix":""},{"dropping-particle":"","family":"Yung","given":"M Y","non-dropping-particle":"","parse-names":false,"suffix":""},{"dropping-particle":"","family":"Wong","given":"S K H","non-dropping-particle":"","parse-names":false,"suffix":""}],"container-title":"New England Journal of Medicine","id":"ITEM-1","issue":"5","issued":{"date-parts":[["2000"]]},"note":"NULL","page":"310-316","title":"Effect of intravenous omeprazole on recurrent bleeding after endoscopic treatment of bleeding peptic ulcers.","type":"article-journal","volume":"343"},"uris":["http://www.mendeley.com/documents/?uuid=4bb2f3db-b876-40c7-bfbf-31f9f02913a7"]}],"mendeley":{"formattedCitation":"(Lau et al. 2000)","plainTextFormattedCitation":"(Lau et al. 2000)","previouslyFormattedCitation":"(Lau et al. 2000)"},"properties":{"noteIndex":0},"schema":"https://github.com/citation-style-language/schema/raw/master/csl-citation.json"}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val="fr-CA" w:eastAsia="en-CA"/>
              </w:rPr>
              <w:t>(Lau et al. 2000)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val="fr-CA" w:eastAsia="en-CA"/>
              </w:rPr>
              <w:br/>
              <w:t>(Hong Kong)</w:t>
            </w:r>
          </w:p>
        </w:tc>
        <w:tc>
          <w:tcPr>
            <w:tcW w:w="1087" w:type="dxa"/>
            <w:tcBorders>
              <w:top w:val="nil"/>
              <w:left w:val="nil"/>
              <w:bottom w:val="single" w:sz="4" w:space="0" w:color="auto"/>
              <w:right w:val="nil"/>
            </w:tcBorders>
            <w:shd w:val="clear" w:color="auto" w:fill="FFFFFF"/>
            <w:vAlign w:val="center"/>
            <w:hideMark/>
          </w:tcPr>
          <w:p w14:paraId="3CECB20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w:t>
            </w:r>
          </w:p>
        </w:tc>
        <w:tc>
          <w:tcPr>
            <w:tcW w:w="1276" w:type="dxa"/>
            <w:tcBorders>
              <w:top w:val="nil"/>
              <w:left w:val="nil"/>
              <w:bottom w:val="single" w:sz="4" w:space="0" w:color="auto"/>
              <w:right w:val="nil"/>
            </w:tcBorders>
            <w:shd w:val="clear" w:color="auto" w:fill="FFFFFF"/>
            <w:vAlign w:val="center"/>
            <w:hideMark/>
          </w:tcPr>
          <w:p w14:paraId="5F76600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5B4FC4B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UGIB</w:t>
            </w:r>
          </w:p>
        </w:tc>
        <w:tc>
          <w:tcPr>
            <w:tcW w:w="3543" w:type="dxa"/>
            <w:tcBorders>
              <w:top w:val="nil"/>
              <w:left w:val="nil"/>
              <w:bottom w:val="single" w:sz="4" w:space="0" w:color="auto"/>
              <w:right w:val="nil"/>
            </w:tcBorders>
            <w:shd w:val="clear" w:color="auto" w:fill="FFFFFF"/>
            <w:vAlign w:val="center"/>
            <w:hideMark/>
          </w:tcPr>
          <w:p w14:paraId="1E397858" w14:textId="09D0102B"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-admitted for UGIB</w:t>
            </w:r>
            <w:r w:rsidRPr="005C4B89">
              <w:rPr>
                <w:rFonts w:ascii="Calibri" w:eastAsia="Times New Roman" w:hAnsi="Calibri" w:cs="Times New Roman"/>
                <w:color w:val="000000"/>
                <w:sz w:val="18"/>
                <w:szCs w:val="18"/>
                <w:lang w:eastAsia="en-CA"/>
              </w:rPr>
              <w:br/>
              <w:t>-underwent successful endoscopy of active ulcers (or ulcers with nonbleeding vessels)</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-unsuccessful endoscopy</w:t>
            </w:r>
          </w:p>
        </w:tc>
        <w:tc>
          <w:tcPr>
            <w:tcW w:w="1559" w:type="dxa"/>
            <w:tcBorders>
              <w:top w:val="nil"/>
              <w:left w:val="nil"/>
              <w:bottom w:val="single" w:sz="4" w:space="0" w:color="auto"/>
              <w:right w:val="nil"/>
            </w:tcBorders>
            <w:shd w:val="clear" w:color="auto" w:fill="FFFFFF"/>
            <w:vAlign w:val="center"/>
            <w:hideMark/>
          </w:tcPr>
          <w:p w14:paraId="1DCA8AB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120; no PPI: 120)</w:t>
            </w:r>
          </w:p>
        </w:tc>
        <w:tc>
          <w:tcPr>
            <w:tcW w:w="1417" w:type="dxa"/>
            <w:tcBorders>
              <w:top w:val="nil"/>
              <w:left w:val="nil"/>
              <w:bottom w:val="single" w:sz="4" w:space="0" w:color="auto"/>
              <w:right w:val="nil"/>
            </w:tcBorders>
            <w:shd w:val="clear" w:color="auto" w:fill="FFFFFF"/>
            <w:vAlign w:val="center"/>
            <w:hideMark/>
          </w:tcPr>
          <w:p w14:paraId="7E38FBB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64 (17)</w:t>
            </w:r>
            <w:r w:rsidRPr="005C4B89">
              <w:rPr>
                <w:rFonts w:ascii="Calibri" w:eastAsia="Times New Roman" w:hAnsi="Calibri" w:cs="Times New Roman"/>
                <w:color w:val="000000"/>
                <w:sz w:val="18"/>
                <w:szCs w:val="18"/>
                <w:lang w:eastAsia="en-CA"/>
              </w:rPr>
              <w:br/>
              <w:t>no PPI: 37 (16)</w:t>
            </w:r>
          </w:p>
        </w:tc>
        <w:tc>
          <w:tcPr>
            <w:tcW w:w="1262" w:type="dxa"/>
            <w:tcBorders>
              <w:top w:val="nil"/>
              <w:left w:val="nil"/>
              <w:bottom w:val="single" w:sz="4" w:space="0" w:color="auto"/>
              <w:right w:val="nil"/>
            </w:tcBorders>
            <w:shd w:val="clear" w:color="auto" w:fill="FFFFFF"/>
            <w:vAlign w:val="center"/>
            <w:hideMark/>
          </w:tcPr>
          <w:p w14:paraId="6B1D051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PPI: 67% </w:t>
            </w:r>
            <w:r w:rsidRPr="005C4B89">
              <w:rPr>
                <w:rFonts w:ascii="Calibri" w:eastAsia="Times New Roman" w:hAnsi="Calibri" w:cs="Times New Roman"/>
                <w:color w:val="000000"/>
                <w:sz w:val="18"/>
                <w:szCs w:val="18"/>
                <w:lang w:eastAsia="en-CA"/>
              </w:rPr>
              <w:br/>
              <w:t>no PPI: 67%</w:t>
            </w:r>
          </w:p>
        </w:tc>
        <w:tc>
          <w:tcPr>
            <w:tcW w:w="1148" w:type="dxa"/>
            <w:tcBorders>
              <w:top w:val="nil"/>
              <w:left w:val="nil"/>
              <w:bottom w:val="single" w:sz="4" w:space="0" w:color="auto"/>
              <w:right w:val="nil"/>
            </w:tcBorders>
            <w:shd w:val="clear" w:color="auto" w:fill="FFFFFF"/>
            <w:vAlign w:val="center"/>
            <w:hideMark/>
          </w:tcPr>
          <w:p w14:paraId="53589E4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117DD699"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1D0F6FA5" w14:textId="4C139626" w:rsidR="009462F4" w:rsidRPr="005C4B89" w:rsidRDefault="009462F4">
            <w:pPr>
              <w:spacing w:after="0" w:line="240" w:lineRule="auto"/>
              <w:rPr>
                <w:rFonts w:ascii="Calibri" w:eastAsia="Times New Roman" w:hAnsi="Calibri" w:cs="Times New Roman"/>
                <w:color w:val="000000"/>
                <w:sz w:val="18"/>
                <w:szCs w:val="18"/>
                <w:lang w:val="fr-CA"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val="fr-CA" w:eastAsia="en-CA"/>
              </w:rPr>
              <w:instrText>ADDIN CSL_CITATION {"citationItems":[{"id":"ITEM-1","itemData":{"author":[{"dropping-particle":"","family":"Lau","given":"J","non-dropping-particle":"","parse-names":false,"suffix":""},{"dropping-particle":"","family":"Leung","given":"W","non-dropping-particle":"","parse-names":false,"suffix":""},{"dropping-particle":"","family":"Wu","given":"J","non-dropping-particle":"","parse-names":false,"suffix":""},{"dropping-particle":"","family":"Chan","given":"Francis K L","non-dropping-particle":"","parse-names":false,"suffix":""},{"dropping-particle":"","family":"Wong","given":"Vincent W S","non-dropping-particle":"","parse-names":false,"suffix":""},{"dropping-particle":"","family":"Chiu","given":"Philip W Y","non-dropping-particle":"","parse-names":false,"suffix":""},{"dropping-particle":"","family":"Lee","given":"Vivian W Y","non-dropping-particle":"","parse-names":false,"suffix":""},{"dropping-particle":"","family":"Ph","given":"D","non-dropping-particle":"","parse-names":false,"suffix":""},{"dropping-particle":"","family":"Lee","given":"Kenneth K C","non-dropping-particle":"","parse-names":false,"suffix":""},{"dropping-particle":"","family":"Ph","given":"D","non-dropping-particle":"","parse-names":false,"suffix":""},{"dropping-particle":"","family":"Cheung","given":"Frances K Y","non-dropping-particle":"","parse-names":false,"suffix":""},{"dropping-particle":"","family":"Ch","given":"B","non-dropping-particle":"","parse-names":false,"suffix":""},{"dropping-particle":"","family":"Siu","given":"Priscilla","non-dropping-particle":"","parse-names":false,"suffix":""},{"dropping-particle":"","family":"Sc","given":"B","non-dropping-particle":"","parse-names":false,"suffix":""},{"dropping-particle":"","family":"Ng","given":"Enders K W","non-dropping-particle":"","parse-names":false,"suffix":""},{"dropping-particle":"","family":"Sung","given":"Joseph J Y","non-dropping-particle":"","parse-names":false,"suffix":""}],"container-title":"New England Journal of Medicine","id":"ITEM-1","issued":{"date-parts":[["2007"]]},"note":"NULL","page":"1631-1640","title":"Omeprazole before Endoscopy in Patients with Gastrointestinal Bleeding","type":"article-journal","volume":"356"},"uris":["http://www.mendeley.com/documents/?uuid=f9fce8f9-123f-4dcd-8b01-a16d5dcee949"]}],"mendeley":{"formattedCitation":"(Lau et al. 2007)","plainTextFormattedCitation":"(Lau et al. 2007)","previouslyFormattedCitation":"(Lau et al. 2007)"},"properties":{"noteIndex":0},"schema":"https://github.com/citation-style-language/schema/raw/master/csl-citation.json"}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val="fr-CA" w:eastAsia="en-CA"/>
              </w:rPr>
              <w:t>(Lau et al. 2007)</w:t>
            </w:r>
            <w:r w:rsidRPr="005C4B89">
              <w:rPr>
                <w:rFonts w:ascii="Calibri" w:eastAsia="Times New Roman" w:hAnsi="Calibri" w:cs="Times New Roman"/>
                <w:color w:val="000000"/>
                <w:sz w:val="18"/>
                <w:szCs w:val="18"/>
                <w:lang w:eastAsia="en-CA"/>
              </w:rPr>
              <w:fldChar w:fldCharType="end"/>
            </w:r>
          </w:p>
          <w:p w14:paraId="743AD026" w14:textId="77777777" w:rsidR="009462F4" w:rsidRPr="005C4B89" w:rsidRDefault="009462F4">
            <w:pPr>
              <w:spacing w:after="0" w:line="240" w:lineRule="auto"/>
              <w:rPr>
                <w:rFonts w:ascii="Calibri" w:eastAsia="Times New Roman" w:hAnsi="Calibri" w:cs="Times New Roman"/>
                <w:color w:val="000000"/>
                <w:sz w:val="18"/>
                <w:szCs w:val="18"/>
                <w:lang w:val="fr-CA" w:eastAsia="en-CA"/>
              </w:rPr>
            </w:pPr>
            <w:r w:rsidRPr="005C4B89">
              <w:rPr>
                <w:rFonts w:ascii="Calibri" w:eastAsia="Times New Roman" w:hAnsi="Calibri" w:cs="Times New Roman"/>
                <w:color w:val="000000"/>
                <w:sz w:val="18"/>
                <w:szCs w:val="18"/>
                <w:lang w:val="fr-CA" w:eastAsia="en-CA"/>
              </w:rPr>
              <w:t>(Hong Kong)</w:t>
            </w:r>
          </w:p>
        </w:tc>
        <w:tc>
          <w:tcPr>
            <w:tcW w:w="1087" w:type="dxa"/>
            <w:tcBorders>
              <w:top w:val="nil"/>
              <w:left w:val="nil"/>
              <w:bottom w:val="single" w:sz="4" w:space="0" w:color="auto"/>
              <w:right w:val="nil"/>
            </w:tcBorders>
            <w:shd w:val="clear" w:color="auto" w:fill="FFFFFF"/>
            <w:vAlign w:val="center"/>
            <w:hideMark/>
          </w:tcPr>
          <w:p w14:paraId="0F503F6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w:t>
            </w:r>
          </w:p>
        </w:tc>
        <w:tc>
          <w:tcPr>
            <w:tcW w:w="1276" w:type="dxa"/>
            <w:tcBorders>
              <w:top w:val="nil"/>
              <w:left w:val="nil"/>
              <w:bottom w:val="single" w:sz="4" w:space="0" w:color="auto"/>
              <w:right w:val="nil"/>
            </w:tcBorders>
            <w:shd w:val="clear" w:color="auto" w:fill="FFFFFF"/>
            <w:vAlign w:val="center"/>
            <w:hideMark/>
          </w:tcPr>
          <w:p w14:paraId="149C7CE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5271604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UGIB</w:t>
            </w:r>
          </w:p>
        </w:tc>
        <w:tc>
          <w:tcPr>
            <w:tcW w:w="3543" w:type="dxa"/>
            <w:tcBorders>
              <w:top w:val="nil"/>
              <w:left w:val="nil"/>
              <w:bottom w:val="single" w:sz="4" w:space="0" w:color="auto"/>
              <w:right w:val="nil"/>
            </w:tcBorders>
            <w:shd w:val="clear" w:color="auto" w:fill="FFFFFF"/>
            <w:vAlign w:val="center"/>
            <w:hideMark/>
          </w:tcPr>
          <w:p w14:paraId="62871E8A" w14:textId="0F7B5748"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 xml:space="preserve">: </w:t>
            </w:r>
            <w:r w:rsidRPr="005C4B89">
              <w:rPr>
                <w:rFonts w:ascii="Calibri" w:eastAsia="Times New Roman" w:hAnsi="Calibri" w:cs="Times New Roman"/>
                <w:color w:val="000000"/>
                <w:sz w:val="18"/>
                <w:szCs w:val="18"/>
                <w:lang w:eastAsia="en-CA"/>
              </w:rPr>
              <w:br/>
              <w:t>- presenting with UGIB to hospital</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 xml:space="preserve">: </w:t>
            </w:r>
            <w:r w:rsidRPr="005C4B89">
              <w:rPr>
                <w:rFonts w:ascii="Calibri" w:eastAsia="Times New Roman" w:hAnsi="Calibri" w:cs="Times New Roman"/>
                <w:color w:val="000000"/>
                <w:sz w:val="18"/>
                <w:szCs w:val="18"/>
                <w:lang w:eastAsia="en-CA"/>
              </w:rPr>
              <w:br/>
              <w:t>- continued shock despite resuscitation</w:t>
            </w:r>
            <w:r w:rsidRPr="005C4B89">
              <w:rPr>
                <w:rFonts w:ascii="Calibri" w:eastAsia="Times New Roman" w:hAnsi="Calibri" w:cs="Times New Roman"/>
                <w:color w:val="000000"/>
                <w:sz w:val="18"/>
                <w:szCs w:val="18"/>
                <w:lang w:eastAsia="en-CA"/>
              </w:rPr>
              <w:br/>
              <w:t>- &lt;18 years</w:t>
            </w:r>
            <w:r w:rsidRPr="005C4B89">
              <w:rPr>
                <w:rFonts w:ascii="Calibri" w:eastAsia="Times New Roman" w:hAnsi="Calibri" w:cs="Times New Roman"/>
                <w:color w:val="000000"/>
                <w:sz w:val="18"/>
                <w:szCs w:val="18"/>
                <w:lang w:eastAsia="en-CA"/>
              </w:rPr>
              <w:br/>
              <w:t>- cannot provide consent</w:t>
            </w:r>
            <w:r w:rsidRPr="005C4B89">
              <w:rPr>
                <w:rFonts w:ascii="Calibri" w:eastAsia="Times New Roman" w:hAnsi="Calibri" w:cs="Times New Roman"/>
                <w:color w:val="000000"/>
                <w:sz w:val="18"/>
                <w:szCs w:val="18"/>
                <w:lang w:eastAsia="en-CA"/>
              </w:rPr>
              <w:br/>
              <w:t>- pregnant</w:t>
            </w:r>
            <w:r w:rsidRPr="005C4B89">
              <w:rPr>
                <w:rFonts w:ascii="Calibri" w:eastAsia="Times New Roman" w:hAnsi="Calibri" w:cs="Times New Roman"/>
                <w:color w:val="000000"/>
                <w:sz w:val="18"/>
                <w:szCs w:val="18"/>
                <w:lang w:eastAsia="en-CA"/>
              </w:rPr>
              <w:br/>
              <w:t>- allergy to PPI</w:t>
            </w:r>
            <w:r w:rsidRPr="005C4B89">
              <w:rPr>
                <w:rFonts w:ascii="Calibri" w:eastAsia="Times New Roman" w:hAnsi="Calibri" w:cs="Times New Roman"/>
                <w:color w:val="000000"/>
                <w:sz w:val="18"/>
                <w:szCs w:val="18"/>
                <w:lang w:eastAsia="en-CA"/>
              </w:rPr>
              <w:br/>
              <w:t>- on aspirin for CV protection</w:t>
            </w:r>
          </w:p>
        </w:tc>
        <w:tc>
          <w:tcPr>
            <w:tcW w:w="1559" w:type="dxa"/>
            <w:tcBorders>
              <w:top w:val="nil"/>
              <w:left w:val="nil"/>
              <w:bottom w:val="single" w:sz="4" w:space="0" w:color="auto"/>
              <w:right w:val="nil"/>
            </w:tcBorders>
            <w:shd w:val="clear" w:color="auto" w:fill="FFFFFF"/>
            <w:vAlign w:val="center"/>
            <w:hideMark/>
          </w:tcPr>
          <w:p w14:paraId="74AB8E6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(PPI: 319; no PPI: 319)  </w:t>
            </w:r>
          </w:p>
        </w:tc>
        <w:tc>
          <w:tcPr>
            <w:tcW w:w="1417" w:type="dxa"/>
            <w:tcBorders>
              <w:top w:val="nil"/>
              <w:left w:val="nil"/>
              <w:bottom w:val="single" w:sz="4" w:space="0" w:color="auto"/>
              <w:right w:val="nil"/>
            </w:tcBorders>
            <w:shd w:val="clear" w:color="auto" w:fill="FFFFFF"/>
            <w:vAlign w:val="center"/>
            <w:hideMark/>
          </w:tcPr>
          <w:p w14:paraId="7483632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62 (18)</w:t>
            </w:r>
            <w:r w:rsidRPr="005C4B89">
              <w:rPr>
                <w:rFonts w:ascii="Calibri" w:eastAsia="Times New Roman" w:hAnsi="Calibri" w:cs="Times New Roman"/>
                <w:color w:val="000000"/>
                <w:sz w:val="18"/>
                <w:szCs w:val="18"/>
                <w:lang w:eastAsia="en-CA"/>
              </w:rPr>
              <w:br/>
              <w:t>no PPI: 62 (18)</w:t>
            </w:r>
          </w:p>
        </w:tc>
        <w:tc>
          <w:tcPr>
            <w:tcW w:w="1262" w:type="dxa"/>
            <w:tcBorders>
              <w:top w:val="nil"/>
              <w:left w:val="nil"/>
              <w:bottom w:val="single" w:sz="4" w:space="0" w:color="auto"/>
              <w:right w:val="nil"/>
            </w:tcBorders>
            <w:shd w:val="clear" w:color="auto" w:fill="FFFFFF"/>
            <w:vAlign w:val="center"/>
            <w:hideMark/>
          </w:tcPr>
          <w:p w14:paraId="6F7ED51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66%</w:t>
            </w:r>
            <w:r w:rsidRPr="005C4B89">
              <w:rPr>
                <w:rFonts w:ascii="Calibri" w:eastAsia="Times New Roman" w:hAnsi="Calibri" w:cs="Times New Roman"/>
                <w:color w:val="000000"/>
                <w:sz w:val="18"/>
                <w:szCs w:val="18"/>
                <w:lang w:eastAsia="en-CA"/>
              </w:rPr>
              <w:br/>
              <w:t>no PPI: 63%</w:t>
            </w:r>
          </w:p>
        </w:tc>
        <w:tc>
          <w:tcPr>
            <w:tcW w:w="1148" w:type="dxa"/>
            <w:tcBorders>
              <w:top w:val="nil"/>
              <w:left w:val="nil"/>
              <w:bottom w:val="single" w:sz="4" w:space="0" w:color="auto"/>
              <w:right w:val="nil"/>
            </w:tcBorders>
            <w:shd w:val="clear" w:color="auto" w:fill="FFFFFF"/>
            <w:vAlign w:val="center"/>
            <w:hideMark/>
          </w:tcPr>
          <w:p w14:paraId="6FC2713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7D344D" w:rsidRPr="005C4B89" w14:paraId="17898EE5" w14:textId="77777777" w:rsidTr="00B30898">
        <w:trPr>
          <w:trHeight w:val="855"/>
        </w:trPr>
        <w:tc>
          <w:tcPr>
            <w:tcW w:w="1465" w:type="dxa"/>
            <w:tcBorders>
              <w:top w:val="nil"/>
              <w:left w:val="nil"/>
              <w:bottom w:val="single" w:sz="4" w:space="0" w:color="auto"/>
              <w:right w:val="nil"/>
            </w:tcBorders>
            <w:shd w:val="clear" w:color="auto" w:fill="auto"/>
            <w:vAlign w:val="center"/>
          </w:tcPr>
          <w:p w14:paraId="71D8327D" w14:textId="14AC1E64"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(Leung et al 2018)</w:t>
            </w:r>
            <w:r>
              <w:rPr>
                <w:rFonts w:ascii="Calibri" w:hAnsi="Calibri" w:cs="Calibri"/>
                <w:color w:val="000000"/>
                <w:sz w:val="18"/>
                <w:szCs w:val="18"/>
              </w:rPr>
              <w:br/>
              <w:t>[China]</w:t>
            </w:r>
          </w:p>
        </w:tc>
        <w:tc>
          <w:tcPr>
            <w:tcW w:w="1087" w:type="dxa"/>
            <w:tcBorders>
              <w:top w:val="nil"/>
              <w:left w:val="nil"/>
              <w:bottom w:val="single" w:sz="4" w:space="0" w:color="auto"/>
              <w:right w:val="nil"/>
            </w:tcBorders>
            <w:shd w:val="clear" w:color="auto" w:fill="auto"/>
            <w:vAlign w:val="center"/>
          </w:tcPr>
          <w:p w14:paraId="0E15C792" w14:textId="2A16949B"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xml:space="preserve">RCT </w:t>
            </w:r>
            <w:r>
              <w:rPr>
                <w:rFonts w:ascii="Calibri" w:hAnsi="Calibri" w:cs="Calibri"/>
                <w:color w:val="000000"/>
                <w:sz w:val="18"/>
                <w:szCs w:val="18"/>
              </w:rPr>
              <w:br/>
              <w:t>(hospital)</w:t>
            </w:r>
          </w:p>
        </w:tc>
        <w:tc>
          <w:tcPr>
            <w:tcW w:w="1276" w:type="dxa"/>
            <w:tcBorders>
              <w:top w:val="nil"/>
              <w:left w:val="nil"/>
              <w:bottom w:val="single" w:sz="4" w:space="0" w:color="auto"/>
              <w:right w:val="nil"/>
            </w:tcBorders>
            <w:shd w:val="clear" w:color="auto" w:fill="auto"/>
            <w:vAlign w:val="center"/>
          </w:tcPr>
          <w:p w14:paraId="7495DDB7" w14:textId="13CBEEA9" w:rsidR="007D344D" w:rsidRPr="005C4B89" w:rsidRDefault="00B30898"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NCT01873079</w:t>
            </w:r>
          </w:p>
        </w:tc>
        <w:tc>
          <w:tcPr>
            <w:tcW w:w="1134" w:type="dxa"/>
            <w:tcBorders>
              <w:top w:val="nil"/>
              <w:left w:val="nil"/>
              <w:bottom w:val="single" w:sz="4" w:space="0" w:color="auto"/>
              <w:right w:val="nil"/>
            </w:tcBorders>
            <w:shd w:val="clear" w:color="auto" w:fill="auto"/>
            <w:vAlign w:val="center"/>
          </w:tcPr>
          <w:p w14:paraId="34679FBB" w14:textId="7474A35D"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xml:space="preserve">Undergoing  ERCP  sphincterotomy </w:t>
            </w:r>
          </w:p>
        </w:tc>
        <w:tc>
          <w:tcPr>
            <w:tcW w:w="3543" w:type="dxa"/>
            <w:tcBorders>
              <w:top w:val="nil"/>
              <w:left w:val="nil"/>
              <w:bottom w:val="single" w:sz="4" w:space="0" w:color="auto"/>
              <w:right w:val="nil"/>
            </w:tcBorders>
            <w:shd w:val="clear" w:color="auto" w:fill="auto"/>
            <w:vAlign w:val="center"/>
          </w:tcPr>
          <w:p w14:paraId="0667924B" w14:textId="6144E9A5" w:rsidR="007D344D" w:rsidRPr="005C4B89" w:rsidRDefault="007D344D" w:rsidP="007D344D">
            <w:pPr>
              <w:spacing w:after="0" w:line="240" w:lineRule="auto"/>
              <w:rPr>
                <w:rFonts w:ascii="Calibri" w:eastAsia="Times New Roman" w:hAnsi="Calibri" w:cs="Times New Roman"/>
                <w:i/>
                <w:iCs/>
                <w:color w:val="000000"/>
                <w:sz w:val="18"/>
                <w:szCs w:val="18"/>
                <w:lang w:eastAsia="en-CA"/>
              </w:rPr>
            </w:pPr>
            <w:r w:rsidRPr="005C4B89">
              <w:rPr>
                <w:rFonts w:ascii="Calibri" w:eastAsia="Times New Roman" w:hAnsi="Calibri" w:cs="Times New Roman"/>
                <w:i/>
                <w:iCs/>
                <w:color w:val="000000"/>
                <w:sz w:val="18"/>
                <w:szCs w:val="18"/>
                <w:lang w:eastAsia="en-CA"/>
              </w:rPr>
              <w:t>Inclusion</w:t>
            </w:r>
            <w:r>
              <w:rPr>
                <w:rFonts w:ascii="Calibri" w:hAnsi="Calibri" w:cs="Calibri"/>
                <w:color w:val="000000"/>
                <w:sz w:val="18"/>
                <w:szCs w:val="18"/>
              </w:rPr>
              <w:t>:</w:t>
            </w:r>
            <w:r>
              <w:rPr>
                <w:rFonts w:ascii="Calibri" w:hAnsi="Calibri" w:cs="Calibri"/>
                <w:color w:val="000000"/>
                <w:sz w:val="18"/>
                <w:szCs w:val="18"/>
              </w:rPr>
              <w:br/>
              <w:t>- 18 or older</w:t>
            </w:r>
            <w:r>
              <w:rPr>
                <w:rFonts w:ascii="Calibri" w:hAnsi="Calibri" w:cs="Calibri"/>
                <w:color w:val="000000"/>
                <w:sz w:val="18"/>
                <w:szCs w:val="18"/>
              </w:rPr>
              <w:br/>
              <w:t>-scheduled for elective ERCP and EST</w:t>
            </w:r>
            <w:r>
              <w:rPr>
                <w:rFonts w:ascii="Calibri" w:hAnsi="Calibri" w:cs="Calibri"/>
                <w:color w:val="000000"/>
                <w:sz w:val="18"/>
                <w:szCs w:val="18"/>
              </w:rPr>
              <w:br/>
            </w:r>
            <w:r>
              <w:rPr>
                <w:rFonts w:ascii="Calibri" w:hAnsi="Calibri" w:cs="Calibri"/>
                <w:color w:val="000000"/>
                <w:sz w:val="18"/>
                <w:szCs w:val="18"/>
              </w:rPr>
              <w:br/>
            </w:r>
            <w:r w:rsidRPr="005C4B89">
              <w:rPr>
                <w:rFonts w:ascii="Calibri" w:eastAsia="Times New Roman" w:hAnsi="Calibri" w:cs="Times New Roman"/>
                <w:i/>
                <w:iCs/>
                <w:color w:val="000000"/>
                <w:sz w:val="18"/>
                <w:szCs w:val="18"/>
                <w:lang w:eastAsia="en-CA"/>
              </w:rPr>
              <w:t>Exclusion</w:t>
            </w:r>
            <w:r>
              <w:rPr>
                <w:rFonts w:ascii="Calibri" w:hAnsi="Calibri" w:cs="Calibri"/>
                <w:color w:val="000000"/>
                <w:sz w:val="18"/>
                <w:szCs w:val="18"/>
              </w:rPr>
              <w:t>:</w:t>
            </w:r>
            <w:r>
              <w:rPr>
                <w:rFonts w:ascii="Calibri" w:hAnsi="Calibri" w:cs="Calibri"/>
                <w:color w:val="000000"/>
                <w:sz w:val="18"/>
                <w:szCs w:val="18"/>
              </w:rPr>
              <w:br/>
              <w:t>- prior EST, history of gastrectomy, acid-reduction surgery, sphincterotomy, sphincteroplasty or liver transplantation</w:t>
            </w:r>
            <w:r>
              <w:rPr>
                <w:rFonts w:ascii="Calibri" w:hAnsi="Calibri" w:cs="Calibri"/>
                <w:color w:val="000000"/>
                <w:sz w:val="18"/>
                <w:szCs w:val="18"/>
              </w:rPr>
              <w:br/>
              <w:t>- receiving  PPIs or H2RAs  within the previous week</w:t>
            </w:r>
            <w:r>
              <w:rPr>
                <w:rFonts w:ascii="Calibri" w:hAnsi="Calibri" w:cs="Calibri"/>
                <w:color w:val="000000"/>
                <w:sz w:val="18"/>
                <w:szCs w:val="18"/>
              </w:rPr>
              <w:br/>
              <w:t>- on  warfarin, novel anticoagulants or other new antiplatelet agents; (- pregnant or lactating</w:t>
            </w:r>
            <w:r>
              <w:rPr>
                <w:rFonts w:ascii="Calibri" w:hAnsi="Calibri" w:cs="Calibri"/>
                <w:color w:val="000000"/>
                <w:sz w:val="18"/>
                <w:szCs w:val="18"/>
              </w:rPr>
              <w:br/>
              <w:t>- did not consent</w:t>
            </w:r>
          </w:p>
        </w:tc>
        <w:tc>
          <w:tcPr>
            <w:tcW w:w="1559" w:type="dxa"/>
            <w:tcBorders>
              <w:top w:val="nil"/>
              <w:left w:val="nil"/>
              <w:bottom w:val="single" w:sz="4" w:space="0" w:color="auto"/>
              <w:right w:val="nil"/>
            </w:tcBorders>
            <w:shd w:val="clear" w:color="auto" w:fill="auto"/>
            <w:vAlign w:val="center"/>
          </w:tcPr>
          <w:p w14:paraId="4E63F40D" w14:textId="19BD07FA"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125;</w:t>
            </w:r>
            <w:r>
              <w:rPr>
                <w:rFonts w:ascii="Calibri" w:hAnsi="Calibri" w:cs="Calibri"/>
                <w:color w:val="000000"/>
                <w:sz w:val="18"/>
                <w:szCs w:val="18"/>
              </w:rPr>
              <w:br/>
              <w:t>PPI (esomeprazole): 60;</w:t>
            </w:r>
            <w:r>
              <w:rPr>
                <w:rFonts w:ascii="Calibri" w:hAnsi="Calibri" w:cs="Calibri"/>
                <w:color w:val="000000"/>
                <w:sz w:val="18"/>
                <w:szCs w:val="18"/>
              </w:rPr>
              <w:br/>
              <w:t>No PPI: 65;</w:t>
            </w:r>
          </w:p>
        </w:tc>
        <w:tc>
          <w:tcPr>
            <w:tcW w:w="1417" w:type="dxa"/>
            <w:tcBorders>
              <w:top w:val="nil"/>
              <w:left w:val="nil"/>
              <w:bottom w:val="single" w:sz="4" w:space="0" w:color="auto"/>
              <w:right w:val="nil"/>
            </w:tcBorders>
            <w:shd w:val="clear" w:color="auto" w:fill="auto"/>
            <w:vAlign w:val="center"/>
          </w:tcPr>
          <w:p w14:paraId="6B968863" w14:textId="03E7BE37" w:rsidR="007D344D" w:rsidRPr="005C4B89" w:rsidRDefault="007D344D" w:rsidP="007D344D">
            <w:pPr>
              <w:spacing w:after="0" w:line="240" w:lineRule="auto"/>
              <w:rPr>
                <w:rFonts w:ascii="Calibri" w:eastAsia="Times New Roman" w:hAnsi="Calibri" w:cs="Times New Roman"/>
                <w:sz w:val="18"/>
                <w:szCs w:val="18"/>
                <w:lang w:eastAsia="en-CA"/>
              </w:rPr>
            </w:pPr>
            <w:r>
              <w:rPr>
                <w:rFonts w:ascii="Calibri" w:hAnsi="Calibri" w:cs="Calibri"/>
                <w:color w:val="000000"/>
                <w:sz w:val="18"/>
                <w:szCs w:val="18"/>
              </w:rPr>
              <w:t>Esomeprazole: 70 (14);</w:t>
            </w:r>
            <w:r>
              <w:rPr>
                <w:rFonts w:ascii="Calibri" w:hAnsi="Calibri" w:cs="Calibri"/>
                <w:color w:val="000000"/>
                <w:sz w:val="18"/>
                <w:szCs w:val="18"/>
              </w:rPr>
              <w:br/>
              <w:t>No PPI: 72 (16);</w:t>
            </w:r>
          </w:p>
        </w:tc>
        <w:tc>
          <w:tcPr>
            <w:tcW w:w="1262" w:type="dxa"/>
            <w:tcBorders>
              <w:top w:val="nil"/>
              <w:left w:val="nil"/>
              <w:bottom w:val="single" w:sz="4" w:space="0" w:color="auto"/>
              <w:right w:val="nil"/>
            </w:tcBorders>
            <w:shd w:val="clear" w:color="auto" w:fill="auto"/>
            <w:vAlign w:val="center"/>
          </w:tcPr>
          <w:p w14:paraId="08FB2CDD" w14:textId="6C7906E4"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Esomeprazole: 57;</w:t>
            </w:r>
            <w:r>
              <w:rPr>
                <w:rFonts w:ascii="Calibri" w:hAnsi="Calibri" w:cs="Calibri"/>
                <w:color w:val="000000"/>
                <w:sz w:val="18"/>
                <w:szCs w:val="18"/>
              </w:rPr>
              <w:br/>
              <w:t>no PPI: 43%</w:t>
            </w:r>
          </w:p>
        </w:tc>
        <w:tc>
          <w:tcPr>
            <w:tcW w:w="1148" w:type="dxa"/>
            <w:tcBorders>
              <w:top w:val="nil"/>
              <w:left w:val="nil"/>
              <w:bottom w:val="single" w:sz="4" w:space="0" w:color="auto"/>
              <w:right w:val="nil"/>
            </w:tcBorders>
            <w:shd w:val="clear" w:color="auto" w:fill="auto"/>
            <w:vAlign w:val="center"/>
          </w:tcPr>
          <w:p w14:paraId="26F4C72B" w14:textId="7A0A3A88"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9462F4" w:rsidRPr="005C4B89" w14:paraId="0D9903AA"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668D59E7" w14:textId="478B4FE3"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{"citationItems":[{"id":"ITEM-1","itemData":{"ISBN":"0022-3085","ISSN":"1933-0693","abstract":"OBJECT: Patients with intracerebral hemorrhage (ICH) are at high risk for severe stress-related upper gastrointestinal (UGI) bleeding, which is predictive of higher mortality. The aim of this study was to evaluate the effectiveness of omeprazole and cimetidine compared with a placebo in the prevention and management of stress-related UGI bleeding in patients with ICH., METHODS: In a single-center, randomized, placebo-controlled study, 184 surgically treated patients with CT-proven ICH within 72 hours of ictus and negative results for gastric occult blood testing were included. Of these patients, 165 who were qualified upon further evaluation were randomized into 3 groups: 58 patients received 40 mg intravenous omeprazole every 12 hours, 54 patients received 300 mg intravenous cimetidine every 6 hours, and 53 patients received a placebo. Patients whose gastric occult blood tests were positive at admission (n = 70) and during/after the prophylaxis procedure (n = 48) were treated with high-dose omeprazole at 80 mg bolus plus 8 mg/hr infusion for 3 days, followed by 40 mg intravenous omeprazole every 12 hours for 7 days., RESULTS: Of the 165 assessable patients, stress-related UGI bleeding occurred in 9 (15.5%) in the omeprazole group compared with 15 patients (27.8%) in the cimetidine group and 24 patients (45.3%) in the placebo group (p = 0.003). The occurrence of UGI bleeding was significantly related to death (p = 0.022). Nosocomial pneumonia occurred in 14 patients (24.1%) receiving omeprazole, 12 (22.2%) receiving cimetidine, and 8 (15.1%) receiving placebo (p &gt; 0.05). In patients with UGI bleeding in which high-dose omeprazole was initiated, UGI bleeding arrested within the first 3 days in 103 patients (87.3%)., CONCLUSIONS: Omeprazole significantly reduced the morbidity of stress-related UGI bleeding in patients with ICH due to its effective prophylactic effect without increasing the risk of nosocomial pneumonia, but it did not reduce the 1-month mortality or ICU stay. Further evaluation of high-dose omeprazole as the drug of choice for patients presenting with UGI bleeding is warranted. Clinical trial registration no.: ChiCTR-TRC-12001871, registered at the Chinese clinical trial registry (http://www.chictr.org/en/proj/show.aspx?proj=2384).","author":[{"dropping-particle":"","family":"Liu","given":"Bo-lin","non-dropping-particle":"","parse-names":false,"suffix":""},{"dropping-particle":"","family":"Li","given":"Bing","non-dropping-particle":"","parse-names":false,"suffix":""},{"dropping-particle":"","family":"Zhang","given":"Xiang","non-dropping-particle":"","parse-names":false,"suffix":""},{"dropping-particle":"","family":"Fei","given":"Zhou","non-dropping-particle":"","parse-names":false,"suffix":""},{"dropping-particle":"","family":"Hu","given":"Shi-jie","non-dropping-particle":"","parse-names":false,"suffix":""},{"dropping-particle":"","family":"Lin","given":"Wei","non-dropping-particle":"","parse-names":false,"suffix":""},{"dropping-particle":"","family":"Gao","given":"Da-kuan","non-dropping-particle":"","parse-names":false,"suffix":""},{"dropping-particle":"","family":"Zhang","given":"Li","non-dropping-particle":"","parse-names":false,"suffix":""}],"container-title":"Journal of neurosurgery","id":"ITEM-1","issue":"1","issued":{"date-parts":[["2013"]]},"note":"NULL","page":"115","publisher":"American Association of Neurological Surgeons (1224 West Main Street Suite 450, Charlottesville VA 22903, United States)","publisher-place":"United States","title":"A randomized controlled study comparing omeprazole and cimetidine for the prophylaxis of stress-related upper gastrointestinal bleeding in patients with intracerebral hemorrhage.","type":"article-journal","volume":"118"},"uris":["http://www.mendeley.com/documents/?uuid=ffe072ff-5b4e-42fb-bdc1-4454ddcd9c80"]}],"mendeley":{"formattedCitation":"(Liu et al. 2013)","plainTextFormattedCitation":"(Liu et al. 2013)","previouslyFormattedCitation":"(Liu et al. 2013)"},"properties":{"noteIndex":0},"schema":"https://github.com/citation-style-language/schema/raw/master/csl-citation.json"}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(Liu et al. 2013)</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(China)</w:t>
            </w:r>
          </w:p>
        </w:tc>
        <w:tc>
          <w:tcPr>
            <w:tcW w:w="1087" w:type="dxa"/>
            <w:tcBorders>
              <w:top w:val="nil"/>
              <w:left w:val="nil"/>
              <w:bottom w:val="single" w:sz="4" w:space="0" w:color="auto"/>
              <w:right w:val="nil"/>
            </w:tcBorders>
            <w:shd w:val="clear" w:color="auto" w:fill="FFFFFF"/>
            <w:vAlign w:val="center"/>
            <w:hideMark/>
          </w:tcPr>
          <w:p w14:paraId="57BEDF1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w:t>
            </w:r>
          </w:p>
        </w:tc>
        <w:tc>
          <w:tcPr>
            <w:tcW w:w="1276" w:type="dxa"/>
            <w:tcBorders>
              <w:top w:val="nil"/>
              <w:left w:val="nil"/>
              <w:bottom w:val="single" w:sz="4" w:space="0" w:color="auto"/>
              <w:right w:val="nil"/>
            </w:tcBorders>
            <w:shd w:val="clear" w:color="auto" w:fill="FFFFFF"/>
            <w:vAlign w:val="center"/>
            <w:hideMark/>
          </w:tcPr>
          <w:p w14:paraId="5082407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ChiCTR-TRC-12001871, (Chinese clinical trial registry)</w:t>
            </w:r>
          </w:p>
        </w:tc>
        <w:tc>
          <w:tcPr>
            <w:tcW w:w="1134" w:type="dxa"/>
            <w:tcBorders>
              <w:top w:val="nil"/>
              <w:left w:val="nil"/>
              <w:bottom w:val="single" w:sz="4" w:space="0" w:color="auto"/>
              <w:right w:val="nil"/>
            </w:tcBorders>
            <w:shd w:val="clear" w:color="auto" w:fill="FFFFFF"/>
            <w:vAlign w:val="center"/>
            <w:hideMark/>
          </w:tcPr>
          <w:p w14:paraId="2FEFE26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Intracerebral hemorrhage</w:t>
            </w:r>
          </w:p>
        </w:tc>
        <w:tc>
          <w:tcPr>
            <w:tcW w:w="3543" w:type="dxa"/>
            <w:tcBorders>
              <w:top w:val="nil"/>
              <w:left w:val="nil"/>
              <w:bottom w:val="single" w:sz="4" w:space="0" w:color="auto"/>
              <w:right w:val="nil"/>
            </w:tcBorders>
            <w:shd w:val="clear" w:color="auto" w:fill="FFFFFF"/>
            <w:vAlign w:val="center"/>
            <w:hideMark/>
          </w:tcPr>
          <w:p w14:paraId="20CD8D1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hospitalized at neurosurgical ICU between April 2006-Dec 2008</w:t>
            </w:r>
            <w:r w:rsidRPr="005C4B89">
              <w:rPr>
                <w:rFonts w:ascii="Calibri" w:eastAsia="Times New Roman" w:hAnsi="Calibri" w:cs="Times New Roman"/>
                <w:color w:val="000000"/>
                <w:sz w:val="18"/>
                <w:szCs w:val="18"/>
                <w:lang w:eastAsia="en-CA"/>
              </w:rPr>
              <w:br/>
              <w:t>- 18+ years</w:t>
            </w:r>
            <w:r w:rsidRPr="005C4B89">
              <w:rPr>
                <w:rFonts w:ascii="Calibri" w:eastAsia="Times New Roman" w:hAnsi="Calibri" w:cs="Times New Roman"/>
                <w:color w:val="000000"/>
                <w:sz w:val="18"/>
                <w:szCs w:val="18"/>
                <w:lang w:eastAsia="en-CA"/>
              </w:rPr>
              <w:br/>
              <w:t xml:space="preserve">- intracerebral hemorrhage requiring surgery  </w:t>
            </w:r>
          </w:p>
          <w:p w14:paraId="08A9A47D" w14:textId="7BB78F62" w:rsidR="009462F4" w:rsidRPr="005C4B89" w:rsidRDefault="009462F4" w:rsidP="002B686E">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nasogastric tube in place</w:t>
            </w:r>
            <w:r w:rsidRPr="005C4B89">
              <w:rPr>
                <w:rFonts w:ascii="Calibri" w:eastAsia="Times New Roman" w:hAnsi="Calibri" w:cs="Times New Roman"/>
                <w:color w:val="000000"/>
                <w:sz w:val="18"/>
                <w:szCs w:val="18"/>
                <w:lang w:eastAsia="en-CA"/>
              </w:rPr>
              <w:br/>
              <w:t>- baseline intragastric pH &lt;4  on 2 consecutive measurements</w:t>
            </w:r>
            <w:r w:rsidRPr="005C4B89">
              <w:rPr>
                <w:rFonts w:ascii="Calibri" w:eastAsia="Times New Roman" w:hAnsi="Calibri" w:cs="Times New Roman"/>
                <w:color w:val="000000"/>
                <w:sz w:val="18"/>
                <w:szCs w:val="18"/>
                <w:lang w:eastAsia="en-CA"/>
              </w:rPr>
              <w:br/>
              <w:t>- informed consent</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lastRenderedPageBreak/>
              <w:t>- arteriovenous malformation or aneurysmal hemorrhage,</w:t>
            </w:r>
            <w:r w:rsidRPr="005C4B89">
              <w:rPr>
                <w:rFonts w:ascii="Calibri" w:eastAsia="Times New Roman" w:hAnsi="Calibri" w:cs="Times New Roman"/>
                <w:color w:val="000000"/>
                <w:sz w:val="18"/>
                <w:szCs w:val="18"/>
                <w:lang w:eastAsia="en-CA"/>
              </w:rPr>
              <w:br/>
              <w:t>- history of peptic ulcers</w:t>
            </w:r>
            <w:r w:rsidRPr="005C4B89">
              <w:rPr>
                <w:rFonts w:ascii="Calibri" w:eastAsia="Times New Roman" w:hAnsi="Calibri" w:cs="Times New Roman"/>
                <w:color w:val="000000"/>
                <w:sz w:val="18"/>
                <w:szCs w:val="18"/>
                <w:lang w:eastAsia="en-CA"/>
              </w:rPr>
              <w:br/>
              <w:t>- patients likely to swallow blood (for example, those with severe facial trauma)</w:t>
            </w:r>
            <w:r w:rsidRPr="005C4B89">
              <w:rPr>
                <w:rFonts w:ascii="Calibri" w:eastAsia="Times New Roman" w:hAnsi="Calibri" w:cs="Times New Roman"/>
                <w:color w:val="000000"/>
                <w:sz w:val="18"/>
                <w:szCs w:val="18"/>
                <w:lang w:eastAsia="en-CA"/>
              </w:rPr>
              <w:br/>
              <w:t>- underwent antiplatelet and anticoagulation therapy</w:t>
            </w:r>
            <w:r w:rsidRPr="005C4B89">
              <w:rPr>
                <w:rFonts w:ascii="Calibri" w:eastAsia="Times New Roman" w:hAnsi="Calibri" w:cs="Times New Roman"/>
                <w:color w:val="000000"/>
                <w:sz w:val="18"/>
                <w:szCs w:val="18"/>
                <w:lang w:eastAsia="en-CA"/>
              </w:rPr>
              <w:br/>
              <w:t>- renal insufficiency requiring hemodialysis</w:t>
            </w:r>
            <w:r w:rsidRPr="005C4B89">
              <w:rPr>
                <w:rFonts w:ascii="Calibri" w:eastAsia="Times New Roman" w:hAnsi="Calibri" w:cs="Times New Roman"/>
                <w:color w:val="000000"/>
                <w:sz w:val="18"/>
                <w:szCs w:val="18"/>
                <w:lang w:eastAsia="en-CA"/>
              </w:rPr>
              <w:br/>
              <w:t>- thrombocytopenia less than 30,000/ml</w:t>
            </w:r>
            <w:r w:rsidRPr="005C4B89">
              <w:rPr>
                <w:rFonts w:ascii="Calibri" w:eastAsia="Times New Roman" w:hAnsi="Calibri" w:cs="Times New Roman"/>
                <w:color w:val="000000"/>
                <w:sz w:val="18"/>
                <w:szCs w:val="18"/>
                <w:lang w:eastAsia="en-CA"/>
              </w:rPr>
              <w:br/>
              <w:t>- died within 72 hours after the ictus</w:t>
            </w:r>
          </w:p>
        </w:tc>
        <w:tc>
          <w:tcPr>
            <w:tcW w:w="1559" w:type="dxa"/>
            <w:tcBorders>
              <w:top w:val="nil"/>
              <w:left w:val="nil"/>
              <w:bottom w:val="single" w:sz="4" w:space="0" w:color="auto"/>
              <w:right w:val="nil"/>
            </w:tcBorders>
            <w:shd w:val="clear" w:color="auto" w:fill="FFFFFF"/>
            <w:vAlign w:val="center"/>
            <w:hideMark/>
          </w:tcPr>
          <w:p w14:paraId="6F1804A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165</w:t>
            </w:r>
            <w:r w:rsidRPr="005C4B89">
              <w:rPr>
                <w:rFonts w:ascii="Calibri" w:eastAsia="Times New Roman" w:hAnsi="Calibri" w:cs="Times New Roman"/>
                <w:color w:val="000000"/>
                <w:sz w:val="18"/>
                <w:szCs w:val="18"/>
                <w:lang w:eastAsia="en-CA"/>
              </w:rPr>
              <w:br/>
              <w:t>(PPI -omeprazole: 58; No PPI: 53; others)</w:t>
            </w:r>
          </w:p>
        </w:tc>
        <w:tc>
          <w:tcPr>
            <w:tcW w:w="1417" w:type="dxa"/>
            <w:tcBorders>
              <w:top w:val="nil"/>
              <w:left w:val="nil"/>
              <w:bottom w:val="single" w:sz="4" w:space="0" w:color="auto"/>
              <w:right w:val="nil"/>
            </w:tcBorders>
            <w:shd w:val="clear" w:color="auto" w:fill="FFFFFF"/>
            <w:vAlign w:val="center"/>
            <w:hideMark/>
          </w:tcPr>
          <w:p w14:paraId="07788D09" w14:textId="77777777" w:rsidR="009462F4" w:rsidRPr="005C4B89" w:rsidRDefault="009462F4">
            <w:pPr>
              <w:spacing w:after="0" w:line="240" w:lineRule="auto"/>
              <w:rPr>
                <w:rFonts w:ascii="Calibri" w:eastAsia="Times New Roman" w:hAnsi="Calibri" w:cs="Times New Roman"/>
                <w:sz w:val="18"/>
                <w:szCs w:val="18"/>
                <w:lang w:eastAsia="en-CA"/>
              </w:rPr>
            </w:pPr>
            <w:r w:rsidRPr="005C4B89">
              <w:rPr>
                <w:rFonts w:ascii="Calibri" w:eastAsia="Times New Roman" w:hAnsi="Calibri" w:cs="Times New Roman"/>
                <w:sz w:val="18"/>
                <w:szCs w:val="18"/>
                <w:lang w:eastAsia="en-CA"/>
              </w:rPr>
              <w:t>&gt;18 years (range)</w:t>
            </w:r>
          </w:p>
        </w:tc>
        <w:tc>
          <w:tcPr>
            <w:tcW w:w="1262" w:type="dxa"/>
            <w:tcBorders>
              <w:top w:val="nil"/>
              <w:left w:val="nil"/>
              <w:bottom w:val="single" w:sz="4" w:space="0" w:color="auto"/>
              <w:right w:val="nil"/>
            </w:tcBorders>
            <w:shd w:val="clear" w:color="auto" w:fill="FFFFFF"/>
            <w:vAlign w:val="center"/>
            <w:hideMark/>
          </w:tcPr>
          <w:p w14:paraId="36C755A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53%</w:t>
            </w:r>
            <w:r w:rsidRPr="005C4B89">
              <w:rPr>
                <w:rFonts w:ascii="Calibri" w:eastAsia="Times New Roman" w:hAnsi="Calibri" w:cs="Times New Roman"/>
                <w:color w:val="000000"/>
                <w:sz w:val="18"/>
                <w:szCs w:val="18"/>
                <w:lang w:eastAsia="en-CA"/>
              </w:rPr>
              <w:br/>
              <w:t>no PPI: 66%</w:t>
            </w:r>
          </w:p>
        </w:tc>
        <w:tc>
          <w:tcPr>
            <w:tcW w:w="1148" w:type="dxa"/>
            <w:tcBorders>
              <w:top w:val="nil"/>
              <w:left w:val="nil"/>
              <w:bottom w:val="single" w:sz="4" w:space="0" w:color="auto"/>
              <w:right w:val="nil"/>
            </w:tcBorders>
            <w:shd w:val="clear" w:color="auto" w:fill="FFFFFF"/>
            <w:vAlign w:val="center"/>
            <w:hideMark/>
          </w:tcPr>
          <w:p w14:paraId="182CE6A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4B33E536"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469132FF" w14:textId="5665432B"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{"citationItems":[{"id":"ITEM-1","itemData":{"ISBN":"0195-668X","abstract":"Purpose: The use of multiple antithrombotic drugs and aggressive invasive strategies has increased the risk of major bleeding in acute coronary syndrome (ACS) patients. It is not known to what extent bleeding determines clinical outcome. The aim of this study was to assess the role of gastrointestinal bleeding on intrahospital prognosis in patients with acute coronary syndrome. Methods: Between January 2008 and December 2008, 300 patients, with acute coronary syndrome, were randomized to either oral pantoprazole (20 mg/day during hospital stay) or no therapy. The primary study end point was mortality and the secondary end points were recurrent myocardial infarction and stroke) during short term follow up. Results: Follow-up was completed in all 300 (100%) of patients. In the pantoprazole group, the drug was well tolerated (without any side effects) and was maintained in 100% of patients. 3/150 (2.%) pts in the pantoprazole group died and 7/150 (4.7%) died in the control group og patients (p&lt;0.05). 1/150 pts suffered re-infarction in the pantoprazole group and were no reinfarctions in the controle group of pts. In total, 9/300 (3.0%) of patients had gastrointestinal bleeding; 2/150 (1.3%) in pantoprazole group - without any major bleeding and 7/149 (4.7%) in the control group, (chi2 = 2.899; p=0.08) - 4/149 (2.7%) were major; (chi2 = 4.081; p=0.06) for major bleeding. Transfusion was required in 1/150 (0.7%) in the pantoprazole group and in 6/149 (4.0%) in the control group of patients (chi2 = 3.691; p=0.05). Conclusions: This randomized, controlled, and unblinded study showed that the administration of the oral pantoprazole, during hospital stay, in pts with acute coronary syndrome was associated with a trend towards lower mortality rate, lower bleeding rate and lower need for blood transfusion.","author":[{"dropping-particle":"","family":"Nikcevic","given":"G","non-dropping-particle":"","parse-names":false,"suffix":""},{"dropping-particle":"","family":"Pejic","given":"M","non-dropping-particle":"","parse-names":false,"suffix":""},{"dropping-particle":"","family":"Srdic","given":"M","non-dropping-particle":"","parse-names":false,"suffix":""},{"dropping-particle":"","family":"Djordjevic","given":"S","non-dropping-particle":"","parse-names":false,"suffix":""},{"dropping-particle":"","family":"Vukcevic","given":"G","non-dropping-particle":"","parse-names":false,"suffix":""},{"dropping-particle":"","family":"Tomic","given":"M","non-dropping-particle":"","parse-names":false,"suffix":""},{"dropping-particle":"","family":"Kostic","given":"J","non-dropping-particle":"","parse-names":false,"suffix":""},{"dropping-particle":"","family":"Vasiljevic","given":"Z","non-dropping-particle":"","parse-names":false,"suffix":""},{"dropping-particle":"","family":"Milasinovic","given":"G","non-dropping-particle":"","parse-names":false,"suffix":""},{"dropping-particle":"","family":"S","given":"Raspopovic","non-dropping-particle":"","parse-names":false,"suffix":""}],"container-title":"European heart journal","id":"ITEM-1","issued":{"date-parts":[["2011"]]},"note":"565","page":"100","publisher":"Oxford University Press","title":"Prognostic implications of acute gastrointestinal bleeding in acute coronary syndrome: Intrahospital follow up.","type":"article","volume":"32"},"uris":["http://www.mendeley.com/documents/?uuid=748ca1f0-57d6-4ede-a054-814b54a99090"]}],"mendeley":{"formattedCitation":"(Nikcevic et al. 2011)","plainTextFormattedCitation":"(Nikcevic et al. 2011)","previouslyFormattedCitation":"(Nikcevic et al. 2011)"},"properties":{"noteIndex":0},"schema":"https://github.com/citation-style-language/schema/raw/master/csl-citation.json"}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(Nikcevic et al. 2011)</w:t>
            </w:r>
            <w:r w:rsidRPr="005C4B89">
              <w:rPr>
                <w:rFonts w:ascii="Calibri" w:eastAsia="Times New Roman" w:hAnsi="Calibri" w:cs="Times New Roman"/>
                <w:color w:val="000000"/>
                <w:sz w:val="18"/>
                <w:szCs w:val="18"/>
                <w:lang w:eastAsia="en-CA"/>
              </w:rPr>
              <w:fldChar w:fldCharType="end"/>
            </w:r>
          </w:p>
          <w:p w14:paraId="4B5E28A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(NR)</w:t>
            </w:r>
          </w:p>
          <w:p w14:paraId="764A21C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[abstract]</w:t>
            </w:r>
          </w:p>
        </w:tc>
        <w:tc>
          <w:tcPr>
            <w:tcW w:w="1087" w:type="dxa"/>
            <w:tcBorders>
              <w:top w:val="nil"/>
              <w:left w:val="nil"/>
              <w:bottom w:val="single" w:sz="4" w:space="0" w:color="auto"/>
              <w:right w:val="nil"/>
            </w:tcBorders>
            <w:shd w:val="clear" w:color="auto" w:fill="FFFFFF"/>
            <w:vAlign w:val="center"/>
            <w:hideMark/>
          </w:tcPr>
          <w:p w14:paraId="14FE8EF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w:t>
            </w:r>
          </w:p>
        </w:tc>
        <w:tc>
          <w:tcPr>
            <w:tcW w:w="1276" w:type="dxa"/>
            <w:tcBorders>
              <w:top w:val="nil"/>
              <w:left w:val="nil"/>
              <w:bottom w:val="single" w:sz="4" w:space="0" w:color="auto"/>
              <w:right w:val="nil"/>
            </w:tcBorders>
            <w:shd w:val="clear" w:color="auto" w:fill="FFFFFF"/>
            <w:vAlign w:val="center"/>
            <w:hideMark/>
          </w:tcPr>
          <w:p w14:paraId="04C01C5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590AD67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ACS</w:t>
            </w:r>
          </w:p>
        </w:tc>
        <w:tc>
          <w:tcPr>
            <w:tcW w:w="3543" w:type="dxa"/>
            <w:tcBorders>
              <w:top w:val="nil"/>
              <w:left w:val="nil"/>
              <w:bottom w:val="single" w:sz="4" w:space="0" w:color="auto"/>
              <w:right w:val="nil"/>
            </w:tcBorders>
            <w:shd w:val="clear" w:color="auto" w:fill="FFFFFF"/>
            <w:vAlign w:val="center"/>
            <w:hideMark/>
          </w:tcPr>
          <w:p w14:paraId="0FD29649" w14:textId="52CFF874"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admitted to hospital with ACS between Jan 2008 - Dec 2008</w:t>
            </w:r>
            <w:r w:rsidRPr="005C4B89">
              <w:rPr>
                <w:rFonts w:ascii="Calibri" w:eastAsia="Times New Roman" w:hAnsi="Calibri" w:cs="Times New Roman"/>
                <w:color w:val="000000"/>
                <w:sz w:val="18"/>
                <w:szCs w:val="18"/>
                <w:lang w:eastAsia="en-CA"/>
              </w:rPr>
              <w:br/>
            </w:r>
          </w:p>
        </w:tc>
        <w:tc>
          <w:tcPr>
            <w:tcW w:w="1559" w:type="dxa"/>
            <w:tcBorders>
              <w:top w:val="nil"/>
              <w:left w:val="nil"/>
              <w:bottom w:val="single" w:sz="4" w:space="0" w:color="auto"/>
              <w:right w:val="nil"/>
            </w:tcBorders>
            <w:shd w:val="clear" w:color="auto" w:fill="FFFFFF"/>
            <w:vAlign w:val="center"/>
            <w:hideMark/>
          </w:tcPr>
          <w:p w14:paraId="1CDC161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300 </w:t>
            </w:r>
            <w:r w:rsidRPr="005C4B89">
              <w:rPr>
                <w:rFonts w:ascii="Calibri" w:eastAsia="Times New Roman" w:hAnsi="Calibri" w:cs="Times New Roman"/>
                <w:color w:val="000000"/>
                <w:sz w:val="18"/>
                <w:szCs w:val="18"/>
                <w:lang w:eastAsia="en-CA"/>
              </w:rPr>
              <w:br/>
              <w:t>(PPI -Pantoprazole: 150; No PPI: 150)</w:t>
            </w:r>
          </w:p>
        </w:tc>
        <w:tc>
          <w:tcPr>
            <w:tcW w:w="1417" w:type="dxa"/>
            <w:tcBorders>
              <w:top w:val="nil"/>
              <w:left w:val="nil"/>
              <w:bottom w:val="single" w:sz="4" w:space="0" w:color="auto"/>
              <w:right w:val="nil"/>
            </w:tcBorders>
            <w:shd w:val="clear" w:color="auto" w:fill="FFFFFF"/>
            <w:vAlign w:val="center"/>
            <w:hideMark/>
          </w:tcPr>
          <w:p w14:paraId="4247F9D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c>
          <w:tcPr>
            <w:tcW w:w="1262" w:type="dxa"/>
            <w:tcBorders>
              <w:top w:val="nil"/>
              <w:left w:val="nil"/>
              <w:bottom w:val="single" w:sz="4" w:space="0" w:color="auto"/>
              <w:right w:val="nil"/>
            </w:tcBorders>
            <w:shd w:val="clear" w:color="auto" w:fill="FFFFFF"/>
            <w:vAlign w:val="center"/>
            <w:hideMark/>
          </w:tcPr>
          <w:p w14:paraId="5E49BC7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c>
          <w:tcPr>
            <w:tcW w:w="1148" w:type="dxa"/>
            <w:tcBorders>
              <w:top w:val="nil"/>
              <w:left w:val="nil"/>
              <w:bottom w:val="single" w:sz="4" w:space="0" w:color="auto"/>
              <w:right w:val="nil"/>
            </w:tcBorders>
            <w:shd w:val="clear" w:color="auto" w:fill="FFFFFF"/>
            <w:vAlign w:val="center"/>
            <w:hideMark/>
          </w:tcPr>
          <w:p w14:paraId="4DD04D5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4075A6A6"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5E40418D" w14:textId="06E950CD"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{"citationItems":[{"id":"ITEM-1","itemData":{"ISBN":"0036-5521","ISSN":"0036-5521","abstract":"BACKGROUND: Haemostasis is highly pH-dependent and severely impaired at low pH. However, there is no clear evidence that acid-suppressing drugs have beneficial effects in peptic ulcer haemorrhage. Endoscopic haemostatic treatment provides important reduction in morbidity and may be more efficient when a neutral intragastric pH is maintained., METHODS: We conducted a double-blind, placebo-controlled multicentre study of intravenous infusion of omeprazole (80 mg as bolus, followed by 8 mg/h) or placebo for 72 h. All patients received 20 mg omeprazole orally from day 3 until follow-up on day 21. Only patients with ulcer haemorrhage, endoscoped within 12 h after admission, and with a history or signs of circulatory failure and spurting bleeding, oozing bleeding, visible vessel, or clot, were included. Endoscopic intervention was aimed at when spurting bleeding, oozing bleeding, or a visible vessel was observed. The primary efficacy measure was the worst ranking on an overall outcome scale (5 = death, 4 = surgery, 3 = additional endoscopic treatment, 2 = more than 3 units of blood, and 1 = no more than 3 units of blood transfused). Base-line prognostic factors of treatment success by day 3 and of other binary outcomes were considered in a logistic regression model., RESULTS: Two hundred and seventy-four patients were randomly assigned to omeprazole (134 patients) or placebo (140 patients). The number of patients included in the 'intention-to-treat' analysis was 130 in the omeprazole group and 135 in the placebo group. The primary variable, the overall outcome at 72 h, showed a difference (P = 0.004) between the two treatments in favour of omeprazole. Treatment success by 72 h defined as no death, no operation, or no additional endoscopic treatment was 91.0% in the omeprazole group and 79.7% in the placebo group (therapeutic gain, 11.3 percentage units; 95% confidence interval, 2.3 to 20.4 percentage units). Significant differences in favour of omeprazole were also found for secondary variables such as number of blood transfusions, duration and degree of bleeding, and the need for surgery and additional endoscopic treatments on day 3 and day 21. However, the numbers of deaths by day 3, 21, or 35 were very similar., CONCLUSIONS: We found a beneficial effect of intravenous omeprazole in severe ulcer haemorrhage, with a reduction in the number of operations, in endoscopic treatments, and in the duration and severity of bleeding.","author":[{"dropping-particle":"","family":"Schaffalitzky de Muckadell","given":"O B","non-dropping-particle":"","parse-names":false,"suffix":""},{"dropping-particle":"","family":"Havelund","given":"T","non-dropping-particle":"","parse-names":false,"suffix":""},{"dropping-particle":"","family":"Harling","given":"H","non-dropping-particle":"","parse-names":false,"suffix":""},{"dropping-particle":"","family":"Boesby","given":"S","non-dropping-particle":"","parse-names":false,"suffix":""},{"dropping-particle":"","family":"Snel","given":"P","non-dropping-particle":"","parse-names":false,"suffix":""},{"dropping-particle":"","family":"Vreeburg","given":"E M","non-dropping-particle":"","parse-names":false,"suffix":""},{"dropping-particle":"","family":"Eriksson","given":"S","non-dropping-particle":"","parse-names":false,"suffix":""},{"dropping-particle":"","family":"Fernstrom","given":"P","non-dropping-particle":"","parse-names":false,"suffix":""},{"dropping-particle":"","family":"Hasselgren","given":"G","non-dropping-particle":"","parse-names":false,"suffix":""}],"container-title":"Scandinavian journal of gastroenterology","id":"ITEM-1","issue":"4","issued":{"date-parts":[["1997"]]},"note":"From Duplicate 3 (Effect of omeprazole on the outcome of endoscopically treated bleeding peptic ulcers. Randomized double-blind placebo-controlled multicentre study. - Schaffalitzky de Muckadell, O B; Havelund, T; Harling, H; Boesby, S; Snel, P; Vreeburg, E M; Eriksson, S; Fernstrom, P; Hasselgren, G)\n\nComment in: Scand J Gastroenterol. 1997 Apr;32(4):396-8; PMID: 9140165","page":"320-327","publisher":"Schaffalitzky de Muckadell,O B. Dept. of Medical Gastroenterology S, Odense University Hospital, Denmark.","publisher-place":"O.B. Schaffalitzky De Muckadell, Dept. of Medical Gastroenterology S, Odense University Hospital, DK-5000 Odense C, Denmark","title":"Effect of omeprazole on the outcome of endoscopically treated bleeding peptic ulcers. Randomized double-blind placebo-controlled multicentre study.","type":"article-journal","volume":"32"},"uris":["http://www.mendeley.com/documents/?uuid=fe148942-9e78-4ed8-bea1-44b8b9a85aca"]}],"mendeley":{"formattedCitation":"(Schaffalitzky de Muckadell et al. 1997)","plainTextFormattedCitation":"(Schaffalitzky de Muckadell et al. 1997)","previouslyFormattedCitation":"(Schaffalitzky de Muckadell et al. 1997)"},"properties":{"noteIndex":0},"schema":"https://github.com/citation-style-language/schema/raw/master/csl-citation.json"}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(Schaffalitzky de Muckadell et al. 1997)</w:t>
            </w:r>
            <w:r w:rsidRPr="005C4B89">
              <w:rPr>
                <w:rFonts w:ascii="Calibri" w:eastAsia="Times New Roman" w:hAnsi="Calibri" w:cs="Times New Roman"/>
                <w:color w:val="000000"/>
                <w:sz w:val="18"/>
                <w:szCs w:val="18"/>
                <w:lang w:eastAsia="en-CA"/>
              </w:rPr>
              <w:fldChar w:fldCharType="end"/>
            </w:r>
          </w:p>
          <w:p w14:paraId="621F93F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(Denmark, Holland and France)</w:t>
            </w:r>
          </w:p>
        </w:tc>
        <w:tc>
          <w:tcPr>
            <w:tcW w:w="1087" w:type="dxa"/>
            <w:tcBorders>
              <w:top w:val="nil"/>
              <w:left w:val="nil"/>
              <w:bottom w:val="single" w:sz="4" w:space="0" w:color="auto"/>
              <w:right w:val="nil"/>
            </w:tcBorders>
            <w:shd w:val="clear" w:color="auto" w:fill="FFFFFF"/>
            <w:vAlign w:val="center"/>
            <w:hideMark/>
          </w:tcPr>
          <w:p w14:paraId="707B569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 - 34 centers)</w:t>
            </w:r>
          </w:p>
        </w:tc>
        <w:tc>
          <w:tcPr>
            <w:tcW w:w="1276" w:type="dxa"/>
            <w:tcBorders>
              <w:top w:val="nil"/>
              <w:left w:val="nil"/>
              <w:bottom w:val="single" w:sz="4" w:space="0" w:color="auto"/>
              <w:right w:val="nil"/>
            </w:tcBorders>
            <w:shd w:val="clear" w:color="auto" w:fill="FFFFFF"/>
            <w:vAlign w:val="center"/>
            <w:hideMark/>
          </w:tcPr>
          <w:p w14:paraId="46B6017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4F6278E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UGIB</w:t>
            </w:r>
          </w:p>
        </w:tc>
        <w:tc>
          <w:tcPr>
            <w:tcW w:w="3543" w:type="dxa"/>
            <w:tcBorders>
              <w:top w:val="nil"/>
              <w:left w:val="nil"/>
              <w:bottom w:val="single" w:sz="4" w:space="0" w:color="auto"/>
              <w:right w:val="nil"/>
            </w:tcBorders>
            <w:shd w:val="clear" w:color="auto" w:fill="FFFFFF"/>
            <w:vAlign w:val="center"/>
            <w:hideMark/>
          </w:tcPr>
          <w:p w14:paraId="0FC55E36" w14:textId="7F0DE325"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-&gt;18 years</w:t>
            </w:r>
            <w:r w:rsidRPr="005C4B89">
              <w:rPr>
                <w:rFonts w:ascii="Calibri" w:eastAsia="Times New Roman" w:hAnsi="Calibri" w:cs="Times New Roman"/>
                <w:color w:val="000000"/>
                <w:sz w:val="18"/>
                <w:szCs w:val="18"/>
                <w:lang w:eastAsia="en-CA"/>
              </w:rPr>
              <w:br/>
              <w:t>- UGIB with peptic ulcer</w:t>
            </w:r>
            <w:r w:rsidRPr="005C4B89">
              <w:rPr>
                <w:rFonts w:ascii="Calibri" w:eastAsia="Times New Roman" w:hAnsi="Calibri" w:cs="Times New Roman"/>
                <w:color w:val="000000"/>
                <w:sz w:val="18"/>
                <w:szCs w:val="18"/>
                <w:lang w:eastAsia="en-CA"/>
              </w:rPr>
              <w:br/>
              <w:t>- endoscoped within 12 hours after admission</w:t>
            </w:r>
            <w:r w:rsidRPr="005C4B89">
              <w:rPr>
                <w:rFonts w:ascii="Calibri" w:eastAsia="Times New Roman" w:hAnsi="Calibri" w:cs="Times New Roman"/>
                <w:color w:val="000000"/>
                <w:sz w:val="18"/>
                <w:szCs w:val="18"/>
                <w:lang w:eastAsia="en-CA"/>
              </w:rPr>
              <w:br/>
              <w:t xml:space="preserve">- history of circulatory failure and bleeding </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oesophageal varices, Mallory Weiss lesion, deficient hemostasis</w:t>
            </w:r>
            <w:r w:rsidRPr="005C4B89">
              <w:rPr>
                <w:rFonts w:ascii="Calibri" w:eastAsia="Times New Roman" w:hAnsi="Calibri" w:cs="Times New Roman"/>
                <w:color w:val="000000"/>
                <w:sz w:val="18"/>
                <w:szCs w:val="18"/>
                <w:lang w:eastAsia="en-CA"/>
              </w:rPr>
              <w:br/>
              <w:t>- anticoagulant therapy, need for NSAIDS during study</w:t>
            </w:r>
            <w:r w:rsidRPr="005C4B89">
              <w:rPr>
                <w:rFonts w:ascii="Calibri" w:eastAsia="Times New Roman" w:hAnsi="Calibri" w:cs="Times New Roman"/>
                <w:color w:val="000000"/>
                <w:sz w:val="18"/>
                <w:szCs w:val="18"/>
                <w:lang w:eastAsia="en-CA"/>
              </w:rPr>
              <w:br/>
              <w:t>- upper GI malignancy</w:t>
            </w:r>
            <w:r w:rsidRPr="005C4B89">
              <w:rPr>
                <w:rFonts w:ascii="Calibri" w:eastAsia="Times New Roman" w:hAnsi="Calibri" w:cs="Times New Roman"/>
                <w:color w:val="000000"/>
                <w:sz w:val="18"/>
                <w:szCs w:val="18"/>
                <w:lang w:eastAsia="en-CA"/>
              </w:rPr>
              <w:br/>
              <w:t>- expected life expectancy &lt;6 months</w:t>
            </w:r>
            <w:r w:rsidRPr="005C4B89">
              <w:rPr>
                <w:rFonts w:ascii="Calibri" w:eastAsia="Times New Roman" w:hAnsi="Calibri" w:cs="Times New Roman"/>
                <w:color w:val="000000"/>
                <w:sz w:val="18"/>
                <w:szCs w:val="18"/>
                <w:lang w:eastAsia="en-CA"/>
              </w:rPr>
              <w:br/>
              <w:t>- phenytoin treatment</w:t>
            </w:r>
            <w:r w:rsidRPr="005C4B89">
              <w:rPr>
                <w:rFonts w:ascii="Calibri" w:eastAsia="Times New Roman" w:hAnsi="Calibri" w:cs="Times New Roman"/>
                <w:color w:val="000000"/>
                <w:sz w:val="18"/>
                <w:szCs w:val="18"/>
                <w:lang w:eastAsia="en-CA"/>
              </w:rPr>
              <w:br/>
              <w:t>- pregnancy, lactation or childbearing potential with no use of contraception</w:t>
            </w:r>
            <w:r w:rsidRPr="005C4B89">
              <w:rPr>
                <w:rFonts w:ascii="Calibri" w:eastAsia="Times New Roman" w:hAnsi="Calibri" w:cs="Times New Roman"/>
                <w:color w:val="000000"/>
                <w:sz w:val="18"/>
                <w:szCs w:val="18"/>
                <w:lang w:eastAsia="en-CA"/>
              </w:rPr>
              <w:br/>
              <w:t>-omeprazole treatment less than 5 days before enrollment</w:t>
            </w:r>
          </w:p>
        </w:tc>
        <w:tc>
          <w:tcPr>
            <w:tcW w:w="1559" w:type="dxa"/>
            <w:tcBorders>
              <w:top w:val="nil"/>
              <w:left w:val="nil"/>
              <w:bottom w:val="single" w:sz="4" w:space="0" w:color="auto"/>
              <w:right w:val="nil"/>
            </w:tcBorders>
            <w:shd w:val="clear" w:color="auto" w:fill="FFFFFF"/>
            <w:vAlign w:val="center"/>
            <w:hideMark/>
          </w:tcPr>
          <w:p w14:paraId="21BBEFB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274</w:t>
            </w:r>
            <w:r w:rsidRPr="005C4B89">
              <w:rPr>
                <w:rFonts w:ascii="Calibri" w:eastAsia="Times New Roman" w:hAnsi="Calibri" w:cs="Times New Roman"/>
                <w:color w:val="000000"/>
                <w:sz w:val="18"/>
                <w:szCs w:val="18"/>
                <w:lang w:eastAsia="en-CA"/>
              </w:rPr>
              <w:br/>
              <w:t>(PPI-omeprazole: 134; No PPI:140)</w:t>
            </w:r>
          </w:p>
        </w:tc>
        <w:tc>
          <w:tcPr>
            <w:tcW w:w="1417" w:type="dxa"/>
            <w:tcBorders>
              <w:top w:val="nil"/>
              <w:left w:val="nil"/>
              <w:bottom w:val="single" w:sz="4" w:space="0" w:color="auto"/>
              <w:right w:val="nil"/>
            </w:tcBorders>
            <w:shd w:val="clear" w:color="auto" w:fill="FFFFFF"/>
            <w:vAlign w:val="center"/>
            <w:hideMark/>
          </w:tcPr>
          <w:p w14:paraId="41E939B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66 (15)</w:t>
            </w:r>
            <w:r w:rsidRPr="005C4B89">
              <w:rPr>
                <w:rFonts w:ascii="Calibri" w:eastAsia="Times New Roman" w:hAnsi="Calibri" w:cs="Times New Roman"/>
                <w:color w:val="000000"/>
                <w:sz w:val="18"/>
                <w:szCs w:val="18"/>
                <w:lang w:eastAsia="en-CA"/>
              </w:rPr>
              <w:br/>
              <w:t xml:space="preserve">no PPI: 67 (16) </w:t>
            </w:r>
          </w:p>
        </w:tc>
        <w:tc>
          <w:tcPr>
            <w:tcW w:w="1262" w:type="dxa"/>
            <w:tcBorders>
              <w:top w:val="nil"/>
              <w:left w:val="nil"/>
              <w:bottom w:val="single" w:sz="4" w:space="0" w:color="auto"/>
              <w:right w:val="nil"/>
            </w:tcBorders>
            <w:shd w:val="clear" w:color="auto" w:fill="FFFFFF"/>
            <w:vAlign w:val="center"/>
            <w:hideMark/>
          </w:tcPr>
          <w:p w14:paraId="2B581EB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58%</w:t>
            </w:r>
            <w:r w:rsidRPr="005C4B89">
              <w:rPr>
                <w:rFonts w:ascii="Calibri" w:eastAsia="Times New Roman" w:hAnsi="Calibri" w:cs="Times New Roman"/>
                <w:color w:val="000000"/>
                <w:sz w:val="18"/>
                <w:szCs w:val="18"/>
                <w:lang w:eastAsia="en-CA"/>
              </w:rPr>
              <w:br/>
              <w:t>no PPI: 58%</w:t>
            </w:r>
          </w:p>
        </w:tc>
        <w:tc>
          <w:tcPr>
            <w:tcW w:w="1148" w:type="dxa"/>
            <w:tcBorders>
              <w:top w:val="nil"/>
              <w:left w:val="nil"/>
              <w:bottom w:val="single" w:sz="4" w:space="0" w:color="auto"/>
              <w:right w:val="nil"/>
            </w:tcBorders>
            <w:shd w:val="clear" w:color="auto" w:fill="FFFFFF"/>
            <w:vAlign w:val="center"/>
            <w:hideMark/>
          </w:tcPr>
          <w:p w14:paraId="6E9E0D6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7D344D" w:rsidRPr="005C4B89" w14:paraId="31C56D7D" w14:textId="77777777" w:rsidTr="00B30898">
        <w:trPr>
          <w:trHeight w:val="855"/>
        </w:trPr>
        <w:tc>
          <w:tcPr>
            <w:tcW w:w="1465" w:type="dxa"/>
            <w:tcBorders>
              <w:top w:val="nil"/>
              <w:left w:val="nil"/>
              <w:bottom w:val="single" w:sz="4" w:space="0" w:color="auto"/>
              <w:right w:val="nil"/>
            </w:tcBorders>
            <w:shd w:val="clear" w:color="auto" w:fill="auto"/>
            <w:vAlign w:val="center"/>
          </w:tcPr>
          <w:p w14:paraId="5134E23B" w14:textId="36D2367E"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(Selvanderan et al 2016)</w:t>
            </w:r>
            <w:r>
              <w:rPr>
                <w:rFonts w:ascii="Calibri" w:hAnsi="Calibri" w:cs="Calibri"/>
                <w:color w:val="000000"/>
                <w:sz w:val="18"/>
                <w:szCs w:val="18"/>
              </w:rPr>
              <w:br/>
              <w:t>[Australia]</w:t>
            </w:r>
          </w:p>
        </w:tc>
        <w:tc>
          <w:tcPr>
            <w:tcW w:w="1087" w:type="dxa"/>
            <w:tcBorders>
              <w:top w:val="nil"/>
              <w:left w:val="nil"/>
              <w:bottom w:val="single" w:sz="4" w:space="0" w:color="auto"/>
              <w:right w:val="nil"/>
            </w:tcBorders>
            <w:shd w:val="clear" w:color="auto" w:fill="auto"/>
            <w:vAlign w:val="center"/>
          </w:tcPr>
          <w:p w14:paraId="74D7C3DA" w14:textId="39813F50"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RCT</w:t>
            </w:r>
            <w:r>
              <w:rPr>
                <w:rFonts w:ascii="Calibri" w:hAnsi="Calibri" w:cs="Calibri"/>
                <w:color w:val="000000"/>
                <w:sz w:val="18"/>
                <w:szCs w:val="18"/>
              </w:rPr>
              <w:br/>
              <w:t>(1 ICU unit)</w:t>
            </w:r>
          </w:p>
        </w:tc>
        <w:tc>
          <w:tcPr>
            <w:tcW w:w="1276" w:type="dxa"/>
            <w:tcBorders>
              <w:top w:val="nil"/>
              <w:left w:val="nil"/>
              <w:bottom w:val="single" w:sz="4" w:space="0" w:color="auto"/>
              <w:right w:val="nil"/>
            </w:tcBorders>
            <w:shd w:val="clear" w:color="auto" w:fill="auto"/>
            <w:vAlign w:val="center"/>
          </w:tcPr>
          <w:p w14:paraId="14817AE8" w14:textId="2E66BB1A"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Australian New Zealand Clinical Trials Registry: ACTRN12613000807752</w:t>
            </w:r>
          </w:p>
        </w:tc>
        <w:tc>
          <w:tcPr>
            <w:tcW w:w="1134" w:type="dxa"/>
            <w:tcBorders>
              <w:top w:val="nil"/>
              <w:left w:val="nil"/>
              <w:bottom w:val="single" w:sz="4" w:space="0" w:color="auto"/>
              <w:right w:val="nil"/>
            </w:tcBorders>
            <w:shd w:val="clear" w:color="auto" w:fill="auto"/>
            <w:vAlign w:val="center"/>
          </w:tcPr>
          <w:p w14:paraId="4654E1BC" w14:textId="3624A286"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Mechanically ventilated/critically ill</w:t>
            </w:r>
          </w:p>
        </w:tc>
        <w:tc>
          <w:tcPr>
            <w:tcW w:w="3543" w:type="dxa"/>
            <w:tcBorders>
              <w:top w:val="nil"/>
              <w:left w:val="nil"/>
              <w:bottom w:val="single" w:sz="4" w:space="0" w:color="auto"/>
              <w:right w:val="nil"/>
            </w:tcBorders>
            <w:shd w:val="clear" w:color="auto" w:fill="auto"/>
            <w:vAlign w:val="center"/>
          </w:tcPr>
          <w:p w14:paraId="4164BFC4" w14:textId="20233EE4" w:rsidR="007D344D" w:rsidRPr="005C4B89" w:rsidRDefault="007D344D" w:rsidP="007D344D">
            <w:pPr>
              <w:spacing w:after="0" w:line="240" w:lineRule="auto"/>
              <w:rPr>
                <w:rFonts w:ascii="Calibri" w:eastAsia="Times New Roman" w:hAnsi="Calibri" w:cs="Times New Roman"/>
                <w:i/>
                <w:iCs/>
                <w:color w:val="000000"/>
                <w:sz w:val="18"/>
                <w:szCs w:val="18"/>
                <w:lang w:eastAsia="en-CA"/>
              </w:rPr>
            </w:pPr>
            <w:r w:rsidRPr="005C4B89">
              <w:rPr>
                <w:rFonts w:ascii="Calibri" w:eastAsia="Times New Roman" w:hAnsi="Calibri" w:cs="Times New Roman"/>
                <w:i/>
                <w:iCs/>
                <w:color w:val="000000"/>
                <w:sz w:val="18"/>
                <w:szCs w:val="18"/>
                <w:lang w:eastAsia="en-CA"/>
              </w:rPr>
              <w:t>Inclusion</w:t>
            </w:r>
            <w:r>
              <w:rPr>
                <w:rFonts w:ascii="Calibri" w:hAnsi="Calibri" w:cs="Calibri"/>
                <w:color w:val="000000"/>
                <w:sz w:val="18"/>
                <w:szCs w:val="18"/>
              </w:rPr>
              <w:t>:</w:t>
            </w:r>
            <w:r>
              <w:rPr>
                <w:rFonts w:ascii="Calibri" w:hAnsi="Calibri" w:cs="Calibri"/>
                <w:color w:val="000000"/>
                <w:sz w:val="18"/>
                <w:szCs w:val="18"/>
              </w:rPr>
              <w:br/>
              <w:t>- admitted to Royal Adelaide Hospital ICU</w:t>
            </w:r>
            <w:r>
              <w:rPr>
                <w:rFonts w:ascii="Calibri" w:hAnsi="Calibri" w:cs="Calibri"/>
                <w:color w:val="000000"/>
                <w:sz w:val="18"/>
                <w:szCs w:val="18"/>
              </w:rPr>
              <w:br/>
              <w:t>- anticipated to be mechanically ventilated for more than 24 hours and receive enteral nutrition within 48 hours of admission;</w:t>
            </w:r>
            <w:r>
              <w:rPr>
                <w:rFonts w:ascii="Calibri" w:hAnsi="Calibri" w:cs="Calibri"/>
                <w:color w:val="000000"/>
                <w:sz w:val="18"/>
                <w:szCs w:val="18"/>
              </w:rPr>
              <w:br/>
            </w:r>
            <w:r>
              <w:rPr>
                <w:rFonts w:ascii="Calibri" w:hAnsi="Calibri" w:cs="Calibri"/>
                <w:color w:val="000000"/>
                <w:sz w:val="18"/>
                <w:szCs w:val="18"/>
              </w:rPr>
              <w:br/>
            </w:r>
            <w:r w:rsidRPr="005C4B89">
              <w:rPr>
                <w:rFonts w:ascii="Calibri" w:eastAsia="Times New Roman" w:hAnsi="Calibri" w:cs="Times New Roman"/>
                <w:i/>
                <w:iCs/>
                <w:color w:val="000000"/>
                <w:sz w:val="18"/>
                <w:szCs w:val="18"/>
                <w:lang w:eastAsia="en-CA"/>
              </w:rPr>
              <w:t>Exclusion</w:t>
            </w:r>
            <w:r>
              <w:rPr>
                <w:rFonts w:ascii="Calibri" w:hAnsi="Calibri" w:cs="Calibri"/>
                <w:color w:val="000000"/>
                <w:sz w:val="18"/>
                <w:szCs w:val="18"/>
              </w:rPr>
              <w:t>:</w:t>
            </w:r>
            <w:r>
              <w:rPr>
                <w:rFonts w:ascii="Calibri" w:hAnsi="Calibri" w:cs="Calibri"/>
                <w:color w:val="000000"/>
                <w:sz w:val="18"/>
                <w:szCs w:val="18"/>
              </w:rPr>
              <w:br/>
            </w:r>
            <w:r>
              <w:rPr>
                <w:rFonts w:ascii="Calibri" w:hAnsi="Calibri" w:cs="Calibri"/>
                <w:color w:val="000000"/>
                <w:sz w:val="18"/>
                <w:szCs w:val="18"/>
              </w:rPr>
              <w:lastRenderedPageBreak/>
              <w:t>- use of acid-suppressive therapy prior to admission</w:t>
            </w:r>
            <w:r>
              <w:rPr>
                <w:rFonts w:ascii="Calibri" w:hAnsi="Calibri" w:cs="Calibri"/>
                <w:color w:val="000000"/>
                <w:sz w:val="18"/>
                <w:szCs w:val="18"/>
              </w:rPr>
              <w:br/>
              <w:t>- admission with gastrointestinal bleeding</w:t>
            </w:r>
            <w:r>
              <w:rPr>
                <w:rFonts w:ascii="Calibri" w:hAnsi="Calibri" w:cs="Calibri"/>
                <w:color w:val="000000"/>
                <w:sz w:val="18"/>
                <w:szCs w:val="18"/>
              </w:rPr>
              <w:br/>
              <w:t>- history of proven peptic ulcer disease</w:t>
            </w:r>
            <w:r>
              <w:rPr>
                <w:rFonts w:ascii="Calibri" w:hAnsi="Calibri" w:cs="Calibri"/>
                <w:color w:val="000000"/>
                <w:sz w:val="18"/>
                <w:szCs w:val="18"/>
              </w:rPr>
              <w:br/>
              <w:t>- administration of greater than 100 mg daily of prednisolone (or equivalent of other corticosteroid)</w:t>
            </w:r>
            <w:r>
              <w:rPr>
                <w:rFonts w:ascii="Calibri" w:hAnsi="Calibri" w:cs="Calibri"/>
                <w:color w:val="000000"/>
                <w:sz w:val="18"/>
                <w:szCs w:val="18"/>
              </w:rPr>
              <w:br/>
              <w:t>- surgery on the upper gastrointestinal tract or cardiac surgery during the current hospital admission</w:t>
            </w:r>
            <w:r>
              <w:rPr>
                <w:rFonts w:ascii="Calibri" w:hAnsi="Calibri" w:cs="Calibri"/>
                <w:color w:val="000000"/>
                <w:sz w:val="18"/>
                <w:szCs w:val="18"/>
              </w:rPr>
              <w:br/>
              <w:t xml:space="preserve">- pregnancy </w:t>
            </w:r>
            <w:r>
              <w:rPr>
                <w:rFonts w:ascii="Calibri" w:hAnsi="Calibri" w:cs="Calibri"/>
                <w:color w:val="000000"/>
                <w:sz w:val="18"/>
                <w:szCs w:val="18"/>
              </w:rPr>
              <w:br/>
              <w:t>-Jehovah’s witnesses</w:t>
            </w:r>
            <w:r>
              <w:rPr>
                <w:rFonts w:ascii="Calibri" w:hAnsi="Calibri" w:cs="Calibri"/>
                <w:color w:val="000000"/>
                <w:sz w:val="18"/>
                <w:szCs w:val="18"/>
              </w:rPr>
              <w:br/>
              <w:t>- patients who could not receive their first dose of study medication within 36 hours of initiation of mechanical ventilation</w:t>
            </w:r>
            <w:r>
              <w:rPr>
                <w:rFonts w:ascii="Calibri" w:hAnsi="Calibri" w:cs="Calibri"/>
                <w:color w:val="000000"/>
                <w:sz w:val="18"/>
                <w:szCs w:val="18"/>
              </w:rPr>
              <w:br/>
              <w:t>- admission for the sole purpose of providing palliative care</w:t>
            </w:r>
            <w:r>
              <w:rPr>
                <w:rFonts w:ascii="Calibri" w:hAnsi="Calibri" w:cs="Calibri"/>
                <w:color w:val="000000"/>
                <w:sz w:val="18"/>
                <w:szCs w:val="18"/>
              </w:rPr>
              <w:br/>
              <w:t>-patients readmitted to the ICU.</w:t>
            </w:r>
          </w:p>
        </w:tc>
        <w:tc>
          <w:tcPr>
            <w:tcW w:w="1559" w:type="dxa"/>
            <w:tcBorders>
              <w:top w:val="nil"/>
              <w:left w:val="nil"/>
              <w:bottom w:val="single" w:sz="4" w:space="0" w:color="auto"/>
              <w:right w:val="nil"/>
            </w:tcBorders>
            <w:shd w:val="clear" w:color="auto" w:fill="auto"/>
            <w:vAlign w:val="center"/>
          </w:tcPr>
          <w:p w14:paraId="511D8D35" w14:textId="4195585B"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lastRenderedPageBreak/>
              <w:t>216;</w:t>
            </w:r>
            <w:r>
              <w:rPr>
                <w:rFonts w:ascii="Calibri" w:hAnsi="Calibri" w:cs="Calibri"/>
                <w:color w:val="000000"/>
                <w:sz w:val="18"/>
                <w:szCs w:val="18"/>
              </w:rPr>
              <w:br/>
              <w:t>PPI (pantoprazole): 107;</w:t>
            </w:r>
            <w:r>
              <w:rPr>
                <w:rFonts w:ascii="Calibri" w:hAnsi="Calibri" w:cs="Calibri"/>
                <w:color w:val="000000"/>
                <w:sz w:val="18"/>
                <w:szCs w:val="18"/>
              </w:rPr>
              <w:br/>
              <w:t>no PPI: 109;</w:t>
            </w:r>
          </w:p>
        </w:tc>
        <w:tc>
          <w:tcPr>
            <w:tcW w:w="1417" w:type="dxa"/>
            <w:tcBorders>
              <w:top w:val="nil"/>
              <w:left w:val="nil"/>
              <w:bottom w:val="single" w:sz="4" w:space="0" w:color="auto"/>
              <w:right w:val="nil"/>
            </w:tcBorders>
            <w:shd w:val="clear" w:color="auto" w:fill="auto"/>
            <w:vAlign w:val="center"/>
          </w:tcPr>
          <w:p w14:paraId="75BEFD46" w14:textId="196B7B32"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Pantoprazole: 52 (18);</w:t>
            </w:r>
            <w:r>
              <w:rPr>
                <w:rFonts w:ascii="Calibri" w:hAnsi="Calibri" w:cs="Calibri"/>
                <w:color w:val="000000"/>
                <w:sz w:val="18"/>
                <w:szCs w:val="18"/>
              </w:rPr>
              <w:br/>
              <w:t>Placebo: 52 (17);</w:t>
            </w:r>
          </w:p>
        </w:tc>
        <w:tc>
          <w:tcPr>
            <w:tcW w:w="1262" w:type="dxa"/>
            <w:tcBorders>
              <w:top w:val="nil"/>
              <w:left w:val="nil"/>
              <w:bottom w:val="single" w:sz="4" w:space="0" w:color="auto"/>
              <w:right w:val="nil"/>
            </w:tcBorders>
            <w:shd w:val="clear" w:color="auto" w:fill="auto"/>
            <w:vAlign w:val="center"/>
          </w:tcPr>
          <w:p w14:paraId="3B074A29" w14:textId="4B61E25D"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Pantoprazole: 72%;</w:t>
            </w:r>
            <w:r>
              <w:rPr>
                <w:rFonts w:ascii="Calibri" w:hAnsi="Calibri" w:cs="Calibri"/>
                <w:color w:val="000000"/>
                <w:sz w:val="18"/>
                <w:szCs w:val="18"/>
              </w:rPr>
              <w:br/>
              <w:t xml:space="preserve">Placebo: 68%; </w:t>
            </w:r>
          </w:p>
        </w:tc>
        <w:tc>
          <w:tcPr>
            <w:tcW w:w="1148" w:type="dxa"/>
            <w:tcBorders>
              <w:top w:val="nil"/>
              <w:left w:val="nil"/>
              <w:bottom w:val="single" w:sz="4" w:space="0" w:color="auto"/>
              <w:right w:val="nil"/>
            </w:tcBorders>
            <w:shd w:val="clear" w:color="auto" w:fill="auto"/>
            <w:vAlign w:val="center"/>
          </w:tcPr>
          <w:p w14:paraId="21B4D7BF" w14:textId="0535E248" w:rsidR="007D344D" w:rsidRPr="005C4B89" w:rsidRDefault="007D344D" w:rsidP="007D344D">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9462F4" w:rsidRPr="005C4B89" w14:paraId="5331F732"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28ED9DA7" w14:textId="551662C8"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{"citationItems":[{"id":"ITEM-1","itemData":{"ISBN":"1539-3704","ISSN":"1539-3704","abstract":"BACKGROUND: Use of proton-pump inhibitors in the management of peptic ulcer bleeding is controversial because discrepant results have been reported in different ethnic groups., OBJECTIVE: To determine whether intravenous esomeprazole prevents recurrent peptic ulcer bleeding better than placebo in a multiethnic patient sample., DESIGN: Randomized trial conducted between October 2005 and December 2007; patients, providers, and researchers were blinded to group assignment., SETTING: 91 hospital emergency departments in 16 countries., PATIENTS: Patients 18 years or older with peptic ulcer bleeding from a single gastric or duodenal ulcer showing high-risk stigmata., INTERVENTION: Intravenous esomeprazole bolus, 80 mg, followed by 8-mg/h infusion, over 72 hours or matching placebo, each given after successful endoscopic hemostasis. Intervention was allocated by computer-generated randomization. After infusion, both groups received oral esomeprazole, 40 mg/d, for 27 days., MEASUREMENTS: The primary end point was rate of clinically significant recurrent bleeding within 72 hours. Recurrent bleeding within 7 and 30 days, death, surgery, endoscopic re-treatment, blood transfusions, hospitalization, and safety were also assessed., RESULTS: Of 767 patients randomly assigned, 764 provided data for an intention-to-treat analysis (375 esomeprazole recipients and 389 placebo recipients). Fewer patients receiving intravenous esomeprazole (22 of 375) had recurrent bleeding within 72 hours than those receiving placebo (40 of 389) (5.9% vs. 10.3%; difference, 4.4 percentage points [95% CI, 0.6% to 8.3%]; P = 0.026). The difference in bleeding recurrence remained significant at 7 days and 30 days (P = 0.010). Esomeprazole also reduced endoscopic re-treatment (6.4% vs. 11.6%; difference, 5.2 percentage points [95% CI of difference, 1.1 percentage points to 9.2 percentage points]; P = 0.012), surgery (2.7% vs. 5.4%), and all-cause mortality rates (0.8% vs. 2.1%) more than placebo, although differences for the latter 2 comparisons were not significant. About 10% and 40% of patients in both groups reported serious and nonserious adverse events, respectively., LIMITATION: Endoscopic therapy was not completely standardized; some patients received epinephrine injection, thermal coagulation, or hemoclips alone, whereas others received combination therapy, but there were similar proportions with single therapy in each group., CONCLUSION: High-dose intravenous esomeprazole given after…","author":[{"dropping-particle":"","family":"Sung","given":"Joseph J Y","non-dropping-particle":"","parse-names":false,"suffix":""},{"dropping-particle":"","family":"Barkun","given":"Alan","non-dropping-particle":"","parse-names":false,"suffix":""},{"dropping-particle":"","family":"Kuipers","given":"Ernst J","non-dropping-particle":"","parse-names":false,"suffix":""},{"dropping-particle":"","family":"Mossner","given":"Joachim","non-dropping-particle":"","parse-names":false,"suffix":""},{"dropping-particle":"","family":"Jensen","given":"Dennis M","non-dropping-particle":"","parse-names":false,"suffix":""},{"dropping-particle":"","family":"Stuart","given":"Robert","non-dropping-particle":"","parse-names":false,"suffix":""},{"dropping-particle":"","family":"Lau","given":"James Y","non-dropping-particle":"","parse-names":false,"suffix":""},{"dropping-particle":"","family":"Ahlbom","given":"Henrik","non-dropping-particle":"","parse-names":false,"suffix":""},{"dropping-particle":"","family":"Kilhamn","given":"Jan","non-dropping-particle":"","parse-names":false,"suffix":""},{"dropping-particle":"","family":"Lind","given":"Tore","non-dropping-particle":"","parse-names":false,"suffix":""},{"dropping-particle":"","family":"Group","given":"Peptic Ulcer Bleed Study","non-dropping-particle":"","parse-names":false,"suffix":""},{"dropping-particle":"","family":"J.J.Y.","given":"Sung","non-dropping-particle":"","parse-names":false,"suffix":""},{"dropping-particle":"","family":"A.","given":"Barkun","non-dropping-particle":"","parse-names":false,"suffix":""},{"dropping-particle":"","family":"E.J.","given":"Kuipers","non-dropping-particle":"","parse-names":false,"suffix":""},{"dropping-particle":"","family":"J.","given":"Mossner","non-dropping-particle":"","parse-names":false,"suffix":""},{"dropping-particle":"","family":"D.M.","given":"Jensen","non-dropping-particle":"","parse-names":false,"suffix":""},{"dropping-particle":"","family":"R.","given":"Stuart","non-dropping-particle":"","parse-names":false,"suffix":""},{"dropping-particle":"","family":"J.Y.","given":"Lau","non-dropping-particle":"","parse-names":false,"suffix":""},{"dropping-particle":"","family":"H.","given":"Ahlbom","non-dropping-particle":"","parse-names":false,"suffix":""},{"dropping-particle":"","family":"J.","given":"Kilhamn","non-dropping-particle":"","parse-names":false,"suffix":""},{"dropping-particle":"","family":"T.","given":"Lind","non-dropping-particle":"","parse-names":false,"suffix":""}],"container-title":"Annals of internal medicine","id":"ITEM-1","issue":"7","issued":{"date-parts":[["2009"]]},"note":"770\n\nFrom Duplicate 2 (Intravenous esomeprazole for prevention of recurrent peptic ulcer bleeding: a randomized trial. - Sung, Joseph J Y; Barkun, Alan; Kuipers, Ernst J; Mossner, Joachim; Jensen, Dennis M; Stuart, Robert; Lau, James Y; Ahlbom, Henrik; Kilhamn, Jan; Lind, Tore; Group, Peptic Ulcer Bleed Study)\n\nComment in: Ann Intern Med. 2009 Oct 20;151(8):588-9; author reply 590; PMID: 19841463, Comment in: Ann Intern Med. 2009 Oct 20;151(8):589; author reply 590; PMID: 19841465, Comment in: Curr Gastroenterol Rep. 2009 Oct;11(5):339-41; PMID: 19765360, Comment in: Ann Intern Med. 2009 Oct 20;151(8):589-90; author reply 590; PMID: 19841464","page":"455-464","publisher":"American College of Physicians (190 N. Indenpence Mall West, Philadelphia PA 19106-1572, United States)","publisher-place":"United States","title":"Intravenous esomeprazole for prevention of recurrent peptic ulcer bleeding: a randomized trial.","type":"article-journal","volume":"150"},"uris":["http://www.mendeley.com/documents/?uuid=dbb8b05d-97d6-4f00-b7f0-ea342e8fd2f3"]}],"mendeley":{"formattedCitation":"(Sung et al. 2009)","plainTextFormattedCitation":"(Sung et al. 2009)","previouslyFormattedCitation":"(Sung et al. 2009)"},"properties":{"noteIndex":0},"schema":"https://github.com/citation-style-language/schema/raw/master/csl-citation.json"}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(Sung et al. 2009)</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(16 countries)</w:t>
            </w:r>
          </w:p>
        </w:tc>
        <w:tc>
          <w:tcPr>
            <w:tcW w:w="1087" w:type="dxa"/>
            <w:tcBorders>
              <w:top w:val="nil"/>
              <w:left w:val="nil"/>
              <w:bottom w:val="single" w:sz="4" w:space="0" w:color="auto"/>
              <w:right w:val="nil"/>
            </w:tcBorders>
            <w:shd w:val="clear" w:color="auto" w:fill="FFFFFF"/>
            <w:vAlign w:val="center"/>
            <w:hideMark/>
          </w:tcPr>
          <w:p w14:paraId="3EC5CC5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(emergency departments (91 centers))</w:t>
            </w:r>
          </w:p>
        </w:tc>
        <w:tc>
          <w:tcPr>
            <w:tcW w:w="1276" w:type="dxa"/>
            <w:tcBorders>
              <w:top w:val="nil"/>
              <w:left w:val="nil"/>
              <w:bottom w:val="single" w:sz="4" w:space="0" w:color="auto"/>
              <w:right w:val="nil"/>
            </w:tcBorders>
            <w:shd w:val="clear" w:color="auto" w:fill="FFFFFF"/>
            <w:vAlign w:val="center"/>
            <w:hideMark/>
          </w:tcPr>
          <w:p w14:paraId="453DC43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NCT00251979</w:t>
            </w:r>
          </w:p>
        </w:tc>
        <w:tc>
          <w:tcPr>
            <w:tcW w:w="1134" w:type="dxa"/>
            <w:tcBorders>
              <w:top w:val="nil"/>
              <w:left w:val="nil"/>
              <w:bottom w:val="single" w:sz="4" w:space="0" w:color="auto"/>
              <w:right w:val="nil"/>
            </w:tcBorders>
            <w:shd w:val="clear" w:color="auto" w:fill="FFFFFF"/>
            <w:vAlign w:val="center"/>
            <w:hideMark/>
          </w:tcPr>
          <w:p w14:paraId="6D9CF67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UGIB</w:t>
            </w:r>
          </w:p>
        </w:tc>
        <w:tc>
          <w:tcPr>
            <w:tcW w:w="3543" w:type="dxa"/>
            <w:tcBorders>
              <w:top w:val="nil"/>
              <w:left w:val="nil"/>
              <w:bottom w:val="single" w:sz="4" w:space="0" w:color="auto"/>
              <w:right w:val="nil"/>
            </w:tcBorders>
            <w:shd w:val="clear" w:color="auto" w:fill="FFFFFF"/>
            <w:vAlign w:val="center"/>
            <w:hideMark/>
          </w:tcPr>
          <w:p w14:paraId="39A87C44" w14:textId="3009B267"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≥18 years</w:t>
            </w:r>
            <w:r w:rsidRPr="005C4B89">
              <w:rPr>
                <w:rFonts w:ascii="Calibri" w:eastAsia="Times New Roman" w:hAnsi="Calibri" w:cs="Times New Roman"/>
                <w:color w:val="000000"/>
                <w:sz w:val="18"/>
                <w:szCs w:val="18"/>
                <w:lang w:eastAsia="en-CA"/>
              </w:rPr>
              <w:br/>
              <w:t>- UGIB in prior 24 hours to hospitalization</w:t>
            </w:r>
            <w:r w:rsidRPr="005C4B89">
              <w:rPr>
                <w:rFonts w:ascii="Calibri" w:eastAsia="Times New Roman" w:hAnsi="Calibri" w:cs="Times New Roman"/>
                <w:color w:val="000000"/>
                <w:sz w:val="18"/>
                <w:szCs w:val="18"/>
                <w:lang w:eastAsia="en-CA"/>
              </w:rPr>
              <w:br/>
              <w:t>- 1 bleeding gastric or duodenal ulcer that was at least 5 mm in diameter</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bleeding from multiple ulcers or concomitant UGI sources,</w:t>
            </w:r>
            <w:r w:rsidRPr="005C4B89">
              <w:rPr>
                <w:rFonts w:ascii="Calibri" w:eastAsia="Times New Roman" w:hAnsi="Calibri" w:cs="Times New Roman"/>
                <w:color w:val="000000"/>
                <w:sz w:val="18"/>
                <w:szCs w:val="18"/>
                <w:lang w:eastAsia="en-CA"/>
              </w:rPr>
              <w:br/>
              <w:t>- another major disease</w:t>
            </w:r>
            <w:r w:rsidRPr="005C4B89">
              <w:rPr>
                <w:rFonts w:ascii="Calibri" w:eastAsia="Times New Roman" w:hAnsi="Calibri" w:cs="Times New Roman"/>
                <w:color w:val="000000"/>
                <w:sz w:val="18"/>
                <w:szCs w:val="18"/>
                <w:lang w:eastAsia="en-CA"/>
              </w:rPr>
              <w:br/>
              <w:t>- life expectancy &lt;6 months</w:t>
            </w:r>
            <w:r w:rsidRPr="005C4B89">
              <w:rPr>
                <w:rFonts w:ascii="Calibri" w:eastAsia="Times New Roman" w:hAnsi="Calibri" w:cs="Times New Roman"/>
                <w:color w:val="000000"/>
                <w:sz w:val="18"/>
                <w:szCs w:val="18"/>
                <w:lang w:eastAsia="en-CA"/>
              </w:rPr>
              <w:br/>
              <w:t>- needed treatment with NSAID, aspirin or CP during first 7 days of the study</w:t>
            </w:r>
            <w:r w:rsidRPr="005C4B89">
              <w:rPr>
                <w:rFonts w:ascii="Calibri" w:eastAsia="Times New Roman" w:hAnsi="Calibri" w:cs="Times New Roman"/>
                <w:color w:val="000000"/>
                <w:sz w:val="18"/>
                <w:szCs w:val="18"/>
                <w:lang w:eastAsia="en-CA"/>
              </w:rPr>
              <w:br/>
              <w:t xml:space="preserve">- received more than 40 mg of PPI intravenously in 24 hours before enrollment </w:t>
            </w:r>
            <w:r w:rsidRPr="005C4B89">
              <w:rPr>
                <w:rFonts w:ascii="Calibri" w:eastAsia="Times New Roman" w:hAnsi="Calibri" w:cs="Times New Roman"/>
                <w:color w:val="000000"/>
                <w:sz w:val="18"/>
                <w:szCs w:val="18"/>
                <w:lang w:eastAsia="en-CA"/>
              </w:rPr>
              <w:br/>
              <w:t>-needed a drug known to interact with PPI</w:t>
            </w:r>
          </w:p>
        </w:tc>
        <w:tc>
          <w:tcPr>
            <w:tcW w:w="1559" w:type="dxa"/>
            <w:tcBorders>
              <w:top w:val="nil"/>
              <w:left w:val="nil"/>
              <w:bottom w:val="single" w:sz="4" w:space="0" w:color="auto"/>
              <w:right w:val="nil"/>
            </w:tcBorders>
            <w:shd w:val="clear" w:color="auto" w:fill="FFFFFF"/>
            <w:vAlign w:val="center"/>
            <w:hideMark/>
          </w:tcPr>
          <w:p w14:paraId="0FB3FD5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767</w:t>
            </w:r>
            <w:r w:rsidRPr="005C4B89">
              <w:rPr>
                <w:rFonts w:ascii="Calibri" w:eastAsia="Times New Roman" w:hAnsi="Calibri" w:cs="Times New Roman"/>
                <w:color w:val="000000"/>
                <w:sz w:val="18"/>
                <w:szCs w:val="18"/>
                <w:lang w:eastAsia="en-CA"/>
              </w:rPr>
              <w:br/>
              <w:t>(PPI-esomeprazole: 376; No PPI: 391)</w:t>
            </w:r>
          </w:p>
        </w:tc>
        <w:tc>
          <w:tcPr>
            <w:tcW w:w="1417" w:type="dxa"/>
            <w:tcBorders>
              <w:top w:val="nil"/>
              <w:left w:val="nil"/>
              <w:bottom w:val="single" w:sz="4" w:space="0" w:color="auto"/>
              <w:right w:val="nil"/>
            </w:tcBorders>
            <w:shd w:val="clear" w:color="auto" w:fill="FFFFFF"/>
            <w:vAlign w:val="center"/>
            <w:hideMark/>
          </w:tcPr>
          <w:p w14:paraId="070BCFA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PPI: 62 </w:t>
            </w:r>
            <w:r w:rsidRPr="005C4B89">
              <w:rPr>
                <w:rFonts w:ascii="Calibri" w:eastAsia="Times New Roman" w:hAnsi="Calibri" w:cs="Times New Roman"/>
                <w:color w:val="000000"/>
                <w:sz w:val="18"/>
                <w:szCs w:val="18"/>
                <w:lang w:eastAsia="en-CA"/>
              </w:rPr>
              <w:br/>
              <w:t>no PPI: 60</w:t>
            </w:r>
          </w:p>
        </w:tc>
        <w:tc>
          <w:tcPr>
            <w:tcW w:w="1262" w:type="dxa"/>
            <w:tcBorders>
              <w:top w:val="nil"/>
              <w:left w:val="nil"/>
              <w:bottom w:val="single" w:sz="4" w:space="0" w:color="auto"/>
              <w:right w:val="nil"/>
            </w:tcBorders>
            <w:shd w:val="clear" w:color="auto" w:fill="FFFFFF"/>
            <w:vAlign w:val="center"/>
            <w:hideMark/>
          </w:tcPr>
          <w:p w14:paraId="6B28E3B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67%</w:t>
            </w:r>
            <w:r w:rsidRPr="005C4B89">
              <w:rPr>
                <w:rFonts w:ascii="Calibri" w:eastAsia="Times New Roman" w:hAnsi="Calibri" w:cs="Times New Roman"/>
                <w:color w:val="000000"/>
                <w:sz w:val="18"/>
                <w:szCs w:val="18"/>
                <w:lang w:eastAsia="en-CA"/>
              </w:rPr>
              <w:br/>
              <w:t>no PPI: 69%</w:t>
            </w:r>
          </w:p>
        </w:tc>
        <w:tc>
          <w:tcPr>
            <w:tcW w:w="1148" w:type="dxa"/>
            <w:tcBorders>
              <w:top w:val="nil"/>
              <w:left w:val="nil"/>
              <w:bottom w:val="single" w:sz="4" w:space="0" w:color="auto"/>
              <w:right w:val="nil"/>
            </w:tcBorders>
            <w:shd w:val="clear" w:color="auto" w:fill="FFFFFF"/>
            <w:vAlign w:val="center"/>
            <w:hideMark/>
          </w:tcPr>
          <w:p w14:paraId="1AB6003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Caucasian, Asian, African American, Other</w:t>
            </w:r>
            <w:r w:rsidRPr="005C4B89">
              <w:rPr>
                <w:rFonts w:ascii="Calibri" w:eastAsia="Times New Roman" w:hAnsi="Calibri" w:cs="Times New Roman"/>
                <w:color w:val="000000"/>
                <w:sz w:val="18"/>
                <w:szCs w:val="18"/>
                <w:lang w:eastAsia="en-CA"/>
              </w:rPr>
              <w:br/>
              <w:t>(&gt;87% Caucasian)</w:t>
            </w:r>
          </w:p>
        </w:tc>
      </w:tr>
      <w:tr w:rsidR="009462F4" w:rsidRPr="005C4B89" w14:paraId="4C454E67" w14:textId="77777777" w:rsidTr="005C4B89">
        <w:trPr>
          <w:trHeight w:val="855"/>
        </w:trPr>
        <w:tc>
          <w:tcPr>
            <w:tcW w:w="1465" w:type="dxa"/>
            <w:tcBorders>
              <w:top w:val="nil"/>
              <w:left w:val="nil"/>
              <w:bottom w:val="single" w:sz="4" w:space="0" w:color="auto"/>
              <w:right w:val="nil"/>
            </w:tcBorders>
            <w:shd w:val="clear" w:color="auto" w:fill="FFFFFF"/>
            <w:vAlign w:val="center"/>
            <w:hideMark/>
          </w:tcPr>
          <w:p w14:paraId="3A97F5A5" w14:textId="12FF4228"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{"citationItems":[{"id":"ITEM-1","itemData":{"ISBN":"0815-9319","ISSN":"0815-9319","abstract":"BACKGROUND: After endoscopic treatment of bleeding peptic ulcer, a high-dose infusion of omeprazole substantially reduces the risk of recurrent bleeding. The role of oral proton pump inhibitors for these patients is uncertain. The purpose of the present study was to assess whether the use of oral esomeprazole would reduce the frequency of recurrent bleeding after endoscopic treatment of bleeding peptic ulcers., METHODS: Patients with actively bleeding ulcers or ulcers with non-bleeding visible vessels were treated with an epinephrine injection followed by thermocoagulation. After hemostasis had been achieved, they were randomly assigned in a double-blind fashion to receive esomeprazole (40 mg p.o. twice daily for 3 days) or placebo. The outcome measures studied were recurrent bleeding, blood transfusion requirement, surgery and death., RESULTS: A total of 70 patients were enrolled, 35 in each group. Bleeding recurred within 30 days in two patients (5.7%) in the esomeprazole group, as compared with three (8.6%) in the placebo group (P = 0.999). Blood transfusion requirement was 2.8 +/- 1.4 units in the esomeprazole group and 2.7 +/- 1.3 units in the placebo group (P = 0.761). Duration of hospitalization was 4.82 +/- 1.8 days in the esomeprazole group and 4.58 +/- 2.7 days in the placebo group (P = 0.792). No patients needed surgery for control of bleeding and no patients died in both groups., CONCLUSIONS: After successful endoscopic treatment of bleeding peptic ulcer, oral use of esomeprazole might offer no additional benefit on the risk of recurrent bleeding.","author":[{"dropping-particle":"","family":"Wei","given":"Kou-Liang","non-dropping-particle":"","parse-names":false,"suffix":""},{"dropping-particle":"","family":"Tung","given":"Shui-Yi","non-dropping-particle":"","parse-names":false,"suffix":""},{"dropping-particle":"","family":"Sheen","given":"Cheng-Han","non-dropping-particle":"","parse-names":false,"suffix":""},{"dropping-particle":"","family":"Chang","given":"Te-Shen","non-dropping-particle":"","parse-names":false,"suffix":""},{"dropping-particle":"","family":"Lee","given":"I-Lin","non-dropping-particle":"","parse-names":false,"suffix":""},{"dropping-particle":"","family":"Wu","given":"Cheng-Shyong","non-dropping-particle":"","parse-names":false,"suffix":""}],"container-title":"Journal of gastroenterology and hepatology","id":"ITEM-1","issue":"1","issued":{"date-parts":[["2007"]]},"note":"889","page":"43-46","publisher":"Blackwell Publishing","publisher-place":"Australia","title":"Effect of oral esomeprazole on recurrent bleeding after endoscopic treatment of bleeding peptic ulcers.","type":"article-journal","volume":"22"},"uris":["http://www.mendeley.com/documents/?uuid=63176a6c-d4fe-4247-8b80-d0b708ab832b"]}],"mendeley":{"formattedCitation":"(Wei et al. 2007)","plainTextFormattedCitation":"(Wei et al. 2007)","previouslyFormattedCitation":"(Wei et al. 2007)"},"properties":{"noteIndex":0},"schema":"https://github.com/citation-style-language/schema/raw/master/csl-citation.json"}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(Wei et al. 2007)</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(Taiwan)</w:t>
            </w:r>
          </w:p>
        </w:tc>
        <w:tc>
          <w:tcPr>
            <w:tcW w:w="1087" w:type="dxa"/>
            <w:tcBorders>
              <w:top w:val="nil"/>
              <w:left w:val="nil"/>
              <w:bottom w:val="single" w:sz="4" w:space="0" w:color="auto"/>
              <w:right w:val="nil"/>
            </w:tcBorders>
            <w:shd w:val="clear" w:color="auto" w:fill="FFFFFF"/>
            <w:vAlign w:val="center"/>
            <w:hideMark/>
          </w:tcPr>
          <w:p w14:paraId="72B79DC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w:t>
            </w:r>
          </w:p>
        </w:tc>
        <w:tc>
          <w:tcPr>
            <w:tcW w:w="1276" w:type="dxa"/>
            <w:tcBorders>
              <w:top w:val="nil"/>
              <w:left w:val="nil"/>
              <w:bottom w:val="single" w:sz="4" w:space="0" w:color="auto"/>
              <w:right w:val="nil"/>
            </w:tcBorders>
            <w:shd w:val="clear" w:color="auto" w:fill="FFFFFF"/>
            <w:vAlign w:val="center"/>
            <w:hideMark/>
          </w:tcPr>
          <w:p w14:paraId="092C7ED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auto"/>
              <w:right w:val="nil"/>
            </w:tcBorders>
            <w:shd w:val="clear" w:color="auto" w:fill="FFFFFF"/>
            <w:vAlign w:val="center"/>
            <w:hideMark/>
          </w:tcPr>
          <w:p w14:paraId="0B09A8F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UGIB</w:t>
            </w:r>
          </w:p>
        </w:tc>
        <w:tc>
          <w:tcPr>
            <w:tcW w:w="3543" w:type="dxa"/>
            <w:tcBorders>
              <w:top w:val="nil"/>
              <w:left w:val="nil"/>
              <w:bottom w:val="single" w:sz="4" w:space="0" w:color="auto"/>
              <w:right w:val="nil"/>
            </w:tcBorders>
            <w:shd w:val="clear" w:color="auto" w:fill="FFFFFF"/>
            <w:vAlign w:val="center"/>
            <w:hideMark/>
          </w:tcPr>
          <w:p w14:paraId="0CA2BB95" w14:textId="5421CEDC"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-&gt;16 years</w:t>
            </w:r>
            <w:r w:rsidRPr="005C4B89">
              <w:rPr>
                <w:rFonts w:ascii="Calibri" w:eastAsia="Times New Roman" w:hAnsi="Calibri" w:cs="Times New Roman"/>
                <w:color w:val="000000"/>
                <w:sz w:val="18"/>
                <w:szCs w:val="18"/>
                <w:lang w:eastAsia="en-CA"/>
              </w:rPr>
              <w:br/>
              <w:t xml:space="preserve">- UGIB and admitted to hospital between Sept 2002 and March 2004 </w:t>
            </w:r>
            <w:r w:rsidRPr="005C4B89">
              <w:rPr>
                <w:rFonts w:ascii="Calibri" w:eastAsia="Times New Roman" w:hAnsi="Calibri" w:cs="Times New Roman"/>
                <w:color w:val="000000"/>
                <w:sz w:val="18"/>
                <w:szCs w:val="18"/>
                <w:lang w:eastAsia="en-CA"/>
              </w:rPr>
              <w:br/>
              <w:t xml:space="preserve">- successful endoscopy treatment for actively bleeding of ulcers or ulcers with nonbleeding </w:t>
            </w:r>
            <w:r w:rsidRPr="005C4B89">
              <w:rPr>
                <w:rFonts w:ascii="Calibri" w:eastAsia="Times New Roman" w:hAnsi="Calibri" w:cs="Times New Roman"/>
                <w:color w:val="000000"/>
                <w:sz w:val="18"/>
                <w:szCs w:val="18"/>
                <w:lang w:eastAsia="en-CA"/>
              </w:rPr>
              <w:lastRenderedPageBreak/>
              <w:t>visible vessels</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unsuccessful endoscopy</w:t>
            </w:r>
          </w:p>
        </w:tc>
        <w:tc>
          <w:tcPr>
            <w:tcW w:w="1559" w:type="dxa"/>
            <w:tcBorders>
              <w:top w:val="nil"/>
              <w:left w:val="nil"/>
              <w:bottom w:val="single" w:sz="4" w:space="0" w:color="auto"/>
              <w:right w:val="nil"/>
            </w:tcBorders>
            <w:shd w:val="clear" w:color="auto" w:fill="FFFFFF"/>
            <w:vAlign w:val="center"/>
            <w:hideMark/>
          </w:tcPr>
          <w:p w14:paraId="5A03060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70</w:t>
            </w:r>
            <w:r w:rsidRPr="005C4B89">
              <w:rPr>
                <w:rFonts w:ascii="Calibri" w:eastAsia="Times New Roman" w:hAnsi="Calibri" w:cs="Times New Roman"/>
                <w:color w:val="000000"/>
                <w:sz w:val="18"/>
                <w:szCs w:val="18"/>
                <w:lang w:eastAsia="en-CA"/>
              </w:rPr>
              <w:br/>
              <w:t>(PPI: 35; No PPI: 35)</w:t>
            </w:r>
          </w:p>
        </w:tc>
        <w:tc>
          <w:tcPr>
            <w:tcW w:w="1417" w:type="dxa"/>
            <w:tcBorders>
              <w:top w:val="nil"/>
              <w:left w:val="nil"/>
              <w:bottom w:val="single" w:sz="4" w:space="0" w:color="auto"/>
              <w:right w:val="nil"/>
            </w:tcBorders>
            <w:shd w:val="clear" w:color="auto" w:fill="FFFFFF"/>
            <w:vAlign w:val="center"/>
            <w:hideMark/>
          </w:tcPr>
          <w:p w14:paraId="410B8F5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57 (13)</w:t>
            </w:r>
            <w:r w:rsidRPr="005C4B89">
              <w:rPr>
                <w:rFonts w:ascii="Calibri" w:eastAsia="Times New Roman" w:hAnsi="Calibri" w:cs="Times New Roman"/>
                <w:color w:val="000000"/>
                <w:sz w:val="18"/>
                <w:szCs w:val="18"/>
                <w:lang w:eastAsia="en-CA"/>
              </w:rPr>
              <w:br/>
              <w:t>no PPI: 64 (11)</w:t>
            </w:r>
          </w:p>
        </w:tc>
        <w:tc>
          <w:tcPr>
            <w:tcW w:w="1262" w:type="dxa"/>
            <w:tcBorders>
              <w:top w:val="nil"/>
              <w:left w:val="nil"/>
              <w:bottom w:val="single" w:sz="4" w:space="0" w:color="auto"/>
              <w:right w:val="nil"/>
            </w:tcBorders>
            <w:shd w:val="clear" w:color="auto" w:fill="FFFFFF"/>
            <w:vAlign w:val="center"/>
            <w:hideMark/>
          </w:tcPr>
          <w:p w14:paraId="7386D10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69%</w:t>
            </w:r>
            <w:r w:rsidRPr="005C4B89">
              <w:rPr>
                <w:rFonts w:ascii="Calibri" w:eastAsia="Times New Roman" w:hAnsi="Calibri" w:cs="Times New Roman"/>
                <w:color w:val="000000"/>
                <w:sz w:val="18"/>
                <w:szCs w:val="18"/>
                <w:lang w:eastAsia="en-CA"/>
              </w:rPr>
              <w:br/>
              <w:t xml:space="preserve">no PPI: 60% </w:t>
            </w:r>
          </w:p>
        </w:tc>
        <w:tc>
          <w:tcPr>
            <w:tcW w:w="1148" w:type="dxa"/>
            <w:tcBorders>
              <w:top w:val="nil"/>
              <w:left w:val="nil"/>
              <w:bottom w:val="single" w:sz="4" w:space="0" w:color="auto"/>
              <w:right w:val="nil"/>
            </w:tcBorders>
            <w:shd w:val="clear" w:color="auto" w:fill="FFFFFF"/>
            <w:vAlign w:val="center"/>
            <w:hideMark/>
          </w:tcPr>
          <w:p w14:paraId="160EAE6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06047A3B" w14:textId="77777777" w:rsidTr="001B1380">
        <w:trPr>
          <w:trHeight w:val="454"/>
        </w:trPr>
        <w:tc>
          <w:tcPr>
            <w:tcW w:w="1465" w:type="dxa"/>
            <w:tcBorders>
              <w:top w:val="nil"/>
              <w:left w:val="nil"/>
              <w:bottom w:val="single" w:sz="8" w:space="0" w:color="auto"/>
              <w:right w:val="nil"/>
            </w:tcBorders>
            <w:shd w:val="clear" w:color="auto" w:fill="FFFFFF"/>
            <w:vAlign w:val="center"/>
            <w:hideMark/>
          </w:tcPr>
          <w:p w14:paraId="33FE03B0" w14:textId="2B2E9BB2"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{"citationItems":[{"id":"ITEM-1","itemData":{"DOI":"10.1111/j.1440-1746.2006.04292.x","author":[{"dropping-particle":"","family":"Zargar","given":"Showkat Ali","non-dropping-particle":"","parse-names":false,"suffix":""},{"dropping-particle":"","family":"Javid","given":"Gul","non-dropping-particle":"","parse-names":false,"suffix":""},{"dropping-particle":"","family":"Khan","given":"Bashir Ahmad","non-dropping-particle":"","parse-names":false,"suffix":""},{"dropping-particle":"","family":"Yattoo","given":"Ghulam Nabi","non-dropping-particle":"","parse-names":false,"suffix":""},{"dropping-particle":"","family":"Shah","given":"Altaf Hussain","non-dropping-particle":"","parse-names":false,"suffix":""},{"dropping-particle":"","family":"Gulzar","given":"Ghulam Mohammad","non-dropping-particle":"","parse-names":false,"suffix":""},{"dropping-particle":"","family":"Sodhi","given":"Jaswinder Singh","non-dropping-particle":"","parse-names":false,"suffix":""},{"dropping-particle":"","family":"Mujeeb","given":"Sheikh Abdul","non-dropping-particle":"","parse-names":false,"suffix":""},{"dropping-particle":"","family":"Khan","given":"Mushtaq Ahmad","non-dropping-particle":"","parse-names":false,"suffix":""},{"dropping-particle":"","family":"Shah","given":"Nisar Ahmad","non-dropping-particle":"","parse-names":false,"suffix":""},{"dropping-particle":"","family":"Shafi","given":"Hakim Mohamad","non-dropping-particle":"","parse-names":false,"suffix":""}],"container-title":"Journal of gastroenterology and hepatology","id":"ITEM-1","issued":{"date-parts":[["2006"]]},"note":"NULL","page":"716-721","title":"Pantoprazole infusion as adjuvant therapy to endoscopic treatment in patients with peptic ulcer bleeding : Prospective randomized controlled trial","type":"article-journal","volume":"21"},"uris":["http://www.mendeley.com/documents/?uuid=0157f6f1-2afb-4e84-ae73-b3d0d6d37f6e"]}],"mendeley":{"formattedCitation":"(Zargar et al. 2006)","plainTextFormattedCitation":"(Zargar et al. 2006)","previouslyFormattedCitation":"(Zargar et al. 2006)"},"properties":{"noteIndex":0},"schema":"https://github.com/citation-style-language/schema/raw/master/csl-citation.json"}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(Zargar et al. 2006)</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(India)</w:t>
            </w:r>
          </w:p>
        </w:tc>
        <w:tc>
          <w:tcPr>
            <w:tcW w:w="1087" w:type="dxa"/>
            <w:tcBorders>
              <w:top w:val="nil"/>
              <w:left w:val="nil"/>
              <w:bottom w:val="single" w:sz="8" w:space="0" w:color="auto"/>
              <w:right w:val="nil"/>
            </w:tcBorders>
            <w:shd w:val="clear" w:color="auto" w:fill="FFFFFF"/>
            <w:vAlign w:val="center"/>
            <w:hideMark/>
          </w:tcPr>
          <w:p w14:paraId="32E03CF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w:t>
            </w:r>
          </w:p>
        </w:tc>
        <w:tc>
          <w:tcPr>
            <w:tcW w:w="1276" w:type="dxa"/>
            <w:tcBorders>
              <w:top w:val="nil"/>
              <w:left w:val="nil"/>
              <w:bottom w:val="single" w:sz="8" w:space="0" w:color="auto"/>
              <w:right w:val="nil"/>
            </w:tcBorders>
            <w:shd w:val="clear" w:color="auto" w:fill="FFFFFF"/>
            <w:vAlign w:val="center"/>
            <w:hideMark/>
          </w:tcPr>
          <w:p w14:paraId="5F90D61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8" w:space="0" w:color="auto"/>
              <w:right w:val="nil"/>
            </w:tcBorders>
            <w:shd w:val="clear" w:color="auto" w:fill="FFFFFF"/>
            <w:vAlign w:val="center"/>
            <w:hideMark/>
          </w:tcPr>
          <w:p w14:paraId="5272B0F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UGIB</w:t>
            </w:r>
          </w:p>
        </w:tc>
        <w:tc>
          <w:tcPr>
            <w:tcW w:w="3543" w:type="dxa"/>
            <w:tcBorders>
              <w:top w:val="nil"/>
              <w:left w:val="nil"/>
              <w:bottom w:val="single" w:sz="8" w:space="0" w:color="auto"/>
              <w:right w:val="nil"/>
            </w:tcBorders>
            <w:shd w:val="clear" w:color="auto" w:fill="FFFFFF"/>
            <w:vAlign w:val="center"/>
            <w:hideMark/>
          </w:tcPr>
          <w:p w14:paraId="14FC91F6" w14:textId="77777777" w:rsidR="009462F4" w:rsidRPr="005C4B89" w:rsidRDefault="009462F4">
            <w:pPr>
              <w:tabs>
                <w:tab w:val="left" w:pos="330"/>
              </w:tabs>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-history of hematemesis and/or melena</w:t>
            </w:r>
            <w:r w:rsidRPr="005C4B89">
              <w:rPr>
                <w:rFonts w:ascii="Calibri" w:eastAsia="Times New Roman" w:hAnsi="Calibri" w:cs="Times New Roman"/>
                <w:color w:val="000000"/>
                <w:sz w:val="18"/>
                <w:szCs w:val="18"/>
                <w:lang w:eastAsia="en-CA"/>
              </w:rPr>
              <w:br/>
              <w:t>-underwent endoscopy within 12 hours of bleeding or after resuscitation</w:t>
            </w:r>
          </w:p>
          <w:p w14:paraId="387838C0" w14:textId="2B180919" w:rsidR="009462F4" w:rsidRPr="005C4B89" w:rsidRDefault="009462F4">
            <w:pPr>
              <w:tabs>
                <w:tab w:val="left" w:pos="330"/>
              </w:tabs>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&lt;18 years</w:t>
            </w:r>
            <w:r w:rsidRPr="005C4B89">
              <w:rPr>
                <w:rFonts w:ascii="Calibri" w:eastAsia="Times New Roman" w:hAnsi="Calibri" w:cs="Times New Roman"/>
                <w:color w:val="000000"/>
                <w:sz w:val="18"/>
                <w:szCs w:val="18"/>
                <w:lang w:eastAsia="en-CA"/>
              </w:rPr>
              <w:br/>
              <w:t>- cannot give informed consent</w:t>
            </w:r>
            <w:r w:rsidRPr="005C4B89">
              <w:rPr>
                <w:rFonts w:ascii="Calibri" w:eastAsia="Times New Roman" w:hAnsi="Calibri" w:cs="Times New Roman"/>
                <w:color w:val="000000"/>
                <w:sz w:val="18"/>
                <w:szCs w:val="18"/>
                <w:lang w:eastAsia="en-CA"/>
              </w:rPr>
              <w:br/>
              <w:t>- pregnant or lactating women</w:t>
            </w:r>
            <w:r w:rsidRPr="005C4B89">
              <w:rPr>
                <w:rFonts w:ascii="Calibri" w:eastAsia="Times New Roman" w:hAnsi="Calibri" w:cs="Times New Roman"/>
                <w:color w:val="000000"/>
                <w:sz w:val="18"/>
                <w:szCs w:val="18"/>
                <w:lang w:eastAsia="en-CA"/>
              </w:rPr>
              <w:br/>
              <w:t>- on anticoagulants</w:t>
            </w:r>
            <w:r w:rsidRPr="005C4B89">
              <w:rPr>
                <w:rFonts w:ascii="Calibri" w:eastAsia="Times New Roman" w:hAnsi="Calibri" w:cs="Times New Roman"/>
                <w:color w:val="000000"/>
                <w:sz w:val="18"/>
                <w:szCs w:val="18"/>
                <w:lang w:eastAsia="en-CA"/>
              </w:rPr>
              <w:br/>
              <w:t>- more than one possible source of bleeding</w:t>
            </w:r>
            <w:r w:rsidRPr="005C4B89">
              <w:rPr>
                <w:rFonts w:ascii="Calibri" w:eastAsia="Times New Roman" w:hAnsi="Calibri" w:cs="Times New Roman"/>
                <w:color w:val="000000"/>
                <w:sz w:val="18"/>
                <w:szCs w:val="18"/>
                <w:lang w:eastAsia="en-CA"/>
              </w:rPr>
              <w:br/>
              <w:t xml:space="preserve">- severe coagulopathy </w:t>
            </w:r>
            <w:r w:rsidRPr="005C4B89">
              <w:rPr>
                <w:rFonts w:ascii="Calibri" w:eastAsia="Times New Roman" w:hAnsi="Calibri" w:cs="Times New Roman"/>
                <w:color w:val="000000"/>
                <w:sz w:val="18"/>
                <w:szCs w:val="18"/>
                <w:lang w:eastAsia="en-CA"/>
              </w:rPr>
              <w:br/>
              <w:t xml:space="preserve">- previous acid reducing surgeries </w:t>
            </w:r>
            <w:r w:rsidRPr="005C4B89">
              <w:rPr>
                <w:rFonts w:ascii="Calibri" w:eastAsia="Times New Roman" w:hAnsi="Calibri" w:cs="Times New Roman"/>
                <w:color w:val="000000"/>
                <w:sz w:val="18"/>
                <w:szCs w:val="18"/>
                <w:lang w:eastAsia="en-CA"/>
              </w:rPr>
              <w:br/>
              <w:t>- terminally ill</w:t>
            </w:r>
          </w:p>
        </w:tc>
        <w:tc>
          <w:tcPr>
            <w:tcW w:w="1559" w:type="dxa"/>
            <w:tcBorders>
              <w:top w:val="nil"/>
              <w:left w:val="nil"/>
              <w:bottom w:val="single" w:sz="8" w:space="0" w:color="auto"/>
              <w:right w:val="nil"/>
            </w:tcBorders>
            <w:shd w:val="clear" w:color="auto" w:fill="FFFFFF"/>
            <w:vAlign w:val="center"/>
            <w:hideMark/>
          </w:tcPr>
          <w:p w14:paraId="7725E1E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(PPI-pantoprazole: 102; no PPI: 101)</w:t>
            </w:r>
          </w:p>
        </w:tc>
        <w:tc>
          <w:tcPr>
            <w:tcW w:w="1417" w:type="dxa"/>
            <w:tcBorders>
              <w:top w:val="nil"/>
              <w:left w:val="nil"/>
              <w:bottom w:val="single" w:sz="8" w:space="0" w:color="auto"/>
              <w:right w:val="nil"/>
            </w:tcBorders>
            <w:shd w:val="clear" w:color="auto" w:fill="FFFFFF"/>
            <w:vAlign w:val="center"/>
            <w:hideMark/>
          </w:tcPr>
          <w:p w14:paraId="035972E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55 (9)</w:t>
            </w:r>
            <w:r w:rsidRPr="005C4B89">
              <w:rPr>
                <w:rFonts w:ascii="Calibri" w:eastAsia="Times New Roman" w:hAnsi="Calibri" w:cs="Times New Roman"/>
                <w:color w:val="000000"/>
                <w:sz w:val="18"/>
                <w:szCs w:val="18"/>
                <w:lang w:eastAsia="en-CA"/>
              </w:rPr>
              <w:br/>
              <w:t>no PPI: 52 (9)</w:t>
            </w:r>
          </w:p>
        </w:tc>
        <w:tc>
          <w:tcPr>
            <w:tcW w:w="1262" w:type="dxa"/>
            <w:tcBorders>
              <w:top w:val="nil"/>
              <w:left w:val="nil"/>
              <w:bottom w:val="single" w:sz="8" w:space="0" w:color="auto"/>
              <w:right w:val="nil"/>
            </w:tcBorders>
            <w:shd w:val="clear" w:color="auto" w:fill="FFFFFF"/>
            <w:vAlign w:val="center"/>
            <w:hideMark/>
          </w:tcPr>
          <w:p w14:paraId="1999E31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62%</w:t>
            </w:r>
            <w:r w:rsidRPr="005C4B89">
              <w:rPr>
                <w:rFonts w:ascii="Calibri" w:eastAsia="Times New Roman" w:hAnsi="Calibri" w:cs="Times New Roman"/>
                <w:color w:val="000000"/>
                <w:sz w:val="18"/>
                <w:szCs w:val="18"/>
                <w:lang w:eastAsia="en-CA"/>
              </w:rPr>
              <w:br/>
              <w:t>no PPI: 69%</w:t>
            </w:r>
          </w:p>
        </w:tc>
        <w:tc>
          <w:tcPr>
            <w:tcW w:w="1148" w:type="dxa"/>
            <w:tcBorders>
              <w:top w:val="nil"/>
              <w:left w:val="nil"/>
              <w:bottom w:val="single" w:sz="8" w:space="0" w:color="auto"/>
              <w:right w:val="nil"/>
            </w:tcBorders>
            <w:shd w:val="clear" w:color="auto" w:fill="FFFFFF"/>
            <w:vAlign w:val="center"/>
            <w:hideMark/>
          </w:tcPr>
          <w:p w14:paraId="3FAA5ED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bl>
    <w:p w14:paraId="74D1D809" w14:textId="77777777" w:rsidR="009462F4" w:rsidRDefault="009462F4" w:rsidP="009462F4">
      <w:pPr>
        <w:rPr>
          <w:rFonts w:eastAsia="Batang"/>
          <w:lang w:eastAsia="en-CA"/>
        </w:rPr>
      </w:pPr>
    </w:p>
    <w:p w14:paraId="5B119127" w14:textId="163FEB95" w:rsidR="00B842AC" w:rsidRDefault="009462F4" w:rsidP="00541986">
      <w:pPr>
        <w:pStyle w:val="Heading4"/>
        <w:rPr>
          <w:rFonts w:ascii="Calibri" w:eastAsia="Times New Roman" w:hAnsi="Calibri" w:cs="Times New Roman"/>
          <w:color w:val="000000"/>
          <w:lang w:eastAsia="en-CA"/>
        </w:rPr>
      </w:pPr>
      <w:r>
        <w:br w:type="page"/>
      </w:r>
      <w:bookmarkStart w:id="18" w:name="_Toc457995710"/>
      <w:bookmarkStart w:id="19" w:name="_Toc510634439"/>
      <w:r w:rsidR="00B842AC">
        <w:lastRenderedPageBreak/>
        <w:t xml:space="preserve">Table S2. </w:t>
      </w:r>
      <w:r w:rsidR="00541986">
        <w:t>C</w:t>
      </w:r>
      <w:r w:rsidR="00B842AC">
        <w:t>haracteristics of the exposure, outcomes and source of funding of studies that assessed the effect of PPI use vs no PPI use (Group A).</w:t>
      </w:r>
      <w:bookmarkEnd w:id="18"/>
      <w:bookmarkEnd w:id="19"/>
    </w:p>
    <w:tbl>
      <w:tblPr>
        <w:tblW w:w="12651" w:type="dxa"/>
        <w:tblLayout w:type="fixed"/>
        <w:tblLook w:val="04A0" w:firstRow="1" w:lastRow="0" w:firstColumn="1" w:lastColumn="0" w:noHBand="0" w:noVBand="1"/>
      </w:tblPr>
      <w:tblGrid>
        <w:gridCol w:w="1805"/>
        <w:gridCol w:w="1985"/>
        <w:gridCol w:w="2022"/>
        <w:gridCol w:w="2410"/>
        <w:gridCol w:w="1736"/>
        <w:gridCol w:w="1160"/>
        <w:gridCol w:w="1533"/>
      </w:tblGrid>
      <w:tr w:rsidR="00B842AC" w14:paraId="41174CD3" w14:textId="77777777" w:rsidTr="00B842AC">
        <w:trPr>
          <w:trHeight w:val="912"/>
          <w:tblHeader/>
        </w:trPr>
        <w:tc>
          <w:tcPr>
            <w:tcW w:w="1805" w:type="dxa"/>
            <w:tcBorders>
              <w:top w:val="single" w:sz="4" w:space="0" w:color="auto"/>
              <w:left w:val="nil"/>
              <w:bottom w:val="single" w:sz="4" w:space="0" w:color="auto"/>
              <w:right w:val="nil"/>
            </w:tcBorders>
            <w:vAlign w:val="center"/>
            <w:hideMark/>
          </w:tcPr>
          <w:p w14:paraId="4BFA66E0" w14:textId="77777777" w:rsidR="00B842AC" w:rsidRDefault="00B842AC" w:rsidP="00B842AC">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Citation</w:t>
            </w:r>
          </w:p>
        </w:tc>
        <w:tc>
          <w:tcPr>
            <w:tcW w:w="1985" w:type="dxa"/>
            <w:tcBorders>
              <w:top w:val="single" w:sz="4" w:space="0" w:color="auto"/>
              <w:left w:val="nil"/>
              <w:bottom w:val="single" w:sz="4" w:space="0" w:color="auto"/>
              <w:right w:val="nil"/>
            </w:tcBorders>
            <w:vAlign w:val="center"/>
            <w:hideMark/>
          </w:tcPr>
          <w:p w14:paraId="604973D1" w14:textId="77777777" w:rsidR="00B842AC" w:rsidRDefault="00B842AC" w:rsidP="00B842AC">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PPI type assessed</w:t>
            </w:r>
          </w:p>
        </w:tc>
        <w:tc>
          <w:tcPr>
            <w:tcW w:w="2022" w:type="dxa"/>
            <w:tcBorders>
              <w:top w:val="single" w:sz="4" w:space="0" w:color="auto"/>
              <w:left w:val="nil"/>
              <w:bottom w:val="single" w:sz="4" w:space="0" w:color="auto"/>
              <w:right w:val="nil"/>
            </w:tcBorders>
            <w:vAlign w:val="center"/>
            <w:hideMark/>
          </w:tcPr>
          <w:p w14:paraId="7CED0DF6" w14:textId="77777777" w:rsidR="00B842AC" w:rsidRDefault="00B842AC" w:rsidP="00B842AC">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Exposure ascertainment</w:t>
            </w:r>
          </w:p>
        </w:tc>
        <w:tc>
          <w:tcPr>
            <w:tcW w:w="2410" w:type="dxa"/>
            <w:tcBorders>
              <w:top w:val="single" w:sz="4" w:space="0" w:color="auto"/>
              <w:left w:val="nil"/>
              <w:bottom w:val="single" w:sz="4" w:space="0" w:color="auto"/>
              <w:right w:val="nil"/>
            </w:tcBorders>
            <w:vAlign w:val="center"/>
            <w:hideMark/>
          </w:tcPr>
          <w:p w14:paraId="2D3D8BEE" w14:textId="77777777" w:rsidR="00B842AC" w:rsidRDefault="00B842AC" w:rsidP="00B842AC">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 xml:space="preserve">Outcome(s) of interest </w:t>
            </w:r>
          </w:p>
          <w:p w14:paraId="2D2E0327" w14:textId="77777777" w:rsidR="00B842AC" w:rsidRDefault="00B842AC" w:rsidP="00B842AC">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(follow-up period)</w:t>
            </w:r>
          </w:p>
        </w:tc>
        <w:tc>
          <w:tcPr>
            <w:tcW w:w="1736" w:type="dxa"/>
            <w:tcBorders>
              <w:top w:val="single" w:sz="4" w:space="0" w:color="auto"/>
              <w:left w:val="nil"/>
              <w:bottom w:val="single" w:sz="4" w:space="0" w:color="auto"/>
              <w:right w:val="nil"/>
            </w:tcBorders>
            <w:vAlign w:val="center"/>
            <w:hideMark/>
          </w:tcPr>
          <w:p w14:paraId="593BB2E7" w14:textId="77777777" w:rsidR="00B842AC" w:rsidRDefault="00B842AC" w:rsidP="00B842AC">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Outcome ascertainment</w:t>
            </w:r>
          </w:p>
        </w:tc>
        <w:tc>
          <w:tcPr>
            <w:tcW w:w="1160" w:type="dxa"/>
            <w:tcBorders>
              <w:top w:val="single" w:sz="4" w:space="0" w:color="auto"/>
              <w:left w:val="nil"/>
              <w:bottom w:val="single" w:sz="4" w:space="0" w:color="auto"/>
              <w:right w:val="nil"/>
            </w:tcBorders>
            <w:vAlign w:val="center"/>
            <w:hideMark/>
          </w:tcPr>
          <w:p w14:paraId="624B298C" w14:textId="77777777" w:rsidR="00B842AC" w:rsidRDefault="00B842AC" w:rsidP="00B842AC">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 xml:space="preserve">Calendar year(s) of sampling </w:t>
            </w:r>
          </w:p>
        </w:tc>
        <w:tc>
          <w:tcPr>
            <w:tcW w:w="1533" w:type="dxa"/>
            <w:tcBorders>
              <w:top w:val="single" w:sz="4" w:space="0" w:color="auto"/>
              <w:left w:val="nil"/>
              <w:bottom w:val="single" w:sz="4" w:space="0" w:color="auto"/>
              <w:right w:val="nil"/>
            </w:tcBorders>
            <w:vAlign w:val="center"/>
            <w:hideMark/>
          </w:tcPr>
          <w:p w14:paraId="7885D3B2" w14:textId="77777777" w:rsidR="00B842AC" w:rsidRDefault="00B842AC" w:rsidP="00B842AC">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Source of funding</w:t>
            </w:r>
          </w:p>
        </w:tc>
      </w:tr>
      <w:tr w:rsidR="00B842AC" w14:paraId="4C11B1DF" w14:textId="77777777" w:rsidTr="00B842AC">
        <w:trPr>
          <w:trHeight w:val="690"/>
        </w:trPr>
        <w:tc>
          <w:tcPr>
            <w:tcW w:w="3790" w:type="dxa"/>
            <w:gridSpan w:val="2"/>
            <w:shd w:val="clear" w:color="auto" w:fill="DEEAF6" w:themeFill="accent1" w:themeFillTint="33"/>
            <w:noWrap/>
            <w:vAlign w:val="center"/>
            <w:hideMark/>
          </w:tcPr>
          <w:p w14:paraId="35EB098E" w14:textId="77777777" w:rsidR="00B842AC" w:rsidRDefault="00B842AC" w:rsidP="00B842AC">
            <w:pPr>
              <w:spacing w:after="0" w:line="240" w:lineRule="auto"/>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Observational Studies</w:t>
            </w:r>
          </w:p>
        </w:tc>
        <w:tc>
          <w:tcPr>
            <w:tcW w:w="2022" w:type="dxa"/>
            <w:shd w:val="clear" w:color="auto" w:fill="DEEAF6" w:themeFill="accent1" w:themeFillTint="33"/>
            <w:vAlign w:val="center"/>
            <w:hideMark/>
          </w:tcPr>
          <w:p w14:paraId="14DA4A54" w14:textId="77777777" w:rsidR="00B842AC" w:rsidRDefault="00B842AC" w:rsidP="00B842AC">
            <w:pPr>
              <w:rPr>
                <w:rFonts w:ascii="Calibri" w:eastAsia="Times New Roman" w:hAnsi="Calibri" w:cs="Times New Roman"/>
                <w:b/>
                <w:bCs/>
                <w:color w:val="000000"/>
                <w:sz w:val="20"/>
                <w:szCs w:val="20"/>
                <w:lang w:eastAsia="en-CA"/>
              </w:rPr>
            </w:pPr>
          </w:p>
        </w:tc>
        <w:tc>
          <w:tcPr>
            <w:tcW w:w="2410" w:type="dxa"/>
            <w:shd w:val="clear" w:color="auto" w:fill="DEEAF6" w:themeFill="accent1" w:themeFillTint="33"/>
            <w:vAlign w:val="center"/>
            <w:hideMark/>
          </w:tcPr>
          <w:p w14:paraId="156245C5" w14:textId="77777777" w:rsidR="00B842AC" w:rsidRDefault="00B842AC" w:rsidP="00B842AC">
            <w:pPr>
              <w:spacing w:after="0"/>
              <w:rPr>
                <w:sz w:val="20"/>
                <w:szCs w:val="20"/>
                <w:lang w:eastAsia="en-CA"/>
              </w:rPr>
            </w:pPr>
          </w:p>
        </w:tc>
        <w:tc>
          <w:tcPr>
            <w:tcW w:w="1736" w:type="dxa"/>
            <w:shd w:val="clear" w:color="auto" w:fill="DEEAF6" w:themeFill="accent1" w:themeFillTint="33"/>
            <w:vAlign w:val="center"/>
            <w:hideMark/>
          </w:tcPr>
          <w:p w14:paraId="761B5474" w14:textId="77777777" w:rsidR="00B842AC" w:rsidRDefault="00B842AC" w:rsidP="00B842AC">
            <w:pPr>
              <w:spacing w:after="0"/>
              <w:rPr>
                <w:sz w:val="20"/>
                <w:szCs w:val="20"/>
                <w:lang w:eastAsia="en-CA"/>
              </w:rPr>
            </w:pPr>
          </w:p>
        </w:tc>
        <w:tc>
          <w:tcPr>
            <w:tcW w:w="1160" w:type="dxa"/>
            <w:shd w:val="clear" w:color="auto" w:fill="DEEAF6" w:themeFill="accent1" w:themeFillTint="33"/>
            <w:vAlign w:val="center"/>
            <w:hideMark/>
          </w:tcPr>
          <w:p w14:paraId="1183E7B2" w14:textId="77777777" w:rsidR="00B842AC" w:rsidRDefault="00B842AC" w:rsidP="00B842AC">
            <w:pPr>
              <w:spacing w:after="0"/>
              <w:rPr>
                <w:sz w:val="20"/>
                <w:szCs w:val="20"/>
                <w:lang w:eastAsia="en-CA"/>
              </w:rPr>
            </w:pPr>
          </w:p>
        </w:tc>
        <w:tc>
          <w:tcPr>
            <w:tcW w:w="1533" w:type="dxa"/>
            <w:shd w:val="clear" w:color="auto" w:fill="DEEAF6" w:themeFill="accent1" w:themeFillTint="33"/>
            <w:vAlign w:val="center"/>
            <w:hideMark/>
          </w:tcPr>
          <w:p w14:paraId="0C5C4D64" w14:textId="77777777" w:rsidR="00B842AC" w:rsidRDefault="00B842AC" w:rsidP="00B842AC">
            <w:pPr>
              <w:spacing w:after="0"/>
              <w:rPr>
                <w:sz w:val="20"/>
                <w:szCs w:val="20"/>
                <w:lang w:eastAsia="en-CA"/>
              </w:rPr>
            </w:pPr>
          </w:p>
        </w:tc>
      </w:tr>
      <w:tr w:rsidR="00B842AC" w14:paraId="511A5B97" w14:textId="77777777" w:rsidTr="00B842AC">
        <w:trPr>
          <w:trHeight w:val="343"/>
        </w:trPr>
        <w:tc>
          <w:tcPr>
            <w:tcW w:w="1805" w:type="dxa"/>
            <w:tcBorders>
              <w:top w:val="single" w:sz="4" w:space="0" w:color="808080"/>
              <w:left w:val="nil"/>
              <w:bottom w:val="single" w:sz="4" w:space="0" w:color="808080"/>
              <w:right w:val="nil"/>
            </w:tcBorders>
            <w:vAlign w:val="center"/>
            <w:hideMark/>
          </w:tcPr>
          <w:p w14:paraId="5DE188DC" w14:textId="335ACC03"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{"citationItems":[{"id":"ITEM-1","itemData":{"DOI":"10.1007/s40264-015-0338-0","ISBN":"0114-5916","ISSN":"11791942","PMID":"26350642","abstract":"INTRODUCTION: Epidemiological studies have linked domperidone use with serious cardiac arrhythmias, including sudden cardiac death, but data on age, dose, and duration of use are limited.\\n\\nOBJECTIVES: The aim of this study was to assess the risk of out-of-hospital sudden cardiac death associated with domperidone use versus proton pump inhibitors (PPIs), metoclopramide, or non-use of all three medications, and to evaluate the risk of sudden cardiac death in relation to age and domperidone dose.\\n\\nMETHODS: This was a population-based case-control study nested in a cohort of subjects aged ≥2 years in the Clinical Practice Research Datalink with one or more prescriptions for domperidone, any PPI, or metoclopramide from 2005 to 2011. Out-of-hospital sudden cardiac death was assessed by linkage with Hospital Episode Statistics and death certificates. Controls were matched on age, sex, and medical practice. The risk of sudden cardiac death in domperidone users versus risk in users of PPIs or metoclopramide was evaluated with multivariable conditional logistic regression; case-crossover analysis addressed possible residual confounding.\\n\\nRESULTS: From the study cohort (n = 681,104), 3239 sudden cardiac death cases were matched to 12,572 controls. The adjusted odds ratio (95 % confidence interval) for sudden cardiac death with current use of domperidone alone was 1.71 (0.92-3.18) versus non-use of study medications, 1.26 (0.68-2.34) versus current PPI use, and 0.40 (0.17-0.94) current metoclopramide use. The adjusted odds ratio (95 % confidence interval) relative to exposure to no study drug for domperidone &gt;30 mg/day (eight cases, five controls) was 3.20 (0.59-17.3) and 1.65 (0.89-3.07) for age ≥61 years (27 cases, 49 controls). The odds ratio (95 % confidence interval) was 3.17 (1.72-5.83) for within-person periods of domperidone use versus non-use in the case-crossover analysis.\\n\\nCONCLUSIONS: Compared with non-use of any study drug, current domperidone use was associated with sudden cardiac death in nested case-control and case-crossover analyses, with a suggestion of higher risk in older persons and users of higher daily doses.","author":[{"dropping-particle":"","family":"Arana","given":"Alejandro","non-dropping-particle":"","parse-names":false,"suffix":""},{"dropping-particle":"","family":"Johannes","given":"Catherine B.","non-dropping-particle":"","parse-names":false,"suffix":""},{"dropping-particle":"","family":"McQuay","given":"Lisa J.","non-dropping-particle":"","parse-names":false,"suffix":""},{"dropping-particle":"","family":"Varas-Lorenzo","given":"Cristina","non-dropping-particle":"","parse-names":false,"suffix":""},{"dropping-particle":"","family":"Fife","given":"Daniel","non-dropping-particle":"","parse-names":false,"suffix":""},{"dropping-particle":"","family":"Rothman","given":"Kenneth J.","non-dropping-particle":"","parse-names":false,"suffix":""}],"container-title":"Drug Safety","id":"ITEM-1","issue":"12","issued":{"date-parts":[["2015"]]},"note":"NULL","page":"1187-1199","publisher":"Springer International Publishing","title":"Risk of Out-of-Hospital Sudden Cardiac Death in Users of Domperidone, Proton Pump Inhibitors, or Metoclopramide: A Population-Based Nested Case-Control Study","type":"article-journal","volume":"38"},"uris":["http://www.mendeley.com/documents/?uuid=afb5beba-7821-4435-be73-aa0d7b984d7f"]}],"mendeley":{"formattedCitation":"(Arana et al. 2015b)","plainTextFormattedCitation":"(Arana et al. 2015b)","previouslyFormattedCitation":"(Arana et al. 2015b)"},"properties":{"noteIndex":0},"schema":"https://github.com/citation-style-language/schema/raw/master/csl-citation.json"}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sidR="00D325C7" w:rsidRPr="00D325C7">
              <w:rPr>
                <w:rFonts w:ascii="Calibri" w:eastAsia="Times New Roman" w:hAnsi="Calibri" w:cs="Times New Roman"/>
                <w:noProof/>
                <w:color w:val="000000"/>
                <w:sz w:val="20"/>
                <w:szCs w:val="20"/>
                <w:lang w:eastAsia="en-CA"/>
              </w:rPr>
              <w:t>(Arana et al. 2015b)</w:t>
            </w:r>
            <w:r>
              <w:rPr>
                <w:rFonts w:ascii="Calibri" w:eastAsia="Times New Roman" w:hAnsi="Calibri" w:cs="Times New Roman"/>
                <w:color w:val="000000"/>
                <w:sz w:val="20"/>
                <w:szCs w:val="20"/>
                <w:lang w:eastAsia="en-CA"/>
              </w:rPr>
              <w:fldChar w:fldCharType="end"/>
            </w:r>
          </w:p>
        </w:tc>
        <w:tc>
          <w:tcPr>
            <w:tcW w:w="1985" w:type="dxa"/>
            <w:tcBorders>
              <w:top w:val="single" w:sz="4" w:space="0" w:color="808080"/>
              <w:left w:val="nil"/>
              <w:bottom w:val="single" w:sz="4" w:space="0" w:color="808080"/>
              <w:right w:val="nil"/>
            </w:tcBorders>
            <w:vAlign w:val="center"/>
            <w:hideMark/>
          </w:tcPr>
          <w:p w14:paraId="304C396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single" w:sz="4" w:space="0" w:color="808080"/>
              <w:left w:val="nil"/>
              <w:bottom w:val="single" w:sz="4" w:space="0" w:color="808080"/>
              <w:right w:val="nil"/>
            </w:tcBorders>
            <w:vAlign w:val="center"/>
            <w:hideMark/>
          </w:tcPr>
          <w:p w14:paraId="7742602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From EMRs (prescription dates, quantity and duration). </w:t>
            </w:r>
          </w:p>
        </w:tc>
        <w:tc>
          <w:tcPr>
            <w:tcW w:w="2410" w:type="dxa"/>
            <w:tcBorders>
              <w:top w:val="single" w:sz="4" w:space="0" w:color="808080"/>
              <w:left w:val="nil"/>
              <w:bottom w:val="single" w:sz="4" w:space="0" w:color="808080"/>
              <w:right w:val="nil"/>
            </w:tcBorders>
            <w:vAlign w:val="center"/>
            <w:hideMark/>
          </w:tcPr>
          <w:p w14:paraId="486FCC87" w14:textId="77777777" w:rsidR="00B842AC" w:rsidRDefault="00B842AC" w:rsidP="00B842AC">
            <w:pPr>
              <w:spacing w:after="0" w:line="240" w:lineRule="auto"/>
              <w:rPr>
                <w:rFonts w:ascii="Calibri" w:eastAsia="Times New Roman" w:hAnsi="Calibri" w:cs="Times New Roman"/>
                <w:sz w:val="20"/>
                <w:szCs w:val="20"/>
                <w:lang w:eastAsia="en-CA"/>
              </w:rPr>
            </w:pPr>
            <w:r>
              <w:rPr>
                <w:rFonts w:ascii="Calibri" w:eastAsia="Times New Roman" w:hAnsi="Calibri" w:cs="Times New Roman"/>
                <w:sz w:val="20"/>
                <w:szCs w:val="20"/>
                <w:lang w:eastAsia="en-CA"/>
              </w:rPr>
              <w:t>CVD mortality</w:t>
            </w:r>
            <w:r w:rsidRPr="009A2AF2">
              <w:rPr>
                <w:rFonts w:ascii="Calibri" w:eastAsia="Times New Roman" w:hAnsi="Calibri" w:cs="Times New Roman"/>
                <w:sz w:val="20"/>
                <w:szCs w:val="20"/>
                <w:vertAlign w:val="superscript"/>
                <w:lang w:eastAsia="en-CA"/>
              </w:rPr>
              <w:t>1</w:t>
            </w:r>
            <w:r>
              <w:rPr>
                <w:rFonts w:ascii="Calibri" w:eastAsia="Times New Roman" w:hAnsi="Calibri" w:cs="Times New Roman"/>
                <w:sz w:val="20"/>
                <w:szCs w:val="20"/>
                <w:lang w:eastAsia="en-CA"/>
              </w:rPr>
              <w:t xml:space="preserve"> (up to 7 years)</w:t>
            </w:r>
          </w:p>
        </w:tc>
        <w:tc>
          <w:tcPr>
            <w:tcW w:w="1736" w:type="dxa"/>
            <w:tcBorders>
              <w:top w:val="single" w:sz="4" w:space="0" w:color="808080"/>
              <w:left w:val="nil"/>
              <w:bottom w:val="single" w:sz="4" w:space="0" w:color="808080"/>
              <w:right w:val="nil"/>
            </w:tcBorders>
            <w:vAlign w:val="center"/>
            <w:hideMark/>
          </w:tcPr>
          <w:p w14:paraId="0406236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EMRs and linkage with ONS death certificate. </w:t>
            </w:r>
          </w:p>
        </w:tc>
        <w:tc>
          <w:tcPr>
            <w:tcW w:w="1160" w:type="dxa"/>
            <w:tcBorders>
              <w:top w:val="single" w:sz="4" w:space="0" w:color="808080"/>
              <w:left w:val="nil"/>
              <w:bottom w:val="single" w:sz="4" w:space="0" w:color="808080"/>
              <w:right w:val="nil"/>
            </w:tcBorders>
            <w:vAlign w:val="center"/>
            <w:hideMark/>
          </w:tcPr>
          <w:p w14:paraId="7A88B70C"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2005-2011</w:t>
            </w:r>
          </w:p>
        </w:tc>
        <w:tc>
          <w:tcPr>
            <w:tcW w:w="1533" w:type="dxa"/>
            <w:tcBorders>
              <w:top w:val="single" w:sz="4" w:space="0" w:color="808080"/>
              <w:left w:val="nil"/>
              <w:bottom w:val="single" w:sz="4" w:space="0" w:color="808080"/>
              <w:right w:val="nil"/>
            </w:tcBorders>
            <w:vAlign w:val="center"/>
            <w:hideMark/>
          </w:tcPr>
          <w:p w14:paraId="69E353F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Industry</w:t>
            </w:r>
          </w:p>
        </w:tc>
      </w:tr>
      <w:tr w:rsidR="007D344D" w14:paraId="3B284906" w14:textId="77777777" w:rsidTr="00B30898">
        <w:trPr>
          <w:trHeight w:val="343"/>
        </w:trPr>
        <w:tc>
          <w:tcPr>
            <w:tcW w:w="1805" w:type="dxa"/>
            <w:tcBorders>
              <w:top w:val="single" w:sz="4" w:space="0" w:color="808080"/>
              <w:left w:val="nil"/>
              <w:bottom w:val="single" w:sz="4" w:space="0" w:color="808080"/>
              <w:right w:val="nil"/>
            </w:tcBorders>
            <w:shd w:val="clear" w:color="auto" w:fill="auto"/>
            <w:vAlign w:val="center"/>
          </w:tcPr>
          <w:p w14:paraId="41431A15" w14:textId="5296A6A3"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(Antunes et al. 2016)</w:t>
            </w:r>
            <w:r w:rsidRPr="00E5015F">
              <w:rPr>
                <w:rFonts w:ascii="Calibri" w:hAnsi="Calibri" w:cs="Calibri"/>
                <w:color w:val="000000"/>
                <w:sz w:val="20"/>
                <w:szCs w:val="20"/>
              </w:rPr>
              <w:br/>
              <w:t>Abstract</w:t>
            </w:r>
          </w:p>
        </w:tc>
        <w:tc>
          <w:tcPr>
            <w:tcW w:w="1985" w:type="dxa"/>
            <w:tcBorders>
              <w:top w:val="single" w:sz="4" w:space="0" w:color="808080"/>
              <w:left w:val="nil"/>
              <w:bottom w:val="single" w:sz="4" w:space="0" w:color="808080"/>
              <w:right w:val="nil"/>
            </w:tcBorders>
            <w:shd w:val="clear" w:color="auto" w:fill="auto"/>
            <w:vAlign w:val="center"/>
          </w:tcPr>
          <w:p w14:paraId="464C5FEF" w14:textId="788394FA"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PPIs (general)</w:t>
            </w:r>
          </w:p>
        </w:tc>
        <w:tc>
          <w:tcPr>
            <w:tcW w:w="2022" w:type="dxa"/>
            <w:tcBorders>
              <w:top w:val="single" w:sz="4" w:space="0" w:color="808080"/>
              <w:left w:val="nil"/>
              <w:bottom w:val="single" w:sz="4" w:space="0" w:color="808080"/>
              <w:right w:val="nil"/>
            </w:tcBorders>
            <w:shd w:val="clear" w:color="auto" w:fill="auto"/>
            <w:vAlign w:val="center"/>
          </w:tcPr>
          <w:p w14:paraId="7B093886" w14:textId="6AF72BE3"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NR</w:t>
            </w:r>
          </w:p>
        </w:tc>
        <w:tc>
          <w:tcPr>
            <w:tcW w:w="2410" w:type="dxa"/>
            <w:tcBorders>
              <w:top w:val="single" w:sz="4" w:space="0" w:color="808080"/>
              <w:left w:val="nil"/>
              <w:bottom w:val="single" w:sz="4" w:space="0" w:color="808080"/>
              <w:right w:val="nil"/>
            </w:tcBorders>
            <w:shd w:val="clear" w:color="auto" w:fill="auto"/>
            <w:vAlign w:val="center"/>
          </w:tcPr>
          <w:p w14:paraId="2BCA71AE" w14:textId="275B810D" w:rsidR="007D344D" w:rsidRPr="00E5015F" w:rsidRDefault="007D344D" w:rsidP="007D344D">
            <w:pPr>
              <w:spacing w:after="0" w:line="240" w:lineRule="auto"/>
              <w:rPr>
                <w:rFonts w:ascii="Calibri" w:eastAsia="Times New Roman" w:hAnsi="Calibri" w:cs="Times New Roman"/>
                <w:sz w:val="20"/>
                <w:szCs w:val="20"/>
                <w:lang w:eastAsia="en-CA"/>
              </w:rPr>
            </w:pPr>
            <w:r w:rsidRPr="00E5015F">
              <w:rPr>
                <w:rFonts w:ascii="Calibri" w:hAnsi="Calibri" w:cs="Calibri"/>
                <w:color w:val="000000"/>
                <w:sz w:val="20"/>
                <w:szCs w:val="20"/>
              </w:rPr>
              <w:t>ACM (1 and 3 month)</w:t>
            </w:r>
          </w:p>
        </w:tc>
        <w:tc>
          <w:tcPr>
            <w:tcW w:w="1736" w:type="dxa"/>
            <w:tcBorders>
              <w:top w:val="single" w:sz="4" w:space="0" w:color="808080"/>
              <w:left w:val="nil"/>
              <w:bottom w:val="single" w:sz="4" w:space="0" w:color="808080"/>
              <w:right w:val="nil"/>
            </w:tcBorders>
            <w:shd w:val="clear" w:color="auto" w:fill="auto"/>
            <w:vAlign w:val="center"/>
          </w:tcPr>
          <w:p w14:paraId="1077E393" w14:textId="7C72A49D"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NR</w:t>
            </w:r>
          </w:p>
        </w:tc>
        <w:tc>
          <w:tcPr>
            <w:tcW w:w="1160" w:type="dxa"/>
            <w:tcBorders>
              <w:top w:val="single" w:sz="4" w:space="0" w:color="808080"/>
              <w:left w:val="nil"/>
              <w:bottom w:val="single" w:sz="4" w:space="0" w:color="808080"/>
              <w:right w:val="nil"/>
            </w:tcBorders>
            <w:shd w:val="clear" w:color="auto" w:fill="auto"/>
            <w:vAlign w:val="center"/>
          </w:tcPr>
          <w:p w14:paraId="62623D31" w14:textId="55221385"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2010-2014</w:t>
            </w:r>
          </w:p>
        </w:tc>
        <w:tc>
          <w:tcPr>
            <w:tcW w:w="1533" w:type="dxa"/>
            <w:tcBorders>
              <w:top w:val="single" w:sz="4" w:space="0" w:color="808080"/>
              <w:left w:val="nil"/>
              <w:bottom w:val="single" w:sz="4" w:space="0" w:color="808080"/>
              <w:right w:val="nil"/>
            </w:tcBorders>
            <w:shd w:val="clear" w:color="auto" w:fill="auto"/>
            <w:vAlign w:val="center"/>
          </w:tcPr>
          <w:p w14:paraId="6DD262E1" w14:textId="1753B228"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NR</w:t>
            </w:r>
          </w:p>
        </w:tc>
      </w:tr>
      <w:tr w:rsidR="007D344D" w14:paraId="3445DD61" w14:textId="77777777" w:rsidTr="00B30898">
        <w:trPr>
          <w:trHeight w:val="343"/>
        </w:trPr>
        <w:tc>
          <w:tcPr>
            <w:tcW w:w="1805" w:type="dxa"/>
            <w:tcBorders>
              <w:top w:val="single" w:sz="4" w:space="0" w:color="808080"/>
              <w:left w:val="nil"/>
              <w:bottom w:val="single" w:sz="4" w:space="0" w:color="808080"/>
              <w:right w:val="nil"/>
            </w:tcBorders>
            <w:shd w:val="clear" w:color="auto" w:fill="auto"/>
            <w:vAlign w:val="center"/>
          </w:tcPr>
          <w:p w14:paraId="508060D5" w14:textId="00E65E09"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(Bang el al 2018)</w:t>
            </w:r>
            <w:r w:rsidRPr="00E5015F">
              <w:rPr>
                <w:rFonts w:ascii="Calibri" w:hAnsi="Calibri" w:cs="Calibri"/>
                <w:color w:val="000000"/>
                <w:sz w:val="20"/>
                <w:szCs w:val="20"/>
              </w:rPr>
              <w:br/>
              <w:t>Abstract</w:t>
            </w:r>
          </w:p>
        </w:tc>
        <w:tc>
          <w:tcPr>
            <w:tcW w:w="1985" w:type="dxa"/>
            <w:tcBorders>
              <w:top w:val="single" w:sz="4" w:space="0" w:color="808080"/>
              <w:left w:val="nil"/>
              <w:bottom w:val="single" w:sz="4" w:space="0" w:color="808080"/>
              <w:right w:val="nil"/>
            </w:tcBorders>
            <w:shd w:val="clear" w:color="auto" w:fill="auto"/>
            <w:vAlign w:val="center"/>
          </w:tcPr>
          <w:p w14:paraId="680FBDCB" w14:textId="20B226E9"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PPIs (general)</w:t>
            </w:r>
          </w:p>
        </w:tc>
        <w:tc>
          <w:tcPr>
            <w:tcW w:w="2022" w:type="dxa"/>
            <w:tcBorders>
              <w:top w:val="single" w:sz="4" w:space="0" w:color="808080"/>
              <w:left w:val="nil"/>
              <w:bottom w:val="single" w:sz="4" w:space="0" w:color="808080"/>
              <w:right w:val="nil"/>
            </w:tcBorders>
            <w:shd w:val="clear" w:color="auto" w:fill="auto"/>
            <w:vAlign w:val="center"/>
          </w:tcPr>
          <w:p w14:paraId="3EF0FC99" w14:textId="6D8B6F7E"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NR</w:t>
            </w:r>
          </w:p>
        </w:tc>
        <w:tc>
          <w:tcPr>
            <w:tcW w:w="2410" w:type="dxa"/>
            <w:tcBorders>
              <w:top w:val="single" w:sz="4" w:space="0" w:color="808080"/>
              <w:left w:val="nil"/>
              <w:bottom w:val="single" w:sz="4" w:space="0" w:color="808080"/>
              <w:right w:val="nil"/>
            </w:tcBorders>
            <w:shd w:val="clear" w:color="auto" w:fill="auto"/>
            <w:vAlign w:val="center"/>
          </w:tcPr>
          <w:p w14:paraId="3E1749FB" w14:textId="1941189E" w:rsidR="007D344D" w:rsidRPr="00E5015F" w:rsidRDefault="007D344D" w:rsidP="007D344D">
            <w:pPr>
              <w:spacing w:after="0" w:line="240" w:lineRule="auto"/>
              <w:rPr>
                <w:rFonts w:ascii="Calibri" w:eastAsia="Times New Roman" w:hAnsi="Calibri" w:cs="Times New Roman"/>
                <w:sz w:val="20"/>
                <w:szCs w:val="20"/>
                <w:lang w:eastAsia="en-CA"/>
              </w:rPr>
            </w:pPr>
            <w:r w:rsidRPr="00E5015F">
              <w:rPr>
                <w:rFonts w:ascii="Calibri" w:hAnsi="Calibri" w:cs="Calibri"/>
                <w:color w:val="000000"/>
                <w:sz w:val="20"/>
                <w:szCs w:val="20"/>
              </w:rPr>
              <w:t>ACM</w:t>
            </w:r>
          </w:p>
        </w:tc>
        <w:tc>
          <w:tcPr>
            <w:tcW w:w="1736" w:type="dxa"/>
            <w:tcBorders>
              <w:top w:val="single" w:sz="4" w:space="0" w:color="808080"/>
              <w:left w:val="nil"/>
              <w:bottom w:val="single" w:sz="4" w:space="0" w:color="808080"/>
              <w:right w:val="nil"/>
            </w:tcBorders>
            <w:shd w:val="clear" w:color="auto" w:fill="auto"/>
            <w:vAlign w:val="center"/>
          </w:tcPr>
          <w:p w14:paraId="1E7DF834" w14:textId="715A2D8D"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NR</w:t>
            </w:r>
          </w:p>
        </w:tc>
        <w:tc>
          <w:tcPr>
            <w:tcW w:w="1160" w:type="dxa"/>
            <w:tcBorders>
              <w:top w:val="single" w:sz="4" w:space="0" w:color="808080"/>
              <w:left w:val="nil"/>
              <w:bottom w:val="single" w:sz="4" w:space="0" w:color="808080"/>
              <w:right w:val="nil"/>
            </w:tcBorders>
            <w:shd w:val="clear" w:color="auto" w:fill="auto"/>
            <w:vAlign w:val="center"/>
          </w:tcPr>
          <w:p w14:paraId="61A7AA72" w14:textId="2B92775B"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1994-2014</w:t>
            </w:r>
          </w:p>
        </w:tc>
        <w:tc>
          <w:tcPr>
            <w:tcW w:w="1533" w:type="dxa"/>
            <w:tcBorders>
              <w:top w:val="single" w:sz="4" w:space="0" w:color="808080"/>
              <w:left w:val="nil"/>
              <w:bottom w:val="single" w:sz="4" w:space="0" w:color="808080"/>
              <w:right w:val="nil"/>
            </w:tcBorders>
            <w:shd w:val="clear" w:color="auto" w:fill="auto"/>
            <w:vAlign w:val="center"/>
          </w:tcPr>
          <w:p w14:paraId="7842C328" w14:textId="2CF99EB9"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NR</w:t>
            </w:r>
          </w:p>
        </w:tc>
      </w:tr>
      <w:tr w:rsidR="007D344D" w14:paraId="5EB1EBCC" w14:textId="77777777" w:rsidTr="00B30898">
        <w:trPr>
          <w:trHeight w:val="343"/>
        </w:trPr>
        <w:tc>
          <w:tcPr>
            <w:tcW w:w="1805" w:type="dxa"/>
            <w:tcBorders>
              <w:top w:val="single" w:sz="4" w:space="0" w:color="808080"/>
              <w:left w:val="nil"/>
              <w:bottom w:val="single" w:sz="4" w:space="0" w:color="808080"/>
              <w:right w:val="nil"/>
            </w:tcBorders>
            <w:shd w:val="clear" w:color="auto" w:fill="auto"/>
            <w:vAlign w:val="center"/>
          </w:tcPr>
          <w:p w14:paraId="6908677E" w14:textId="7F4AEFAD"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(Bell el al 2017)</w:t>
            </w:r>
            <w:r w:rsidRPr="00E5015F">
              <w:rPr>
                <w:rFonts w:ascii="Calibri" w:hAnsi="Calibri" w:cs="Calibri"/>
                <w:color w:val="000000"/>
                <w:sz w:val="20"/>
                <w:szCs w:val="20"/>
              </w:rPr>
              <w:br/>
              <w:t>Abstract</w:t>
            </w:r>
          </w:p>
        </w:tc>
        <w:tc>
          <w:tcPr>
            <w:tcW w:w="1985" w:type="dxa"/>
            <w:tcBorders>
              <w:top w:val="single" w:sz="4" w:space="0" w:color="808080"/>
              <w:left w:val="nil"/>
              <w:bottom w:val="single" w:sz="4" w:space="0" w:color="808080"/>
              <w:right w:val="nil"/>
            </w:tcBorders>
            <w:shd w:val="clear" w:color="auto" w:fill="auto"/>
            <w:vAlign w:val="center"/>
          </w:tcPr>
          <w:p w14:paraId="02773620" w14:textId="78D9C332"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PPIs (general)</w:t>
            </w:r>
          </w:p>
        </w:tc>
        <w:tc>
          <w:tcPr>
            <w:tcW w:w="2022" w:type="dxa"/>
            <w:tcBorders>
              <w:top w:val="single" w:sz="4" w:space="0" w:color="808080"/>
              <w:left w:val="nil"/>
              <w:bottom w:val="single" w:sz="4" w:space="0" w:color="808080"/>
              <w:right w:val="nil"/>
            </w:tcBorders>
            <w:shd w:val="clear" w:color="auto" w:fill="auto"/>
            <w:vAlign w:val="center"/>
          </w:tcPr>
          <w:p w14:paraId="32642BF0" w14:textId="55223F09"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Electronic health records and outpatient prescriptions</w:t>
            </w:r>
          </w:p>
        </w:tc>
        <w:tc>
          <w:tcPr>
            <w:tcW w:w="2410" w:type="dxa"/>
            <w:tcBorders>
              <w:top w:val="single" w:sz="4" w:space="0" w:color="808080"/>
              <w:left w:val="nil"/>
              <w:bottom w:val="single" w:sz="4" w:space="0" w:color="808080"/>
              <w:right w:val="nil"/>
            </w:tcBorders>
            <w:shd w:val="clear" w:color="auto" w:fill="auto"/>
            <w:vAlign w:val="center"/>
          </w:tcPr>
          <w:p w14:paraId="47F66683" w14:textId="1DD92F70" w:rsidR="007D344D" w:rsidRPr="00E5015F" w:rsidRDefault="007D344D" w:rsidP="007D344D">
            <w:pPr>
              <w:spacing w:after="0" w:line="240" w:lineRule="auto"/>
              <w:rPr>
                <w:rFonts w:ascii="Calibri" w:eastAsia="Times New Roman" w:hAnsi="Calibri" w:cs="Times New Roman"/>
                <w:sz w:val="20"/>
                <w:szCs w:val="20"/>
                <w:lang w:eastAsia="en-CA"/>
              </w:rPr>
            </w:pPr>
            <w:r w:rsidRPr="00E5015F">
              <w:rPr>
                <w:rFonts w:ascii="Calibri" w:hAnsi="Calibri" w:cs="Calibri"/>
                <w:color w:val="000000"/>
                <w:sz w:val="20"/>
                <w:szCs w:val="20"/>
              </w:rPr>
              <w:t>Stroke (12 years)</w:t>
            </w:r>
          </w:p>
        </w:tc>
        <w:tc>
          <w:tcPr>
            <w:tcW w:w="1736" w:type="dxa"/>
            <w:tcBorders>
              <w:top w:val="single" w:sz="4" w:space="0" w:color="808080"/>
              <w:left w:val="nil"/>
              <w:bottom w:val="single" w:sz="4" w:space="0" w:color="808080"/>
              <w:right w:val="nil"/>
            </w:tcBorders>
            <w:shd w:val="clear" w:color="auto" w:fill="auto"/>
            <w:vAlign w:val="center"/>
          </w:tcPr>
          <w:p w14:paraId="52C795A4" w14:textId="2FFD9622"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Diagnosis codes</w:t>
            </w:r>
          </w:p>
        </w:tc>
        <w:tc>
          <w:tcPr>
            <w:tcW w:w="1160" w:type="dxa"/>
            <w:tcBorders>
              <w:top w:val="single" w:sz="4" w:space="0" w:color="808080"/>
              <w:left w:val="nil"/>
              <w:bottom w:val="single" w:sz="4" w:space="0" w:color="808080"/>
              <w:right w:val="nil"/>
            </w:tcBorders>
            <w:shd w:val="clear" w:color="auto" w:fill="auto"/>
            <w:vAlign w:val="center"/>
          </w:tcPr>
          <w:p w14:paraId="4DC49D8D" w14:textId="2E7563E7"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2004-2016</w:t>
            </w:r>
          </w:p>
        </w:tc>
        <w:tc>
          <w:tcPr>
            <w:tcW w:w="1533" w:type="dxa"/>
            <w:tcBorders>
              <w:top w:val="single" w:sz="4" w:space="0" w:color="808080"/>
              <w:left w:val="nil"/>
              <w:bottom w:val="single" w:sz="4" w:space="0" w:color="808080"/>
              <w:right w:val="nil"/>
            </w:tcBorders>
            <w:shd w:val="clear" w:color="auto" w:fill="auto"/>
            <w:vAlign w:val="center"/>
          </w:tcPr>
          <w:p w14:paraId="0ADD166C" w14:textId="68866EAE"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NR</w:t>
            </w:r>
          </w:p>
        </w:tc>
      </w:tr>
      <w:tr w:rsidR="007D344D" w14:paraId="076C096C" w14:textId="77777777" w:rsidTr="00B30898">
        <w:trPr>
          <w:trHeight w:val="343"/>
        </w:trPr>
        <w:tc>
          <w:tcPr>
            <w:tcW w:w="1805" w:type="dxa"/>
            <w:tcBorders>
              <w:top w:val="single" w:sz="4" w:space="0" w:color="808080"/>
              <w:left w:val="nil"/>
              <w:bottom w:val="single" w:sz="4" w:space="0" w:color="808080"/>
              <w:right w:val="nil"/>
            </w:tcBorders>
            <w:shd w:val="clear" w:color="auto" w:fill="auto"/>
            <w:vAlign w:val="center"/>
          </w:tcPr>
          <w:p w14:paraId="330E7F0E" w14:textId="0850FA48"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(Kwon et al 2016)</w:t>
            </w:r>
            <w:r w:rsidRPr="00E5015F">
              <w:rPr>
                <w:rFonts w:ascii="Calibri" w:hAnsi="Calibri" w:cs="Calibri"/>
                <w:color w:val="000000"/>
                <w:sz w:val="20"/>
                <w:szCs w:val="20"/>
              </w:rPr>
              <w:br/>
              <w:t>Abstract</w:t>
            </w:r>
          </w:p>
        </w:tc>
        <w:tc>
          <w:tcPr>
            <w:tcW w:w="1985" w:type="dxa"/>
            <w:tcBorders>
              <w:top w:val="single" w:sz="4" w:space="0" w:color="808080"/>
              <w:left w:val="nil"/>
              <w:bottom w:val="single" w:sz="4" w:space="0" w:color="808080"/>
              <w:right w:val="nil"/>
            </w:tcBorders>
            <w:shd w:val="clear" w:color="auto" w:fill="auto"/>
            <w:vAlign w:val="center"/>
          </w:tcPr>
          <w:p w14:paraId="4E2CFD33" w14:textId="259E534E"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Omeprazole</w:t>
            </w:r>
          </w:p>
        </w:tc>
        <w:tc>
          <w:tcPr>
            <w:tcW w:w="2022" w:type="dxa"/>
            <w:tcBorders>
              <w:top w:val="single" w:sz="4" w:space="0" w:color="808080"/>
              <w:left w:val="nil"/>
              <w:bottom w:val="single" w:sz="4" w:space="0" w:color="808080"/>
              <w:right w:val="nil"/>
            </w:tcBorders>
            <w:shd w:val="clear" w:color="auto" w:fill="auto"/>
            <w:vAlign w:val="center"/>
          </w:tcPr>
          <w:p w14:paraId="2EFA6173" w14:textId="45EEA530"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NR</w:t>
            </w:r>
          </w:p>
        </w:tc>
        <w:tc>
          <w:tcPr>
            <w:tcW w:w="2410" w:type="dxa"/>
            <w:tcBorders>
              <w:top w:val="single" w:sz="4" w:space="0" w:color="808080"/>
              <w:left w:val="nil"/>
              <w:bottom w:val="single" w:sz="4" w:space="0" w:color="808080"/>
              <w:right w:val="nil"/>
            </w:tcBorders>
            <w:shd w:val="clear" w:color="auto" w:fill="auto"/>
            <w:vAlign w:val="center"/>
          </w:tcPr>
          <w:p w14:paraId="56793D09" w14:textId="6F43F1B6" w:rsidR="007D344D" w:rsidRPr="00E5015F" w:rsidRDefault="007D344D" w:rsidP="007D344D">
            <w:pPr>
              <w:spacing w:after="0" w:line="240" w:lineRule="auto"/>
              <w:rPr>
                <w:rFonts w:ascii="Calibri" w:eastAsia="Times New Roman" w:hAnsi="Calibri" w:cs="Times New Roman"/>
                <w:sz w:val="20"/>
                <w:szCs w:val="20"/>
                <w:lang w:eastAsia="en-CA"/>
              </w:rPr>
            </w:pPr>
            <w:r w:rsidRPr="00E5015F">
              <w:rPr>
                <w:rFonts w:ascii="Calibri" w:hAnsi="Calibri" w:cs="Calibri"/>
                <w:color w:val="000000"/>
                <w:sz w:val="20"/>
                <w:szCs w:val="20"/>
              </w:rPr>
              <w:t>ACM (NR)</w:t>
            </w:r>
          </w:p>
        </w:tc>
        <w:tc>
          <w:tcPr>
            <w:tcW w:w="1736" w:type="dxa"/>
            <w:tcBorders>
              <w:top w:val="single" w:sz="4" w:space="0" w:color="808080"/>
              <w:left w:val="nil"/>
              <w:bottom w:val="single" w:sz="4" w:space="0" w:color="808080"/>
              <w:right w:val="nil"/>
            </w:tcBorders>
            <w:shd w:val="clear" w:color="auto" w:fill="auto"/>
            <w:vAlign w:val="center"/>
          </w:tcPr>
          <w:p w14:paraId="04276E52" w14:textId="1C9CB3B4"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MR</w:t>
            </w:r>
          </w:p>
        </w:tc>
        <w:tc>
          <w:tcPr>
            <w:tcW w:w="1160" w:type="dxa"/>
            <w:tcBorders>
              <w:top w:val="single" w:sz="4" w:space="0" w:color="808080"/>
              <w:left w:val="nil"/>
              <w:bottom w:val="single" w:sz="4" w:space="0" w:color="808080"/>
              <w:right w:val="nil"/>
            </w:tcBorders>
            <w:shd w:val="clear" w:color="auto" w:fill="auto"/>
            <w:vAlign w:val="center"/>
          </w:tcPr>
          <w:p w14:paraId="77BFF06A" w14:textId="42A6B91D"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2007-2013</w:t>
            </w:r>
          </w:p>
        </w:tc>
        <w:tc>
          <w:tcPr>
            <w:tcW w:w="1533" w:type="dxa"/>
            <w:tcBorders>
              <w:top w:val="single" w:sz="4" w:space="0" w:color="808080"/>
              <w:left w:val="nil"/>
              <w:bottom w:val="single" w:sz="4" w:space="0" w:color="808080"/>
              <w:right w:val="nil"/>
            </w:tcBorders>
            <w:shd w:val="clear" w:color="auto" w:fill="auto"/>
            <w:vAlign w:val="center"/>
          </w:tcPr>
          <w:p w14:paraId="19770E4B" w14:textId="11185445"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NR</w:t>
            </w:r>
          </w:p>
        </w:tc>
      </w:tr>
      <w:tr w:rsidR="007D344D" w14:paraId="54453E4C" w14:textId="77777777" w:rsidTr="00B30898">
        <w:trPr>
          <w:trHeight w:val="343"/>
        </w:trPr>
        <w:tc>
          <w:tcPr>
            <w:tcW w:w="1805" w:type="dxa"/>
            <w:tcBorders>
              <w:top w:val="single" w:sz="4" w:space="0" w:color="808080"/>
              <w:left w:val="nil"/>
              <w:bottom w:val="single" w:sz="4" w:space="0" w:color="808080"/>
              <w:right w:val="nil"/>
            </w:tcBorders>
            <w:shd w:val="clear" w:color="auto" w:fill="auto"/>
            <w:vAlign w:val="center"/>
          </w:tcPr>
          <w:p w14:paraId="3C8F3813" w14:textId="6D65A086"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(Sehested et al 2018)</w:t>
            </w:r>
          </w:p>
        </w:tc>
        <w:tc>
          <w:tcPr>
            <w:tcW w:w="1985" w:type="dxa"/>
            <w:tcBorders>
              <w:top w:val="single" w:sz="4" w:space="0" w:color="808080"/>
              <w:left w:val="nil"/>
              <w:bottom w:val="single" w:sz="4" w:space="0" w:color="808080"/>
              <w:right w:val="nil"/>
            </w:tcBorders>
            <w:shd w:val="clear" w:color="auto" w:fill="auto"/>
            <w:vAlign w:val="center"/>
          </w:tcPr>
          <w:p w14:paraId="5D670F4F" w14:textId="6ECC1D21"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PPIs (general)</w:t>
            </w:r>
          </w:p>
        </w:tc>
        <w:tc>
          <w:tcPr>
            <w:tcW w:w="2022" w:type="dxa"/>
            <w:tcBorders>
              <w:top w:val="single" w:sz="4" w:space="0" w:color="808080"/>
              <w:left w:val="nil"/>
              <w:bottom w:val="single" w:sz="4" w:space="0" w:color="808080"/>
              <w:right w:val="nil"/>
            </w:tcBorders>
            <w:shd w:val="clear" w:color="auto" w:fill="auto"/>
            <w:vAlign w:val="center"/>
          </w:tcPr>
          <w:p w14:paraId="55C344CE" w14:textId="27865CEC"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Prescription records</w:t>
            </w:r>
          </w:p>
        </w:tc>
        <w:tc>
          <w:tcPr>
            <w:tcW w:w="2410" w:type="dxa"/>
            <w:tcBorders>
              <w:top w:val="single" w:sz="4" w:space="0" w:color="808080"/>
              <w:left w:val="nil"/>
              <w:bottom w:val="single" w:sz="4" w:space="0" w:color="808080"/>
              <w:right w:val="nil"/>
            </w:tcBorders>
            <w:shd w:val="clear" w:color="auto" w:fill="auto"/>
            <w:vAlign w:val="center"/>
          </w:tcPr>
          <w:p w14:paraId="3F337D62" w14:textId="68A78CCB" w:rsidR="007D344D" w:rsidRPr="00E5015F" w:rsidRDefault="007D344D" w:rsidP="007D344D">
            <w:pPr>
              <w:spacing w:after="0" w:line="240" w:lineRule="auto"/>
              <w:rPr>
                <w:rFonts w:ascii="Calibri" w:eastAsia="Times New Roman" w:hAnsi="Calibri" w:cs="Times New Roman"/>
                <w:sz w:val="20"/>
                <w:szCs w:val="20"/>
                <w:lang w:eastAsia="en-CA"/>
              </w:rPr>
            </w:pPr>
            <w:r w:rsidRPr="00E5015F">
              <w:rPr>
                <w:rFonts w:ascii="Calibri" w:hAnsi="Calibri" w:cs="Calibri"/>
                <w:color w:val="000000"/>
                <w:sz w:val="20"/>
                <w:szCs w:val="20"/>
              </w:rPr>
              <w:t>Stroke (up to 16 years);</w:t>
            </w:r>
            <w:r w:rsidRPr="00E5015F">
              <w:rPr>
                <w:rFonts w:ascii="Calibri" w:hAnsi="Calibri" w:cs="Calibri"/>
                <w:color w:val="000000"/>
                <w:sz w:val="20"/>
                <w:szCs w:val="20"/>
              </w:rPr>
              <w:br/>
              <w:t>MI (up to 16 years);</w:t>
            </w:r>
            <w:r w:rsidRPr="00E5015F">
              <w:rPr>
                <w:rFonts w:ascii="Calibri" w:hAnsi="Calibri" w:cs="Calibri"/>
                <w:color w:val="000000"/>
                <w:sz w:val="20"/>
                <w:szCs w:val="20"/>
              </w:rPr>
              <w:br/>
              <w:t xml:space="preserve">Median follow-up: 5.8 years </w:t>
            </w:r>
          </w:p>
        </w:tc>
        <w:tc>
          <w:tcPr>
            <w:tcW w:w="1736" w:type="dxa"/>
            <w:tcBorders>
              <w:top w:val="single" w:sz="4" w:space="0" w:color="808080"/>
              <w:left w:val="nil"/>
              <w:bottom w:val="single" w:sz="4" w:space="0" w:color="808080"/>
              <w:right w:val="nil"/>
            </w:tcBorders>
            <w:shd w:val="clear" w:color="auto" w:fill="auto"/>
            <w:vAlign w:val="center"/>
          </w:tcPr>
          <w:p w14:paraId="355DFDAE" w14:textId="7ED13763"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Database/registry (ICD codes)</w:t>
            </w:r>
          </w:p>
        </w:tc>
        <w:tc>
          <w:tcPr>
            <w:tcW w:w="1160" w:type="dxa"/>
            <w:tcBorders>
              <w:top w:val="single" w:sz="4" w:space="0" w:color="808080"/>
              <w:left w:val="nil"/>
              <w:bottom w:val="single" w:sz="4" w:space="0" w:color="808080"/>
              <w:right w:val="nil"/>
            </w:tcBorders>
            <w:shd w:val="clear" w:color="auto" w:fill="auto"/>
            <w:vAlign w:val="center"/>
          </w:tcPr>
          <w:p w14:paraId="71D9D752" w14:textId="3B46C388"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1997-2012</w:t>
            </w:r>
          </w:p>
        </w:tc>
        <w:tc>
          <w:tcPr>
            <w:tcW w:w="1533" w:type="dxa"/>
            <w:tcBorders>
              <w:top w:val="single" w:sz="4" w:space="0" w:color="808080"/>
              <w:left w:val="nil"/>
              <w:bottom w:val="single" w:sz="4" w:space="0" w:color="808080"/>
              <w:right w:val="nil"/>
            </w:tcBorders>
            <w:shd w:val="clear" w:color="auto" w:fill="auto"/>
            <w:vAlign w:val="center"/>
          </w:tcPr>
          <w:p w14:paraId="4D266032" w14:textId="24C807E8"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Public/non profit</w:t>
            </w:r>
          </w:p>
        </w:tc>
      </w:tr>
      <w:tr w:rsidR="007D344D" w14:paraId="5521DFA1" w14:textId="77777777" w:rsidTr="00B30898">
        <w:trPr>
          <w:trHeight w:val="343"/>
        </w:trPr>
        <w:tc>
          <w:tcPr>
            <w:tcW w:w="1805" w:type="dxa"/>
            <w:tcBorders>
              <w:top w:val="single" w:sz="4" w:space="0" w:color="808080"/>
              <w:left w:val="nil"/>
              <w:bottom w:val="single" w:sz="4" w:space="0" w:color="808080"/>
              <w:right w:val="nil"/>
            </w:tcBorders>
            <w:shd w:val="clear" w:color="auto" w:fill="auto"/>
            <w:vAlign w:val="center"/>
          </w:tcPr>
          <w:p w14:paraId="3DA5D2E7" w14:textId="28E41E68"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(Caffrey et al 2016)</w:t>
            </w:r>
            <w:r w:rsidRPr="00E5015F">
              <w:rPr>
                <w:rFonts w:ascii="Calibri" w:hAnsi="Calibri" w:cs="Calibri"/>
                <w:color w:val="000000"/>
                <w:sz w:val="20"/>
                <w:szCs w:val="20"/>
              </w:rPr>
              <w:br/>
              <w:t>Abstract</w:t>
            </w:r>
          </w:p>
        </w:tc>
        <w:tc>
          <w:tcPr>
            <w:tcW w:w="1985" w:type="dxa"/>
            <w:tcBorders>
              <w:top w:val="single" w:sz="4" w:space="0" w:color="808080"/>
              <w:left w:val="nil"/>
              <w:bottom w:val="single" w:sz="4" w:space="0" w:color="808080"/>
              <w:right w:val="nil"/>
            </w:tcBorders>
            <w:shd w:val="clear" w:color="auto" w:fill="auto"/>
            <w:vAlign w:val="center"/>
          </w:tcPr>
          <w:p w14:paraId="1D98BDB7" w14:textId="526F4E6D"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PPIs (general)</w:t>
            </w:r>
          </w:p>
        </w:tc>
        <w:tc>
          <w:tcPr>
            <w:tcW w:w="2022" w:type="dxa"/>
            <w:tcBorders>
              <w:top w:val="single" w:sz="4" w:space="0" w:color="808080"/>
              <w:left w:val="nil"/>
              <w:bottom w:val="single" w:sz="4" w:space="0" w:color="808080"/>
              <w:right w:val="nil"/>
            </w:tcBorders>
            <w:shd w:val="clear" w:color="auto" w:fill="auto"/>
            <w:vAlign w:val="center"/>
          </w:tcPr>
          <w:p w14:paraId="07B2C823" w14:textId="132092DA"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NR</w:t>
            </w:r>
          </w:p>
        </w:tc>
        <w:tc>
          <w:tcPr>
            <w:tcW w:w="2410" w:type="dxa"/>
            <w:tcBorders>
              <w:top w:val="single" w:sz="4" w:space="0" w:color="808080"/>
              <w:left w:val="nil"/>
              <w:bottom w:val="single" w:sz="4" w:space="0" w:color="808080"/>
              <w:right w:val="nil"/>
            </w:tcBorders>
            <w:shd w:val="clear" w:color="auto" w:fill="auto"/>
            <w:vAlign w:val="center"/>
          </w:tcPr>
          <w:p w14:paraId="70B49218" w14:textId="63AE7435" w:rsidR="007D344D" w:rsidRPr="00E5015F" w:rsidRDefault="007D344D" w:rsidP="007D344D">
            <w:pPr>
              <w:spacing w:after="0" w:line="240" w:lineRule="auto"/>
              <w:rPr>
                <w:rFonts w:ascii="Calibri" w:eastAsia="Times New Roman" w:hAnsi="Calibri" w:cs="Times New Roman"/>
                <w:sz w:val="20"/>
                <w:szCs w:val="20"/>
                <w:lang w:eastAsia="en-CA"/>
              </w:rPr>
            </w:pPr>
            <w:r w:rsidRPr="00E5015F">
              <w:rPr>
                <w:rFonts w:ascii="Calibri" w:hAnsi="Calibri" w:cs="Calibri"/>
                <w:color w:val="000000"/>
                <w:sz w:val="20"/>
                <w:szCs w:val="20"/>
              </w:rPr>
              <w:t>ACM (14-day, 30-day and inpatient)</w:t>
            </w:r>
          </w:p>
        </w:tc>
        <w:tc>
          <w:tcPr>
            <w:tcW w:w="1736" w:type="dxa"/>
            <w:tcBorders>
              <w:top w:val="single" w:sz="4" w:space="0" w:color="808080"/>
              <w:left w:val="nil"/>
              <w:bottom w:val="single" w:sz="4" w:space="0" w:color="808080"/>
              <w:right w:val="nil"/>
            </w:tcBorders>
            <w:shd w:val="clear" w:color="auto" w:fill="auto"/>
            <w:vAlign w:val="center"/>
          </w:tcPr>
          <w:p w14:paraId="5A55A970" w14:textId="36AD0C3E"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NR</w:t>
            </w:r>
          </w:p>
        </w:tc>
        <w:tc>
          <w:tcPr>
            <w:tcW w:w="1160" w:type="dxa"/>
            <w:tcBorders>
              <w:top w:val="single" w:sz="4" w:space="0" w:color="808080"/>
              <w:left w:val="nil"/>
              <w:bottom w:val="single" w:sz="4" w:space="0" w:color="808080"/>
              <w:right w:val="nil"/>
            </w:tcBorders>
            <w:shd w:val="clear" w:color="auto" w:fill="auto"/>
            <w:vAlign w:val="center"/>
          </w:tcPr>
          <w:p w14:paraId="23521E4F" w14:textId="27BB6B16"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2002-2013</w:t>
            </w:r>
          </w:p>
        </w:tc>
        <w:tc>
          <w:tcPr>
            <w:tcW w:w="1533" w:type="dxa"/>
            <w:tcBorders>
              <w:top w:val="single" w:sz="4" w:space="0" w:color="808080"/>
              <w:left w:val="nil"/>
              <w:bottom w:val="single" w:sz="4" w:space="0" w:color="808080"/>
              <w:right w:val="nil"/>
            </w:tcBorders>
            <w:shd w:val="clear" w:color="auto" w:fill="auto"/>
            <w:vAlign w:val="center"/>
          </w:tcPr>
          <w:p w14:paraId="20617067" w14:textId="5C07E62F"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NR</w:t>
            </w:r>
          </w:p>
        </w:tc>
      </w:tr>
      <w:tr w:rsidR="007D344D" w14:paraId="6D7087CF" w14:textId="77777777" w:rsidTr="00B30898">
        <w:trPr>
          <w:trHeight w:val="343"/>
        </w:trPr>
        <w:tc>
          <w:tcPr>
            <w:tcW w:w="1805" w:type="dxa"/>
            <w:tcBorders>
              <w:top w:val="single" w:sz="4" w:space="0" w:color="808080"/>
              <w:left w:val="nil"/>
              <w:bottom w:val="single" w:sz="4" w:space="0" w:color="808080"/>
              <w:right w:val="nil"/>
            </w:tcBorders>
            <w:shd w:val="clear" w:color="auto" w:fill="auto"/>
            <w:vAlign w:val="center"/>
          </w:tcPr>
          <w:p w14:paraId="17B1D08B" w14:textId="361685F2"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(Bettinger et al 2018)</w:t>
            </w:r>
          </w:p>
        </w:tc>
        <w:tc>
          <w:tcPr>
            <w:tcW w:w="1985" w:type="dxa"/>
            <w:tcBorders>
              <w:top w:val="single" w:sz="4" w:space="0" w:color="808080"/>
              <w:left w:val="nil"/>
              <w:bottom w:val="single" w:sz="4" w:space="0" w:color="808080"/>
              <w:right w:val="nil"/>
            </w:tcBorders>
            <w:shd w:val="clear" w:color="auto" w:fill="auto"/>
            <w:vAlign w:val="center"/>
          </w:tcPr>
          <w:p w14:paraId="1B9A23BD" w14:textId="191D6BD5"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PPIs (general)</w:t>
            </w:r>
          </w:p>
        </w:tc>
        <w:tc>
          <w:tcPr>
            <w:tcW w:w="2022" w:type="dxa"/>
            <w:tcBorders>
              <w:top w:val="single" w:sz="4" w:space="0" w:color="808080"/>
              <w:left w:val="nil"/>
              <w:bottom w:val="single" w:sz="4" w:space="0" w:color="808080"/>
              <w:right w:val="nil"/>
            </w:tcBorders>
            <w:shd w:val="clear" w:color="auto" w:fill="auto"/>
            <w:vAlign w:val="center"/>
          </w:tcPr>
          <w:p w14:paraId="0359C8D4" w14:textId="18BE98D5"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EMRs</w:t>
            </w:r>
          </w:p>
        </w:tc>
        <w:tc>
          <w:tcPr>
            <w:tcW w:w="2410" w:type="dxa"/>
            <w:tcBorders>
              <w:top w:val="single" w:sz="4" w:space="0" w:color="808080"/>
              <w:left w:val="nil"/>
              <w:bottom w:val="single" w:sz="4" w:space="0" w:color="808080"/>
              <w:right w:val="nil"/>
            </w:tcBorders>
            <w:shd w:val="clear" w:color="auto" w:fill="auto"/>
            <w:vAlign w:val="center"/>
          </w:tcPr>
          <w:p w14:paraId="267A2537" w14:textId="1B1CA701" w:rsidR="007D344D" w:rsidRPr="00E5015F" w:rsidRDefault="007D344D" w:rsidP="007D344D">
            <w:pPr>
              <w:spacing w:after="0" w:line="240" w:lineRule="auto"/>
              <w:rPr>
                <w:rFonts w:ascii="Calibri" w:eastAsia="Times New Roman" w:hAnsi="Calibri" w:cs="Times New Roman"/>
                <w:sz w:val="20"/>
                <w:szCs w:val="20"/>
                <w:lang w:eastAsia="en-CA"/>
              </w:rPr>
            </w:pPr>
            <w:r w:rsidRPr="00E5015F">
              <w:rPr>
                <w:rFonts w:ascii="Calibri" w:hAnsi="Calibri" w:cs="Calibri"/>
                <w:color w:val="000000"/>
                <w:sz w:val="20"/>
                <w:szCs w:val="20"/>
              </w:rPr>
              <w:t>In hospital mortality</w:t>
            </w:r>
          </w:p>
        </w:tc>
        <w:tc>
          <w:tcPr>
            <w:tcW w:w="1736" w:type="dxa"/>
            <w:tcBorders>
              <w:top w:val="single" w:sz="4" w:space="0" w:color="808080"/>
              <w:left w:val="nil"/>
              <w:bottom w:val="single" w:sz="4" w:space="0" w:color="808080"/>
              <w:right w:val="nil"/>
            </w:tcBorders>
            <w:shd w:val="clear" w:color="auto" w:fill="auto"/>
            <w:vAlign w:val="center"/>
          </w:tcPr>
          <w:p w14:paraId="36F26B4C" w14:textId="26B9F577"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In hospital</w:t>
            </w:r>
          </w:p>
        </w:tc>
        <w:tc>
          <w:tcPr>
            <w:tcW w:w="1160" w:type="dxa"/>
            <w:tcBorders>
              <w:top w:val="single" w:sz="4" w:space="0" w:color="808080"/>
              <w:left w:val="nil"/>
              <w:bottom w:val="single" w:sz="4" w:space="0" w:color="808080"/>
              <w:right w:val="nil"/>
            </w:tcBorders>
            <w:shd w:val="clear" w:color="auto" w:fill="auto"/>
            <w:vAlign w:val="center"/>
          </w:tcPr>
          <w:p w14:paraId="0D0B24EB" w14:textId="470A91E0"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2005-2017</w:t>
            </w:r>
          </w:p>
        </w:tc>
        <w:tc>
          <w:tcPr>
            <w:tcW w:w="1533" w:type="dxa"/>
            <w:tcBorders>
              <w:top w:val="single" w:sz="4" w:space="0" w:color="808080"/>
              <w:left w:val="nil"/>
              <w:bottom w:val="single" w:sz="4" w:space="0" w:color="808080"/>
              <w:right w:val="nil"/>
            </w:tcBorders>
            <w:shd w:val="clear" w:color="auto" w:fill="auto"/>
            <w:vAlign w:val="center"/>
          </w:tcPr>
          <w:p w14:paraId="7F940AD5" w14:textId="7B8B0853"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 xml:space="preserve">None. </w:t>
            </w:r>
          </w:p>
        </w:tc>
      </w:tr>
      <w:tr w:rsidR="007D344D" w14:paraId="7EEC01FC" w14:textId="77777777" w:rsidTr="00B30898">
        <w:trPr>
          <w:trHeight w:val="343"/>
        </w:trPr>
        <w:tc>
          <w:tcPr>
            <w:tcW w:w="1805" w:type="dxa"/>
            <w:tcBorders>
              <w:top w:val="single" w:sz="4" w:space="0" w:color="808080"/>
              <w:left w:val="nil"/>
              <w:bottom w:val="single" w:sz="4" w:space="0" w:color="808080"/>
              <w:right w:val="nil"/>
            </w:tcBorders>
            <w:shd w:val="clear" w:color="auto" w:fill="auto"/>
            <w:vAlign w:val="center"/>
          </w:tcPr>
          <w:p w14:paraId="09B4C14C" w14:textId="1FCB6312"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(de Francisco et al 2018)</w:t>
            </w:r>
          </w:p>
        </w:tc>
        <w:tc>
          <w:tcPr>
            <w:tcW w:w="1985" w:type="dxa"/>
            <w:tcBorders>
              <w:top w:val="single" w:sz="4" w:space="0" w:color="808080"/>
              <w:left w:val="nil"/>
              <w:bottom w:val="single" w:sz="4" w:space="0" w:color="808080"/>
              <w:right w:val="nil"/>
            </w:tcBorders>
            <w:shd w:val="clear" w:color="auto" w:fill="auto"/>
            <w:vAlign w:val="center"/>
          </w:tcPr>
          <w:p w14:paraId="76682A6B" w14:textId="58A47A63"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PPIs (general)</w:t>
            </w:r>
          </w:p>
        </w:tc>
        <w:tc>
          <w:tcPr>
            <w:tcW w:w="2022" w:type="dxa"/>
            <w:tcBorders>
              <w:top w:val="single" w:sz="4" w:space="0" w:color="808080"/>
              <w:left w:val="nil"/>
              <w:bottom w:val="single" w:sz="4" w:space="0" w:color="808080"/>
              <w:right w:val="nil"/>
            </w:tcBorders>
            <w:shd w:val="clear" w:color="auto" w:fill="auto"/>
            <w:vAlign w:val="center"/>
          </w:tcPr>
          <w:p w14:paraId="1530325A" w14:textId="38F8016E"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Database (at baseline)</w:t>
            </w:r>
          </w:p>
        </w:tc>
        <w:tc>
          <w:tcPr>
            <w:tcW w:w="2410" w:type="dxa"/>
            <w:tcBorders>
              <w:top w:val="single" w:sz="4" w:space="0" w:color="808080"/>
              <w:left w:val="nil"/>
              <w:bottom w:val="single" w:sz="4" w:space="0" w:color="808080"/>
              <w:right w:val="nil"/>
            </w:tcBorders>
            <w:shd w:val="clear" w:color="auto" w:fill="auto"/>
            <w:vAlign w:val="center"/>
          </w:tcPr>
          <w:p w14:paraId="75085453" w14:textId="1D5BAE28" w:rsidR="007D344D" w:rsidRPr="00E5015F" w:rsidRDefault="007D344D" w:rsidP="007D344D">
            <w:pPr>
              <w:spacing w:after="0" w:line="240" w:lineRule="auto"/>
              <w:rPr>
                <w:rFonts w:ascii="Calibri" w:eastAsia="Times New Roman" w:hAnsi="Calibri" w:cs="Times New Roman"/>
                <w:sz w:val="20"/>
                <w:szCs w:val="20"/>
                <w:lang w:eastAsia="en-CA"/>
              </w:rPr>
            </w:pPr>
            <w:r w:rsidRPr="00E5015F">
              <w:rPr>
                <w:rFonts w:ascii="Calibri" w:hAnsi="Calibri" w:cs="Calibri"/>
                <w:color w:val="000000"/>
                <w:sz w:val="20"/>
                <w:szCs w:val="20"/>
              </w:rPr>
              <w:t>ACM (up to 33 months);</w:t>
            </w:r>
            <w:r w:rsidRPr="00E5015F">
              <w:rPr>
                <w:rFonts w:ascii="Calibri" w:hAnsi="Calibri" w:cs="Calibri"/>
                <w:color w:val="000000"/>
                <w:sz w:val="20"/>
                <w:szCs w:val="20"/>
              </w:rPr>
              <w:br/>
            </w:r>
            <w:r w:rsidRPr="00E5015F">
              <w:rPr>
                <w:rFonts w:ascii="Calibri" w:hAnsi="Calibri" w:cs="Calibri"/>
                <w:color w:val="000000"/>
                <w:sz w:val="20"/>
                <w:szCs w:val="20"/>
              </w:rPr>
              <w:br/>
              <w:t>Cardiovascular mortality (up to 33 months);</w:t>
            </w:r>
          </w:p>
        </w:tc>
        <w:tc>
          <w:tcPr>
            <w:tcW w:w="1736" w:type="dxa"/>
            <w:tcBorders>
              <w:top w:val="single" w:sz="4" w:space="0" w:color="808080"/>
              <w:left w:val="nil"/>
              <w:bottom w:val="single" w:sz="4" w:space="0" w:color="808080"/>
              <w:right w:val="nil"/>
            </w:tcBorders>
            <w:shd w:val="clear" w:color="auto" w:fill="auto"/>
            <w:vAlign w:val="center"/>
          </w:tcPr>
          <w:p w14:paraId="5B97E5BE" w14:textId="6134FC29"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NR</w:t>
            </w:r>
          </w:p>
        </w:tc>
        <w:tc>
          <w:tcPr>
            <w:tcW w:w="1160" w:type="dxa"/>
            <w:tcBorders>
              <w:top w:val="single" w:sz="4" w:space="0" w:color="808080"/>
              <w:left w:val="nil"/>
              <w:bottom w:val="single" w:sz="4" w:space="0" w:color="808080"/>
              <w:right w:val="nil"/>
            </w:tcBorders>
            <w:shd w:val="clear" w:color="auto" w:fill="auto"/>
            <w:vAlign w:val="center"/>
          </w:tcPr>
          <w:p w14:paraId="6D5591F2" w14:textId="48BAA39C"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2013</w:t>
            </w:r>
          </w:p>
        </w:tc>
        <w:tc>
          <w:tcPr>
            <w:tcW w:w="1533" w:type="dxa"/>
            <w:tcBorders>
              <w:top w:val="single" w:sz="4" w:space="0" w:color="808080"/>
              <w:left w:val="nil"/>
              <w:bottom w:val="single" w:sz="4" w:space="0" w:color="808080"/>
              <w:right w:val="nil"/>
            </w:tcBorders>
            <w:shd w:val="clear" w:color="auto" w:fill="auto"/>
            <w:vAlign w:val="center"/>
          </w:tcPr>
          <w:p w14:paraId="06CCEEA6" w14:textId="3B237508"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Private (Fresenius Medical Care)</w:t>
            </w:r>
          </w:p>
        </w:tc>
      </w:tr>
      <w:tr w:rsidR="007D344D" w14:paraId="5FDCE7A0" w14:textId="77777777" w:rsidTr="00B30898">
        <w:trPr>
          <w:trHeight w:val="343"/>
        </w:trPr>
        <w:tc>
          <w:tcPr>
            <w:tcW w:w="1805" w:type="dxa"/>
            <w:tcBorders>
              <w:top w:val="single" w:sz="4" w:space="0" w:color="808080"/>
              <w:left w:val="nil"/>
              <w:bottom w:val="single" w:sz="4" w:space="0" w:color="808080"/>
              <w:right w:val="nil"/>
            </w:tcBorders>
            <w:shd w:val="clear" w:color="auto" w:fill="auto"/>
            <w:vAlign w:val="center"/>
          </w:tcPr>
          <w:p w14:paraId="33487884" w14:textId="5A4D9A2F"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(Nardelli et al 2018)</w:t>
            </w:r>
          </w:p>
        </w:tc>
        <w:tc>
          <w:tcPr>
            <w:tcW w:w="1985" w:type="dxa"/>
            <w:tcBorders>
              <w:top w:val="single" w:sz="4" w:space="0" w:color="808080"/>
              <w:left w:val="nil"/>
              <w:bottom w:val="single" w:sz="4" w:space="0" w:color="808080"/>
              <w:right w:val="nil"/>
            </w:tcBorders>
            <w:shd w:val="clear" w:color="auto" w:fill="auto"/>
            <w:vAlign w:val="center"/>
          </w:tcPr>
          <w:p w14:paraId="7E441FDD" w14:textId="6E20D497"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PPIs (general)</w:t>
            </w:r>
          </w:p>
        </w:tc>
        <w:tc>
          <w:tcPr>
            <w:tcW w:w="2022" w:type="dxa"/>
            <w:tcBorders>
              <w:top w:val="single" w:sz="4" w:space="0" w:color="808080"/>
              <w:left w:val="nil"/>
              <w:bottom w:val="single" w:sz="4" w:space="0" w:color="808080"/>
              <w:right w:val="nil"/>
            </w:tcBorders>
            <w:shd w:val="clear" w:color="auto" w:fill="auto"/>
            <w:vAlign w:val="center"/>
          </w:tcPr>
          <w:p w14:paraId="16875F2B" w14:textId="7C8884AF"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Hospital and physician records; follow up visits.</w:t>
            </w:r>
          </w:p>
        </w:tc>
        <w:tc>
          <w:tcPr>
            <w:tcW w:w="2410" w:type="dxa"/>
            <w:tcBorders>
              <w:top w:val="single" w:sz="4" w:space="0" w:color="808080"/>
              <w:left w:val="nil"/>
              <w:bottom w:val="single" w:sz="4" w:space="0" w:color="808080"/>
              <w:right w:val="nil"/>
            </w:tcBorders>
            <w:shd w:val="clear" w:color="auto" w:fill="auto"/>
            <w:vAlign w:val="center"/>
          </w:tcPr>
          <w:p w14:paraId="625AAE17" w14:textId="1C573A11" w:rsidR="007D344D" w:rsidRPr="00E5015F" w:rsidRDefault="007D344D" w:rsidP="007D344D">
            <w:pPr>
              <w:spacing w:after="0" w:line="240" w:lineRule="auto"/>
              <w:rPr>
                <w:rFonts w:ascii="Calibri" w:eastAsia="Times New Roman" w:hAnsi="Calibri" w:cs="Times New Roman"/>
                <w:sz w:val="20"/>
                <w:szCs w:val="20"/>
                <w:lang w:eastAsia="en-CA"/>
              </w:rPr>
            </w:pPr>
            <w:r w:rsidRPr="00E5015F">
              <w:rPr>
                <w:rFonts w:ascii="Calibri" w:hAnsi="Calibri" w:cs="Calibri"/>
                <w:color w:val="000000"/>
                <w:sz w:val="20"/>
                <w:szCs w:val="20"/>
              </w:rPr>
              <w:t>ACM</w:t>
            </w:r>
          </w:p>
        </w:tc>
        <w:tc>
          <w:tcPr>
            <w:tcW w:w="1736" w:type="dxa"/>
            <w:tcBorders>
              <w:top w:val="single" w:sz="4" w:space="0" w:color="808080"/>
              <w:left w:val="nil"/>
              <w:bottom w:val="single" w:sz="4" w:space="0" w:color="808080"/>
              <w:right w:val="nil"/>
            </w:tcBorders>
            <w:shd w:val="clear" w:color="auto" w:fill="auto"/>
            <w:vAlign w:val="center"/>
          </w:tcPr>
          <w:p w14:paraId="4BD58E68" w14:textId="595B67D4"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NR</w:t>
            </w:r>
          </w:p>
        </w:tc>
        <w:tc>
          <w:tcPr>
            <w:tcW w:w="1160" w:type="dxa"/>
            <w:tcBorders>
              <w:top w:val="single" w:sz="4" w:space="0" w:color="808080"/>
              <w:left w:val="nil"/>
              <w:bottom w:val="single" w:sz="4" w:space="0" w:color="808080"/>
              <w:right w:val="nil"/>
            </w:tcBorders>
            <w:shd w:val="clear" w:color="auto" w:fill="auto"/>
            <w:vAlign w:val="center"/>
          </w:tcPr>
          <w:p w14:paraId="5AC514C1" w14:textId="22AB1F10"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2014-2016</w:t>
            </w:r>
          </w:p>
        </w:tc>
        <w:tc>
          <w:tcPr>
            <w:tcW w:w="1533" w:type="dxa"/>
            <w:tcBorders>
              <w:top w:val="single" w:sz="4" w:space="0" w:color="808080"/>
              <w:left w:val="nil"/>
              <w:bottom w:val="single" w:sz="4" w:space="0" w:color="808080"/>
              <w:right w:val="nil"/>
            </w:tcBorders>
            <w:shd w:val="clear" w:color="auto" w:fill="auto"/>
            <w:vAlign w:val="center"/>
          </w:tcPr>
          <w:p w14:paraId="55BA1C4F" w14:textId="19D363A2"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NO financial support.</w:t>
            </w:r>
          </w:p>
        </w:tc>
      </w:tr>
      <w:tr w:rsidR="007D344D" w14:paraId="09B35795" w14:textId="77777777" w:rsidTr="00B30898">
        <w:trPr>
          <w:trHeight w:val="343"/>
        </w:trPr>
        <w:tc>
          <w:tcPr>
            <w:tcW w:w="1805" w:type="dxa"/>
            <w:tcBorders>
              <w:top w:val="single" w:sz="4" w:space="0" w:color="808080"/>
              <w:left w:val="nil"/>
              <w:bottom w:val="single" w:sz="4" w:space="0" w:color="808080"/>
              <w:right w:val="nil"/>
            </w:tcBorders>
            <w:shd w:val="clear" w:color="auto" w:fill="auto"/>
            <w:vAlign w:val="center"/>
          </w:tcPr>
          <w:p w14:paraId="0C7E9468" w14:textId="5DA207E1"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lastRenderedPageBreak/>
              <w:t>(Nguyen et al 2018)</w:t>
            </w:r>
          </w:p>
        </w:tc>
        <w:tc>
          <w:tcPr>
            <w:tcW w:w="1985" w:type="dxa"/>
            <w:tcBorders>
              <w:top w:val="single" w:sz="4" w:space="0" w:color="808080"/>
              <w:left w:val="nil"/>
              <w:bottom w:val="single" w:sz="4" w:space="0" w:color="808080"/>
              <w:right w:val="nil"/>
            </w:tcBorders>
            <w:shd w:val="clear" w:color="auto" w:fill="auto"/>
            <w:vAlign w:val="center"/>
          </w:tcPr>
          <w:p w14:paraId="6F0FFF9E" w14:textId="2C152E43"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PPIs (general)</w:t>
            </w:r>
          </w:p>
        </w:tc>
        <w:tc>
          <w:tcPr>
            <w:tcW w:w="2022" w:type="dxa"/>
            <w:tcBorders>
              <w:top w:val="single" w:sz="4" w:space="0" w:color="808080"/>
              <w:left w:val="nil"/>
              <w:bottom w:val="single" w:sz="4" w:space="0" w:color="808080"/>
              <w:right w:val="nil"/>
            </w:tcBorders>
            <w:shd w:val="clear" w:color="auto" w:fill="auto"/>
            <w:vAlign w:val="center"/>
          </w:tcPr>
          <w:p w14:paraId="53CE462F" w14:textId="439C8CEB"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Biennial questionnaires.</w:t>
            </w:r>
          </w:p>
        </w:tc>
        <w:tc>
          <w:tcPr>
            <w:tcW w:w="2410" w:type="dxa"/>
            <w:tcBorders>
              <w:top w:val="single" w:sz="4" w:space="0" w:color="808080"/>
              <w:left w:val="nil"/>
              <w:bottom w:val="single" w:sz="4" w:space="0" w:color="808080"/>
              <w:right w:val="nil"/>
            </w:tcBorders>
            <w:shd w:val="clear" w:color="auto" w:fill="auto"/>
            <w:vAlign w:val="center"/>
          </w:tcPr>
          <w:p w14:paraId="2B676798" w14:textId="67D6DF45" w:rsidR="007D344D" w:rsidRPr="00E5015F" w:rsidRDefault="007D344D" w:rsidP="007D344D">
            <w:pPr>
              <w:spacing w:after="0" w:line="240" w:lineRule="auto"/>
              <w:rPr>
                <w:rFonts w:ascii="Calibri" w:eastAsia="Times New Roman" w:hAnsi="Calibri" w:cs="Times New Roman"/>
                <w:sz w:val="20"/>
                <w:szCs w:val="20"/>
                <w:lang w:eastAsia="en-CA"/>
              </w:rPr>
            </w:pPr>
            <w:r w:rsidRPr="00E5015F">
              <w:rPr>
                <w:rFonts w:ascii="Calibri" w:hAnsi="Calibri" w:cs="Calibri"/>
                <w:color w:val="000000"/>
                <w:sz w:val="20"/>
                <w:szCs w:val="20"/>
              </w:rPr>
              <w:t>Stroke (12 years)</w:t>
            </w:r>
          </w:p>
        </w:tc>
        <w:tc>
          <w:tcPr>
            <w:tcW w:w="1736" w:type="dxa"/>
            <w:tcBorders>
              <w:top w:val="single" w:sz="4" w:space="0" w:color="808080"/>
              <w:left w:val="nil"/>
              <w:bottom w:val="single" w:sz="4" w:space="0" w:color="808080"/>
              <w:right w:val="nil"/>
            </w:tcBorders>
            <w:shd w:val="clear" w:color="auto" w:fill="auto"/>
            <w:vAlign w:val="center"/>
          </w:tcPr>
          <w:p w14:paraId="38FE08FD" w14:textId="39405A58"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Medical records.</w:t>
            </w:r>
          </w:p>
        </w:tc>
        <w:tc>
          <w:tcPr>
            <w:tcW w:w="1160" w:type="dxa"/>
            <w:tcBorders>
              <w:top w:val="single" w:sz="4" w:space="0" w:color="808080"/>
              <w:left w:val="nil"/>
              <w:bottom w:val="single" w:sz="4" w:space="0" w:color="808080"/>
              <w:right w:val="nil"/>
            </w:tcBorders>
            <w:shd w:val="clear" w:color="auto" w:fill="auto"/>
            <w:vAlign w:val="center"/>
          </w:tcPr>
          <w:p w14:paraId="04AB926D" w14:textId="74D6BA9B"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2000-2012</w:t>
            </w:r>
          </w:p>
        </w:tc>
        <w:tc>
          <w:tcPr>
            <w:tcW w:w="1533" w:type="dxa"/>
            <w:tcBorders>
              <w:top w:val="single" w:sz="4" w:space="0" w:color="808080"/>
              <w:left w:val="nil"/>
              <w:bottom w:val="single" w:sz="4" w:space="0" w:color="808080"/>
              <w:right w:val="nil"/>
            </w:tcBorders>
            <w:shd w:val="clear" w:color="auto" w:fill="auto"/>
            <w:vAlign w:val="center"/>
          </w:tcPr>
          <w:p w14:paraId="451D2222" w14:textId="6CC1C7F0"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Public/non profit</w:t>
            </w:r>
          </w:p>
        </w:tc>
      </w:tr>
      <w:tr w:rsidR="007D344D" w14:paraId="7245CAA9" w14:textId="77777777" w:rsidTr="00B30898">
        <w:trPr>
          <w:trHeight w:val="343"/>
        </w:trPr>
        <w:tc>
          <w:tcPr>
            <w:tcW w:w="1805" w:type="dxa"/>
            <w:tcBorders>
              <w:top w:val="single" w:sz="4" w:space="0" w:color="808080"/>
              <w:left w:val="nil"/>
              <w:bottom w:val="single" w:sz="4" w:space="0" w:color="808080"/>
              <w:right w:val="nil"/>
            </w:tcBorders>
            <w:shd w:val="clear" w:color="auto" w:fill="auto"/>
            <w:vAlign w:val="center"/>
          </w:tcPr>
          <w:p w14:paraId="1BC15C27" w14:textId="6120374C"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(Wang et al 2017)</w:t>
            </w:r>
          </w:p>
        </w:tc>
        <w:tc>
          <w:tcPr>
            <w:tcW w:w="1985" w:type="dxa"/>
            <w:tcBorders>
              <w:top w:val="single" w:sz="4" w:space="0" w:color="808080"/>
              <w:left w:val="nil"/>
              <w:bottom w:val="single" w:sz="4" w:space="0" w:color="808080"/>
              <w:right w:val="nil"/>
            </w:tcBorders>
            <w:shd w:val="clear" w:color="auto" w:fill="auto"/>
            <w:vAlign w:val="center"/>
          </w:tcPr>
          <w:p w14:paraId="63F8F372" w14:textId="2BF65B37"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PPIs (general)</w:t>
            </w:r>
          </w:p>
        </w:tc>
        <w:tc>
          <w:tcPr>
            <w:tcW w:w="2022" w:type="dxa"/>
            <w:tcBorders>
              <w:top w:val="single" w:sz="4" w:space="0" w:color="808080"/>
              <w:left w:val="nil"/>
              <w:bottom w:val="single" w:sz="4" w:space="0" w:color="808080"/>
              <w:right w:val="nil"/>
            </w:tcBorders>
            <w:shd w:val="clear" w:color="auto" w:fill="auto"/>
            <w:vAlign w:val="center"/>
          </w:tcPr>
          <w:p w14:paraId="60A04DDB" w14:textId="25162972"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Prescription records/ database</w:t>
            </w:r>
          </w:p>
        </w:tc>
        <w:tc>
          <w:tcPr>
            <w:tcW w:w="2410" w:type="dxa"/>
            <w:tcBorders>
              <w:top w:val="single" w:sz="4" w:space="0" w:color="808080"/>
              <w:left w:val="nil"/>
              <w:bottom w:val="single" w:sz="4" w:space="0" w:color="808080"/>
              <w:right w:val="nil"/>
            </w:tcBorders>
            <w:shd w:val="clear" w:color="auto" w:fill="auto"/>
            <w:vAlign w:val="center"/>
          </w:tcPr>
          <w:p w14:paraId="00D7A48D" w14:textId="5E40B36F" w:rsidR="007D344D" w:rsidRPr="00E5015F" w:rsidRDefault="007D344D" w:rsidP="007D344D">
            <w:pPr>
              <w:spacing w:after="0" w:line="240" w:lineRule="auto"/>
              <w:rPr>
                <w:rFonts w:ascii="Calibri" w:eastAsia="Times New Roman" w:hAnsi="Calibri" w:cs="Times New Roman"/>
                <w:sz w:val="20"/>
                <w:szCs w:val="20"/>
                <w:lang w:eastAsia="en-CA"/>
              </w:rPr>
            </w:pPr>
            <w:r w:rsidRPr="00E5015F">
              <w:rPr>
                <w:rFonts w:ascii="Calibri" w:hAnsi="Calibri" w:cs="Calibri"/>
                <w:color w:val="000000"/>
                <w:sz w:val="20"/>
                <w:szCs w:val="20"/>
              </w:rPr>
              <w:t>First time stroke (4 months)</w:t>
            </w:r>
          </w:p>
        </w:tc>
        <w:tc>
          <w:tcPr>
            <w:tcW w:w="1736" w:type="dxa"/>
            <w:tcBorders>
              <w:top w:val="single" w:sz="4" w:space="0" w:color="808080"/>
              <w:left w:val="nil"/>
              <w:bottom w:val="single" w:sz="4" w:space="0" w:color="808080"/>
              <w:right w:val="nil"/>
            </w:tcBorders>
            <w:shd w:val="clear" w:color="auto" w:fill="auto"/>
            <w:vAlign w:val="center"/>
          </w:tcPr>
          <w:p w14:paraId="6BD06E77" w14:textId="73308BED"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Database</w:t>
            </w:r>
          </w:p>
        </w:tc>
        <w:tc>
          <w:tcPr>
            <w:tcW w:w="1160" w:type="dxa"/>
            <w:tcBorders>
              <w:top w:val="single" w:sz="4" w:space="0" w:color="808080"/>
              <w:left w:val="nil"/>
              <w:bottom w:val="single" w:sz="4" w:space="0" w:color="808080"/>
              <w:right w:val="nil"/>
            </w:tcBorders>
            <w:shd w:val="clear" w:color="auto" w:fill="auto"/>
            <w:vAlign w:val="center"/>
          </w:tcPr>
          <w:p w14:paraId="362AC2BE" w14:textId="287504CD"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2002-2012</w:t>
            </w:r>
          </w:p>
        </w:tc>
        <w:tc>
          <w:tcPr>
            <w:tcW w:w="1533" w:type="dxa"/>
            <w:tcBorders>
              <w:top w:val="single" w:sz="4" w:space="0" w:color="808080"/>
              <w:left w:val="nil"/>
              <w:bottom w:val="single" w:sz="4" w:space="0" w:color="808080"/>
              <w:right w:val="nil"/>
            </w:tcBorders>
            <w:shd w:val="clear" w:color="auto" w:fill="auto"/>
            <w:vAlign w:val="center"/>
          </w:tcPr>
          <w:p w14:paraId="217DCD9D" w14:textId="2C45F022"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Public/non profit</w:t>
            </w:r>
          </w:p>
        </w:tc>
      </w:tr>
      <w:tr w:rsidR="007D344D" w14:paraId="762015DE" w14:textId="77777777" w:rsidTr="00B30898">
        <w:trPr>
          <w:trHeight w:val="343"/>
        </w:trPr>
        <w:tc>
          <w:tcPr>
            <w:tcW w:w="1805" w:type="dxa"/>
            <w:tcBorders>
              <w:top w:val="single" w:sz="4" w:space="0" w:color="808080"/>
              <w:left w:val="nil"/>
              <w:bottom w:val="single" w:sz="4" w:space="0" w:color="808080"/>
              <w:right w:val="nil"/>
            </w:tcBorders>
            <w:shd w:val="clear" w:color="auto" w:fill="auto"/>
            <w:vAlign w:val="center"/>
          </w:tcPr>
          <w:p w14:paraId="2066ADA3" w14:textId="121A2305"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(Lei et al 2017)</w:t>
            </w:r>
          </w:p>
        </w:tc>
        <w:tc>
          <w:tcPr>
            <w:tcW w:w="1985" w:type="dxa"/>
            <w:tcBorders>
              <w:top w:val="single" w:sz="4" w:space="0" w:color="808080"/>
              <w:left w:val="nil"/>
              <w:bottom w:val="single" w:sz="4" w:space="0" w:color="808080"/>
              <w:right w:val="nil"/>
            </w:tcBorders>
            <w:shd w:val="clear" w:color="auto" w:fill="auto"/>
            <w:vAlign w:val="center"/>
          </w:tcPr>
          <w:p w14:paraId="1E2006F5" w14:textId="0FBE220E"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PPI (general)</w:t>
            </w:r>
          </w:p>
        </w:tc>
        <w:tc>
          <w:tcPr>
            <w:tcW w:w="2022" w:type="dxa"/>
            <w:tcBorders>
              <w:top w:val="single" w:sz="4" w:space="0" w:color="808080"/>
              <w:left w:val="nil"/>
              <w:bottom w:val="single" w:sz="4" w:space="0" w:color="808080"/>
              <w:right w:val="nil"/>
            </w:tcBorders>
            <w:shd w:val="clear" w:color="auto" w:fill="auto"/>
            <w:vAlign w:val="center"/>
          </w:tcPr>
          <w:p w14:paraId="4DB79615" w14:textId="0C2D1F26"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Outpatient pharmacy prescription records database</w:t>
            </w:r>
          </w:p>
        </w:tc>
        <w:tc>
          <w:tcPr>
            <w:tcW w:w="2410" w:type="dxa"/>
            <w:tcBorders>
              <w:top w:val="single" w:sz="4" w:space="0" w:color="808080"/>
              <w:left w:val="nil"/>
              <w:bottom w:val="single" w:sz="4" w:space="0" w:color="808080"/>
              <w:right w:val="nil"/>
            </w:tcBorders>
            <w:shd w:val="clear" w:color="auto" w:fill="auto"/>
            <w:vAlign w:val="center"/>
          </w:tcPr>
          <w:p w14:paraId="17057C7F" w14:textId="3A10A0CA" w:rsidR="007D344D" w:rsidRPr="00E5015F" w:rsidRDefault="007D344D" w:rsidP="007D344D">
            <w:pPr>
              <w:spacing w:after="0" w:line="240" w:lineRule="auto"/>
              <w:rPr>
                <w:rFonts w:ascii="Calibri" w:eastAsia="Times New Roman" w:hAnsi="Calibri" w:cs="Times New Roman"/>
                <w:sz w:val="20"/>
                <w:szCs w:val="20"/>
                <w:lang w:eastAsia="en-CA"/>
              </w:rPr>
            </w:pPr>
            <w:r w:rsidRPr="00E5015F">
              <w:rPr>
                <w:rFonts w:ascii="Calibri" w:hAnsi="Calibri" w:cs="Calibri"/>
                <w:color w:val="000000"/>
                <w:sz w:val="20"/>
                <w:szCs w:val="20"/>
              </w:rPr>
              <w:t>MI (12 years, median: 3.3 years)</w:t>
            </w:r>
          </w:p>
        </w:tc>
        <w:tc>
          <w:tcPr>
            <w:tcW w:w="1736" w:type="dxa"/>
            <w:tcBorders>
              <w:top w:val="single" w:sz="4" w:space="0" w:color="808080"/>
              <w:left w:val="nil"/>
              <w:bottom w:val="single" w:sz="4" w:space="0" w:color="808080"/>
              <w:right w:val="nil"/>
            </w:tcBorders>
            <w:shd w:val="clear" w:color="auto" w:fill="auto"/>
            <w:vAlign w:val="center"/>
          </w:tcPr>
          <w:p w14:paraId="4885D7F2" w14:textId="2AF530C3"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Database</w:t>
            </w:r>
          </w:p>
        </w:tc>
        <w:tc>
          <w:tcPr>
            <w:tcW w:w="1160" w:type="dxa"/>
            <w:tcBorders>
              <w:top w:val="single" w:sz="4" w:space="0" w:color="808080"/>
              <w:left w:val="nil"/>
              <w:bottom w:val="single" w:sz="4" w:space="0" w:color="808080"/>
              <w:right w:val="nil"/>
            </w:tcBorders>
            <w:shd w:val="clear" w:color="auto" w:fill="auto"/>
            <w:vAlign w:val="center"/>
          </w:tcPr>
          <w:p w14:paraId="51BA4783" w14:textId="1B5C7857" w:rsidR="007D344D" w:rsidRPr="00E5015F" w:rsidRDefault="007D344D"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2000-2011</w:t>
            </w:r>
          </w:p>
        </w:tc>
        <w:tc>
          <w:tcPr>
            <w:tcW w:w="1533" w:type="dxa"/>
            <w:tcBorders>
              <w:top w:val="single" w:sz="4" w:space="0" w:color="808080"/>
              <w:left w:val="nil"/>
              <w:bottom w:val="single" w:sz="4" w:space="0" w:color="808080"/>
              <w:right w:val="nil"/>
            </w:tcBorders>
            <w:shd w:val="clear" w:color="auto" w:fill="auto"/>
            <w:vAlign w:val="center"/>
          </w:tcPr>
          <w:p w14:paraId="72565C4E" w14:textId="7123DFEB" w:rsidR="007D344D" w:rsidRPr="00E5015F" w:rsidRDefault="00E5015F" w:rsidP="007D344D">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Non-profit</w:t>
            </w:r>
          </w:p>
        </w:tc>
      </w:tr>
      <w:tr w:rsidR="00B842AC" w14:paraId="3355EF81" w14:textId="77777777" w:rsidTr="00B30898">
        <w:trPr>
          <w:trHeight w:val="855"/>
        </w:trPr>
        <w:tc>
          <w:tcPr>
            <w:tcW w:w="1805" w:type="dxa"/>
            <w:tcBorders>
              <w:top w:val="nil"/>
              <w:left w:val="nil"/>
              <w:bottom w:val="single" w:sz="4" w:space="0" w:color="808080"/>
              <w:right w:val="nil"/>
            </w:tcBorders>
            <w:shd w:val="clear" w:color="auto" w:fill="auto"/>
            <w:vAlign w:val="center"/>
            <w:hideMark/>
          </w:tcPr>
          <w:p w14:paraId="7B3896A7" w14:textId="2AF768CB"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{"citationItems":[{"id":"ITEM-1","itemData":{"ISBN":"0003-4819","ISSN":"1539-3704","abstract":"Background: Controversy remains on whether the dual use of clopidogrel and proton-pump inhibitors (PPIs) affects clinical efficacy of clopidogrel. Objective: To examine the risk for adverse cardiovascular outcomes related to concomitant use of PPIs and clopidogrel compared with that of PPIs alone in adults hospitalized for myocardial infarction. Design: A nationwide cohort study based on linked administrative registry data. Setting: All hospitals in Denmark. Patients: All patients discharged after first-time myocardial infarction from 2000 to 2006. Measurements: The primary outcome was a composite of rehospitalization for myocardial infarction or stroke or cardiovascular death. Patients were examined at several assembly time points, including 7, 14, 21, and 30 days after myocardial infarction. Follow-up was 1 year. Results: Of 56 406 included patients, 9137 (16.2%) were rehospitalized for myocardial infarction or stroke or experienced cardiovascular death. Of the 24 702 patients (43.8%) who received clopidogrel, 6753 (27.3%) received concomitant PPIs. The hazard ratio for cardiovascular death or rehospitalization for myocardial infarction or stroke for concomitant use of a PPI and clopidogrel among the cohort assembled at day 30 after discharge was 1.29 (95% CI, 1.17 to 1.42). The corresponding ratio for use of a PPI in patients who did not receive clopidogrel was 1.29 (CI, 1.21 to 1.37). No statistically significant interaction occurred between a PPI and clopidogrel (P = 0.72). Limitations: Unmeasured and residual confounding, time-varying measurement errors of exposure, and biases from survival effects were possible. Conclusion: Proton-pump inhibitors seem to be associated with increased risk for adverse cardiovascular outcomes after discharge, regardless of clopidogrel use for myocardial infarction. Dual PPI and clopidogrel use was not associated with any additional risk for adverse cardiovascular events over that observed for patients prescribed a PPI alone. Primary Funding Source: The Danish Medical Research Council and the Danish Heart Foundation. © 2010 American College of Physicians.","author":[{"dropping-particle":"","family":"Charlot","given":"Mette","non-dropping-particle":"","parse-names":false,"suffix":""},{"dropping-particle":"","family":"Ahlehoff","given":"Ole","non-dropping-particle":"","parse-names":false,"suffix":""},{"dropping-particle":"","family":"Norgaard","given":"Mette Lykke","non-dropping-particle":"","parse-names":false,"suffix":""},{"dropping-particle":"","family":"Jorgensen","given":"Casper H","non-dropping-particle":"","parse-names":false,"suffix":""},{"dropping-particle":"","family":"Sorensen","given":"Rikke","non-dropping-particle":"","parse-names":false,"suffix":""},{"dropping-particle":"","family":"Abildstrom","given":"Steen Z","non-dropping-particle":"","parse-names":false,"suffix":""},{"dropping-particle":"","family":"Hansen","given":"Peter Riis","non-dropping-particle":"","parse-names":false,"suffix":""},{"dropping-particle":"","family":"Madsen","given":"Jan Kyst","non-dropping-particle":"","parse-names":false,"suffix":""},{"dropping-particle":"","family":"Kober","given":"Lars","non-dropping-particle":"","parse-names":false,"suffix":""},{"dropping-particle":"","family":"Torp-Pedersen","given":"Christian","non-dropping-particle":"","parse-names":false,"suffix":""},{"dropping-particle":"","family":"Gislason","given":"Gunnar","non-dropping-particle":"","parse-names":false,"suffix":""},{"dropping-particle":"","family":"M.","given":"Charlot","non-dropping-particle":"","parse-names":false,"suffix":""},{"dropping-particle":"","family":"O.","given":"Ahlehoff","non-dropping-particle":"","parse-names":false,"suffix":""},{"dropping-particle":"","family":"M.L.","given":"Norgaard","non-dropping-particle":"","parse-names":false,"suffix":""},{"dropping-particle":"","family":"C.H.","given":"Jorgensen","non-dropping-particle":"","parse-names":false,"suffix":""},{"dropping-particle":"","family":"R.","given":"Sorensen","non-dropping-particle":"","parse-names":false,"suffix":""},{"dropping-particle":"","family":"S.Z.","given":"Abildstrom","non-dropping-particle":"","parse-names":false,"suffix":""},{"dropping-particle":"","family":"P.R.","given":"Hansen","non-dropping-particle":"","parse-names":false,"suffix":""},{"dropping-particle":"","family":"J.K.","given":"Madsen","non-dropping-particle":"","parse-names":false,"suffix":""},{"dropping-particle":"","family":"L.","given":"Kober","non-dropping-particle":"","parse-names":false,"suffix":""},{"dropping-particle":"","family":"C.","given":"Torp-Pedersen","non-dropping-particle":"","parse-names":false,"suffix":""},{"dropping-particle":"","family":"G.","given":"Gislason","non-dropping-particle":"","parse-names":false,"suffix":""}],"collection-title":"[Erratum appears in Ann Intern Med. 2011 Jan 4;154(1):76]","container-title":"Annals of internal medicine","id":"ITEM-1","issue":"6","issued":{"date-parts":[["2010"]]},"note":"738\n\nFrom Duplicate 2 (Proton-pump inhibitors are associated with increased cardiovascular risk independent of clopidogrel use: a nationwide cohort study. - Charlot, Mette; Ahlehoff, Ole; Norgaard, Mette Lykke; Jorgensen, Casper H; Sorensen, Rikke; Abildstrom, Steen Z; Hansen, Peter Riis; Madsen, Jan Kyst; Kober, Lars; Torp-Pedersen, Christian; Gislason, Gunnar)\n\nComment in: Ann Intern Med. 2010 Sep 21;153(6):413-5; PMID: 20855806, Comment in: Ann Intern Med. 2010 Dec 21;153(12):JC6-13; PMID: 21173402","page":"378-386","publisher":"American College of Physicians (190 N. Indenpence Mall West, Philadelphia PA 19106-1572, United States)","publisher-place":"United States","title":"Proton-pump inhibitors are associated with increased cardiovascular risk independent of clopidogrel use: A nationwide cohort study","type":"article-journal","volume":"153"},"uris":["http://www.mendeley.com/documents/?uuid=635d380f-5f01-47cc-857d-b442de1e24ac"]}],"mendeley":{"formattedCitation":"(Charlot et al. 2010)","plainTextFormattedCitation":"(Charlot et al. 2010)","previouslyFormattedCitation":"(Charlot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(Charlot et al. 2010)</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shd w:val="clear" w:color="auto" w:fill="auto"/>
            <w:vAlign w:val="center"/>
            <w:hideMark/>
          </w:tcPr>
          <w:p w14:paraId="44F88CF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shd w:val="clear" w:color="auto" w:fill="auto"/>
            <w:vAlign w:val="center"/>
            <w:hideMark/>
          </w:tcPr>
          <w:p w14:paraId="0E44A2C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National prescription registry (PPI prescriptions obtained up till 1 year after discharge)</w:t>
            </w:r>
          </w:p>
        </w:tc>
        <w:tc>
          <w:tcPr>
            <w:tcW w:w="2410" w:type="dxa"/>
            <w:tcBorders>
              <w:top w:val="nil"/>
              <w:left w:val="nil"/>
              <w:bottom w:val="single" w:sz="4" w:space="0" w:color="808080"/>
              <w:right w:val="nil"/>
            </w:tcBorders>
            <w:shd w:val="clear" w:color="auto" w:fill="auto"/>
            <w:vAlign w:val="center"/>
            <w:hideMark/>
          </w:tcPr>
          <w:p w14:paraId="7A260F0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 year)</w:t>
            </w:r>
            <w:r>
              <w:rPr>
                <w:rFonts w:ascii="Calibri" w:eastAsia="Times New Roman" w:hAnsi="Calibri" w:cs="Times New Roman"/>
                <w:color w:val="000000"/>
                <w:sz w:val="20"/>
                <w:szCs w:val="20"/>
                <w:lang w:eastAsia="en-CA"/>
              </w:rPr>
              <w:br/>
              <w:t>Stroke (1 year)</w:t>
            </w:r>
            <w:r>
              <w:rPr>
                <w:rFonts w:ascii="Calibri" w:eastAsia="Times New Roman" w:hAnsi="Calibri" w:cs="Times New Roman"/>
                <w:color w:val="000000"/>
                <w:sz w:val="20"/>
                <w:szCs w:val="20"/>
                <w:lang w:eastAsia="en-CA"/>
              </w:rPr>
              <w:br/>
              <w:t>ACM (1 year)</w:t>
            </w:r>
            <w:r>
              <w:rPr>
                <w:rFonts w:ascii="Calibri" w:eastAsia="Times New Roman" w:hAnsi="Calibri" w:cs="Times New Roman"/>
                <w:color w:val="000000"/>
                <w:sz w:val="20"/>
                <w:szCs w:val="20"/>
                <w:lang w:eastAsia="en-CA"/>
              </w:rPr>
              <w:br/>
              <w:t>CVD mort (1 year)</w:t>
            </w:r>
          </w:p>
        </w:tc>
        <w:tc>
          <w:tcPr>
            <w:tcW w:w="1736" w:type="dxa"/>
            <w:tcBorders>
              <w:top w:val="nil"/>
              <w:left w:val="nil"/>
              <w:bottom w:val="single" w:sz="4" w:space="0" w:color="808080"/>
              <w:right w:val="nil"/>
            </w:tcBorders>
            <w:shd w:val="clear" w:color="auto" w:fill="auto"/>
            <w:vAlign w:val="center"/>
            <w:hideMark/>
          </w:tcPr>
          <w:p w14:paraId="211B4BB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Danish National Patient Registry</w:t>
            </w:r>
          </w:p>
        </w:tc>
        <w:tc>
          <w:tcPr>
            <w:tcW w:w="1160" w:type="dxa"/>
            <w:tcBorders>
              <w:top w:val="nil"/>
              <w:left w:val="nil"/>
              <w:bottom w:val="single" w:sz="4" w:space="0" w:color="808080"/>
              <w:right w:val="nil"/>
            </w:tcBorders>
            <w:shd w:val="clear" w:color="auto" w:fill="auto"/>
            <w:vAlign w:val="center"/>
            <w:hideMark/>
          </w:tcPr>
          <w:p w14:paraId="2F35ADE3"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2000-2006</w:t>
            </w:r>
          </w:p>
        </w:tc>
        <w:tc>
          <w:tcPr>
            <w:tcW w:w="1533" w:type="dxa"/>
            <w:tcBorders>
              <w:top w:val="nil"/>
              <w:left w:val="nil"/>
              <w:bottom w:val="single" w:sz="4" w:space="0" w:color="808080"/>
              <w:right w:val="nil"/>
            </w:tcBorders>
            <w:shd w:val="clear" w:color="auto" w:fill="auto"/>
            <w:vAlign w:val="center"/>
            <w:hideMark/>
          </w:tcPr>
          <w:p w14:paraId="395CAC9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6B3A4CC3" w14:textId="77777777" w:rsidTr="00B842AC">
        <w:trPr>
          <w:trHeight w:val="229"/>
        </w:trPr>
        <w:tc>
          <w:tcPr>
            <w:tcW w:w="1805" w:type="dxa"/>
            <w:tcBorders>
              <w:top w:val="nil"/>
              <w:left w:val="nil"/>
              <w:bottom w:val="single" w:sz="4" w:space="0" w:color="808080"/>
              <w:right w:val="nil"/>
            </w:tcBorders>
            <w:vAlign w:val="center"/>
            <w:hideMark/>
          </w:tcPr>
          <w:p w14:paraId="02D1E8C1" w14:textId="0EBD4A9A"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{"citationItems":[{"id":"ITEM-1","itemData":{"ISBN":"1747-4930","ISSN":"1747-4949","abstract":"BACKGROUND: Antiplatelet therapy is known to decrease the risk of secondary ischemic stroke. However, the effectiveness and safety of antiplatelet therapy in patients with end-stage renal disease are uncertain, especially in dialysis., AIMS AND/OR HYPOTHESIS: We estimated the effectiveness and safety of antiplatelet drugs (aspirin and clopidogrel) for the prevention of recurrent ischemic stroke in end-stage renal disease patients undergoing dialysis during long-term follow-up after first-time ischemic stroke., METHODS: The cases were identified from the National Health Insurance Research Database. Antiplatelet therapy was administered for 11 years to patients experiencing a first ischemic stroke between 1998 and 2006. Primary outcomes, including death and readmission to hospital for stroke, and secondary outcomes, including death, stroke, and acute myocardial infarction or bleeding, were examined., RESULTS: In total, 1936 patients experienced a first ischemic stroke during the follow-up. In a time-dependent analysis, the hazard ratio for primary outcomes in patients treated with aspirin was 0671 (P&lt;0001) and that for clopidogrel was 0933 (P=0497). At secondary outcomes, patients treated with aspirin, hazard ratio for readmission for stroke was 0715 (P=0002) and that for bleeding was 0885 (P=0291). Independent risk factors for mortality and readmission due to ischemic stroke included age, diabetes mellitus, and administration of proton pump inhibitors., CONCLUSIONS: Antiplatelet therapy, especially aspirin, still offers safe and effective treatment for ischemic stroke prevention in patients with end-stage renal disease undergoing dialysis.Copyright © 2014 The Authors. International Journal of Stroke © 2014 World Stroke Organization.","author":[{"dropping-particle":"","family":"Chen","given":"Chung-Yu","non-dropping-particle":"","parse-names":false,"suffix":""},{"dropping-particle":"","family":"Lee","given":"Kun-Tai","non-dropping-particle":"","parse-names":false,"suffix":""},{"dropping-particle":"","family":"Lee","given":"Charles Tzu-Chi","non-dropping-particle":"","parse-names":false,"suffix":""},{"dropping-particle":"","family":"Lai","given":"Wen-Ter","non-dropping-particle":"","parse-names":false,"suffix":""},{"dropping-particle":"","family":"Huang","given":"Yaw-Bin","non-dropping-particle":"","parse-names":false,"suffix":""}],"container-title":"International journal of stroke : official journal of the International Stroke Society","id":"ITEM-1","issue":"5","issued":{"date-parts":[["2014"]]},"note":"202","page":"580-590","publisher":"Chen,Chung-Yu. School of Pharmacy, Kaohsiung Medical University, Kaohsiung, Taiwan.","publisher-place":"England","title":"Effectiveness and safety of antiplatelet in stroke patients with end-stage renal disease undergoing dialysis.","type":"article-journal","volume":"9"},"uris":["http://www.mendeley.com/documents/?uuid=e4b0dcbe-6c41-43ce-a7f6-630e58caa94d"]}],"mendeley":{"formattedCitation":"(Chen et al. 2014)","plainTextFormattedCitation":"(Chen et al. 2014)","previouslyFormattedCitation":"(Chen et al. 2014)"},"properties":{"noteIndex":0},"schema":"https://github.com/citation-style-language/schema/raw/master/csl-citation.json"}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(Chen et al. 2014)</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49DAF32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6FAE099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Health insurance database</w:t>
            </w:r>
          </w:p>
        </w:tc>
        <w:tc>
          <w:tcPr>
            <w:tcW w:w="2410" w:type="dxa"/>
            <w:tcBorders>
              <w:top w:val="nil"/>
              <w:left w:val="nil"/>
              <w:bottom w:val="single" w:sz="4" w:space="0" w:color="808080"/>
              <w:right w:val="nil"/>
            </w:tcBorders>
            <w:vAlign w:val="center"/>
            <w:hideMark/>
          </w:tcPr>
          <w:p w14:paraId="02B3A79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Stroke (11 years)</w:t>
            </w:r>
            <w:r>
              <w:rPr>
                <w:rFonts w:ascii="Calibri" w:eastAsia="Times New Roman" w:hAnsi="Calibri" w:cs="Times New Roman"/>
                <w:color w:val="000000"/>
                <w:sz w:val="20"/>
                <w:szCs w:val="20"/>
                <w:lang w:eastAsia="en-CA"/>
              </w:rPr>
              <w:br/>
              <w:t>ACM  (11 years)</w:t>
            </w:r>
          </w:p>
        </w:tc>
        <w:tc>
          <w:tcPr>
            <w:tcW w:w="1736" w:type="dxa"/>
            <w:tcBorders>
              <w:top w:val="nil"/>
              <w:left w:val="nil"/>
              <w:bottom w:val="single" w:sz="4" w:space="0" w:color="808080"/>
              <w:right w:val="nil"/>
            </w:tcBorders>
            <w:vAlign w:val="center"/>
            <w:hideMark/>
          </w:tcPr>
          <w:p w14:paraId="4131713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Patient records</w:t>
            </w:r>
          </w:p>
        </w:tc>
        <w:tc>
          <w:tcPr>
            <w:tcW w:w="1160" w:type="dxa"/>
            <w:tcBorders>
              <w:top w:val="nil"/>
              <w:left w:val="nil"/>
              <w:bottom w:val="single" w:sz="4" w:space="0" w:color="808080"/>
              <w:right w:val="nil"/>
            </w:tcBorders>
            <w:vAlign w:val="center"/>
            <w:hideMark/>
          </w:tcPr>
          <w:p w14:paraId="20D16CFB"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1998-2006</w:t>
            </w:r>
          </w:p>
        </w:tc>
        <w:tc>
          <w:tcPr>
            <w:tcW w:w="1533" w:type="dxa"/>
            <w:tcBorders>
              <w:top w:val="nil"/>
              <w:left w:val="nil"/>
              <w:bottom w:val="single" w:sz="4" w:space="0" w:color="808080"/>
              <w:right w:val="nil"/>
            </w:tcBorders>
            <w:vAlign w:val="center"/>
            <w:hideMark/>
          </w:tcPr>
          <w:p w14:paraId="1D4E986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3188FC3D" w14:textId="77777777" w:rsidTr="00B842AC">
        <w:trPr>
          <w:trHeight w:val="855"/>
        </w:trPr>
        <w:tc>
          <w:tcPr>
            <w:tcW w:w="1805" w:type="dxa"/>
            <w:tcBorders>
              <w:top w:val="nil"/>
              <w:left w:val="nil"/>
              <w:bottom w:val="single" w:sz="4" w:space="0" w:color="808080"/>
              <w:right w:val="nil"/>
            </w:tcBorders>
            <w:vAlign w:val="center"/>
            <w:hideMark/>
          </w:tcPr>
          <w:p w14:paraId="369FB366" w14:textId="302BD2C1"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{"citationItems":[{"id":"ITEM-1","itemData":{"ISSN":"1347-4820","abstract":"BACKGROUND: The aim of this study was to examine the effect of proton-pump inhibitor (PPI) on clinical outcomes in Japanese patients who undergo coronary stent implantation., METHODS AND RESULTS: A total of 1,270 patients (males 915, 69 years) were enrolled and dual antiplatelet therapy of aspirin and a thienopyridine derivative was prescribed (clopidogrel 630, ticlopidine 640). Patients were divided into 2 groups treated with or without PPI. PPI was administered in 331 cases (26%), and non-PPI in 939 (74%). There were no significant differences in cardiovascular death (PPI vs. non-PPI: 5 vs. 11 cases), nonfatal myocardial infarction (3 vs. 5), and stroke (3 vs. 16) between PPI and non-PPI groups, but the ratio of gastrointestinal events had a higher tendency in non-PPI group compared with PPI group (1 vs. 17, P=0.08). In subgroup analysis of patients taking clopidogrel, or patients with acute coronary syndrome, there was no significant difference in the ratio of cardiovascular events (7 vs. 16, 6 vs. 17, NS). The non-PPI group had a tendency of an increased risk of gastrointestinal events compared with the PPI group (0 vs. 9, P=0.06; 1 vs. 7, P=0.14)., CONCLUSIONS: In contrast to the negative drug interaction of PPI reported elsewhere, in the present study the intake of PPI was not associated with an increased risk for adverse clinical outcomes in patients treated with stents.","author":[{"dropping-particle":"","family":"Chitose","given":"Tadasuke","non-dropping-particle":"","parse-names":false,"suffix":""},{"dropping-particle":"","family":"Hokimoto","given":"Seiji","non-dropping-particle":"","parse-names":false,"suffix":""},{"dropping-particle":"","family":"Oshima","given":"Shuichi","non-dropping-particle":"","parse-names":false,"suffix":""},{"dropping-particle":"","family":"Nakao","given":"Koichi","non-dropping-particle":"","parse-names":false,"suffix":""},{"dropping-particle":"","family":"Fujimoto","given":"Kazuteru","non-dropping-particle":"","parse-names":false,"suffix":""},{"dropping-particle":"","family":"Miyao","given":"Yuji","non-dropping-particle":"","parse-names":false,"suffix":""},{"dropping-particle":"","family":"Shimomura","given":"Hideki","non-dropping-particle":"","parse-names":false,"suffix":""},{"dropping-particle":"","family":"Tsunoda","given":"Ryusuke","non-dropping-particle":"","parse-names":false,"suffix":""},{"dropping-particle":"","family":"Maruyama","given":"Hideki","non-dropping-particle":"","parse-names":false,"suffix":""},{"dropping-particle":"","family":"Hirose","given":"Toyoki","non-dropping-particle":"","parse-names":false,"suffix":""},{"dropping-particle":"","family":"Yamamoto","given":"Koichiro","non-dropping-particle":"","parse-names":false,"suffix":""},{"dropping-particle":"","family":"Mizobe","given":"Michio","non-dropping-particle":"","parse-names":false,"suffix":""},{"dropping-particle":"","family":"Kaikita","given":"Koichi","non-dropping-particle":"","parse-names":false,"suffix":""},{"dropping-particle":"","family":"Nakamura","given":"Sunao","non-dropping-particle":"","parse-names":false,"suffix":""},{"dropping-particle":"","family":"Ogawa","given":"Hisao","non-dropping-particle":"","parse-names":false,"suffix":""}],"container-title":"Circulation journal : official journal of the Japanese Circulation Society","id":"ITEM-1","issue":"1","issued":{"date-parts":[["2012"]]},"note":"495","page":"71-78","publisher":"Chitose,Tadasuke. Department of Cardiovascular Medicine, Graduate School of Medical Sciences, Kumamoto University, Kumamoto, Japan.","publisher-place":"Japan","title":"Clinical outcomes following coronary stenting in Japanese patients treated with and without proton pump inhibitor.","type":"article-journal","volume":"76"},"uris":["http://www.mendeley.com/documents/?uuid=bd780bc7-c9e6-4bf3-97c4-0cd4563f3392"]}],"mendeley":{"formattedCitation":"(Chitose et al. 2012)","plainTextFormattedCitation":"(Chitose et al. 2012)","previouslyFormattedCitation":"(Chitose et al. 2012)"},"properties":{"noteIndex":0},"schema":"https://github.com/citation-style-language/schema/raw/master/csl-citation.json"}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(Chitose et al. 2012)</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27B232E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7A56F85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Registry.  Compliance with drugs was confirmed. </w:t>
            </w:r>
          </w:p>
        </w:tc>
        <w:tc>
          <w:tcPr>
            <w:tcW w:w="2410" w:type="dxa"/>
            <w:tcBorders>
              <w:top w:val="nil"/>
              <w:left w:val="nil"/>
              <w:bottom w:val="single" w:sz="4" w:space="0" w:color="808080"/>
              <w:right w:val="nil"/>
            </w:tcBorders>
            <w:vAlign w:val="center"/>
            <w:hideMark/>
          </w:tcPr>
          <w:p w14:paraId="7582258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(18 months)</w:t>
            </w:r>
            <w:r>
              <w:rPr>
                <w:rFonts w:ascii="Calibri" w:eastAsia="Times New Roman" w:hAnsi="Calibri" w:cs="Times New Roman"/>
                <w:color w:val="000000"/>
                <w:sz w:val="20"/>
                <w:szCs w:val="20"/>
                <w:lang w:eastAsia="en-CA"/>
              </w:rPr>
              <w:br/>
              <w:t>Stroke (18 months)</w:t>
            </w:r>
            <w:r>
              <w:rPr>
                <w:rFonts w:ascii="Calibri" w:eastAsia="Times New Roman" w:hAnsi="Calibri" w:cs="Times New Roman"/>
                <w:color w:val="000000"/>
                <w:sz w:val="20"/>
                <w:szCs w:val="20"/>
                <w:lang w:eastAsia="en-CA"/>
              </w:rPr>
              <w:br/>
              <w:t>CVD mort (18 months)</w:t>
            </w:r>
          </w:p>
        </w:tc>
        <w:tc>
          <w:tcPr>
            <w:tcW w:w="1736" w:type="dxa"/>
            <w:tcBorders>
              <w:top w:val="nil"/>
              <w:left w:val="nil"/>
              <w:bottom w:val="single" w:sz="4" w:space="0" w:color="808080"/>
              <w:right w:val="nil"/>
            </w:tcBorders>
            <w:vAlign w:val="center"/>
            <w:hideMark/>
          </w:tcPr>
          <w:p w14:paraId="1CE78D7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Hospital records; clinical and radiological evidence (stroke)</w:t>
            </w:r>
          </w:p>
        </w:tc>
        <w:tc>
          <w:tcPr>
            <w:tcW w:w="1160" w:type="dxa"/>
            <w:tcBorders>
              <w:top w:val="nil"/>
              <w:left w:val="nil"/>
              <w:bottom w:val="single" w:sz="4" w:space="0" w:color="808080"/>
              <w:right w:val="nil"/>
            </w:tcBorders>
            <w:vAlign w:val="center"/>
            <w:hideMark/>
          </w:tcPr>
          <w:p w14:paraId="7A2B79E0"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2008-2009</w:t>
            </w:r>
          </w:p>
        </w:tc>
        <w:tc>
          <w:tcPr>
            <w:tcW w:w="1533" w:type="dxa"/>
            <w:tcBorders>
              <w:top w:val="nil"/>
              <w:left w:val="nil"/>
              <w:bottom w:val="single" w:sz="4" w:space="0" w:color="808080"/>
              <w:right w:val="nil"/>
            </w:tcBorders>
            <w:vAlign w:val="center"/>
            <w:hideMark/>
          </w:tcPr>
          <w:p w14:paraId="70EF908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rsidRPr="008558D2" w14:paraId="21AAD130" w14:textId="77777777" w:rsidTr="00B842AC">
        <w:trPr>
          <w:trHeight w:val="165"/>
        </w:trPr>
        <w:tc>
          <w:tcPr>
            <w:tcW w:w="1805" w:type="dxa"/>
            <w:tcBorders>
              <w:top w:val="nil"/>
              <w:left w:val="nil"/>
              <w:bottom w:val="single" w:sz="4" w:space="0" w:color="808080"/>
              <w:right w:val="nil"/>
            </w:tcBorders>
            <w:vAlign w:val="center"/>
            <w:hideMark/>
          </w:tcPr>
          <w:p w14:paraId="6F417E9C" w14:textId="5685EC39" w:rsidR="00B842AC" w:rsidRDefault="00B842AC" w:rsidP="00B842AC">
            <w:pPr>
              <w:spacing w:after="0" w:line="240" w:lineRule="auto"/>
              <w:rPr>
                <w:rFonts w:ascii="Calibri" w:eastAsia="Times New Roman" w:hAnsi="Calibri" w:cs="Times New Roman"/>
                <w:color w:val="000000"/>
                <w:sz w:val="20"/>
                <w:szCs w:val="20"/>
                <w:lang w:val="fr-CA"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{"citationItems":[{"id":"ITEM-1","itemData":{"ISBN":"0195-668X","ISSN":"1522-9645","abstract":"AIMS: Randomized clinical trials have shown that statins can reduce mortality after acute myocardial infarction (AMI). However, the impact of changes in patterns of statin use, particularly stopping statins, on survival post-AMI is unknown. Our objective was to estimate the extent to which different patterns of statin use are associated with post-AMI mortality., METHODS AND RESULTS: Population-based, cohort study, from 2002 through 2004 in the United Kingdom General Practice Research Database (GPRD), involving patients surviving 90 days after their first AMI. Past statin use was defined as any statin prescription within 90 days before AMI; statin use post-AMI as any statin prescription within 90 days after AMI. Cohort entry was at day 90 post-AMI; subjects were followed for 1 year. Four groups were identified: (i) non-users (patients never on statins); (ii) users (on statins before and continued post-AMI); (iii) starters (started statins after the event); and (iv) stoppers (stopped statins after the event). Hazard ratios (HRs) were estimated using Cox proportional hazards model. The main outcome measure was 1-year all-cause mortality. The cohort included 9939 AMI survivors (mean age: 68.4 +/- 12.8 years; 60.3% men), 22.7% of whom were not prescribed a statin post-AMI. When the non-user group (n = 2124) was considered as the reference, the adjusted HRs (95% confidence intervals) of death were 0.84 (0.66-1.09) for users (n = 2026), 0.72 (0.57-0.90) for starters (n = 5652), and 1.88 (1.13-3.07) for stoppers (n = 137). Stoppers of control medications (aspirin, beta-blockers, and proton pump inhibitors) were not associated with increased mortality., CONCLUSION: Discontinuation of statins in survivors of a first AMI was relatively rare in this cohort. However, statin discontinuation was associated with higher total mortality and this may represent a biological rebound or/and a risk-treatment mismatch phenomenon, where treatment is withdrawn from very ill patients. While awaiting further research, at present statin use should only be withdrawn under judicious clinical supervision.","author":[{"dropping-particle":"","family":"Daskalopoulou","given":"Stella S","non-dropping-particle":"","parse-names":false,"suffix":""},{"dropping-particle":"","family":"Delaney","given":"Joseph A C","non-dropping-particle":"","parse-names":false,"suffix":""},{"dropping-particle":"","family":"Filion","given":"Kristian B","non-dropping-particle":"","parse-names":false,"suffix":""},{"dropping-particle":"","family":"Brophy","given":"James M","non-dropping-particle":"","parse-names":false,"suffix":""},{"dropping-particle":"","family":"Mayo","given":"Nancy E","non-dropping-particle":"","parse-names":false,"suffix":""},{"dropping-particle":"","family":"Suissa","given":"Samy","non-dropping-particle":"","parse-names":false,"suffix":""}],"container-title":"European heart journal","id":"ITEM-1","issue":"17","issued":{"date-parts":[["2008"]]},"note":"869\nFrom Duplicate 2 (Discontinuation of statin therapy following an acute myocardial infarction: a population-based study. - Daskalopoulou, Stella S; Delaney, Joseph A C; Filion, Kristian B; Brophy, James M; Mayo, Nancy E; Suissa, Samy)\n\nComment in: Eur Heart J. 2008 Sep;29(17):2061-3; PMID: 18676969","page":"2083-2091","publisher":"Oxford University Press","publisher-place":"England","title":"Discontinuation of statin therapy following an acute myocardial infarction: a population-based study.","type":"article-journal","volume":"29"},"uris":["http://www.mendeley.com/documents/?uuid=c977ae04-1c07-4e85-bc33-44bdc5db473d"]}],"mendeley":{"formattedCitation":"(Daskalopoulou et al. 2008)","plainTextFormattedCitation":"(Daskalopoulou et al. 2008)","previouslyFormattedCitation":"(Daskalopoulou et al. 2008)"},"properties":{"noteIndex":0},"schema":"https://github.com/citation-style-language/schema/raw/master/csl-citation.json"}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val="fr-CA" w:eastAsia="en-CA"/>
              </w:rPr>
              <w:t>(Daskalopoulou et al. 2008)</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3EA30754" w14:textId="77777777" w:rsidR="00B842AC" w:rsidRDefault="00B842AC" w:rsidP="00B842AC">
            <w:pPr>
              <w:spacing w:after="0" w:line="240" w:lineRule="auto"/>
              <w:rPr>
                <w:rFonts w:ascii="Calibri" w:eastAsia="Times New Roman" w:hAnsi="Calibri" w:cs="Times New Roman"/>
                <w:color w:val="000000"/>
                <w:sz w:val="20"/>
                <w:szCs w:val="20"/>
                <w:lang w:val="fr-CA" w:eastAsia="en-CA"/>
              </w:rPr>
            </w:pPr>
            <w:r>
              <w:rPr>
                <w:rFonts w:ascii="Calibri" w:eastAsia="Times New Roman" w:hAnsi="Calibri" w:cs="Times New Roman"/>
                <w:color w:val="000000"/>
                <w:sz w:val="20"/>
                <w:szCs w:val="20"/>
                <w:lang w:val="fr-CA" w:eastAsia="en-CA"/>
              </w:rPr>
              <w:t>PPIs (general)</w:t>
            </w:r>
          </w:p>
        </w:tc>
        <w:tc>
          <w:tcPr>
            <w:tcW w:w="2022" w:type="dxa"/>
            <w:tcBorders>
              <w:top w:val="nil"/>
              <w:left w:val="nil"/>
              <w:bottom w:val="single" w:sz="4" w:space="0" w:color="808080"/>
              <w:right w:val="nil"/>
            </w:tcBorders>
            <w:vAlign w:val="center"/>
            <w:hideMark/>
          </w:tcPr>
          <w:p w14:paraId="0F5D07A5" w14:textId="77777777" w:rsidR="00B842AC" w:rsidRDefault="00B842AC" w:rsidP="00B842AC">
            <w:pPr>
              <w:spacing w:after="0" w:line="240" w:lineRule="auto"/>
              <w:rPr>
                <w:rFonts w:ascii="Calibri" w:eastAsia="Times New Roman" w:hAnsi="Calibri" w:cs="Times New Roman"/>
                <w:color w:val="000000"/>
                <w:sz w:val="20"/>
                <w:szCs w:val="20"/>
                <w:lang w:val="fr-CA" w:eastAsia="en-CA"/>
              </w:rPr>
            </w:pPr>
            <w:r>
              <w:rPr>
                <w:rFonts w:ascii="Calibri" w:eastAsia="Times New Roman" w:hAnsi="Calibri" w:cs="Times New Roman"/>
                <w:color w:val="000000"/>
                <w:sz w:val="20"/>
                <w:szCs w:val="20"/>
                <w:lang w:val="fr-CA" w:eastAsia="en-CA"/>
              </w:rPr>
              <w:t>Prescription records</w:t>
            </w:r>
          </w:p>
        </w:tc>
        <w:tc>
          <w:tcPr>
            <w:tcW w:w="2410" w:type="dxa"/>
            <w:tcBorders>
              <w:top w:val="nil"/>
              <w:left w:val="nil"/>
              <w:bottom w:val="single" w:sz="4" w:space="0" w:color="808080"/>
              <w:right w:val="nil"/>
            </w:tcBorders>
            <w:vAlign w:val="center"/>
            <w:hideMark/>
          </w:tcPr>
          <w:p w14:paraId="7EFB0E84" w14:textId="77777777" w:rsidR="00B842AC" w:rsidRDefault="00B842AC" w:rsidP="00B842AC">
            <w:pPr>
              <w:spacing w:after="0" w:line="240" w:lineRule="auto"/>
              <w:rPr>
                <w:rFonts w:ascii="Calibri" w:eastAsia="Times New Roman" w:hAnsi="Calibri" w:cs="Times New Roman"/>
                <w:color w:val="000000"/>
                <w:sz w:val="20"/>
                <w:szCs w:val="20"/>
                <w:lang w:val="fr-CA" w:eastAsia="en-CA"/>
              </w:rPr>
            </w:pPr>
            <w:r>
              <w:rPr>
                <w:rFonts w:ascii="Calibri" w:eastAsia="Times New Roman" w:hAnsi="Calibri" w:cs="Times New Roman"/>
                <w:color w:val="000000"/>
                <w:sz w:val="20"/>
                <w:szCs w:val="20"/>
                <w:lang w:val="fr-CA" w:eastAsia="en-CA"/>
              </w:rPr>
              <w:t>ACM  (1 year)</w:t>
            </w:r>
          </w:p>
        </w:tc>
        <w:tc>
          <w:tcPr>
            <w:tcW w:w="1736" w:type="dxa"/>
            <w:tcBorders>
              <w:top w:val="nil"/>
              <w:left w:val="nil"/>
              <w:bottom w:val="single" w:sz="4" w:space="0" w:color="808080"/>
              <w:right w:val="nil"/>
            </w:tcBorders>
            <w:vAlign w:val="center"/>
            <w:hideMark/>
          </w:tcPr>
          <w:p w14:paraId="0068EC65" w14:textId="77777777" w:rsidR="00B842AC" w:rsidRDefault="00B842AC" w:rsidP="00B842AC">
            <w:pPr>
              <w:spacing w:after="0" w:line="240" w:lineRule="auto"/>
              <w:rPr>
                <w:rFonts w:ascii="Calibri" w:eastAsia="Times New Roman" w:hAnsi="Calibri" w:cs="Times New Roman"/>
                <w:color w:val="000000"/>
                <w:sz w:val="20"/>
                <w:szCs w:val="20"/>
                <w:lang w:val="fr-CA" w:eastAsia="en-CA"/>
              </w:rPr>
            </w:pPr>
            <w:r>
              <w:rPr>
                <w:rFonts w:ascii="Calibri" w:eastAsia="Times New Roman" w:hAnsi="Calibri" w:cs="Times New Roman"/>
                <w:color w:val="000000"/>
                <w:sz w:val="20"/>
                <w:szCs w:val="20"/>
                <w:lang w:val="fr-CA" w:eastAsia="en-CA"/>
              </w:rPr>
              <w:t>NR</w:t>
            </w:r>
          </w:p>
        </w:tc>
        <w:tc>
          <w:tcPr>
            <w:tcW w:w="1160" w:type="dxa"/>
            <w:tcBorders>
              <w:top w:val="nil"/>
              <w:left w:val="nil"/>
              <w:bottom w:val="single" w:sz="4" w:space="0" w:color="808080"/>
              <w:right w:val="nil"/>
            </w:tcBorders>
            <w:vAlign w:val="center"/>
            <w:hideMark/>
          </w:tcPr>
          <w:p w14:paraId="54419DB5" w14:textId="77777777" w:rsidR="00B842AC" w:rsidRDefault="00B842AC" w:rsidP="00B842AC">
            <w:pPr>
              <w:spacing w:after="0" w:line="240" w:lineRule="auto"/>
              <w:jc w:val="center"/>
              <w:rPr>
                <w:rFonts w:ascii="Calibri" w:eastAsia="Times New Roman" w:hAnsi="Calibri" w:cs="Times New Roman"/>
                <w:color w:val="000000"/>
                <w:sz w:val="20"/>
                <w:szCs w:val="20"/>
                <w:lang w:val="fr-CA" w:eastAsia="en-CA"/>
              </w:rPr>
            </w:pPr>
            <w:r>
              <w:rPr>
                <w:rFonts w:ascii="Calibri" w:eastAsia="Times New Roman" w:hAnsi="Calibri" w:cs="Times New Roman"/>
                <w:color w:val="000000"/>
                <w:sz w:val="20"/>
                <w:szCs w:val="20"/>
                <w:lang w:val="fr-CA" w:eastAsia="en-CA"/>
              </w:rPr>
              <w:t>2002-2004</w:t>
            </w:r>
          </w:p>
        </w:tc>
        <w:tc>
          <w:tcPr>
            <w:tcW w:w="1533" w:type="dxa"/>
            <w:tcBorders>
              <w:top w:val="nil"/>
              <w:left w:val="nil"/>
              <w:bottom w:val="single" w:sz="4" w:space="0" w:color="808080"/>
              <w:right w:val="nil"/>
            </w:tcBorders>
            <w:vAlign w:val="center"/>
            <w:hideMark/>
          </w:tcPr>
          <w:p w14:paraId="744BF960" w14:textId="77777777" w:rsidR="00B842AC" w:rsidRDefault="00B842AC" w:rsidP="00B842AC">
            <w:pPr>
              <w:spacing w:after="0" w:line="240" w:lineRule="auto"/>
              <w:rPr>
                <w:rFonts w:ascii="Calibri" w:eastAsia="Times New Roman" w:hAnsi="Calibri" w:cs="Times New Roman"/>
                <w:color w:val="000000"/>
                <w:sz w:val="20"/>
                <w:szCs w:val="20"/>
                <w:lang w:val="fr-CA" w:eastAsia="en-CA"/>
              </w:rPr>
            </w:pPr>
            <w:r>
              <w:rPr>
                <w:rFonts w:ascii="Calibri" w:eastAsia="Times New Roman" w:hAnsi="Calibri" w:cs="Times New Roman"/>
                <w:color w:val="000000"/>
                <w:sz w:val="20"/>
                <w:szCs w:val="20"/>
                <w:lang w:val="fr-CA" w:eastAsia="en-CA"/>
              </w:rPr>
              <w:t>Public/non profit</w:t>
            </w:r>
          </w:p>
        </w:tc>
      </w:tr>
      <w:tr w:rsidR="00B842AC" w14:paraId="55746044" w14:textId="77777777" w:rsidTr="00B842AC">
        <w:trPr>
          <w:trHeight w:val="371"/>
        </w:trPr>
        <w:tc>
          <w:tcPr>
            <w:tcW w:w="1805" w:type="dxa"/>
            <w:tcBorders>
              <w:top w:val="nil"/>
              <w:left w:val="nil"/>
              <w:bottom w:val="single" w:sz="4" w:space="0" w:color="808080"/>
              <w:right w:val="nil"/>
            </w:tcBorders>
            <w:vAlign w:val="center"/>
            <w:hideMark/>
          </w:tcPr>
          <w:p w14:paraId="3127D4E9" w14:textId="4A1B41F9"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val="fr-CA" w:eastAsia="en-CA"/>
              </w:rPr>
              <w:instrText>ADDIN CSL_CITATION {"citationItems":[{"id":"ITEM-1","itemData":{"ISBN":"0269-2813","ISSN":"1365-2036","abstract":"BACKGROUND: Proton pump inhibitors (PPI) are widely used in patients with liver diseases. Within the last years, there have been concerns about the PPI use as they may promote infections in patients with cirrhosis., AIM: As there are sparse data of the prognostic relevance of PPI treatment, to perform a prospective study investigating the relation of PPI treatment and overall survival (OS) in cirrhotic individuals., METHODS: Patients with cirrhosis were enrolled and followed prospectively. The primary end point was OS. PPI treatment and additional clinical and laboratory data were assessed at the day of the study inclusion. The time until the end point death was assessed and the individual risks were calculated with Cox regression analyses., RESULTS: A total of 272 patients were included and 213 individuals (78.3%) were on PPI treatment. In multivariate logistic regression analysis, PPI treatment was associated with higher MELD scores (P = 0.027) and ascites (P = 0.039). In a multivariate Cox regression model, PPI use was an independent predictor of mortality (hazard ratio 2.330, 95% confidence interval 1.264-4.296, P = 0.007) in addition to the model of end-stage liver disease (MELD) score, hepatocellular carcinoma and hepatic decompensation., CONCLUSIONS: PPI use is an independent risk factor for mortality in patients with cirrhosis. Although a causative role for increased mortality in patients taking PPI is still missing, the prescription of PPI in cirrhotics should be considered carefully taking into account its potential adverse effects.Copyright © 2014 John Wiley &amp; Sons Ltd.","author":[{"dropping-particle":"","family":"Dultz","given":"G","non-dropping-particle":"","parse-names":false,"suffix":""},{"dropping-particle":"","family":"Piiper","given":"A","non-dropping-particle":"","parse-names":false,"suffix":""},{"dropping-particle":"","family":"Zeuzem","given":"S","non-dropping-particle":"","parse-names":false,"suffix":""},{"dropping-particle":"","family":"Kronenberger","given":"B","non-dropping-particle":"","parse-names":false,"suffix":""},{"dropping-particle":"","family":"Waidmann","given":"O","non-dropping-particle":"","parse-names":false,"suffix":""}],"container-title":"Alimentary pharmacology &amp; therapeutics","id":"ITEM-1","issue":"5","issued":{"date-parts":[["2015"]]},"note":"61","page":"459-466","publisher":"Dultz,G. Medizinische Klinik 1, Schwerpunkt Gastroenterologie und Hepatologie, Universitatsklinikum Frankfurt, Goethe-Universitat, Frankfurt/Main, Germany.","publisher-place":"England","title":"Proton pump inhibitor treatment is associated with the severity of liver disease and increased mortality in patients with cirrhosis.","type":"article-journal","volume":"41"},"uris":["http://www.mendeley.com/documents/?uuid=8c299646-8367-4ba8-8a52-2c2c541516f5"]}],"mendeley":{"formattedCitation":"(Dultz et al. 2015)","plainTextFormattedCitation":"(Dultz et al. 2015)","previouslyFormattedCitation":"(Dultz et al. 2015)"},"properties":{"noteIndex":0},"schema":"https://github.com/citation-style-language/schema/raw/master/csl-citation.json"}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(Dultz et al. 2015)</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601FCA8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3EA8AB3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PPI exposure assessed at hospital admission. </w:t>
            </w:r>
          </w:p>
        </w:tc>
        <w:tc>
          <w:tcPr>
            <w:tcW w:w="2410" w:type="dxa"/>
            <w:tcBorders>
              <w:top w:val="nil"/>
              <w:left w:val="nil"/>
              <w:bottom w:val="single" w:sz="4" w:space="0" w:color="808080"/>
              <w:right w:val="nil"/>
            </w:tcBorders>
            <w:vAlign w:val="center"/>
            <w:hideMark/>
          </w:tcPr>
          <w:p w14:paraId="67BDAD4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(median 266 days; range 1-1,382 days)</w:t>
            </w:r>
          </w:p>
        </w:tc>
        <w:tc>
          <w:tcPr>
            <w:tcW w:w="1736" w:type="dxa"/>
            <w:tcBorders>
              <w:top w:val="nil"/>
              <w:left w:val="nil"/>
              <w:bottom w:val="single" w:sz="4" w:space="0" w:color="808080"/>
              <w:right w:val="nil"/>
            </w:tcBorders>
            <w:vAlign w:val="center"/>
            <w:hideMark/>
          </w:tcPr>
          <w:p w14:paraId="72AD7B7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clear</w:t>
            </w:r>
          </w:p>
        </w:tc>
        <w:tc>
          <w:tcPr>
            <w:tcW w:w="1160" w:type="dxa"/>
            <w:tcBorders>
              <w:top w:val="nil"/>
              <w:left w:val="nil"/>
              <w:bottom w:val="single" w:sz="4" w:space="0" w:color="808080"/>
              <w:right w:val="nil"/>
            </w:tcBorders>
            <w:vAlign w:val="center"/>
            <w:hideMark/>
          </w:tcPr>
          <w:p w14:paraId="046796E6"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2009 -2011</w:t>
            </w:r>
          </w:p>
        </w:tc>
        <w:tc>
          <w:tcPr>
            <w:tcW w:w="1533" w:type="dxa"/>
            <w:tcBorders>
              <w:top w:val="nil"/>
              <w:left w:val="nil"/>
              <w:bottom w:val="single" w:sz="4" w:space="0" w:color="808080"/>
              <w:right w:val="nil"/>
            </w:tcBorders>
            <w:vAlign w:val="center"/>
            <w:hideMark/>
          </w:tcPr>
          <w:p w14:paraId="1514AE6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193F4E10" w14:textId="77777777" w:rsidTr="00B842AC">
        <w:trPr>
          <w:trHeight w:val="855"/>
        </w:trPr>
        <w:tc>
          <w:tcPr>
            <w:tcW w:w="1805" w:type="dxa"/>
            <w:tcBorders>
              <w:top w:val="nil"/>
              <w:left w:val="nil"/>
              <w:bottom w:val="single" w:sz="4" w:space="0" w:color="808080"/>
              <w:right w:val="nil"/>
            </w:tcBorders>
            <w:vAlign w:val="center"/>
            <w:hideMark/>
          </w:tcPr>
          <w:p w14:paraId="6C9DF448" w14:textId="7A902192"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{"citationItems":[{"id":"ITEM-1","itemData":{"ISBN":"0002-9270","ISSN":"1572-0241","abstract":"OBJECTIVES:Observational studies suggest that proton pump inhibitors (PPIs) are a risk factor for incident Clostridium difficile infection (CDI). Data also suggest an association between PPIs and recurrent CDI, although large-scale studies focusing solely on hospitalized patients are lacking. We therefore performed a retrospective cohort analysis of inpatients with incident CDI to assess receipt of PPIs as a risk factor for CDI recurrence in this population.METHODS:Using electronic medical records, we identified hospitalized adult patients between 1 December 2009 and 30 June 2012 with incident CDI, defined as a first positive stool test for C. difficile toxin B and who received appropriate treatment. Electronic records were parsed for clinical factors including receipt of PPIs, other acid suppression, non-CDI antibiotics, and comorbidities. The primary exposure was in-hospital PPIs given concurrently with C. difficile treatment. Recurrence was defined as a second positive stool test 15-90 days after the initial positive test. C. difficile recurrence rates in the PPI exposed and unexposed groups were compared with the log-rank test. Multivariable Cox proportional hazards modeling was performed to control for demographics, comorbidities, and other clinical factors.RESULTS:We identified 894 inpatients with incident CDI. The cumulative incidence of CDI recurrence in the cohort was 23%. Receipt of PPIs concurrent with CDI treatment was not associated with C. difficile recurrence (hazard ratio (HR)=0.82; 95% confidence interval (CI)=0.58-1.16). Black race (HR=1.66, 95% CI=1.05-2.63), increased age (HR=1.02, 95% CI=1.01-1.03), and increased comorbidities (HR=1.09, 95% CI=1.04-1.14) were associated with CDI recurrence. In light of a higher 90-day mortality seen among those who received PPIs (log-rank P=0.02), we also analyzed the subset of patients who survived to 90 days of follow-up. Again, there was no association between PPIs and CDI recurrence (HR=0.87; 95% CI=0.60-1.28). Finally, there was no association between recurrent CDI and increased duration or dose of PPIs.CONCLUSIONS:Among hospitalized adults with C. difficile, receipt of PPIs concurrent with C. difficile treatment was not associated with CDI recurrence. Black race, increased age, and increased comorbidities significantly predicted recurrence. Future studies should test interventions to prevent CDI recurrence among high-risk inpatients.","author":[{"dropping-particle":"","family":"Freedberg","given":"Daniel E","non-dropping-particle":"","parse-names":false,"suffix":""},{"dropping-particle":"","family":"Salmasian","given":"Hojjat","non-dropping-particle":"","parse-names":false,"suffix":""},{"dropping-particle":"","family":"Friedman","given":"Carol","non-dropping-particle":"","parse-names":false,"suffix":""},{"dropping-particle":"","family":"Abrams","given":"Julian A","non-dropping-particle":"","parse-names":false,"suffix":""}],"container-title":"The American journal of gastroenterology","id":"ITEM-1","issue":"11","issued":{"date-parts":[["2013"]]},"note":"328\n\nFrom Duplicate 2 (Proton pump inhibitors and risk for recurrent Clostridium difficile infection among inpatients. - Freedberg, Daniel E; Salmasian, Hojjat; Friedman, Carol; Abrams, Julian A)\n\nComment in: Am J Gastroenterol. 2013 Nov;108(11):1802-3; PMID: 24192949, Comment in: Am J Gastroenterol. 2014 Apr;109(4):602-3; PMID: 24698871, Comment in: Am J Gastroenterol. 2014 Jun;109(6):922-3; PMID: 24896761, Comment in: Am J Gastroenterol. 2014 Jun;109(6):922; PMID: 24896760, Comment in: Am J Gastroenterol. 2014 Apr;109(4):601-2; PMID: 24698870","page":"1794-1801","publisher":"Nature Publishing Group (Houndmills, Basingstoke, Hampshire RG21 6XS, United Kingdom)","publisher-place":"United States","title":"Proton pump inhibitors and risk for recurrent clostridium difficile infection among inpatients","type":"article-journal","volume":"108"},"uris":["http://www.mendeley.com/documents/?uuid=c25b897a-71f3-4181-a8ed-20f8ef292371"]}],"mendeley":{"formattedCitation":"(Freedberg et al. 2013)","plainTextFormattedCitation":"(Freedberg et al. 2013)","previouslyFormattedCitation":"(Freedberg et al. 2013)"},"properties":{"noteIndex":0},"schema":"https://github.com/citation-style-language/schema/raw/master/csl-citation.json"}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(Freedberg et al. 2013)</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02B1575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PPIs (general) </w:t>
            </w:r>
            <w:r>
              <w:rPr>
                <w:rFonts w:ascii="Calibri" w:eastAsia="Times New Roman" w:hAnsi="Calibri" w:cs="Times New Roman"/>
                <w:color w:val="000000"/>
                <w:sz w:val="20"/>
                <w:szCs w:val="20"/>
                <w:lang w:eastAsia="en-CA"/>
              </w:rPr>
              <w:br/>
              <w:t>(98% of patients on esomeprazole)</w:t>
            </w:r>
          </w:p>
        </w:tc>
        <w:tc>
          <w:tcPr>
            <w:tcW w:w="2022" w:type="dxa"/>
            <w:tcBorders>
              <w:top w:val="nil"/>
              <w:left w:val="nil"/>
              <w:bottom w:val="single" w:sz="4" w:space="0" w:color="808080"/>
              <w:right w:val="nil"/>
            </w:tcBorders>
            <w:vAlign w:val="center"/>
            <w:hideMark/>
          </w:tcPr>
          <w:p w14:paraId="687118C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Discharge summaries were manually reviewed to extract information regarding discharge PPIs</w:t>
            </w:r>
          </w:p>
        </w:tc>
        <w:tc>
          <w:tcPr>
            <w:tcW w:w="2410" w:type="dxa"/>
            <w:tcBorders>
              <w:top w:val="nil"/>
              <w:left w:val="nil"/>
              <w:bottom w:val="single" w:sz="4" w:space="0" w:color="808080"/>
              <w:right w:val="nil"/>
            </w:tcBorders>
            <w:vAlign w:val="center"/>
            <w:hideMark/>
          </w:tcPr>
          <w:p w14:paraId="55D122A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(3 months)</w:t>
            </w:r>
          </w:p>
        </w:tc>
        <w:tc>
          <w:tcPr>
            <w:tcW w:w="1736" w:type="dxa"/>
            <w:tcBorders>
              <w:top w:val="nil"/>
              <w:left w:val="nil"/>
              <w:bottom w:val="single" w:sz="4" w:space="0" w:color="808080"/>
              <w:right w:val="nil"/>
            </w:tcBorders>
            <w:vAlign w:val="center"/>
            <w:hideMark/>
          </w:tcPr>
          <w:p w14:paraId="532C2C2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EMRs cross is cross-indexed with the National Social Security Death Index.</w:t>
            </w:r>
          </w:p>
        </w:tc>
        <w:tc>
          <w:tcPr>
            <w:tcW w:w="1160" w:type="dxa"/>
            <w:tcBorders>
              <w:top w:val="nil"/>
              <w:left w:val="nil"/>
              <w:bottom w:val="single" w:sz="4" w:space="0" w:color="808080"/>
              <w:right w:val="nil"/>
            </w:tcBorders>
            <w:vAlign w:val="center"/>
            <w:hideMark/>
          </w:tcPr>
          <w:p w14:paraId="60A69DD2"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2009 - 2012</w:t>
            </w:r>
          </w:p>
        </w:tc>
        <w:tc>
          <w:tcPr>
            <w:tcW w:w="1533" w:type="dxa"/>
            <w:tcBorders>
              <w:top w:val="nil"/>
              <w:left w:val="nil"/>
              <w:bottom w:val="single" w:sz="4" w:space="0" w:color="808080"/>
              <w:right w:val="nil"/>
            </w:tcBorders>
            <w:vAlign w:val="center"/>
            <w:hideMark/>
          </w:tcPr>
          <w:p w14:paraId="7301705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35B9FAA0" w14:textId="77777777" w:rsidTr="00B842AC">
        <w:trPr>
          <w:trHeight w:val="628"/>
        </w:trPr>
        <w:tc>
          <w:tcPr>
            <w:tcW w:w="1805" w:type="dxa"/>
            <w:tcBorders>
              <w:top w:val="nil"/>
              <w:left w:val="nil"/>
              <w:bottom w:val="single" w:sz="4" w:space="0" w:color="808080"/>
              <w:right w:val="nil"/>
            </w:tcBorders>
            <w:vAlign w:val="center"/>
            <w:hideMark/>
          </w:tcPr>
          <w:p w14:paraId="2CA285EB" w14:textId="2EB33DA4"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{"citationItems":[{"id":"ITEM-1","itemData":{"ISBN":"2224-3992","abstract":"Aim: Gastric acid suppression is identified as a risk factor for Clostridium difficile infection (CDI). Our objective was to determine if the use of proton pump Inhibitors (PPI) are associated with increased severity of CDI (severe CDI). Methods: Retrospective analysis of hospitalized patients with CDI at Geisinger Medical Center was performed. Hospital admissions with CDI over an 8 year period (Jan 2001 to Oct 2009) were assessed for proton pump inhibitor (PPI)/histamine 2 receptor antagonist (H2RA) use, antibiotic (ABX) use, and features of severe CDI defined as two or more of the following within 5 days of a positive stool test (of index CDI): WBC&gt;15 K or &lt;4 K/muL, bandemia &gt;10%, shock (SBP&lt; 90 mmHg), subtotal/total colectomy after index CDI, organ dysfunction (acute respiratory failure, acute renal failure, altered mental status or serum lactate&gt;2.5 mmol/L). Death (30-day death attributed to CDI) was also analyzed. Results: 627 patients with CDI were divided into four groups: those on neither PPI nor H2RA, those on purely PPI blockers, those on purely H2RA blockers, and on both PPI and H2RA. Patients on PPI or H2RA were more likely to be on antibiotics (ABX) antibiotics within 90 days of CDI index case or vasopressors. Among all patients, 40% developed severe CDI. Unadjusted odds ratio (OR) of developing severe CDI for PPI was 1.91 (95% CI: 1.36, 2.69, p=0.0002), and for H2RA the OR was 0.66 (95% CI: 0.41, 1.05, p=0.0770). After controlling for confounders the effect of PPI was significantly elevated (OR=1.60, 95% CI: 1.09, 2.351) whereas the effect of H2RA was protective (OR=0.50, 95% CI: 0.31, 0.83).There was no statistically significant difference in 30-day mortality by medication group. Conclusions: Results suggest PPI use could lead to an elevated risk of developing severe CDI, while H2RA was found to decrease the risk of severe CDI. This study suggests limiting the indiscriminate use of PPI in hospitalized patients. © 2012 Thomson research.","author":[{"dropping-particle":"","family":"Haider","given":"F","non-dropping-particle":"","parse-names":false,"suffix":""},{"dropping-particle":"","family":"Raza","given":"N","non-dropping-particle":"","parse-names":false,"suffix":""},{"dropping-particle":"","family":"Komar","given":"N","non-dropping-particle":"","parse-names":false,"suffix":""},{"dropping-particle":"","family":"Rahman","given":"O","non-dropping-particle":"","parse-names":false,"suffix":""},{"dropping-particle":"","family":"Sartorius","given":"J","non-dropping-particle":"","parse-names":false,"suffix":""},{"dropping-particle":"","family":"H.L.","given":"Kirchner","non-dropping-particle":"","parse-names":false,"suffix":""}],"container-title":"Journal of Gastroenterology and Hepatology Research","id":"ITEM-1","issue":"4","issued":{"date-parts":[["2012"]]},"note":"465","page":"53-56","publisher":"ACT Publishing Group Liminted","publisher-place":"N. Raza, Department of Gastroenterology, Geisinger Medical Center, Danville, PA 17821, United States. E-mail: nraza1@geisinger.edu","title":"Proton pump inhibitor use elevates the risk of severe clostridium difficile colitis","type":"article","volume":"1"},"uris":["http://www.mendeley.com/documents/?uuid=c8e7833d-9ec5-4dcc-9305-07a9e4e0b553"]}],"mendeley":{"formattedCitation":"(Haider et al. 2012)","plainTextFormattedCitation":"(Haider et al. 2012)","previouslyFormattedCitation":"(Haider et al. 2012)"},"properties":{"noteIndex":0},"schema":"https://github.com/citation-style-language/schema/raw/master/csl-citation.json"}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(Haider et al. 2012)</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71F8547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5ECE7AF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info where data was from (assuming hospital records)</w:t>
            </w:r>
          </w:p>
        </w:tc>
        <w:tc>
          <w:tcPr>
            <w:tcW w:w="2410" w:type="dxa"/>
            <w:tcBorders>
              <w:top w:val="nil"/>
              <w:left w:val="nil"/>
              <w:bottom w:val="single" w:sz="4" w:space="0" w:color="808080"/>
              <w:right w:val="nil"/>
            </w:tcBorders>
            <w:vAlign w:val="center"/>
            <w:hideMark/>
          </w:tcPr>
          <w:p w14:paraId="324FD55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(in-hospital, 6 months)</w:t>
            </w:r>
          </w:p>
        </w:tc>
        <w:tc>
          <w:tcPr>
            <w:tcW w:w="1736" w:type="dxa"/>
            <w:tcBorders>
              <w:top w:val="nil"/>
              <w:left w:val="nil"/>
              <w:bottom w:val="single" w:sz="4" w:space="0" w:color="808080"/>
              <w:right w:val="nil"/>
            </w:tcBorders>
            <w:vAlign w:val="center"/>
            <w:hideMark/>
          </w:tcPr>
          <w:p w14:paraId="3BB8E16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160" w:type="dxa"/>
            <w:tcBorders>
              <w:top w:val="nil"/>
              <w:left w:val="nil"/>
              <w:bottom w:val="single" w:sz="4" w:space="0" w:color="808080"/>
              <w:right w:val="nil"/>
            </w:tcBorders>
            <w:vAlign w:val="center"/>
            <w:hideMark/>
          </w:tcPr>
          <w:p w14:paraId="3EACAC26"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2001-2009</w:t>
            </w:r>
          </w:p>
        </w:tc>
        <w:tc>
          <w:tcPr>
            <w:tcW w:w="1533" w:type="dxa"/>
            <w:tcBorders>
              <w:top w:val="nil"/>
              <w:left w:val="nil"/>
              <w:bottom w:val="single" w:sz="4" w:space="0" w:color="808080"/>
              <w:right w:val="nil"/>
            </w:tcBorders>
            <w:vAlign w:val="center"/>
            <w:hideMark/>
          </w:tcPr>
          <w:p w14:paraId="0155055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5C6DF481" w14:textId="77777777" w:rsidTr="00B842AC">
        <w:trPr>
          <w:trHeight w:val="344"/>
        </w:trPr>
        <w:tc>
          <w:tcPr>
            <w:tcW w:w="1805" w:type="dxa"/>
            <w:tcBorders>
              <w:top w:val="nil"/>
              <w:left w:val="nil"/>
              <w:bottom w:val="single" w:sz="4" w:space="0" w:color="808080"/>
              <w:right w:val="nil"/>
            </w:tcBorders>
            <w:vAlign w:val="center"/>
            <w:hideMark/>
          </w:tcPr>
          <w:p w14:paraId="3AD08BD1" w14:textId="68CD26CE"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{"citationItems":[{"id":"ITEM-1","itemData":{"ISSN":"2005-1212","abstract":"BACKGROUND/AIMS: Knowledge of the risk factors associated with adverse outcomes after percutaneous endoscopic gastrostomy (PEG) may be helpful for developing PEG recommendations. The purpose of this study was to identify the clinical risk factors associated with adverse clinical outcomes after PEG, especially regarding the use of proton pump inhibitors (PPIs)., METHODS: We retrospectively reviewed the data from PEG patients at seven university hospitals between June 2006 and January 2012. All patients were followed up through February 2012 after PEG, and the clinical risk factors for adverse clinical outcomes after PEG were analyzed., RESULTS: Data from 1,021 PEG patients were analyzed. PPI users were more frequently included in the complication group than the noncomplication group (p=0.040). PEG-related complications (p=0.040) and mortality (p=0.003) were more frequent in the PPI group than in the control group. In the subgroup analysis of complicated PEG cases, infectious complications were more frequently found in the PPI group than in the control group (35.8% vs 27.8%). After adjustment for multiple possible confounding factors, PPI users (odds ratio, 1.531; 95% confidence interval, 1.017 to 2.305) and diabetic patients had increased mortality after PEG., CONCLUSIONS: PPI use may be associated with adverse outcomes in patients with PEG; however, further prospective studies investigating this issue are warranted.","author":[{"dropping-particle":"","family":"Im","given":"Jong Pil","non-dropping-particle":"","parse-names":false,"suffix":""},{"dropping-particle":"","family":"Cha","given":"Jae Myung","non-dropping-particle":"","parse-names":false,"suffix":""},{"dropping-particle":"","family":"Kim","given":"Ji Won","non-dropping-particle":"","parse-names":false,"suffix":""},{"dropping-particle":"","family":"Kim","given":"Seong Eun","non-dropping-particle":"","parse-names":false,"suffix":""},{"dropping-particle":"","family":"Ryu","given":"Dong Yup","non-dropping-particle":"","parse-names":false,"suffix":""},{"dropping-particle":"","family":"Kim","given":"Eun Young","non-dropping-particle":"","parse-names":false,"suffix":""},{"dropping-particle":"","family":"Kim","given":"Eun Ran","non-dropping-particle":"","parse-names":false,"suffix":""},{"dropping-particle":"","family":"Chang","given":"Dong Kyung","non-dropping-particle":"","parse-names":false,"suffix":""}],"container-title":"Gut and liver","id":"ITEM-1","issue":"3","issued":{"date-parts":[["2014"]]},"note":"162","page":"248-253","publisher":"Im,Jong Pil. Department of Internal Medicine, Seoul National University Hospital, Seoul National University College of Medicine, Seoul, Korea.","publisher-place":"Korea (South)","title":"Proton pump inhibitor use before percutaneous endoscopic gastrostomy is associated with adverse outcomes.","type":"article-journal","volume":"8"},"uris":["http://www.mendeley.com/documents/?uuid=14b4f646-5d3e-4e82-94d6-d957c33ccc3c"]}],"mendeley":{"formattedCitation":"(Im et al. 2014)","plainTextFormattedCitation":"(Im et al. 2014)","previouslyFormattedCitation":"(Im et al. 2014)"},"properties":{"noteIndex":0},"schema":"https://github.com/citation-style-language/schema/raw/master/csl-citation.json"}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(Im et al. 2014)</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6D909F0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6030A72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Hospital records</w:t>
            </w:r>
          </w:p>
        </w:tc>
        <w:tc>
          <w:tcPr>
            <w:tcW w:w="2410" w:type="dxa"/>
            <w:tcBorders>
              <w:top w:val="nil"/>
              <w:left w:val="nil"/>
              <w:bottom w:val="single" w:sz="4" w:space="0" w:color="808080"/>
              <w:right w:val="nil"/>
            </w:tcBorders>
            <w:vAlign w:val="center"/>
            <w:hideMark/>
          </w:tcPr>
          <w:p w14:paraId="458A640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(median: 136 days; range 1-2693 days)</w:t>
            </w:r>
          </w:p>
        </w:tc>
        <w:tc>
          <w:tcPr>
            <w:tcW w:w="1736" w:type="dxa"/>
            <w:tcBorders>
              <w:top w:val="nil"/>
              <w:left w:val="nil"/>
              <w:bottom w:val="single" w:sz="4" w:space="0" w:color="808080"/>
              <w:right w:val="nil"/>
            </w:tcBorders>
            <w:vAlign w:val="center"/>
            <w:hideMark/>
          </w:tcPr>
          <w:p w14:paraId="692B617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clear</w:t>
            </w:r>
          </w:p>
        </w:tc>
        <w:tc>
          <w:tcPr>
            <w:tcW w:w="1160" w:type="dxa"/>
            <w:tcBorders>
              <w:top w:val="nil"/>
              <w:left w:val="nil"/>
              <w:bottom w:val="single" w:sz="4" w:space="0" w:color="808080"/>
              <w:right w:val="nil"/>
            </w:tcBorders>
            <w:vAlign w:val="center"/>
            <w:hideMark/>
          </w:tcPr>
          <w:p w14:paraId="4046E9AC"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2006- 2012</w:t>
            </w:r>
          </w:p>
        </w:tc>
        <w:tc>
          <w:tcPr>
            <w:tcW w:w="1533" w:type="dxa"/>
            <w:tcBorders>
              <w:top w:val="nil"/>
              <w:left w:val="nil"/>
              <w:bottom w:val="single" w:sz="4" w:space="0" w:color="808080"/>
              <w:right w:val="nil"/>
            </w:tcBorders>
            <w:vAlign w:val="center"/>
            <w:hideMark/>
          </w:tcPr>
          <w:p w14:paraId="7B7F445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30EEBBFD" w14:textId="77777777" w:rsidTr="00B842AC">
        <w:trPr>
          <w:trHeight w:val="203"/>
        </w:trPr>
        <w:tc>
          <w:tcPr>
            <w:tcW w:w="1805" w:type="dxa"/>
            <w:tcBorders>
              <w:top w:val="nil"/>
              <w:left w:val="nil"/>
              <w:bottom w:val="single" w:sz="4" w:space="0" w:color="808080"/>
              <w:right w:val="nil"/>
            </w:tcBorders>
            <w:vAlign w:val="center"/>
            <w:hideMark/>
          </w:tcPr>
          <w:p w14:paraId="0149E18B" w14:textId="53DD71AF"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lastRenderedPageBreak/>
              <w:fldChar w:fldCharType="begin" w:fldLock="1"/>
            </w:r>
            <w:r w:rsidR="00D325C7">
              <w:rPr>
                <w:rFonts w:ascii="Calibri" w:eastAsia="Times New Roman" w:hAnsi="Calibri" w:cs="Times New Roman"/>
                <w:color w:val="000000"/>
                <w:sz w:val="20"/>
                <w:szCs w:val="20"/>
                <w:lang w:eastAsia="en-CA"/>
              </w:rPr>
              <w:instrText>ADDIN CSL_CITATION {"citationItems":[{"id":"ITEM-1","itemData":{"ISBN":"0269-2813","abstract":"Background: A link between gastro-oesophageal reflux disease and coronary heart disease has been suggested. Aim: To estimate the incidence of myocardial infarction in patients with newly diagnosed gastro-oesophageal reflux disease in comparison with that in the general population. Methods: A population-based cohort study was performed in the UK. Patients aged 18-79 years with a first diagnosis of gastro-oesophageal reflux disease (n = 7084) were identified and a group of 10 000 patients free of gastro-oesophageal reflux disease were sampled. A nested case-control analysis was performed to assess the risk factors for myocardial infarction. Results: The incidence of myocardial infarction in the general population was 4.0 per 1000 person-years [95% confidence interval (CI), 3.2-4.9] and 5.1 per 1000 person-years (95% CI, 4.1-6.4) in patients with gastro-oesophageal reflux disease. The relative risk of myocardial infarction in patients with gastro-oesophageal reflux disease was 1.4 (95% CI, 1.0-1.9). The increased risk of myocardial infarction was limited to the immediate days after the diagnosis of gastro-oesophageal reflux disease. Previous chest pain was an important predictor of myocardial infarction in patients free of gastro-oesophageal reflux disease. No association was found between the use of acid-suppressing drugs and the risk of myocardial infarction. Conclusion: Our results suggest that gastro-oesophageal reflux disease is not an independent predictor of myocardial infarction. Rather, the increased risk of myocardial infarction in patients with gastro-oesophageal reflux disease in the immediate days after diagnosis indicates that prodromal ischaemic symptoms were misinterpreted as reflux symptoms.","author":[{"dropping-particle":"","family":"Johansson","given":"S","non-dropping-particle":"","parse-names":false,"suffix":""},{"dropping-particle":"","family":"Wallander","given":"M","non-dropping-particle":"","parse-names":false,"suffix":""},{"dropping-particle":"","family":"Ruigomez","given":"A","non-dropping-particle":"","parse-names":false,"suffix":""},{"dropping-particle":"","family":"Garcia Rodriguez","given":"L","non-dropping-particle":"","parse-names":false,"suffix":""}],"container-title":"Alimentary Pharmacology and Therapeutics","id":"ITEM-1","issue":"10","issued":{"date-parts":[["2003"]]},"note":"1111","page":"973-978","publisher":"Blackwell Publishing Ltd","publisher-place":"A. Ruigomez, Ctro. Espanol Invest. F., c/ Almirante 28, 2, 28004 Madrid, Spain. E-mail: aruigomez@ceife.es","title":"Is there any association between myocardial infarction, gastro-oesophageal reflux disease and acid-suppressing drugs?","type":"article","volume":"18"},"uris":["http://www.mendeley.com/documents/?uuid=0c1e2c2f-caab-4f39-8701-28a3900b6680"]}],"mendeley":{"formattedCitation":"(Johansson et al. 2003)","plainTextFormattedCitation":"(Johansson et al. 2003)","previouslyFormattedCitation":"(Johansson et al. 2003)"},"properties":{"noteIndex":0},"schema":"https://github.com/citation-style-language/schema/raw/master/csl-citation.json"}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(Johansson et al. 2003)</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0A5E3B7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5C1BC68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Electronic health records. </w:t>
            </w:r>
          </w:p>
        </w:tc>
        <w:tc>
          <w:tcPr>
            <w:tcW w:w="2410" w:type="dxa"/>
            <w:tcBorders>
              <w:top w:val="nil"/>
              <w:left w:val="nil"/>
              <w:bottom w:val="single" w:sz="4" w:space="0" w:color="808080"/>
              <w:right w:val="nil"/>
            </w:tcBorders>
            <w:vAlign w:val="center"/>
            <w:hideMark/>
          </w:tcPr>
          <w:p w14:paraId="309D0CC4" w14:textId="77777777" w:rsidR="00B842AC" w:rsidRDefault="00B842AC" w:rsidP="00B842AC">
            <w:pPr>
              <w:spacing w:after="0" w:line="240" w:lineRule="auto"/>
              <w:rPr>
                <w:rFonts w:ascii="Calibri" w:eastAsia="Times New Roman" w:hAnsi="Calibri" w:cs="Times New Roman"/>
                <w:color w:val="FF0000"/>
                <w:sz w:val="20"/>
                <w:szCs w:val="20"/>
                <w:lang w:eastAsia="en-CA"/>
              </w:rPr>
            </w:pPr>
            <w:r>
              <w:rPr>
                <w:rFonts w:ascii="Calibri" w:eastAsia="Times New Roman" w:hAnsi="Calibri" w:cs="Times New Roman"/>
                <w:sz w:val="20"/>
                <w:szCs w:val="20"/>
                <w:lang w:eastAsia="en-CA"/>
              </w:rPr>
              <w:t xml:space="preserve">MI </w:t>
            </w:r>
          </w:p>
        </w:tc>
        <w:tc>
          <w:tcPr>
            <w:tcW w:w="1736" w:type="dxa"/>
            <w:tcBorders>
              <w:top w:val="nil"/>
              <w:left w:val="nil"/>
              <w:bottom w:val="single" w:sz="4" w:space="0" w:color="808080"/>
              <w:right w:val="nil"/>
            </w:tcBorders>
            <w:vAlign w:val="center"/>
            <w:hideMark/>
          </w:tcPr>
          <w:p w14:paraId="13FF8ED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Electronic records; MI events confirmed with GP questionnaire. </w:t>
            </w:r>
          </w:p>
        </w:tc>
        <w:tc>
          <w:tcPr>
            <w:tcW w:w="1160" w:type="dxa"/>
            <w:tcBorders>
              <w:top w:val="nil"/>
              <w:left w:val="nil"/>
              <w:bottom w:val="single" w:sz="4" w:space="0" w:color="808080"/>
              <w:right w:val="nil"/>
            </w:tcBorders>
            <w:vAlign w:val="center"/>
            <w:hideMark/>
          </w:tcPr>
          <w:p w14:paraId="4E170367"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1996-2000</w:t>
            </w:r>
          </w:p>
        </w:tc>
        <w:tc>
          <w:tcPr>
            <w:tcW w:w="1533" w:type="dxa"/>
            <w:tcBorders>
              <w:top w:val="nil"/>
              <w:left w:val="nil"/>
              <w:bottom w:val="single" w:sz="4" w:space="0" w:color="808080"/>
              <w:right w:val="nil"/>
            </w:tcBorders>
            <w:vAlign w:val="center"/>
            <w:hideMark/>
          </w:tcPr>
          <w:p w14:paraId="63EA5C9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Industry</w:t>
            </w:r>
          </w:p>
        </w:tc>
      </w:tr>
      <w:tr w:rsidR="00B842AC" w14:paraId="49FA619B" w14:textId="77777777" w:rsidTr="00B842AC">
        <w:trPr>
          <w:trHeight w:val="420"/>
        </w:trPr>
        <w:tc>
          <w:tcPr>
            <w:tcW w:w="1805" w:type="dxa"/>
            <w:tcBorders>
              <w:top w:val="nil"/>
              <w:left w:val="nil"/>
              <w:bottom w:val="single" w:sz="4" w:space="0" w:color="808080"/>
              <w:right w:val="nil"/>
            </w:tcBorders>
            <w:vAlign w:val="center"/>
            <w:hideMark/>
          </w:tcPr>
          <w:p w14:paraId="51AE960D" w14:textId="4675B131"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{"citationItems":[{"id":"ITEM-1","itemData":{"ISSN":"1932-6203","abstract":"BACKGROUND: Recent evidence suggests that proton pump inhibitors (PPIs) might be linked with adverse cardiac events, but a causal relationship is unproven., METHODS: We applied the self-matched case series method to two studies using population-based health care data from Ontario, Canada between 1996 and 2008. The first included subjects aged 66 years or older hospitalized for acute myocardial infarction within 12 weeks following initiation of PPI, while the second included subjects hospitalized for heart failure. In both studies we designated the primary risk interval as the initial 4 weeks of therapy and the control interval as the final 4 weeks. To test the specificity of our findings we examined use of histamine H2 receptor antagonists and benzodiazepines, drugs with no plausible causal link to adverse cardiac events., RESULTS: During the 13-year study period, we identified 5550 hospital admissions for acute myocardial infarction and 6003 admissions for heart failure within 12 weeks of commencing PPI therapy. In the main analyses, we found that initiation of a PPI was associated with a higher risk of acute myocardial infarction (odds ratio 1.8; 95% confidence interval 1.7 to 1.9) and heart failure (odds ratio 1.8; 95% confidence interval 1.7 to 1.9). However, secondary analyses revealed similar risk estimates histamine H2 receptor antagonists and benzodiazepines, drugs with no known or suspected association with adverse cardiac events., CONCLUSION: PPIs are associated with a short-term risk of adverse cardiac events, but similar associations are seen with other drugs exhibiting no known cardiac toxicity. Collectively these observations suggest that the association between PPIs and adverse cardiac events does not represent reflect cause-and-effect.","author":[{"dropping-particle":"","family":"Juurlink","given":"David N","non-dropping-particle":"","parse-names":false,"suffix":""},{"dropping-particle":"","family":"Dormuth","given":"Colin R","non-dropping-particle":"","parse-names":false,"suffix":""},{"dropping-particle":"","family":"Huang","given":"Anjie","non-dropping-particle":"","parse-names":false,"suffix":""},{"dropping-particle":"","family":"Hellings","given":"Chelsea","non-dropping-particle":"","parse-names":false,"suffix":""},{"dropping-particle":"","family":"Paterson","given":"J Michael","non-dropping-particle":"","parse-names":false,"suffix":""},{"dropping-particle":"","family":"Raymond","given":"Colette","non-dropping-particle":"","parse-names":false,"suffix":""},{"dropping-particle":"","family":"Kozyrskyj","given":"Anita","non-dropping-particle":"","parse-names":false,"suffix":""},{"dropping-particle":"","family":"Moride","given":"Yola","non-dropping-particle":"","parse-names":false,"suffix":""},{"dropping-particle":"","family":"Macdonald","given":"Erin M","non-dropping-particle":"","parse-names":false,"suffix":""},{"dropping-particle":"","family":"Mamdani","given":"Muhammad M","non-dropping-particle":"","parse-names":false,"suffix":""},{"dropping-particle":"","family":"M.M.","given":"Mamdani","non-dropping-particle":"","parse-names":false,"suffix":""}],"container-title":"PloS one","id":"ITEM-1","issue":"12","issued":{"date-parts":[["2013"]]},"note":"283 check title","page":"e84890","publisher":"Juurlink,David N. The Institute for Clinical Evaluative Sciences, Toronto, Ontario, Canada ; The Sunnybrook Research Institute, Toronto, Ontario, Canada ; Department of Medicine, University of Toronto, Toronto, Ontario, Canada ; Department of Health Polic","publisher-place":"United States","title":"Proton pump inhibitors and the risk of adverse cardiac events","type":"article-journal","volume":"8"},"uris":["http://www.mendeley.com/documents/?uuid=10352066-5c69-47c3-8a3c-99949bb5e24b"]}],"mendeley":{"formattedCitation":"(Juurlink et al. 2013)","plainTextFormattedCitation":"(Juurlink et al. 2013)","previouslyFormattedCitation":"(Juurlink et al. 2013)"},"properties":{"noteIndex":0},"schema":"https://github.com/citation-style-language/schema/raw/master/csl-citation.json"}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(Juurlink et al. 2013)</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31BF52F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13DE398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Medical records.</w:t>
            </w:r>
          </w:p>
        </w:tc>
        <w:tc>
          <w:tcPr>
            <w:tcW w:w="2410" w:type="dxa"/>
            <w:tcBorders>
              <w:top w:val="nil"/>
              <w:left w:val="nil"/>
              <w:bottom w:val="single" w:sz="4" w:space="0" w:color="808080"/>
              <w:right w:val="nil"/>
            </w:tcBorders>
            <w:vAlign w:val="center"/>
            <w:hideMark/>
          </w:tcPr>
          <w:p w14:paraId="4F50BBB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(12 weeks)</w:t>
            </w:r>
          </w:p>
        </w:tc>
        <w:tc>
          <w:tcPr>
            <w:tcW w:w="1736" w:type="dxa"/>
            <w:tcBorders>
              <w:top w:val="nil"/>
              <w:left w:val="nil"/>
              <w:bottom w:val="single" w:sz="4" w:space="0" w:color="808080"/>
              <w:right w:val="nil"/>
            </w:tcBorders>
            <w:vAlign w:val="center"/>
            <w:hideMark/>
          </w:tcPr>
          <w:p w14:paraId="673D471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Database records</w:t>
            </w:r>
          </w:p>
        </w:tc>
        <w:tc>
          <w:tcPr>
            <w:tcW w:w="1160" w:type="dxa"/>
            <w:tcBorders>
              <w:top w:val="nil"/>
              <w:left w:val="nil"/>
              <w:bottom w:val="single" w:sz="4" w:space="0" w:color="808080"/>
              <w:right w:val="nil"/>
            </w:tcBorders>
            <w:vAlign w:val="center"/>
            <w:hideMark/>
          </w:tcPr>
          <w:p w14:paraId="34DE5797"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1996-2008</w:t>
            </w:r>
          </w:p>
        </w:tc>
        <w:tc>
          <w:tcPr>
            <w:tcW w:w="1533" w:type="dxa"/>
            <w:tcBorders>
              <w:top w:val="nil"/>
              <w:left w:val="nil"/>
              <w:bottom w:val="single" w:sz="4" w:space="0" w:color="808080"/>
              <w:right w:val="nil"/>
            </w:tcBorders>
            <w:vAlign w:val="center"/>
            <w:hideMark/>
          </w:tcPr>
          <w:p w14:paraId="50D301D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34FD42CF" w14:textId="77777777" w:rsidTr="00B842AC">
        <w:trPr>
          <w:trHeight w:val="855"/>
        </w:trPr>
        <w:tc>
          <w:tcPr>
            <w:tcW w:w="1805" w:type="dxa"/>
            <w:tcBorders>
              <w:top w:val="nil"/>
              <w:left w:val="nil"/>
              <w:bottom w:val="single" w:sz="4" w:space="0" w:color="808080"/>
              <w:right w:val="nil"/>
            </w:tcBorders>
            <w:vAlign w:val="center"/>
            <w:hideMark/>
          </w:tcPr>
          <w:p w14:paraId="257F629C" w14:textId="7BAA4445"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{"citationItems":[{"id":"ITEM-1","itemData":{"ISBN":"0269-2813","ISSN":"0269-2813","abstract":"Background: Proton pump inhibitors (PPIs) following endoscopic haemostasis reduce rebleeding rates in patients with high-risk acute non-variceal upper gastrointestinal bleeding. Many advocate the use of PPIs prior to endoscopy, although its incremental benefit is unproven. Aim: To determine if providing PPIs before endoscopy reduces adverse gastrointestinal outcomes in acute non-variceal upper gastrointestinal bleeding patients. Methods: We performed a retrospective review to identify patients presenting to two tertiary care centres with acute non-variceal upper gastrointestinal bleeding between 1999 and 2004. Subjects receiving PPI therapy before endoscopy were compared with those not receiving pre-endoscopic PPI therapy. The primary outcome measure was the development of any adverse bleeding outcome (rebleeding, surgery for control of bleeding, in-hospital mortality, readmission within 30 days for acute non-variceal upper gastrointestinal bleeding). Results: 385 patients were included in our study [132 (12 intravenous/120 po) pre-endoscopic PPI vs. 253 no pre-endoscopic PPI]. Patients receiving pre-endoscopic PPI therapy were significantly less likely to develop adverse outcomes compared with those not given pre-endoscopic PPIs (25% vs. 13%, P = 0.005). Rebleeding, upper gastrointestinal surgery, mortality and length of hospital stay were also significantly lower in patients receiving pre-endoscopic PPI. Conclusions: The use of PPIs before endoscopy significantly reduces the risk of developing adverse gastrointestinal outcomes in patients with acute non-variceal upper gastrointestinal bleeding. Future studies are required to better characterize this relationship. © 2006 The Authors.","author":[{"dropping-particle":"","family":"Keyvani","given":"L","non-dropping-particle":"","parse-names":false,"suffix":""},{"dropping-particle":"","family":"Murthy","given":"S","non-dropping-particle":"","parse-names":false,"suffix":""},{"dropping-particle":"","family":"Leeson","given":"S","non-dropping-particle":"","parse-names":false,"suffix":""},{"dropping-particle":"","family":"Targownik","given":"L E","non-dropping-particle":"","parse-names":false,"suffix":""}],"container-title":"Alimentary pharmacology &amp; therapeutics","id":"ITEM-1","issue":"8","issued":{"date-parts":[["2006"]]},"note":"From Duplicate 2 (Pre-endoscopic proton pump inhibitor therapy reduces recurrent adverse gastrointestinal outcomes in patients with acute non-variceal upper gastrointestinal bleeding. - Keyvani, L; Murthy, S; Leeson, S; Targownik, L E)\n\nComment in: Aliment Pharmacol Ther. 2007 Feb 1;25(3):343-4; author reply 344-5; PMID: 17217451","page":"1247-1255","publisher":"Blackwell Publishing Ltd","publisher-place":"L.E. Targownik, 804E-715 McDermot Avenue, Winnipeg, Man. R3E 3P4, Canada. E-mail: targowni@cc.umanitoba.ca","title":"Pre-endoscopic proton pump inhibitor therapy reduces recurrent adverse gastrointestinal outcomes in patients with acute non-variceal upper gastrointestinal bleeding.","type":"article-journal","volume":"24"},"uris":["http://www.mendeley.com/documents/?uuid=3ab4a424-1724-4b5d-8476-d1f89f3afb70"]}],"mendeley":{"formattedCitation":"(Keyvani et al. 2006)","plainTextFormattedCitation":"(Keyvani et al. 2006)","previouslyFormattedCitation":"(Keyvani et al. 2006)"},"properties":{"noteIndex":0},"schema":"https://github.com/citation-style-language/schema/raw/master/csl-citation.json"}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(Keyvani et al. 2006)</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22F6B25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 (majority of patients received omeprazole and pantroprazole)</w:t>
            </w:r>
          </w:p>
        </w:tc>
        <w:tc>
          <w:tcPr>
            <w:tcW w:w="2022" w:type="dxa"/>
            <w:tcBorders>
              <w:top w:val="nil"/>
              <w:left w:val="nil"/>
              <w:bottom w:val="single" w:sz="4" w:space="0" w:color="808080"/>
              <w:right w:val="nil"/>
            </w:tcBorders>
            <w:vAlign w:val="center"/>
            <w:hideMark/>
          </w:tcPr>
          <w:p w14:paraId="6D24B23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Medical chart abstraction.</w:t>
            </w:r>
          </w:p>
        </w:tc>
        <w:tc>
          <w:tcPr>
            <w:tcW w:w="2410" w:type="dxa"/>
            <w:tcBorders>
              <w:top w:val="nil"/>
              <w:left w:val="nil"/>
              <w:bottom w:val="single" w:sz="4" w:space="0" w:color="808080"/>
              <w:right w:val="nil"/>
            </w:tcBorders>
            <w:vAlign w:val="center"/>
            <w:hideMark/>
          </w:tcPr>
          <w:p w14:paraId="33D6809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(in hospital)</w:t>
            </w:r>
          </w:p>
        </w:tc>
        <w:tc>
          <w:tcPr>
            <w:tcW w:w="1736" w:type="dxa"/>
            <w:tcBorders>
              <w:top w:val="nil"/>
              <w:left w:val="nil"/>
              <w:bottom w:val="single" w:sz="4" w:space="0" w:color="808080"/>
              <w:right w:val="nil"/>
            </w:tcBorders>
            <w:vAlign w:val="center"/>
            <w:hideMark/>
          </w:tcPr>
          <w:p w14:paraId="470FDDC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Medical records</w:t>
            </w:r>
          </w:p>
        </w:tc>
        <w:tc>
          <w:tcPr>
            <w:tcW w:w="1160" w:type="dxa"/>
            <w:tcBorders>
              <w:top w:val="nil"/>
              <w:left w:val="nil"/>
              <w:bottom w:val="single" w:sz="4" w:space="0" w:color="808080"/>
              <w:right w:val="nil"/>
            </w:tcBorders>
            <w:vAlign w:val="center"/>
            <w:hideMark/>
          </w:tcPr>
          <w:p w14:paraId="46BBC241"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1999-2004</w:t>
            </w:r>
          </w:p>
        </w:tc>
        <w:tc>
          <w:tcPr>
            <w:tcW w:w="1533" w:type="dxa"/>
            <w:tcBorders>
              <w:top w:val="nil"/>
              <w:left w:val="nil"/>
              <w:bottom w:val="single" w:sz="4" w:space="0" w:color="808080"/>
              <w:right w:val="nil"/>
            </w:tcBorders>
            <w:vAlign w:val="center"/>
            <w:hideMark/>
          </w:tcPr>
          <w:p w14:paraId="2C1822D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Industry and public/non profit</w:t>
            </w:r>
          </w:p>
        </w:tc>
      </w:tr>
      <w:tr w:rsidR="00B842AC" w14:paraId="2A69089D" w14:textId="77777777" w:rsidTr="00B842AC">
        <w:trPr>
          <w:trHeight w:val="343"/>
        </w:trPr>
        <w:tc>
          <w:tcPr>
            <w:tcW w:w="1805" w:type="dxa"/>
            <w:tcBorders>
              <w:top w:val="nil"/>
              <w:left w:val="nil"/>
              <w:bottom w:val="single" w:sz="4" w:space="0" w:color="808080"/>
              <w:right w:val="nil"/>
            </w:tcBorders>
            <w:vAlign w:val="center"/>
            <w:hideMark/>
          </w:tcPr>
          <w:p w14:paraId="72F8DB95" w14:textId="0B2C1400"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{"citationItems":[{"id":"ITEM-1","itemData":{"ISBN":"0016-5085","abstract":"Backgrounds &amp; aims: Spontaneous bacterial peritonitis (SBP) is one of the most serious complications in cirrhotic patients. It has been reported that acid suppressants such as PPIs or H2RAs might cause small intestine bacterial overgrowth and bacterial translocation. However, little information is available whether acid suppression increases the risk of SBP and affects mortality rate in patients with advanced cirrhosis. Therefore, we designed a multi-center, cohort study that included a large number of cirrhotic patients to evaluate whether acid suppressive therapy increases the risk of SBP and to define the factors associated with mortality after SBP in cirrhotic patients with ascites. Methods: A total of 1437 consecutive cirrhotic patients with ascites from January 2003 to December 2010 were reviewed in this study. Patients with GI bleeding or antibiotics use within 14 days prior to admission and those who undergone organ transplant were excluded. Those patients were divided into two groups according to the presence or absence of SBP. Factors associated with the development of SBP were analyzed. Mortality rates during hospitalization or within 30 days after SBP and the factors associated with mortality were also analyzed. Results: One thousand one hundred forty patients (Median age, 62; Men, 75%; model for end-stage liver disease (MELD) score, 17) were included. Five hundred thirty three patients were identified as having SBP. In the logistic regression analysis, the use of histamine-2 receptor antagonists (H2RAs), the use of proton pump inhibitors (PPIs), a high admission MELD score, and old age were associated with the development of SBP. The mortality rate during hospitalization or within 30 days after SBP was higher in SBP patients with acid suppressive therapy compared to those without acid suppressive therapy. In the Cox regression analysis, the use of PPIs within 7 days (HR, 1.684; 95% CI, 1.126 to 2.519), the use of PPIs within 8 to 30 days (HR, 2.095; 95% CI, 1.097 to 4.001), and a higher admission MELD score (HR, 1.038; 95% CI, 1.024 to 1.054) were associated with mortality after SBP. Conclusion: Acid suppressive therapy is associated with the development of SBP in cirrhotic patients with ascites. The use of PPIs is a risk factor of mortality after SBP independent of the severity of the underlying liver disease.","author":[{"dropping-particle":"","family":"Kwon","given":"JH","non-dropping-particle":"","parse-names":false,"suffix":""},{"dropping-particle":"","family":"Koh","given":"SJ","non-dropping-particle":"","parse-names":false,"suffix":""},{"dropping-particle":"","family":"Kim","given":"JW","non-dropping-particle":"","parse-names":false,"suffix":""},{"dropping-particle":"","family":"Lee","given":"KL","non-dropping-particle":"","parse-names":false,"suffix":""},{"dropping-particle":"","family":"Kim","given":"BG","non-dropping-particle":"","parse-names":false,"suffix":""}],"collection-title":"Digestive Disease Week 2013, DDW 2013 Orlando, FL United States. Conference Start: 20130518 Conference End: 20130521","container-title":"Gastroenterology","id":"ITEM-1","issue":"5 SUPPL. 1","issued":{"date-parts":[["2013"]]},"note":"299\n","page":"S1014","publisher":"W.B. Saunders","publisher-place":"J.H. Kwon","title":"Proton pump inhibitors independently increase mortality in cirrhotic patients with spontaneous bacterial peritonitis","type":"article","volume":"144"},"uris":["http://www.mendeley.com/documents/?uuid=dd3822ea-48b8-46ee-8110-ecef83b82949"]}],"mendeley":{"formattedCitation":"(Kwon et al. 2013)","plainTextFormattedCitation":"(Kwon et al. 2013)","previouslyFormattedCitation":"(Kwon et al. 2013)"},"properties":{"noteIndex":0},"schema":"https://github.com/citation-style-language/schema/raw/master/csl-citation.json"}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(Kwon et al. 2013)</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500CE1E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1943680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Use of electronic medical records from hospital.</w:t>
            </w:r>
          </w:p>
        </w:tc>
        <w:tc>
          <w:tcPr>
            <w:tcW w:w="2410" w:type="dxa"/>
            <w:tcBorders>
              <w:top w:val="nil"/>
              <w:left w:val="nil"/>
              <w:bottom w:val="single" w:sz="4" w:space="0" w:color="808080"/>
              <w:right w:val="nil"/>
            </w:tcBorders>
            <w:vAlign w:val="center"/>
            <w:hideMark/>
          </w:tcPr>
          <w:p w14:paraId="49F9EFB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(up to 1 month)</w:t>
            </w:r>
          </w:p>
        </w:tc>
        <w:tc>
          <w:tcPr>
            <w:tcW w:w="1736" w:type="dxa"/>
            <w:tcBorders>
              <w:top w:val="nil"/>
              <w:left w:val="nil"/>
              <w:bottom w:val="single" w:sz="4" w:space="0" w:color="808080"/>
              <w:right w:val="nil"/>
            </w:tcBorders>
            <w:vAlign w:val="center"/>
            <w:hideMark/>
          </w:tcPr>
          <w:p w14:paraId="146D206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EMRs</w:t>
            </w:r>
          </w:p>
        </w:tc>
        <w:tc>
          <w:tcPr>
            <w:tcW w:w="1160" w:type="dxa"/>
            <w:tcBorders>
              <w:top w:val="nil"/>
              <w:left w:val="nil"/>
              <w:bottom w:val="single" w:sz="4" w:space="0" w:color="808080"/>
              <w:right w:val="nil"/>
            </w:tcBorders>
            <w:vAlign w:val="center"/>
            <w:hideMark/>
          </w:tcPr>
          <w:p w14:paraId="39811E15"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2003 - 2010</w:t>
            </w:r>
          </w:p>
        </w:tc>
        <w:tc>
          <w:tcPr>
            <w:tcW w:w="1533" w:type="dxa"/>
            <w:tcBorders>
              <w:top w:val="nil"/>
              <w:left w:val="nil"/>
              <w:bottom w:val="single" w:sz="4" w:space="0" w:color="808080"/>
              <w:right w:val="nil"/>
            </w:tcBorders>
            <w:vAlign w:val="center"/>
            <w:hideMark/>
          </w:tcPr>
          <w:p w14:paraId="296BDF7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None</w:t>
            </w:r>
          </w:p>
        </w:tc>
      </w:tr>
      <w:tr w:rsidR="00B842AC" w14:paraId="781D5AA4" w14:textId="77777777" w:rsidTr="00B842AC">
        <w:trPr>
          <w:trHeight w:val="421"/>
        </w:trPr>
        <w:tc>
          <w:tcPr>
            <w:tcW w:w="1805" w:type="dxa"/>
            <w:tcBorders>
              <w:top w:val="nil"/>
              <w:left w:val="nil"/>
              <w:bottom w:val="single" w:sz="4" w:space="0" w:color="808080"/>
              <w:right w:val="nil"/>
            </w:tcBorders>
            <w:vAlign w:val="center"/>
            <w:hideMark/>
          </w:tcPr>
          <w:p w14:paraId="1A7C38D8" w14:textId="57C50038"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{"citationItems":[{"id":"ITEM-1","itemData":{"ISBN":"1735-1995","abstract":"Background: A high prevalence of gastroesophageal reflux disease symptoms has observed among chronic obstructive pulmonary disease (COPD) patients, and proton-pump inhibitors (PPIs) are the main medication in clinical practices. The aim of this study is to analyze the impact of PPIs to the risk of pneumonia in the cases with COPD. Materials and Methods: This was a nationwide, population-based, cohort study using National Health Insurance Program in Taiwan. The enrolled cases were newly-diagnosed COPD, older than 30 years, between 2001 and 2005. Patients' prescriptions with PPIs and histamine receptor 2 antagonists (HR2As), &gt;2 months, were identified. The appearance of pneumonia and mortality of these enrolled patients was recorded. Multivariate Cox's regression was used to examine the influence of acid-suppressing drugs to pneumonia on individuals with COPD. Results: A total of 17,498 patients were included, of whom 109 (0.6%) and 526 (3%) cases had used PPIs and HR2As respectively. The risk of pneumonia existed when patients had used concurrent PPIs (adjusted hazard ratio [HR] = 1.76; 95% confidence interval [CI] = 1.33-2.34) or HR2As (adjusted HR = 1.25; 95% CI = 1.07-1.47). The positive association was lost in the cases over 70 years. The ratio of mortality also increased in those with PPIs or HR2As. Conclusion: Acid-suppressing drugs, especially PPIs, are attributed to more pneumonia happening in COPD patients compare with nonusers. The association was lost in elderly cases. Use acid-suppressing drugs should be careful about a higher possibility of pneumonia in younger individuals with COPD.","author":[{"dropping-particle":"","family":"Lee","given":"S","non-dropping-particle":"","parse-names":false,"suffix":""},{"dropping-particle":"","family":"Lien","given":"H","non-dropping-particle":"","parse-names":false,"suffix":""},{"dropping-particle":"","family":"Chang","given":"C","non-dropping-particle":"","parse-names":false,"suffix":""},{"dropping-particle":"","family":"Yeh","given":"H","non-dropping-particle":"","parse-names":false,"suffix":""},{"dropping-particle":"","family":"Lee","given":"T","non-dropping-particle":"","parse-names":false,"suffix":""},{"dropping-particle":"","family":"Tung","given":"C","non-dropping-particle":"","parse-names":false,"suffix":""}],"container-title":"Journal of Research in Medical Sciences","id":"ITEM-1","issue":"3","issued":{"date-parts":[["2015"]]},"note":"45","page":"263-267","publisher":"Isfahan University of Medical Sciences(IUMS) (Hezar Jerib Avenue, P.O. Box 81745-319, Isfahan, Iran, Islamic Republic of)","publisher-place":"S.-W. Lee, Department of Internal Medicine, Division of Gastroenterology and Hepatology, Taichung Veterans General Hospital, Taichung, Taiwan (Republic of China)","title":"The impact of acid-suppressing drugs to the patients with chronic obstructive pulmonary disease: A nationwide, population-based, cohort study","type":"article","volume":"20"},"uris":["http://www.mendeley.com/documents/?uuid=839856d2-ca89-4392-b1c4-0df83d93b080"]}],"mendeley":{"formattedCitation":"(Lee et al. 2015)","plainTextFormattedCitation":"(Lee et al. 2015)","previouslyFormattedCitation":"(Lee et al. 2015)"},"properties":{"noteIndex":0},"schema":"https://github.com/citation-style-language/schema/raw/master/csl-citation.json"}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(Lee et al. 2015)</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2A9D66B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737AA02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Prescriptions records.</w:t>
            </w:r>
          </w:p>
        </w:tc>
        <w:tc>
          <w:tcPr>
            <w:tcW w:w="2410" w:type="dxa"/>
            <w:tcBorders>
              <w:top w:val="nil"/>
              <w:left w:val="nil"/>
              <w:bottom w:val="single" w:sz="4" w:space="0" w:color="808080"/>
              <w:right w:val="nil"/>
            </w:tcBorders>
            <w:vAlign w:val="center"/>
            <w:hideMark/>
          </w:tcPr>
          <w:p w14:paraId="425E9C9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(up to 10 years)</w:t>
            </w:r>
          </w:p>
        </w:tc>
        <w:tc>
          <w:tcPr>
            <w:tcW w:w="1736" w:type="dxa"/>
            <w:tcBorders>
              <w:top w:val="nil"/>
              <w:left w:val="nil"/>
              <w:bottom w:val="single" w:sz="4" w:space="0" w:color="808080"/>
              <w:right w:val="nil"/>
            </w:tcBorders>
            <w:vAlign w:val="center"/>
            <w:hideMark/>
          </w:tcPr>
          <w:p w14:paraId="42A9E4C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Patient records</w:t>
            </w:r>
          </w:p>
        </w:tc>
        <w:tc>
          <w:tcPr>
            <w:tcW w:w="1160" w:type="dxa"/>
            <w:tcBorders>
              <w:top w:val="nil"/>
              <w:left w:val="nil"/>
              <w:bottom w:val="single" w:sz="4" w:space="0" w:color="808080"/>
              <w:right w:val="nil"/>
            </w:tcBorders>
            <w:vAlign w:val="center"/>
            <w:hideMark/>
          </w:tcPr>
          <w:p w14:paraId="0AB9BE25"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2001-2005</w:t>
            </w:r>
          </w:p>
        </w:tc>
        <w:tc>
          <w:tcPr>
            <w:tcW w:w="1533" w:type="dxa"/>
            <w:tcBorders>
              <w:top w:val="nil"/>
              <w:left w:val="nil"/>
              <w:bottom w:val="single" w:sz="4" w:space="0" w:color="808080"/>
              <w:right w:val="nil"/>
            </w:tcBorders>
            <w:vAlign w:val="center"/>
            <w:hideMark/>
          </w:tcPr>
          <w:p w14:paraId="12C058D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35BBBA09" w14:textId="77777777" w:rsidTr="00B842AC">
        <w:trPr>
          <w:trHeight w:val="855"/>
        </w:trPr>
        <w:tc>
          <w:tcPr>
            <w:tcW w:w="1805" w:type="dxa"/>
            <w:tcBorders>
              <w:top w:val="nil"/>
              <w:left w:val="nil"/>
              <w:bottom w:val="single" w:sz="4" w:space="0" w:color="808080"/>
              <w:right w:val="nil"/>
            </w:tcBorders>
            <w:vAlign w:val="center"/>
            <w:hideMark/>
          </w:tcPr>
          <w:p w14:paraId="192B2F4E" w14:textId="5CA37F8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{"citationItems":[{"id":"ITEM-1","itemData":{"DOI":"10.1001/jamainternmed.2013.2851","abstract":"Importance: The use of proton pump inhibitors (PPIs) has rapidly increased during the past several years. How- ever, concern remains about risks associated with their long-term use in older populations. Objective: To investigate the relationship between the use of PPIs and the risk of death or the combined end point of death or rehospitalization in older patients dis- charged from acute care hospitals. Design: We investigated the relationship between PPI use and study outcomes using time-dependent Cox pro- portional hazards regression in patients 65 years or older discharged from acute care medical wards from April 1 to June 30, 2007. Setting: Eleven acute care medical wards. Participants: Four hundred ninety-one patients (mean [SD] age, 80.0 [5.9] years).Main Outcome Measures: Mortality and the com- bined end point of death or rehospitalization. Results: The use of PPIs was independently associated with mortality (hazard ratio, 1.51 [95% CI, 1.03-2.77]) but not with the combined end point (1.49 [0.98- 2.17]).Anincreased risk of mortality was observedamong patients exposed to high-dose PPIs vs none (hazard ra- tio, 2.59 [95% CI, 1.22-7.16]). Conclusions and Relevance: In older patients dis- charged from acute care hospitals, the use of high-dose PPIs is associated with increased 1-year mortality. Ran- domized controlled studies including older frail pa- tients are needed. In the meantime, physicians need to use caution and balance benefits and harms in long- term prescription of high-dose PPIs. JAMA","author":[{"dropping-particle":"","family":"Maggio","given":"M","non-dropping-particle":"","parse-names":false,"suffix":""},{"dropping-particle":"","family":"Corsonello","given":"Andrea","non-dropping-particle":"","parse-names":false,"suffix":""},{"dropping-particle":"","family":"Ceda","given":"GP","non-dropping-particle":"","parse-names":false,"suffix":""},{"dropping-particle":"","family":"Cattabiani","given":"C","non-dropping-particle":"","parse-names":false,"suffix":""},{"dropping-particle":"","family":"Lauretani","given":"F","non-dropping-particle":"","parse-names":false,"suffix":""},{"dropping-particle":"","family":"Butto","given":"V","non-dropping-particle":"","parse-names":false,"suffix":""},{"dropping-particle":"","family":"Ferrucci","given":"L","non-dropping-particle":"","parse-names":false,"suffix":""},{"dropping-particle":"","family":"Bandinelli","given":"S","non-dropping-particle":"","parse-names":false,"suffix":""},{"dropping-particle":"","family":"Abbatecola","given":"AM","non-dropping-particle":"","parse-names":false,"suffix":""},{"dropping-particle":"","family":"Spazzafumo","given":"L","non-dropping-particle":"","parse-names":false,"suffix":""},{"dropping-particle":"","family":"Lattanzio","given":"F","non-dropping-particle":"","parse-names":false,"suffix":""}],"container-title":"Americal Medical Asociationsociation","id":"ITEM-1","issue":"7","issued":{"date-parts":[["2013"]]},"page":"518-523","title":"Proton Pump Inhibitors and Risk of 1-Year Mortality and Rehospitalization in Older Patients Discharged From Acute Care Hospitals","type":"article-journal","volume":"173"},"uris":["http://www.mendeley.com/documents/?uuid=0a5131cf-54ea-4375-a42f-4014eaf8fdaa"]}],"mendeley":{"formattedCitation":"(Maggio et al. 2013)","plainTextFormattedCitation":"(Maggio et al. 2013)","previouslyFormattedCitation":"(Maggio et al. 2013)"},"properties":{"noteIndex":0},"schema":"https://github.com/citation-style-language/schema/raw/master/csl-citation.json"}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(Maggio et al. 2013)</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28C2823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(general)</w:t>
            </w:r>
          </w:p>
        </w:tc>
        <w:tc>
          <w:tcPr>
            <w:tcW w:w="2022" w:type="dxa"/>
            <w:tcBorders>
              <w:top w:val="nil"/>
              <w:left w:val="nil"/>
              <w:bottom w:val="single" w:sz="4" w:space="0" w:color="808080"/>
              <w:right w:val="nil"/>
            </w:tcBorders>
            <w:vAlign w:val="center"/>
            <w:hideMark/>
          </w:tcPr>
          <w:p w14:paraId="4909C79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Questionnaires during hospitalization and follow up visits (every 3 months for 1 year). </w:t>
            </w:r>
          </w:p>
        </w:tc>
        <w:tc>
          <w:tcPr>
            <w:tcW w:w="2410" w:type="dxa"/>
            <w:tcBorders>
              <w:top w:val="nil"/>
              <w:left w:val="nil"/>
              <w:bottom w:val="single" w:sz="4" w:space="0" w:color="808080"/>
              <w:right w:val="nil"/>
            </w:tcBorders>
            <w:vAlign w:val="center"/>
            <w:hideMark/>
          </w:tcPr>
          <w:p w14:paraId="173A459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(1 year)</w:t>
            </w:r>
          </w:p>
        </w:tc>
        <w:tc>
          <w:tcPr>
            <w:tcW w:w="1736" w:type="dxa"/>
            <w:tcBorders>
              <w:top w:val="nil"/>
              <w:left w:val="nil"/>
              <w:bottom w:val="single" w:sz="4" w:space="0" w:color="808080"/>
              <w:right w:val="nil"/>
            </w:tcBorders>
            <w:vAlign w:val="center"/>
            <w:hideMark/>
          </w:tcPr>
          <w:p w14:paraId="318BAC7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Contact with relatives; death certificates and registers; </w:t>
            </w:r>
          </w:p>
        </w:tc>
        <w:tc>
          <w:tcPr>
            <w:tcW w:w="1160" w:type="dxa"/>
            <w:tcBorders>
              <w:top w:val="nil"/>
              <w:left w:val="nil"/>
              <w:bottom w:val="single" w:sz="4" w:space="0" w:color="808080"/>
              <w:right w:val="nil"/>
            </w:tcBorders>
            <w:vAlign w:val="center"/>
            <w:hideMark/>
          </w:tcPr>
          <w:p w14:paraId="5664DE99"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2007</w:t>
            </w:r>
          </w:p>
        </w:tc>
        <w:tc>
          <w:tcPr>
            <w:tcW w:w="1533" w:type="dxa"/>
            <w:tcBorders>
              <w:top w:val="nil"/>
              <w:left w:val="nil"/>
              <w:bottom w:val="single" w:sz="4" w:space="0" w:color="808080"/>
              <w:right w:val="nil"/>
            </w:tcBorders>
            <w:vAlign w:val="center"/>
            <w:hideMark/>
          </w:tcPr>
          <w:p w14:paraId="76BC6D5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00EFC2DD" w14:textId="77777777" w:rsidTr="00B842AC">
        <w:trPr>
          <w:trHeight w:val="855"/>
        </w:trPr>
        <w:tc>
          <w:tcPr>
            <w:tcW w:w="1805" w:type="dxa"/>
            <w:tcBorders>
              <w:top w:val="nil"/>
              <w:left w:val="nil"/>
              <w:bottom w:val="single" w:sz="4" w:space="0" w:color="808080"/>
              <w:right w:val="nil"/>
            </w:tcBorders>
            <w:vAlign w:val="center"/>
            <w:hideMark/>
          </w:tcPr>
          <w:p w14:paraId="7DDCC8DA" w14:textId="07BBFD5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{"citationItems":[{"id":"ITEM-1","itemData":{"ISSN":"1932-6203","abstract":"BACKGROUND AND AIM: The aim of this study was to assess the impact of proton pump inhibitor (PPI) intake on the development of spontaneous bacterial peritonitis (SBP) or other infections, as well as on mortality, in a thoroughly documented cohort of patients with cirrhosis and ascites., PATIENTS AND METHODS: We performed a retrospective analysis of follow-up data from 607 consecutive patients with cirrhosis undergoing their first paracentesis at a tertiary center. A binary logistic regression model investigating the association between PPI intake and SBP at the first paracentesis was calculated. Competing risk analyses and Cox models were used to investigate the effect of PPIs on the cumulative incidence of SBP or other infections and transplant-free survival, respectively. Adjustments were made for age, hepatocellular carcinoma, history of variceal bleeding, varices and model of end-stage liver disease score., RESULTS: Eighty-six percent of patients were receiving PPIs. After adjusting for potential confounding factors, PPI intake was neither associated with increased SBP prevalence at the first paracentesis (odds ratio (OR):1.11,95% confidence interval (95%CI):0.6-2.06; P = 0.731) nor cumulative incidence of SBP (subdistribution hazard ratio (SHR): 1.38; 95%CI:0.63-3.01; P = 0.42) and SBP or other infections (SHR:1.71; 95%CI:0.85-3.44; P = 0.13) during follow-up. Moreover, PPI intake had no impact on transplant-free survival in both the overall cohort (hazard ratio (HR):0.973,95%CI:0.719-1.317; P = 0.859) as well as in the subgroups of patients without SBP (HR:1.01,95%CI:0.72-1.42; P = 0.971) and without SBP or other infections at the first paracentesis (HR:0.944,95%CI:0.668-1.334; P = 0.742)., CONCLUSIONS: The proportion of cirrhotic patients with PPI intake was higher than in previous reports, suggesting that PPI indications were interpreted liberally. In our cohort with a particularly high prevalence of PPI intake, we observed no association between PPIs and SBP or other infections, as well as mortality. Thus, the severity of liver disease and other factors, rather than PPI treatment per se may predispose for infectious complications.","author":[{"dropping-particle":"","family":"Mandorfer","given":"Mattias","non-dropping-particle":"","parse-names":false,"suffix":""},{"dropping-particle":"","family":"Bota","given":"Simona","non-dropping-particle":"","parse-names":false,"suffix":""},{"dropping-particle":"","family":"Schwabl","given":"Philipp","non-dropping-particle":"","parse-names":false,"suffix":""},{"dropping-particle":"","family":"Bucsics","given":"Theresa","non-dropping-particle":"","parse-names":false,"suffix":""},{"dropping-particle":"","family":"Pfisterer","given":"Nikolaus","non-dropping-particle":"","parse-names":false,"suffix":""},{"dropping-particle":"","family":"Summereder","given":"Christian","non-dropping-particle":"","parse-names":false,"suffix":""},{"dropping-particle":"","family":"Hagmann","given":"Michael","non-dropping-particle":"","parse-names":false,"suffix":""},{"dropping-particle":"","family":"Blacky","given":"Alexander","non-dropping-particle":"","parse-names":false,"suffix":""},{"dropping-particle":"","family":"Ferlitsch","given":"Arnulf","non-dropping-particle":"","parse-names":false,"suffix":""},{"dropping-particle":"","family":"Sieghart","given":"Wolfgang","non-dropping-particle":"","parse-names":false,"suffix":""},{"dropping-particle":"","family":"Trauner","given":"Michael","non-dropping-particle":"","parse-names":false,"suffix":""},{"dropping-particle":"","family":"Peck-Radosavljevic","given":"Markus","non-dropping-particle":"","parse-names":false,"suffix":""},{"dropping-particle":"","family":"Reiberger","given":"Thomas","non-dropping-particle":"","parse-names":false,"suffix":""}],"container-title":"PloS one","id":"ITEM-1","issue":"11","issued":{"date-parts":[["2014"]]},"note":"131","page":"e110503","publisher":"Mandorfer,Mattias. Division of Gastroenterology and Hepatology, Department of Internal Medicine III, Medical University of Vienna, Vienna, Austria; Vienna Hepatic Hemodynamic Lab, Division of Gastroenterology and Hepatology, Department of Internal Medicin","publisher-place":"United States","title":"Proton pump inhibitor intake neither predisposes to spontaneous bacterial peritonitis or other infections nor increases mortality in patients with cirrhosis and ascites","type":"article-journal","volume":"9"},"uris":["http://www.mendeley.com/documents/?uuid=f178a725-4bee-44ec-a092-f5a52e9aac16"]}],"mendeley":{"formattedCitation":"(Mandorfer et al. 2014)","plainTextFormattedCitation":"(Mandorfer et al. 2014)","previouslyFormattedCitation":"(Mandorfer et al. 2014)"},"properties":{"noteIndex":0},"schema":"https://github.com/citation-style-language/schema/raw/master/csl-citation.json"}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(Mandorfer et al. 2014)</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1A124E6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4B55AA6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Medical records.</w:t>
            </w:r>
          </w:p>
        </w:tc>
        <w:tc>
          <w:tcPr>
            <w:tcW w:w="2410" w:type="dxa"/>
            <w:tcBorders>
              <w:top w:val="nil"/>
              <w:left w:val="nil"/>
              <w:bottom w:val="single" w:sz="4" w:space="0" w:color="808080"/>
              <w:right w:val="nil"/>
            </w:tcBorders>
            <w:vAlign w:val="center"/>
            <w:hideMark/>
          </w:tcPr>
          <w:p w14:paraId="30769F4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(up to 5 years) (defined as transplant-free survival:  time to liver transplantation, death or end of follow-up.)</w:t>
            </w:r>
          </w:p>
        </w:tc>
        <w:tc>
          <w:tcPr>
            <w:tcW w:w="1736" w:type="dxa"/>
            <w:tcBorders>
              <w:top w:val="nil"/>
              <w:left w:val="nil"/>
              <w:bottom w:val="single" w:sz="4" w:space="0" w:color="808080"/>
              <w:right w:val="nil"/>
            </w:tcBorders>
            <w:vAlign w:val="center"/>
            <w:hideMark/>
          </w:tcPr>
          <w:p w14:paraId="51C98F0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clear.</w:t>
            </w:r>
          </w:p>
        </w:tc>
        <w:tc>
          <w:tcPr>
            <w:tcW w:w="1160" w:type="dxa"/>
            <w:tcBorders>
              <w:top w:val="nil"/>
              <w:left w:val="nil"/>
              <w:bottom w:val="single" w:sz="4" w:space="0" w:color="808080"/>
              <w:right w:val="nil"/>
            </w:tcBorders>
            <w:vAlign w:val="center"/>
            <w:hideMark/>
          </w:tcPr>
          <w:p w14:paraId="3C801140"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2006-2011</w:t>
            </w:r>
          </w:p>
        </w:tc>
        <w:tc>
          <w:tcPr>
            <w:tcW w:w="1533" w:type="dxa"/>
            <w:tcBorders>
              <w:top w:val="nil"/>
              <w:left w:val="nil"/>
              <w:bottom w:val="single" w:sz="4" w:space="0" w:color="808080"/>
              <w:right w:val="nil"/>
            </w:tcBorders>
            <w:vAlign w:val="center"/>
            <w:hideMark/>
          </w:tcPr>
          <w:p w14:paraId="18228FB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None</w:t>
            </w:r>
          </w:p>
        </w:tc>
      </w:tr>
      <w:tr w:rsidR="00B842AC" w14:paraId="07E85C74" w14:textId="77777777" w:rsidTr="00B842AC">
        <w:trPr>
          <w:trHeight w:val="499"/>
        </w:trPr>
        <w:tc>
          <w:tcPr>
            <w:tcW w:w="1805" w:type="dxa"/>
            <w:tcBorders>
              <w:top w:val="nil"/>
              <w:left w:val="nil"/>
              <w:bottom w:val="single" w:sz="4" w:space="0" w:color="808080"/>
              <w:right w:val="nil"/>
            </w:tcBorders>
            <w:vAlign w:val="center"/>
            <w:hideMark/>
          </w:tcPr>
          <w:p w14:paraId="09133CEE" w14:textId="4B050A7B"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{"citationItems":[{"id":"ITEM-1","itemData":{"ISBN":"1053-8569","ISSN":"1099-1557","abstract":"Background: Pneumonia is a common diagnosis in general practice in the United Kingdom. Previous studies suggest that commonly prescribed drugs in general practice may influence pneumonia mortality. Aim: We investigated whether statins, angiotensin converting enzyme inhibitors (ACEIs), proton pump inhibitors (PPIs) and Histamine-2-receptor antagonists (H2RAs) have an impact on short-term and long-term mortality in pneumonia cases. Design of Study: Population-based cohort study Settting: United Kingdom Methods: Data on 3681 pneumonia cases above the age of 40 years were obtained from a comprehensive database called the health improvement network (THIN) which has computerised medical records from 300 general practice surgeries in the United Kingdom.We used Cox regression for our analyses. Results: Current statin use was associated with a 67% decrease in 30-day mortality (adj. HR: 0.33, 95% CI: 0.19-0.58) and a 55% decrease in long-term mortality (adj. HR: 0.45, 95% CI: 0.32-0.62) over a median follow-up of 2.8 years as compared to no-use. Current ACEI use decreased the 30-day mortality risk by nearly 38% as compared to no-use (adj. HR: 0.62, 95% CI: 0.47-0.82) but was not associated with longterm mortality. No significant impact on mortality was observed for either gastric acid suppressant. Conclusion: The use of statins is associated with a lower risk of short- and long-term mortality following pneumonia whereas the use of ACEIs is associated with a decreased mortality risk only in the short-term. Copyright © 2009 John Wiley &amp; Sons, Ltd.","author":[{"dropping-particle":"","family":"Myles","given":"Puja R","non-dropping-particle":"","parse-names":false,"suffix":""},{"dropping-particle":"","family":"Hubbard","given":"Richard B","non-dropping-particle":"","parse-names":false,"suffix":""},{"dropping-particle":"","family":"Gibson","given":"Jack E","non-dropping-particle":"","parse-names":false,"suffix":""},{"dropping-particle":"","family":"Pogson","given":"Zara","non-dropping-particle":"","parse-names":false,"suffix":""},{"dropping-particle":"","family":"Smith","given":"Christopher J P","non-dropping-particle":"","parse-names":false,"suffix":""},{"dropping-particle":"","family":"McKeever","given":"Tricia M","non-dropping-particle":"","parse-names":false,"suffix":""}],"container-title":"Pharmacoepidemiology and drug safety","id":"ITEM-1","issue":"8","issued":{"date-parts":[["2009"]]},"note":"783\n\nFrom Duplicate 1 (The impact of statins, ACE inhibitors and gastric acid suppressants on pneumonia mortality in a UK general practice population cohort. - Myles, Puja R; Hubbard, Richard B; Gibson, Jack E; Pogson, Zara; Smith, Christopher J P; McKeever, Tricia M)\n\nComment in: Pharmacoepidemiol Drug Saf. 2009 Nov;18(11):1121-2; PMID: 19852000","page":"697-703","publisher":"Myles,Puja R. Division of Epidemiology &amp; Public Health, University of Nottingham, Clinical Sciences Building, City Hospital, Nottingham NG5 1PB, UK. puja.myles@nottingham.ac.uk","publisher-place":"England","title":"The impact of statins, ACE inhibitors and gastric acid suppressants on pneumonia mortality in a UK general practice population cohort.","type":"article-journal","volume":"18"},"uris":["http://www.mendeley.com/documents/?uuid=18d0c5f0-ea3d-4748-9090-4fb048684a0a"]}],"mendeley":{"formattedCitation":"(Myles et al. 2009)","plainTextFormattedCitation":"(Myles et al. 2009)","previouslyFormattedCitation":"(Myles et al. 2009)"},"properties":{"noteIndex":0},"schema":"https://github.com/citation-style-language/schema/raw/master/csl-citation.json"}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(Myles et al. 2009)</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4215231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3FF1252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Prescription records;</w:t>
            </w:r>
          </w:p>
        </w:tc>
        <w:tc>
          <w:tcPr>
            <w:tcW w:w="2410" w:type="dxa"/>
            <w:tcBorders>
              <w:top w:val="nil"/>
              <w:left w:val="nil"/>
              <w:bottom w:val="single" w:sz="4" w:space="0" w:color="808080"/>
              <w:right w:val="nil"/>
            </w:tcBorders>
            <w:vAlign w:val="center"/>
            <w:hideMark/>
          </w:tcPr>
          <w:p w14:paraId="212A4273" w14:textId="77777777" w:rsidR="00B842AC" w:rsidRDefault="00B842AC" w:rsidP="00B842AC">
            <w:pPr>
              <w:spacing w:after="0" w:line="240" w:lineRule="auto"/>
              <w:rPr>
                <w:rFonts w:ascii="Calibri" w:eastAsia="Times New Roman" w:hAnsi="Calibri" w:cs="Times New Roman"/>
                <w:sz w:val="20"/>
                <w:szCs w:val="20"/>
                <w:lang w:eastAsia="en-CA"/>
              </w:rPr>
            </w:pPr>
            <w:r>
              <w:rPr>
                <w:rFonts w:ascii="Calibri" w:eastAsia="Times New Roman" w:hAnsi="Calibri" w:cs="Times New Roman"/>
                <w:sz w:val="20"/>
                <w:szCs w:val="20"/>
                <w:lang w:eastAsia="en-CA"/>
              </w:rPr>
              <w:t>ACM (1 month, median follow up of 2.8 years)</w:t>
            </w:r>
          </w:p>
        </w:tc>
        <w:tc>
          <w:tcPr>
            <w:tcW w:w="1736" w:type="dxa"/>
            <w:tcBorders>
              <w:top w:val="nil"/>
              <w:left w:val="nil"/>
              <w:bottom w:val="single" w:sz="4" w:space="0" w:color="808080"/>
              <w:right w:val="nil"/>
            </w:tcBorders>
            <w:vAlign w:val="center"/>
            <w:hideMark/>
          </w:tcPr>
          <w:p w14:paraId="6D43F8F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reported</w:t>
            </w:r>
          </w:p>
        </w:tc>
        <w:tc>
          <w:tcPr>
            <w:tcW w:w="1160" w:type="dxa"/>
            <w:tcBorders>
              <w:top w:val="nil"/>
              <w:left w:val="nil"/>
              <w:bottom w:val="single" w:sz="4" w:space="0" w:color="808080"/>
              <w:right w:val="nil"/>
            </w:tcBorders>
            <w:vAlign w:val="center"/>
            <w:hideMark/>
          </w:tcPr>
          <w:p w14:paraId="63B3D920"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2001-2002</w:t>
            </w:r>
          </w:p>
        </w:tc>
        <w:tc>
          <w:tcPr>
            <w:tcW w:w="1533" w:type="dxa"/>
            <w:tcBorders>
              <w:top w:val="nil"/>
              <w:left w:val="nil"/>
              <w:bottom w:val="single" w:sz="4" w:space="0" w:color="808080"/>
              <w:right w:val="nil"/>
            </w:tcBorders>
            <w:vAlign w:val="center"/>
            <w:hideMark/>
          </w:tcPr>
          <w:p w14:paraId="059D8AF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5F9321C7" w14:textId="77777777" w:rsidTr="00B842AC">
        <w:trPr>
          <w:trHeight w:val="563"/>
        </w:trPr>
        <w:tc>
          <w:tcPr>
            <w:tcW w:w="1805" w:type="dxa"/>
            <w:tcBorders>
              <w:top w:val="nil"/>
              <w:left w:val="nil"/>
              <w:bottom w:val="single" w:sz="4" w:space="0" w:color="808080"/>
              <w:right w:val="nil"/>
            </w:tcBorders>
            <w:vAlign w:val="center"/>
            <w:hideMark/>
          </w:tcPr>
          <w:p w14:paraId="782F8F40" w14:textId="1D382F78"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{"citationItems":[{"id":"ITEM-1","itemData":{"ISSN":"1879-0844","abstract":"AIMS: Proton pump inhibitors (PPIs) produce negative inotropic effects on the human myocardium at clinically relevant plasma concentrations. We conducted this study to determine whether PPI use was associated with excess mortality in patients with both ischaemic and non-ischaemic heart failure (HF)., METHODS AND RESULTS: The impact of PPIs on all-cause mortality was examined using a population-based cohort of Alberta residents over the age of 65 with a diagnosis of HF, logistic regression analysis, and a nested case-control study were used to examine the association between current medication use and mortality. Compared with non-PPI users (n= 15,676, 71% of the HF cohort), PPI users (n= 6431, 29% of the HF cohort) were more likely to be women and had more co-morbidities. Mortality in the first year after diagnosis of HF was 32% (n= 5659) in PPI non-users and 26% (n= 1153) in PPI users. Logistic regression modelling showed that PPI use was associated with a relative reduction in mortality rates compared with non-use [adjusted odds ratio (aOR) = 0.87, 95% confidence interval (CI) 0.81-0.93]. Nested case-control analysis of the 5815 patients who died matched to 9934 controls, revealed that current PPI use was not associated with excess mortality (aOR 0.88, 95%CI 0.77-1.01), while use of angiotensin-converting enzyme inhibitors/angiotensin receptor blocker s (aOR 0.70, 95%CI 0.62-0.79) or beta-blockers (aOR 0.57, 95%CI 0.50-0.66), was associated with a relative reduction in mortality., CONCLUSION: The use of PPIs in patients with HF is common. Despite in vitro concerns about negative inotropic effects with PPIs, there is no association with increased risk of mortality in chronic HF patients who use PPIs in an ambulatory setting.","author":[{"dropping-particle":"","family":"Oudit","given":"Gavin Y","non-dropping-particle":"","parse-names":false,"suffix":""},{"dropping-particle":"","family":"Bakal","given":"Jeffrey A","non-dropping-particle":"","parse-names":false,"suffix":""},{"dropping-particle":"","family":"McAlister","given":"Finlay A","non-dropping-particle":"","parse-names":false,"suffix":""},{"dropping-particle":"","family":"Ezekowitz","given":"Justin A","non-dropping-particle":"","parse-names":false,"suffix":""}],"container-title":"European journal of heart failure","id":"ITEM-1","issue":"11","issued":{"date-parts":[["2011"]]},"note":"561","page":"1211-1215","publisher":"Oudit,Gavin Y. Division of Cardiology, Department of Medicine, Mazankowski Alberta Heart Institute, University of Alberta, 8440-112 Street, Edmonton, Alberta, Canada. gavin.oudit@ualberta.ca","publisher-place":"Netherlands","title":"Use of oral proton pump inhibitors is not associated with harm in patients with chronic heart failure in an ambulatory setting.","type":"article-journal","volume":"13"},"uris":["http://www.mendeley.com/documents/?uuid=6b31d6f7-059d-47e6-bea8-a6541b8ede3a"]}],"mendeley":{"formattedCitation":"(Oudit et al. 2011)","plainTextFormattedCitation":"(Oudit et al. 2011)","previouslyFormattedCitation":"(Oudit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(Oudit et al. 2011)</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5397848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PPIs (general) </w:t>
            </w:r>
            <w:r>
              <w:rPr>
                <w:rFonts w:ascii="Calibri" w:eastAsia="Times New Roman" w:hAnsi="Calibri" w:cs="Times New Roman"/>
                <w:color w:val="000000"/>
                <w:sz w:val="20"/>
                <w:szCs w:val="20"/>
                <w:lang w:eastAsia="en-CA"/>
              </w:rPr>
              <w:br/>
              <w:t>Omeprazole</w:t>
            </w:r>
            <w:r>
              <w:rPr>
                <w:rFonts w:ascii="Calibri" w:eastAsia="Times New Roman" w:hAnsi="Calibri" w:cs="Times New Roman"/>
                <w:color w:val="000000"/>
                <w:sz w:val="20"/>
                <w:szCs w:val="20"/>
                <w:lang w:eastAsia="en-CA"/>
              </w:rPr>
              <w:br/>
              <w:t>Pantoprazole</w:t>
            </w:r>
          </w:p>
        </w:tc>
        <w:tc>
          <w:tcPr>
            <w:tcW w:w="2022" w:type="dxa"/>
            <w:tcBorders>
              <w:top w:val="nil"/>
              <w:left w:val="nil"/>
              <w:bottom w:val="single" w:sz="4" w:space="0" w:color="808080"/>
              <w:right w:val="nil"/>
            </w:tcBorders>
            <w:vAlign w:val="center"/>
            <w:hideMark/>
          </w:tcPr>
          <w:p w14:paraId="76C4400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Medication databases in the year prior to index HF diagnosis.</w:t>
            </w:r>
          </w:p>
        </w:tc>
        <w:tc>
          <w:tcPr>
            <w:tcW w:w="2410" w:type="dxa"/>
            <w:tcBorders>
              <w:top w:val="nil"/>
              <w:left w:val="nil"/>
              <w:bottom w:val="single" w:sz="4" w:space="0" w:color="808080"/>
              <w:right w:val="nil"/>
            </w:tcBorders>
            <w:vAlign w:val="center"/>
            <w:hideMark/>
          </w:tcPr>
          <w:p w14:paraId="61D9389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(1 year)</w:t>
            </w:r>
          </w:p>
        </w:tc>
        <w:tc>
          <w:tcPr>
            <w:tcW w:w="1736" w:type="dxa"/>
            <w:tcBorders>
              <w:top w:val="nil"/>
              <w:left w:val="nil"/>
              <w:bottom w:val="single" w:sz="4" w:space="0" w:color="808080"/>
              <w:right w:val="nil"/>
            </w:tcBorders>
            <w:vAlign w:val="center"/>
            <w:hideMark/>
          </w:tcPr>
          <w:p w14:paraId="655CCFF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Database</w:t>
            </w:r>
          </w:p>
        </w:tc>
        <w:tc>
          <w:tcPr>
            <w:tcW w:w="1160" w:type="dxa"/>
            <w:tcBorders>
              <w:top w:val="nil"/>
              <w:left w:val="nil"/>
              <w:bottom w:val="single" w:sz="4" w:space="0" w:color="808080"/>
              <w:right w:val="nil"/>
            </w:tcBorders>
            <w:vAlign w:val="center"/>
            <w:hideMark/>
          </w:tcPr>
          <w:p w14:paraId="34A44CFE"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1999-2005</w:t>
            </w:r>
          </w:p>
        </w:tc>
        <w:tc>
          <w:tcPr>
            <w:tcW w:w="1533" w:type="dxa"/>
            <w:tcBorders>
              <w:top w:val="nil"/>
              <w:left w:val="nil"/>
              <w:bottom w:val="single" w:sz="4" w:space="0" w:color="808080"/>
              <w:right w:val="nil"/>
            </w:tcBorders>
            <w:vAlign w:val="center"/>
            <w:hideMark/>
          </w:tcPr>
          <w:p w14:paraId="1E2A809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18F8EDBC" w14:textId="77777777" w:rsidTr="00B842AC">
        <w:trPr>
          <w:trHeight w:val="203"/>
        </w:trPr>
        <w:tc>
          <w:tcPr>
            <w:tcW w:w="1805" w:type="dxa"/>
            <w:tcBorders>
              <w:top w:val="nil"/>
              <w:left w:val="nil"/>
              <w:bottom w:val="single" w:sz="4" w:space="0" w:color="808080"/>
              <w:right w:val="nil"/>
            </w:tcBorders>
            <w:vAlign w:val="center"/>
            <w:hideMark/>
          </w:tcPr>
          <w:p w14:paraId="2A83A6BC" w14:textId="01923504"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{"citationItems":[{"id":"ITEM-1","itemData":{"DOI":"10.1371/journal.pone.0124653","ISSN":"1932-6203","PMID":"26061035","abstract":"BACKGROUND AND AIMS Proton pump inhibitors (PPIs) have been associated with adverse clinical outcomes amongst clopidogrel users after an acute coronary syndrome. Recent pre-clinical results suggest that this risk might extend to subjects without any prior history of cardiovascular disease. We explore this potential risk in the general population via data-mining approaches. METHODS Using a novel approach for mining clinical data for pharmacovigilance, we queried over 16 million clinical documents on 2.9 million individuals to examine whether PPI usage was associated with cardiovascular risk in the general population. RESULTS In multiple data sources, we found gastroesophageal reflux disease (GERD) patients exposed to PPIs to have a 1.16 fold increased association (95% CI 1.09-1.24) with myocardial infarction (MI). Survival analysis in a prospective cohort found a two-fold (HR = 2.00; 95% CI 1.07-3.78; P = 0.031) increase in association with cardiovascular mortality. We found that this association exists regardless of clopidogrel use. We also found that H2 blockers, an alternate treatment for GERD, were not associated with increased cardiovascular risk; had they been in place, such pharmacovigilance algorithms could have flagged this risk as early as the year 2000. CONCLUSIONS Consistent with our pre-clinical findings that PPIs may adversely impact vascular function, our data-mining study supports the association of PPI exposure with risk for MI in the general population. These data provide an example of how a combination of experimental studies and data-mining approaches can be applied to prioritize drug safety signals for further investigation.","author":[{"dropping-particle":"","family":"Shah","given":"Nigam H","non-dropping-particle":"","parse-names":false,"suffix":""},{"dropping-particle":"","family":"LePendu","given":"Paea","non-dropping-particle":"","parse-names":false,"suffix":""},{"dropping-particle":"","family":"Bauer-Mehren","given":"Anna","non-dropping-particle":"","parse-names":false,"suffix":""},{"dropping-particle":"","family":"Ghebremariam","given":"Yohannes T","non-dropping-particle":"","parse-names":false,"suffix":""},{"dropping-particle":"V","family":"Iyer","given":"Srinivasan","non-dropping-particle":"","parse-names":false,"suffix":""},{"dropping-particle":"","family":"Marcus","given":"Jake","non-dropping-particle":"","parse-names":false,"suffix":""},{"dropping-particle":"","family":"Nead","given":"Kevin T","non-dropping-particle":"","parse-names":false,"suffix":""},{"dropping-particle":"","family":"Cooke","given":"John P","non-dropping-particle":"","parse-names":false,"suffix":""},{"dropping-particle":"","family":"Leeper","given":"Nicholas J","non-dropping-particle":"","parse-names":false,"suffix":""}],"container-title":"PloS one","id":"ITEM-1","issue":"6","issued":{"date-parts":[["2015"]]},"page":"e0124653","publisher":"Public Library of Science","title":"Proton Pump Inhibitor Usage and the Risk of Myocardial Infarction in the General Population.","type":"article-journal","volume":"10"},"uris":["http://www.mendeley.com/documents/?uuid=6eab5f74-e038-3bc6-94db-fb15d50426c2"]}],"mendeley":{"formattedCitation":"(Shah et al. 2015)","plainTextFormattedCitation":"(Shah et al. 2015)","previouslyFormattedCitation":"(Shah et al. 2015)"},"properties":{"noteIndex":0},"schema":"https://github.com/citation-style-language/schema/raw/master/csl-citation.json"}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(Shah et al. 2015)</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17A0532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7CA3361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Assessed at enrollment</w:t>
            </w:r>
          </w:p>
        </w:tc>
        <w:tc>
          <w:tcPr>
            <w:tcW w:w="2410" w:type="dxa"/>
            <w:tcBorders>
              <w:top w:val="nil"/>
              <w:left w:val="nil"/>
              <w:bottom w:val="single" w:sz="4" w:space="0" w:color="808080"/>
              <w:right w:val="nil"/>
            </w:tcBorders>
            <w:vAlign w:val="center"/>
            <w:hideMark/>
          </w:tcPr>
          <w:p w14:paraId="1C5E12C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CVDM (8 years)</w:t>
            </w:r>
          </w:p>
        </w:tc>
        <w:tc>
          <w:tcPr>
            <w:tcW w:w="1736" w:type="dxa"/>
            <w:tcBorders>
              <w:top w:val="nil"/>
              <w:left w:val="nil"/>
              <w:bottom w:val="single" w:sz="4" w:space="0" w:color="808080"/>
              <w:right w:val="nil"/>
            </w:tcBorders>
            <w:vAlign w:val="center"/>
            <w:hideMark/>
          </w:tcPr>
          <w:p w14:paraId="600325A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Medical and contact of patients/relatives. Deaths confirmed </w:t>
            </w:r>
            <w:r>
              <w:rPr>
                <w:rFonts w:ascii="Calibri" w:eastAsia="Times New Roman" w:hAnsi="Calibri" w:cs="Times New Roman"/>
                <w:color w:val="000000"/>
                <w:sz w:val="20"/>
                <w:szCs w:val="20"/>
                <w:lang w:eastAsia="en-CA"/>
              </w:rPr>
              <w:lastRenderedPageBreak/>
              <w:t>in Social Security Death Index</w:t>
            </w:r>
          </w:p>
        </w:tc>
        <w:tc>
          <w:tcPr>
            <w:tcW w:w="1160" w:type="dxa"/>
            <w:tcBorders>
              <w:top w:val="nil"/>
              <w:left w:val="nil"/>
              <w:bottom w:val="single" w:sz="4" w:space="0" w:color="808080"/>
              <w:right w:val="nil"/>
            </w:tcBorders>
            <w:vAlign w:val="center"/>
            <w:hideMark/>
          </w:tcPr>
          <w:p w14:paraId="73C82479"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lastRenderedPageBreak/>
              <w:t xml:space="preserve">2004-2008 </w:t>
            </w:r>
          </w:p>
        </w:tc>
        <w:tc>
          <w:tcPr>
            <w:tcW w:w="1533" w:type="dxa"/>
            <w:tcBorders>
              <w:top w:val="nil"/>
              <w:left w:val="nil"/>
              <w:bottom w:val="single" w:sz="4" w:space="0" w:color="808080"/>
              <w:right w:val="nil"/>
            </w:tcBorders>
            <w:vAlign w:val="center"/>
            <w:hideMark/>
          </w:tcPr>
          <w:p w14:paraId="602C279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 and private</w:t>
            </w:r>
          </w:p>
        </w:tc>
      </w:tr>
      <w:tr w:rsidR="00B842AC" w14:paraId="632C1043" w14:textId="77777777" w:rsidTr="00B842AC">
        <w:trPr>
          <w:trHeight w:val="280"/>
        </w:trPr>
        <w:tc>
          <w:tcPr>
            <w:tcW w:w="1805" w:type="dxa"/>
            <w:tcBorders>
              <w:top w:val="nil"/>
              <w:left w:val="nil"/>
              <w:bottom w:val="single" w:sz="4" w:space="0" w:color="808080"/>
              <w:right w:val="nil"/>
            </w:tcBorders>
            <w:vAlign w:val="center"/>
            <w:hideMark/>
          </w:tcPr>
          <w:p w14:paraId="20C4F926" w14:textId="241F113C"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{"citationItems":[{"id":"ITEM-1","itemData":{"ISSN":"1874-1754","abstract":"BACKGROUND: There is substantial debate regarding the development of acute coronary syndrome in patients using proton pump inhibitors (PPIs) combined with clopidogrel. However, data remain limited to address the effect of PPIs alone on the subsequent risk of myocardial infarction (MI). We aimed to explore the subsequent risk of MI in PPI users who had no previous history of MI., METHODS: The records of inpatients and outpatients with PPI prescriptions were retrieved from the Taiwan National Health Insurance Research Database between 2000 and 2009. We conducted two different study designs, the first using propensity score (PS)-matching analyses and the second using case-crossover analyses. The risk of developing MI for PPI users was analyzed in the PS-matched study. The association between risk of MI and prior PPI exposure was further validated in the case-crossover study., RESULTS: In the PS-matched study, we included 126,367 PPI users and 126,367 PS-matched PPI non-users. After 120 days of follow-up, PPI use was associated with a 1.58-fold greater risk of MI (adjusted hazard ratio [HR] = 1.58, 95% confidence interval [CI] = 1.11 to 2.25). In the case-crossover study, adjusted odds ratios of PPI for MI risk were 4.61 (95% CI = 1.76 to 12.07) for the 7-day window and 3.47 (95% CI = 1.76 to 6.83) for the 14-day window., CONCLUSIONS: Use of PPIs may be independently associated with an increased risk of MI. However, the benefits of PPIs may greatly outweigh the risks of adverse cardiovascular effects, with number needed to harm of 4357.Copyright © 2014 Elsevier Ireland Ltd. All rights reserved.","author":[{"dropping-particle":"","family":"Shih","given":"Chia-Jen","non-dropping-particle":"","parse-names":false,"suffix":""},{"dropping-particle":"","family":"Chen","given":"Yung-Tai","non-dropping-particle":"","parse-names":false,"suffix":""},{"dropping-particle":"","family":"Ou","given":"Shuo-Ming","non-dropping-particle":"","parse-names":false,"suffix":""},{"dropping-particle":"","family":"Li","given":"Szu-Yuan","non-dropping-particle":"","parse-names":false,"suffix":""},{"dropping-particle":"","family":"Chen","given":"Tzeng-Ji","non-dropping-particle":"","parse-names":false,"suffix":""},{"dropping-particle":"","family":"Wang","given":"Shuu-Jiun","non-dropping-particle":"","parse-names":false,"suffix":""}],"container-title":"International journal of cardiology","id":"ITEM-1","issue":"1","issued":{"date-parts":[["2014"]]},"note":"103","page":"292-297","publisher":"Shih,Chia-Jen. Department of Medicine, Taipei Veterans General Hospital, Yuanshan Branch, Yilan, Taiwan; School of Medicine, National Yang-Ming University, Taipei, Taiwan.","publisher-place":"Netherlands","title":"Proton pump inhibitor use represents an independent risk factor for myocardial infarction.","type":"article-journal","volume":"177"},"uris":["http://www.mendeley.com/documents/?uuid=cd2c7d11-bfbc-4cc2-9a87-b9374ffd5d7a"]}],"mendeley":{"formattedCitation":"(Shih et al. 2014)","plainTextFormattedCitation":"(Shih et al. 2014)","previouslyFormattedCitation":"(Shih et al. 2014)"},"properties":{"noteIndex":0},"schema":"https://github.com/citation-style-language/schema/raw/master/csl-citation.json"}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(Shih et al. 2014)</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3F96F4F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1D401FC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Prescription records (drugs, dispensing date, quantity, dose collected). </w:t>
            </w:r>
          </w:p>
        </w:tc>
        <w:tc>
          <w:tcPr>
            <w:tcW w:w="2410" w:type="dxa"/>
            <w:tcBorders>
              <w:top w:val="nil"/>
              <w:left w:val="nil"/>
              <w:bottom w:val="single" w:sz="4" w:space="0" w:color="808080"/>
              <w:right w:val="nil"/>
            </w:tcBorders>
            <w:vAlign w:val="center"/>
            <w:hideMark/>
          </w:tcPr>
          <w:p w14:paraId="4010587B"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(120 days)</w:t>
            </w:r>
            <w:r>
              <w:rPr>
                <w:rFonts w:ascii="Calibri" w:eastAsia="Times New Roman" w:hAnsi="Calibri" w:cs="Times New Roman"/>
                <w:color w:val="000000"/>
                <w:sz w:val="20"/>
                <w:szCs w:val="20"/>
                <w:lang w:eastAsia="en-CA"/>
              </w:rPr>
              <w:br/>
              <w:t>ACM (120 days)</w:t>
            </w:r>
          </w:p>
        </w:tc>
        <w:tc>
          <w:tcPr>
            <w:tcW w:w="1736" w:type="dxa"/>
            <w:tcBorders>
              <w:top w:val="nil"/>
              <w:left w:val="nil"/>
              <w:bottom w:val="single" w:sz="4" w:space="0" w:color="808080"/>
              <w:right w:val="nil"/>
            </w:tcBorders>
            <w:vAlign w:val="center"/>
            <w:hideMark/>
          </w:tcPr>
          <w:p w14:paraId="4E1F473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Insurance records</w:t>
            </w:r>
          </w:p>
        </w:tc>
        <w:tc>
          <w:tcPr>
            <w:tcW w:w="1160" w:type="dxa"/>
            <w:tcBorders>
              <w:top w:val="nil"/>
              <w:left w:val="nil"/>
              <w:bottom w:val="single" w:sz="4" w:space="0" w:color="808080"/>
              <w:right w:val="nil"/>
            </w:tcBorders>
            <w:vAlign w:val="center"/>
            <w:hideMark/>
          </w:tcPr>
          <w:p w14:paraId="20FAFAD8"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2000-2009</w:t>
            </w:r>
          </w:p>
        </w:tc>
        <w:tc>
          <w:tcPr>
            <w:tcW w:w="1533" w:type="dxa"/>
            <w:tcBorders>
              <w:top w:val="nil"/>
              <w:left w:val="nil"/>
              <w:bottom w:val="single" w:sz="4" w:space="0" w:color="808080"/>
              <w:right w:val="nil"/>
            </w:tcBorders>
            <w:vAlign w:val="center"/>
            <w:hideMark/>
          </w:tcPr>
          <w:p w14:paraId="5775F45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31F43DF5" w14:textId="77777777" w:rsidTr="00B842AC">
        <w:trPr>
          <w:trHeight w:val="855"/>
        </w:trPr>
        <w:tc>
          <w:tcPr>
            <w:tcW w:w="1805" w:type="dxa"/>
            <w:tcBorders>
              <w:top w:val="nil"/>
              <w:left w:val="nil"/>
              <w:bottom w:val="single" w:sz="4" w:space="0" w:color="808080"/>
              <w:right w:val="nil"/>
            </w:tcBorders>
            <w:vAlign w:val="center"/>
            <w:hideMark/>
          </w:tcPr>
          <w:p w14:paraId="2C78C5F0" w14:textId="390F839B"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{"citationItems":[{"id":"ITEM-1","itemData":{"ISBN":"0009-7322","ISSN":"1524-4539","abstract":"Background-Clopidogrel requires metabolic activation by cytochrome P450 2C19 (CYP2C19). Proton pump inhibitors (PPIs) that inhibit CYP2C19 are commonly coadministered with clopidogrel to reduce the risk of gastrointestinal bleeding. This analysis compares treatment outcomes for patients in the French Registry of Acute ST-Elevation and Non-ST-Elevation Myocardial Infarction (FAST-MI) who did or did not receive clopidogrel and/or PPIs. Methods and Results-The FAST-MI registry included 3670 patients (2744 clopidogrel- and PPI-naive patients) presenting with definite MI. Patients were categorized according to use of clopidogrel and/or PPI within 48 hours after hospital admission. PPI use was not associated with an increased risk for any of the main in-hospital events (in-hospital survival, reinfarction, stroke, bleeding, and transfusion). Likewise, PPI treatment was not an independent predictor of 1-year survival (hazard ratio, 0.97; 95% confidence interval [CI], 0.87 to 1.08; P=0.57) or 1-year MI, stroke, or death (hazard ratio, 0.98; 95% CI, 0.90 to 1.08; P=0.72). No differences were seen when the type of PPI or CYP2C19 genotype was taken into account. In the propensity-matched cohorts, the odds ratios for major in-hospital events in PPI versus no PPI were 0.29 (95% CI, 0.06 to 1.44) and 1.70 (95% CI, 0.10 to 30.3) for patients with 1 and 2 variant alleles, respectively. Similarly, the hazard ratio for 1-year events in hospital survivors was 0.68 (95% CI, 0.26 to 1.79) and 0.55 (95% CI, 0.06 to 5.30), respectively. Conclusion-PPI use was not associated with an increased risk of cardiovascular events or mortality in patients administered clopidogrel for recent MI, whatever the CYP2C19 genotype, although harm could not be formally excluded in patients with 2 loss-of-function alleles. © 2011 American Heart Association, Inc.","author":[{"dropping-particle":"","family":"Simon","given":"Tabassome","non-dropping-particle":"","parse-names":false,"suffix":""},{"dropping-particle":"","family":"Steg","given":"Philippe Gabriel","non-dropping-particle":"","parse-names":false,"suffix":""},{"dropping-particle":"","family":"Gilard","given":"Martine","non-dropping-particle":"","parse-names":false,"suffix":""},{"dropping-particle":"","family":"Blanchard","given":"Didier","non-dropping-particle":"","parse-names":false,"suffix":""},{"dropping-particle":"","family":"Bonello","given":"Laurent","non-dropping-particle":"","parse-names":false,"suffix":""},{"dropping-particle":"","family":"Hanssen","given":"Michel","non-dropping-particle":"","parse-names":false,"suffix":""},{"dropping-particle":"","family":"Lardoux","given":"Herve","non-dropping-particle":"","parse-names":false,"suffix":""},{"dropping-particle":"","family":"Coste","given":"Pierre","non-dropping-particle":"","parse-names":false,"suffix":""},{"dropping-particle":"","family":"Lefevre","given":"Thierry","non-dropping-particle":"","parse-names":false,"suffix":""},{"dropping-particle":"","family":"Drouet","given":"Elodie","non-dropping-particle":"","parse-names":false,"suffix":""},{"dropping-particle":"","family":"Mulak","given":"Genevieve","non-dropping-particle":"","parse-names":false,"suffix":""},{"dropping-particle":"","family":"Bataille","given":"Vincent","non-dropping-particle":"","parse-names":false,"suffix":""},{"dropping-particle":"","family":"Ferrieres","given":"Jean","non-dropping-particle":"","parse-names":false,"suffix":""},{"dropping-particle":"","family":"Verstuyft","given":"Celine","non-dropping-particle":"","parse-names":false,"suffix":""},{"dropping-particle":"","family":"Danchin","given":"Nicolas","non-dropping-particle":"","parse-names":false,"suffix":""}],"container-title":"Circulation","id":"ITEM-1","issue":"5","issued":{"date-parts":[["2011"]]},"note":"548\n\nFrom Duplicate 1 (Clinical events as a function of proton pump inhibitor use, clopidogrel use, and cytochrome P450 2C19 genotype in a large nationwide cohort of acute myocardial infarction: results from the French Registry of Acute ST-Elevation and Non-ST-Elevation Myocardial Infarction (FAST-MI) registry. - Simon, Tabassome; Steg, Philippe Gabriel; Gilard, Martine; Blanchard, Didier; Bonello, Laurent; Hanssen, Michel; Lardoux, Herve; Coste, Pierre; Lefevre, Thierry; Drouet, Elodie; Mulak, Genevieve; Bataille, Vincent; Ferrieres, Jean; Verstuyft, Celine; Danchin, Nicolas)\n\nComment in: Circulation. 2011 Sep 13;124(11):e297; PMID: 21911791, Comment in: Circulation. 2011 Feb 8;123(5):468-70; PMID: 21262991","page":"474-482","publisher":"Simon,Tabassome. Department of Pharmacology, Clinical Research Unit, APHP, St. Antoine Hospital, UMPC-Paris 06 University, 27 Rue Chaligny, Paris, France. tabassome.simon@sat.aphp.fr","publisher-place":"T. Simon, Department of Pharmacology, St. Antoine Hospital, Paris 06 University, 27 Rue Chaligny, 75012, Paris, France. E-mail: tabassome.simon@sat.aphp.fr","title":"Clinical events as a function of proton pump inhibitor use, clopidogrel use, and cytochrome P450 2C19 genotype in a large nationwide cohort of acute myocardial infarction: results from the French Registry of Acute ST-Elevation and Non-ST-Elevation Myocard","type":"article-journal","volume":"123"},"uris":["http://www.mendeley.com/documents/?uuid=512b8704-9b8f-4f71-afc3-3647a3c4953d"]}],"mendeley":{"formattedCitation":"(Simon et al. 2011)","plainTextFormattedCitation":"(Simon et al. 2011)","previouslyFormattedCitation":"(Simon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(Simon et al. 2011)</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304E5BB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r>
              <w:rPr>
                <w:rFonts w:ascii="Calibri" w:eastAsia="Times New Roman" w:hAnsi="Calibri" w:cs="Times New Roman"/>
                <w:color w:val="000000"/>
                <w:sz w:val="20"/>
                <w:szCs w:val="20"/>
                <w:lang w:eastAsia="en-CA"/>
              </w:rPr>
              <w:br/>
              <w:t>Omeprazole</w:t>
            </w:r>
            <w:r>
              <w:rPr>
                <w:rFonts w:ascii="Calibri" w:eastAsia="Times New Roman" w:hAnsi="Calibri" w:cs="Times New Roman"/>
                <w:color w:val="000000"/>
                <w:sz w:val="20"/>
                <w:szCs w:val="20"/>
                <w:lang w:eastAsia="en-CA"/>
              </w:rPr>
              <w:br/>
              <w:t xml:space="preserve">Lansoprazole </w:t>
            </w:r>
            <w:r>
              <w:rPr>
                <w:rFonts w:ascii="Calibri" w:eastAsia="Times New Roman" w:hAnsi="Calibri" w:cs="Times New Roman"/>
                <w:color w:val="000000"/>
                <w:sz w:val="20"/>
                <w:szCs w:val="20"/>
                <w:lang w:eastAsia="en-CA"/>
              </w:rPr>
              <w:br/>
              <w:t>Omeprazole</w:t>
            </w:r>
            <w:r>
              <w:rPr>
                <w:rFonts w:ascii="Calibri" w:eastAsia="Times New Roman" w:hAnsi="Calibri" w:cs="Times New Roman"/>
                <w:color w:val="000000"/>
                <w:sz w:val="20"/>
                <w:szCs w:val="20"/>
                <w:lang w:eastAsia="en-CA"/>
              </w:rPr>
              <w:br/>
              <w:t>Pantoprazole</w:t>
            </w:r>
          </w:p>
        </w:tc>
        <w:tc>
          <w:tcPr>
            <w:tcW w:w="2022" w:type="dxa"/>
            <w:tcBorders>
              <w:top w:val="nil"/>
              <w:left w:val="nil"/>
              <w:bottom w:val="single" w:sz="4" w:space="0" w:color="808080"/>
              <w:right w:val="nil"/>
            </w:tcBorders>
            <w:vAlign w:val="center"/>
            <w:hideMark/>
          </w:tcPr>
          <w:p w14:paraId="4922031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EMRs</w:t>
            </w:r>
          </w:p>
        </w:tc>
        <w:tc>
          <w:tcPr>
            <w:tcW w:w="2410" w:type="dxa"/>
            <w:tcBorders>
              <w:top w:val="nil"/>
              <w:left w:val="nil"/>
              <w:bottom w:val="single" w:sz="4" w:space="0" w:color="808080"/>
              <w:right w:val="nil"/>
            </w:tcBorders>
            <w:vAlign w:val="center"/>
            <w:hideMark/>
          </w:tcPr>
          <w:p w14:paraId="38DCF08E"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 year)</w:t>
            </w:r>
            <w:r>
              <w:rPr>
                <w:rFonts w:ascii="Calibri" w:eastAsia="Times New Roman" w:hAnsi="Calibri" w:cs="Times New Roman"/>
                <w:color w:val="000000"/>
                <w:sz w:val="20"/>
                <w:szCs w:val="20"/>
                <w:lang w:eastAsia="en-CA"/>
              </w:rPr>
              <w:br/>
              <w:t>Stroke (1 year)</w:t>
            </w:r>
            <w:r>
              <w:rPr>
                <w:rFonts w:ascii="Calibri" w:eastAsia="Times New Roman" w:hAnsi="Calibri" w:cs="Times New Roman"/>
                <w:color w:val="000000"/>
                <w:sz w:val="20"/>
                <w:szCs w:val="20"/>
                <w:lang w:eastAsia="en-CA"/>
              </w:rPr>
              <w:br/>
              <w:t>ACM (1 year)</w:t>
            </w:r>
          </w:p>
        </w:tc>
        <w:tc>
          <w:tcPr>
            <w:tcW w:w="1736" w:type="dxa"/>
            <w:tcBorders>
              <w:top w:val="nil"/>
              <w:left w:val="nil"/>
              <w:bottom w:val="single" w:sz="4" w:space="0" w:color="808080"/>
              <w:right w:val="nil"/>
            </w:tcBorders>
            <w:vAlign w:val="center"/>
            <w:hideMark/>
          </w:tcPr>
          <w:p w14:paraId="0F054CB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EMRs</w:t>
            </w:r>
          </w:p>
        </w:tc>
        <w:tc>
          <w:tcPr>
            <w:tcW w:w="1160" w:type="dxa"/>
            <w:tcBorders>
              <w:top w:val="nil"/>
              <w:left w:val="nil"/>
              <w:bottom w:val="single" w:sz="4" w:space="0" w:color="808080"/>
              <w:right w:val="nil"/>
            </w:tcBorders>
            <w:vAlign w:val="center"/>
            <w:hideMark/>
          </w:tcPr>
          <w:p w14:paraId="595C7C6A"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2005</w:t>
            </w:r>
          </w:p>
        </w:tc>
        <w:tc>
          <w:tcPr>
            <w:tcW w:w="1533" w:type="dxa"/>
            <w:tcBorders>
              <w:top w:val="nil"/>
              <w:left w:val="nil"/>
              <w:bottom w:val="single" w:sz="4" w:space="0" w:color="808080"/>
              <w:right w:val="nil"/>
            </w:tcBorders>
            <w:vAlign w:val="center"/>
            <w:hideMark/>
          </w:tcPr>
          <w:p w14:paraId="4C1DE55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Industry and Public/non profit</w:t>
            </w:r>
          </w:p>
        </w:tc>
      </w:tr>
      <w:tr w:rsidR="00B842AC" w14:paraId="4D9FCC70" w14:textId="77777777" w:rsidTr="00B842AC">
        <w:trPr>
          <w:trHeight w:val="435"/>
        </w:trPr>
        <w:tc>
          <w:tcPr>
            <w:tcW w:w="1805" w:type="dxa"/>
            <w:tcBorders>
              <w:top w:val="nil"/>
              <w:left w:val="nil"/>
              <w:bottom w:val="single" w:sz="4" w:space="0" w:color="808080"/>
              <w:right w:val="nil"/>
            </w:tcBorders>
            <w:vAlign w:val="center"/>
            <w:hideMark/>
          </w:tcPr>
          <w:p w14:paraId="01F9A372" w14:textId="27D16FDD"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{"citationItems":[{"id":"ITEM-1","itemData":{"ISBN":"0016-5085","abstract":"BACKGROUND &amp; AIMS Proton pump inhibitors (PPIs), when given following endoscopy for acute upper gastrointestinal bleeding (UGIB), can reduce the need for blood transfusion and surgery; little is known about their benefit when used in the period before endoscopy. We therefore aimed to investigate the outcomes of UGIB in patients given intravenous PPIs before their endoscopy. METHODS A total of 404 patients with UGIB were included; 202 received intravenous omeprazole for a median of 1 day (IQR 0.25-2) before endoscopy and 202 did not, this treatment being at their physician's discretion. Omeprazole was given either in bolus doses of 40-mg bid (n=103; 51%), or as an infusion of 8-mg/ hour after a loading dose of 80-mg (n=99; 49%). After endoscopy, omeprazole was continued intravenously or orally in patients found to have ulcers/ erosions in their oesophagus, stomach, or duodenum. Patients' clinical details were noted including their Charlson comorbidity and Blatchford risk scores. Three major outcomes were measured: need for blood transfusion; hospital stay &gt; 6 days; and death within 30 days. The Mann-Whitney test, Chi-squared test and logistic regression were used as appropriate RESULTS The two groups were comparable with respect to their gender, smoking, alcohol intake, and use of NSAIDs, aspirin, antithrombotic and other drugs. The treated group was older and had higher Blatchford and Charlson scores. However, when these factors were adjusted for, as shown in Table-1, below, no significant differences were noted between patients who received pre-endoscopic PPI and those who did not in terms of need for blood transfusion, length of hospital stay, or 30-day mortality. CONCLUSIONS The administration of intravenous PPI before endoscopy did not affect the outcomes of acute upper gastrointestinal bleeding in this retrospective study. This is relevant to the appropriate management of this common condition. Table-1. Odds ratios (95% CI) for outcomes of UGIB, with vs. without pre-endoscopic PPI use, before and after adjustment for other factors in a logistic regression model (Table Presented).","author":[{"dropping-particle":"","family":"Taha","given":"AS","non-dropping-particle":"","parse-names":false,"suffix":""},{"dropping-particle":"","family":"Saffouri","given":"E","non-dropping-particle":"","parse-names":false,"suffix":""},{"dropping-particle":"","family":"McCloskey","given":"C","non-dropping-particle":"","parse-names":false,"suffix":""},{"dropping-particle":"","family":"Craigen","given":"T","non-dropping-particle":"","parse-names":false,"suffix":""},{"dropping-particle":"","family":"Angerson","given":"WJ","non-dropping-particle":"","parse-names":false,"suffix":""}],"collection-title":"Digestive Disease Week 2013, DDW 2013 Orlando, FL United States. Conference Start: 20130518 Conference End: 20130521","container-title":"Gastroenterology","id":"ITEM-1","issue":"5 SUPPL. 1","issued":{"date-parts":[["2013"]]},"note":"247","page":"S211","publisher":"W.B. Saunders","publisher-place":"A.S. Taha","title":"Pre-endoscopic intravenous proton pump inhibition and the outcomes of acute upper gastrointestinal bleeding","type":"article","volume":"144"},"uris":["http://www.mendeley.com/documents/?uuid=efd67aed-df2d-4c26-8511-ba27f39dce7a"]}],"mendeley":{"formattedCitation":"(Taha et al. 2013)","plainTextFormattedCitation":"(Taha et al. 2013)","previouslyFormattedCitation":"(Taha et al. 2013)"},"properties":{"noteIndex":0},"schema":"https://github.com/citation-style-language/schema/raw/master/csl-citation.json"}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(Taha et al. 2013)</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60FFEBC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2022" w:type="dxa"/>
            <w:tcBorders>
              <w:top w:val="nil"/>
              <w:left w:val="nil"/>
              <w:bottom w:val="single" w:sz="4" w:space="0" w:color="808080"/>
              <w:right w:val="nil"/>
            </w:tcBorders>
            <w:vAlign w:val="center"/>
            <w:hideMark/>
          </w:tcPr>
          <w:p w14:paraId="5506422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NR </w:t>
            </w:r>
          </w:p>
        </w:tc>
        <w:tc>
          <w:tcPr>
            <w:tcW w:w="2410" w:type="dxa"/>
            <w:tcBorders>
              <w:top w:val="nil"/>
              <w:left w:val="nil"/>
              <w:bottom w:val="single" w:sz="4" w:space="0" w:color="808080"/>
              <w:right w:val="nil"/>
            </w:tcBorders>
            <w:vAlign w:val="center"/>
            <w:hideMark/>
          </w:tcPr>
          <w:p w14:paraId="6C250731"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(1 month)</w:t>
            </w:r>
          </w:p>
        </w:tc>
        <w:tc>
          <w:tcPr>
            <w:tcW w:w="1736" w:type="dxa"/>
            <w:tcBorders>
              <w:top w:val="nil"/>
              <w:left w:val="nil"/>
              <w:bottom w:val="single" w:sz="4" w:space="0" w:color="808080"/>
              <w:right w:val="nil"/>
            </w:tcBorders>
            <w:vAlign w:val="center"/>
            <w:hideMark/>
          </w:tcPr>
          <w:p w14:paraId="6391DD0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160" w:type="dxa"/>
            <w:tcBorders>
              <w:top w:val="nil"/>
              <w:left w:val="nil"/>
              <w:bottom w:val="single" w:sz="4" w:space="0" w:color="808080"/>
              <w:right w:val="nil"/>
            </w:tcBorders>
            <w:vAlign w:val="center"/>
            <w:hideMark/>
          </w:tcPr>
          <w:p w14:paraId="6DD87974"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533" w:type="dxa"/>
            <w:tcBorders>
              <w:top w:val="nil"/>
              <w:left w:val="nil"/>
              <w:bottom w:val="single" w:sz="4" w:space="0" w:color="808080"/>
              <w:right w:val="nil"/>
            </w:tcBorders>
            <w:vAlign w:val="center"/>
            <w:hideMark/>
          </w:tcPr>
          <w:p w14:paraId="24B84E4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10B669CE" w14:textId="77777777" w:rsidTr="00B842AC">
        <w:trPr>
          <w:trHeight w:val="555"/>
        </w:trPr>
        <w:tc>
          <w:tcPr>
            <w:tcW w:w="1805" w:type="dxa"/>
            <w:tcBorders>
              <w:top w:val="nil"/>
              <w:left w:val="nil"/>
              <w:bottom w:val="single" w:sz="4" w:space="0" w:color="808080"/>
              <w:right w:val="nil"/>
            </w:tcBorders>
            <w:vAlign w:val="center"/>
            <w:hideMark/>
          </w:tcPr>
          <w:p w14:paraId="0672CBF1" w14:textId="6974369E"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{"citationItems":[{"id":"ITEM-1","itemData":{"ISBN":"1525-8610","ISSN":"1538-9375","abstract":"Objectives: To (1) explore clinical and demographic characteristics of users and nonusers of PPIs in 3 cohorts of institutionalized older people in Finland, and (2) compare the risk of death associated with use of PPIs in each setting. Design: Cross-sectional assessment of 3 institutionalized cohorts with 1-year follow-up of all-cause mortality. Setting and Participants: A total of 1389 residents of 69 assisted living facilities (first cohort), 1004 residents of long term care hospitals (second cohort), and 425 residents in acute geriatric wards or in nursing homes (third cohort). Measurements: Demographic, drug use, and diagnostic data were collected during structured assessments conducted by trained nurses or geriatricians. Cox proportional hazards models were used to compute unadjusted and adjusted hazard ratios (HRs) and 95% confidence intervals (CIs) for the association between use of PPIs and mortality. Results: In the assisted living facility, the mortality was 20.2% (n = 74) and 20.4% (n = 208) among users and nonusers of PPIs, respectively (P = 0.94). PPIs were not associated with mortality in unadjusted or adjusted analyses. In the long term care hospitals, use of PPIs was associated with increased mortality (HR, 1.36; 95% CI 1.04-1.77) when adjusted for age, sex, comorbidity, use of SSRIs, and malnutrition. In the acute geriatric wards and nursing homes, use of PPIs was associated with increased mortality (HR, 1.90; 95% CI 1.23-2.94) when adjusted for age, sex, comorbidity, delirium, and use of aspirin and SSRIs. Conclusion: PPIs were not associated with mortality among residents in assisted living facilities, but were associated with increased mortality in settings where residents experienced higher levels of disability and possible susceptibility to adverse drug events. © 2012 American Medical Directors Association, Inc.","author":[{"dropping-particle":"","family":"Teramura-Gronblad","given":"Mariko","non-dropping-particle":"","parse-names":false,"suffix":""},{"dropping-particle":"","family":"Bell","given":"J Simon","non-dropping-particle":"","parse-names":false,"suffix":""},{"dropping-particle":"","family":"Poysti","given":"Minna M","non-dropping-particle":"","parse-names":false,"suffix":""},{"dropping-particle":"","family":"Strandberg","given":"Timo E","non-dropping-particle":"","parse-names":false,"suffix":""},{"dropping-particle":"V","family":"Laurila","given":"Jouko","non-dropping-particle":"","parse-names":false,"suffix":""},{"dropping-particle":"","family":"Tilvis","given":"Reijo S","non-dropping-particle":"","parse-names":false,"suffix":""},{"dropping-particle":"","family":"Soini","given":"Helena","non-dropping-particle":"","parse-names":false,"suffix":""},{"dropping-particle":"","family":"Pitkala","given":"Kaisu H","non-dropping-particle":"","parse-names":false,"suffix":""}],"container-title":"Journal of the American Medical Directors Association","id":"ITEM-1","issue":"5","issued":{"date-parts":[["2012"]]},"note":"398","page":"488.e9-13","publisher":"Elsevier Inc. (360 Park Avenue South, New York NY 10010, United States)","publisher-place":"United States","title":"Risk of Death Associated With Use of PPIs in Three Cohorts of Institutionalized Older People in Finland","type":"article-journal","volume":"13"},"uris":["http://www.mendeley.com/documents/?uuid=6ae587eb-c63d-455d-aa76-9c2c1731e5ef"]}],"mendeley":{"formattedCitation":"(Teramura-Gronblad et al. 2012)","plainTextFormattedCitation":"(Teramura-Gronblad et al. 2012)","previouslyFormattedCitation":"(Teramura-Gronblad et al. 2012)"},"properties":{"noteIndex":0},"schema":"https://github.com/citation-style-language/schema/raw/master/csl-citation.json"}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(Teramura-Gronblad et al. 2012)</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t xml:space="preserve">  (Cohort 2)</w:t>
            </w:r>
          </w:p>
        </w:tc>
        <w:tc>
          <w:tcPr>
            <w:tcW w:w="1985" w:type="dxa"/>
            <w:tcBorders>
              <w:top w:val="nil"/>
              <w:left w:val="nil"/>
              <w:bottom w:val="single" w:sz="4" w:space="0" w:color="808080"/>
              <w:right w:val="nil"/>
            </w:tcBorders>
            <w:vAlign w:val="center"/>
            <w:hideMark/>
          </w:tcPr>
          <w:p w14:paraId="7D069B9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018ADA4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Medical charts</w:t>
            </w:r>
          </w:p>
        </w:tc>
        <w:tc>
          <w:tcPr>
            <w:tcW w:w="2410" w:type="dxa"/>
            <w:tcBorders>
              <w:top w:val="nil"/>
              <w:left w:val="nil"/>
              <w:bottom w:val="single" w:sz="4" w:space="0" w:color="808080"/>
              <w:right w:val="nil"/>
            </w:tcBorders>
            <w:vAlign w:val="center"/>
            <w:hideMark/>
          </w:tcPr>
          <w:p w14:paraId="46E58088"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(1 year)</w:t>
            </w:r>
          </w:p>
        </w:tc>
        <w:tc>
          <w:tcPr>
            <w:tcW w:w="1736" w:type="dxa"/>
            <w:tcBorders>
              <w:top w:val="nil"/>
              <w:left w:val="nil"/>
              <w:bottom w:val="single" w:sz="4" w:space="0" w:color="808080"/>
              <w:right w:val="nil"/>
            </w:tcBorders>
            <w:vAlign w:val="center"/>
            <w:hideMark/>
          </w:tcPr>
          <w:p w14:paraId="6D80C2F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National registers</w:t>
            </w:r>
          </w:p>
        </w:tc>
        <w:tc>
          <w:tcPr>
            <w:tcW w:w="1160" w:type="dxa"/>
            <w:tcBorders>
              <w:top w:val="nil"/>
              <w:left w:val="nil"/>
              <w:bottom w:val="single" w:sz="4" w:space="0" w:color="808080"/>
              <w:right w:val="nil"/>
            </w:tcBorders>
            <w:vAlign w:val="center"/>
            <w:hideMark/>
          </w:tcPr>
          <w:p w14:paraId="7FC44FB3"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Sept 2003</w:t>
            </w:r>
          </w:p>
        </w:tc>
        <w:tc>
          <w:tcPr>
            <w:tcW w:w="1533" w:type="dxa"/>
            <w:tcBorders>
              <w:top w:val="nil"/>
              <w:left w:val="nil"/>
              <w:bottom w:val="single" w:sz="4" w:space="0" w:color="808080"/>
              <w:right w:val="nil"/>
            </w:tcBorders>
            <w:vAlign w:val="center"/>
            <w:hideMark/>
          </w:tcPr>
          <w:p w14:paraId="29327B7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4BFFC8D3" w14:textId="77777777" w:rsidTr="00B842AC">
        <w:trPr>
          <w:trHeight w:val="381"/>
        </w:trPr>
        <w:tc>
          <w:tcPr>
            <w:tcW w:w="1805" w:type="dxa"/>
            <w:tcBorders>
              <w:top w:val="nil"/>
              <w:left w:val="nil"/>
              <w:bottom w:val="single" w:sz="4" w:space="0" w:color="808080"/>
              <w:right w:val="nil"/>
            </w:tcBorders>
            <w:vAlign w:val="center"/>
            <w:hideMark/>
          </w:tcPr>
          <w:p w14:paraId="4105CFD0" w14:textId="07862FB6"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{"citationItems":[{"id":"ITEM-1","itemData":{"ISBN":"1525-8610","ISSN":"1538-9375","abstract":"Objectives: To (1) explore clinical and demographic characteristics of users and nonusers of PPIs in 3 cohorts of institutionalized older people in Finland, and (2) compare the risk of death associated with use of PPIs in each setting. Design: Cross-sectional assessment of 3 institutionalized cohorts with 1-year follow-up of all-cause mortality. Setting and Participants: A total of 1389 residents of 69 assisted living facilities (first cohort), 1004 residents of long term care hospitals (second cohort), and 425 residents in acute geriatric wards or in nursing homes (third cohort). Measurements: Demographic, drug use, and diagnostic data were collected during structured assessments conducted by trained nurses or geriatricians. Cox proportional hazards models were used to compute unadjusted and adjusted hazard ratios (HRs) and 95% confidence intervals (CIs) for the association between use of PPIs and mortality. Results: In the assisted living facility, the mortality was 20.2% (n = 74) and 20.4% (n = 208) among users and nonusers of PPIs, respectively (P = 0.94). PPIs were not associated with mortality in unadjusted or adjusted analyses. In the long term care hospitals, use of PPIs was associated with increased mortality (HR, 1.36; 95% CI 1.04-1.77) when adjusted for age, sex, comorbidity, use of SSRIs, and malnutrition. In the acute geriatric wards and nursing homes, use of PPIs was associated with increased mortality (HR, 1.90; 95% CI 1.23-2.94) when adjusted for age, sex, comorbidity, delirium, and use of aspirin and SSRIs. Conclusion: PPIs were not associated with mortality among residents in assisted living facilities, but were associated with increased mortality in settings where residents experienced higher levels of disability and possible susceptibility to adverse drug events. © 2012 American Medical Directors Association, Inc.","author":[{"dropping-particle":"","family":"Teramura-Gronblad","given":"Mariko","non-dropping-particle":"","parse-names":false,"suffix":""},{"dropping-particle":"","family":"Bell","given":"J Simon","non-dropping-particle":"","parse-names":false,"suffix":""},{"dropping-particle":"","family":"Poysti","given":"Minna M","non-dropping-particle":"","parse-names":false,"suffix":""},{"dropping-particle":"","family":"Strandberg","given":"Timo E","non-dropping-particle":"","parse-names":false,"suffix":""},{"dropping-particle":"V","family":"Laurila","given":"Jouko","non-dropping-particle":"","parse-names":false,"suffix":""},{"dropping-particle":"","family":"Tilvis","given":"Reijo S","non-dropping-particle":"","parse-names":false,"suffix":""},{"dropping-particle":"","family":"Soini","given":"Helena","non-dropping-particle":"","parse-names":false,"suffix":""},{"dropping-particle":"","family":"Pitkala","given":"Kaisu H","non-dropping-particle":"","parse-names":false,"suffix":""}],"container-title":"Journal of the American Medical Directors Association","id":"ITEM-1","issue":"5","issued":{"date-parts":[["2012"]]},"note":"398","page":"488.e9-13","publisher":"Elsevier Inc. (360 Park Avenue South, New York NY 10010, United States)","publisher-place":"United States","title":"Risk of Death Associated With Use of PPIs in Three Cohorts of Institutionalized Older People in Finland","type":"article-journal","volume":"13"},"uris":["http://www.mendeley.com/documents/?uuid=6ae587eb-c63d-455d-aa76-9c2c1731e5ef"]}],"mendeley":{"formattedCitation":"(Teramura-Gronblad et al. 2012)","plainTextFormattedCitation":"(Teramura-Gronblad et al. 2012)","previouslyFormattedCitation":"(Teramura-Gronblad et al. 2012)"},"properties":{"noteIndex":0},"schema":"https://github.com/citation-style-language/schema/raw/master/csl-citation.json"}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(Teramura-Gronblad et al. 2012)</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t xml:space="preserve"> (Cohort 1)</w:t>
            </w:r>
          </w:p>
        </w:tc>
        <w:tc>
          <w:tcPr>
            <w:tcW w:w="1985" w:type="dxa"/>
            <w:tcBorders>
              <w:top w:val="nil"/>
              <w:left w:val="nil"/>
              <w:bottom w:val="single" w:sz="4" w:space="0" w:color="808080"/>
              <w:right w:val="nil"/>
            </w:tcBorders>
            <w:vAlign w:val="center"/>
            <w:hideMark/>
          </w:tcPr>
          <w:p w14:paraId="17023F7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4C48CCE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Medical charts</w:t>
            </w:r>
          </w:p>
        </w:tc>
        <w:tc>
          <w:tcPr>
            <w:tcW w:w="2410" w:type="dxa"/>
            <w:tcBorders>
              <w:top w:val="nil"/>
              <w:left w:val="nil"/>
              <w:bottom w:val="single" w:sz="4" w:space="0" w:color="808080"/>
              <w:right w:val="nil"/>
            </w:tcBorders>
            <w:vAlign w:val="center"/>
            <w:hideMark/>
          </w:tcPr>
          <w:p w14:paraId="1FEAC278"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(1 year)</w:t>
            </w:r>
          </w:p>
        </w:tc>
        <w:tc>
          <w:tcPr>
            <w:tcW w:w="1736" w:type="dxa"/>
            <w:tcBorders>
              <w:top w:val="nil"/>
              <w:left w:val="nil"/>
              <w:bottom w:val="single" w:sz="4" w:space="0" w:color="808080"/>
              <w:right w:val="nil"/>
            </w:tcBorders>
            <w:vAlign w:val="center"/>
            <w:hideMark/>
          </w:tcPr>
          <w:p w14:paraId="0C3340A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Central national registers</w:t>
            </w:r>
          </w:p>
        </w:tc>
        <w:tc>
          <w:tcPr>
            <w:tcW w:w="1160" w:type="dxa"/>
            <w:tcBorders>
              <w:top w:val="nil"/>
              <w:left w:val="nil"/>
              <w:bottom w:val="single" w:sz="4" w:space="0" w:color="808080"/>
              <w:right w:val="nil"/>
            </w:tcBorders>
            <w:vAlign w:val="center"/>
            <w:hideMark/>
          </w:tcPr>
          <w:p w14:paraId="2544E07A"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2007</w:t>
            </w:r>
          </w:p>
        </w:tc>
        <w:tc>
          <w:tcPr>
            <w:tcW w:w="1533" w:type="dxa"/>
            <w:tcBorders>
              <w:top w:val="nil"/>
              <w:left w:val="nil"/>
              <w:bottom w:val="single" w:sz="4" w:space="0" w:color="808080"/>
              <w:right w:val="nil"/>
            </w:tcBorders>
            <w:vAlign w:val="center"/>
            <w:hideMark/>
          </w:tcPr>
          <w:p w14:paraId="5E64619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380D9BAD" w14:textId="77777777" w:rsidTr="00B842AC">
        <w:trPr>
          <w:trHeight w:val="855"/>
        </w:trPr>
        <w:tc>
          <w:tcPr>
            <w:tcW w:w="1805" w:type="dxa"/>
            <w:tcBorders>
              <w:top w:val="nil"/>
              <w:left w:val="nil"/>
              <w:bottom w:val="single" w:sz="4" w:space="0" w:color="808080"/>
              <w:right w:val="nil"/>
            </w:tcBorders>
            <w:vAlign w:val="center"/>
            <w:hideMark/>
          </w:tcPr>
          <w:p w14:paraId="2EC815A1" w14:textId="7ADC7746"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{"citationItems":[{"id":"ITEM-1","itemData":{"ISBN":"1525-8610","ISSN":"1538-9375","abstract":"Objectives: To (1) explore clinical and demographic characteristics of users and nonusers of PPIs in 3 cohorts of institutionalized older people in Finland, and (2) compare the risk of death associated with use of PPIs in each setting. Design: Cross-sectional assessment of 3 institutionalized cohorts with 1-year follow-up of all-cause mortality. Setting and Participants: A total of 1389 residents of 69 assisted living facilities (first cohort), 1004 residents of long term care hospitals (second cohort), and 425 residents in acute geriatric wards or in nursing homes (third cohort). Measurements: Demographic, drug use, and diagnostic data were collected during structured assessments conducted by trained nurses or geriatricians. Cox proportional hazards models were used to compute unadjusted and adjusted hazard ratios (HRs) and 95% confidence intervals (CIs) for the association between use of PPIs and mortality. Results: In the assisted living facility, the mortality was 20.2% (n = 74) and 20.4% (n = 208) among users and nonusers of PPIs, respectively (P = 0.94). PPIs were not associated with mortality in unadjusted or adjusted analyses. In the long term care hospitals, use of PPIs was associated with increased mortality (HR, 1.36; 95% CI 1.04-1.77) when adjusted for age, sex, comorbidity, use of SSRIs, and malnutrition. In the acute geriatric wards and nursing homes, use of PPIs was associated with increased mortality (HR, 1.90; 95% CI 1.23-2.94) when adjusted for age, sex, comorbidity, delirium, and use of aspirin and SSRIs. Conclusion: PPIs were not associated with mortality among residents in assisted living facilities, but were associated with increased mortality in settings where residents experienced higher levels of disability and possible susceptibility to adverse drug events. © 2012 American Medical Directors Association, Inc.","author":[{"dropping-particle":"","family":"Teramura-Gronblad","given":"Mariko","non-dropping-particle":"","parse-names":false,"suffix":""},{"dropping-particle":"","family":"Bell","given":"J Simon","non-dropping-particle":"","parse-names":false,"suffix":""},{"dropping-particle":"","family":"Poysti","given":"Minna M","non-dropping-particle":"","parse-names":false,"suffix":""},{"dropping-particle":"","family":"Strandberg","given":"Timo E","non-dropping-particle":"","parse-names":false,"suffix":""},{"dropping-particle":"V","family":"Laurila","given":"Jouko","non-dropping-particle":"","parse-names":false,"suffix":""},{"dropping-particle":"","family":"Tilvis","given":"Reijo S","non-dropping-particle":"","parse-names":false,"suffix":""},{"dropping-particle":"","family":"Soini","given":"Helena","non-dropping-particle":"","parse-names":false,"suffix":""},{"dropping-particle":"","family":"Pitkala","given":"Kaisu H","non-dropping-particle":"","parse-names":false,"suffix":""}],"container-title":"Journal of the American Medical Directors Association","id":"ITEM-1","issue":"5","issued":{"date-parts":[["2012"]]},"note":"398","page":"488.e9-13","publisher":"Elsevier Inc. (360 Park Avenue South, New York NY 10010, United States)","publisher-place":"United States","title":"Risk of Death Associated With Use of PPIs in Three Cohorts of Institutionalized Older People in Finland","type":"article-journal","volume":"13"},"uris":["http://www.mendeley.com/documents/?uuid=6ae587eb-c63d-455d-aa76-9c2c1731e5ef"]}],"mendeley":{"formattedCitation":"(Teramura-Gronblad et al. 2012)","plainTextFormattedCitation":"(Teramura-Gronblad et al. 2012)","previouslyFormattedCitation":"(Teramura-Gronblad et al. 2012)"},"properties":{"noteIndex":0},"schema":"https://github.com/citation-style-language/schema/raw/master/csl-citation.json"}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(Teramura-Gronblad et al. 2012)</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t xml:space="preserve"> (Cohort 3)</w:t>
            </w:r>
          </w:p>
        </w:tc>
        <w:tc>
          <w:tcPr>
            <w:tcW w:w="1985" w:type="dxa"/>
            <w:tcBorders>
              <w:top w:val="nil"/>
              <w:left w:val="nil"/>
              <w:bottom w:val="single" w:sz="4" w:space="0" w:color="808080"/>
              <w:right w:val="nil"/>
            </w:tcBorders>
            <w:vAlign w:val="center"/>
            <w:hideMark/>
          </w:tcPr>
          <w:p w14:paraId="4CF2863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0F131BA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Medical charts</w:t>
            </w:r>
          </w:p>
        </w:tc>
        <w:tc>
          <w:tcPr>
            <w:tcW w:w="2410" w:type="dxa"/>
            <w:tcBorders>
              <w:top w:val="nil"/>
              <w:left w:val="nil"/>
              <w:bottom w:val="single" w:sz="4" w:space="0" w:color="808080"/>
              <w:right w:val="nil"/>
            </w:tcBorders>
            <w:vAlign w:val="center"/>
            <w:hideMark/>
          </w:tcPr>
          <w:p w14:paraId="6B18E0A8"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(1 year)</w:t>
            </w:r>
          </w:p>
        </w:tc>
        <w:tc>
          <w:tcPr>
            <w:tcW w:w="1736" w:type="dxa"/>
            <w:tcBorders>
              <w:top w:val="nil"/>
              <w:left w:val="nil"/>
              <w:bottom w:val="single" w:sz="4" w:space="0" w:color="808080"/>
              <w:right w:val="nil"/>
            </w:tcBorders>
            <w:vAlign w:val="center"/>
            <w:hideMark/>
          </w:tcPr>
          <w:p w14:paraId="346F8B1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National registers</w:t>
            </w:r>
          </w:p>
        </w:tc>
        <w:tc>
          <w:tcPr>
            <w:tcW w:w="1160" w:type="dxa"/>
            <w:tcBorders>
              <w:top w:val="nil"/>
              <w:left w:val="nil"/>
              <w:bottom w:val="single" w:sz="4" w:space="0" w:color="808080"/>
              <w:right w:val="nil"/>
            </w:tcBorders>
            <w:vAlign w:val="center"/>
            <w:hideMark/>
          </w:tcPr>
          <w:p w14:paraId="3636AC5F"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533" w:type="dxa"/>
            <w:tcBorders>
              <w:top w:val="nil"/>
              <w:left w:val="nil"/>
              <w:bottom w:val="single" w:sz="4" w:space="0" w:color="808080"/>
              <w:right w:val="nil"/>
            </w:tcBorders>
            <w:vAlign w:val="center"/>
            <w:hideMark/>
          </w:tcPr>
          <w:p w14:paraId="6A7F7DE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0FAD6FBF" w14:textId="77777777" w:rsidTr="00B842AC">
        <w:trPr>
          <w:trHeight w:val="855"/>
        </w:trPr>
        <w:tc>
          <w:tcPr>
            <w:tcW w:w="1805" w:type="dxa"/>
            <w:tcBorders>
              <w:top w:val="nil"/>
              <w:left w:val="nil"/>
              <w:bottom w:val="single" w:sz="4" w:space="0" w:color="808080"/>
              <w:right w:val="nil"/>
            </w:tcBorders>
            <w:vAlign w:val="center"/>
            <w:hideMark/>
          </w:tcPr>
          <w:p w14:paraId="7D19FB62" w14:textId="2748A97F"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{"citationItems":[{"id":"ITEM-1","itemData":{"ISSN":"1432-1041","abstract":"PURPOSE: The purpose of this study is to investigate if the prescription of proton-pump inhibitors (PPIs) was associated with a sudden risk of acute myocardial infarction (AMI) while controlling for time-invariant confounding by using a case-crossover design. An association might indicate that physicians take prodromal symptoms of myocardial ischaemia for dyspepsia., METHODS: We applied a case-crossover design to investigate all AMI patients admitted to the hospital in the Skane region, Sweden, between Oct 14, 2005 and Dec 31, 2006 and their PPI prescriptions and dispensations 3 months prior to the AMI onset. We retrieved the information about prescribed medication from the Swedish Drug Register containing individual information on all dispensed drugs prescribed in the outpatient care and dispensed in any of the Swedish pharmacies. Additionally, we stratified the analyses by history of AMI., RESULTS: We identified 3490 AMI cases aged 40 to 90; 61 % were men. The odds ratio for AMI onset in those with a prescription of PPIs during a hazard period of 3 days compared to control periods was 1.36 (95 % confidence interval (CI) 0.82-2.25) in the whole study cohort and 1.66 (95 % CI 1.00-2.76) in those without history of AMI. The corresponding odds ratio (OR) based on the dispensation date (suggesting use of the drug) was 1.26 (95 % CI 0.92-1.72) and 1.29 (95 % CI 0.92-1.83), respectively., CONCLUSIONS: In our opinion, the previously reported increase in risk of adverse cardiac events in patients using PPIs may reflect the fact that an AMI may be misinterpreted as dyspepsia.","author":[{"dropping-particle":"","family":"Turkiewicz","given":"Aleksandra","non-dropping-particle":"","parse-names":false,"suffix":""},{"dropping-particle":"","family":"Vicente","given":"Raquel Perez","non-dropping-particle":"","parse-names":false,"suffix":""},{"dropping-particle":"","family":"Ohlsson","given":"Henrik","non-dropping-particle":"","parse-names":false,"suffix":""},{"dropping-particle":"","family":"Tyden","given":"Patrik","non-dropping-particle":"","parse-names":false,"suffix":""},{"dropping-particle":"","family":"Merlo","given":"Juan","non-dropping-particle":"","parse-names":false,"suffix":""}],"container-title":"European journal of clinical pharmacology","id":"ITEM-1","issue":"1","issued":{"date-parts":[["2015"]]},"note":"10","page":"125-129","publisher":"Turkiewicz,Aleksandra. Social Epidemiology, Department of Clinical Sciences, Faculty of Medicine, Lund University, Malmo, Sweden, aleksandra.turkiewicz@med.lu.se.","publisher-place":"Germany","title":"Revising the link between proton-pump inhibitors and risk of acute myocardial infarction-a case-crossover analysis.","type":"article-journal","volume":"71"},"uris":["http://www.mendeley.com/documents/?uuid=13949fea-5905-47d7-9258-bd4b9f18c66a"]}],"mendeley":{"formattedCitation":"(Turkiewicz et al. 2015)","plainTextFormattedCitation":"(Turkiewicz et al. 2015)","previouslyFormattedCitation":"(Turkiewicz et al. 2015)"},"properties":{"noteIndex":0},"schema":"https://github.com/citation-style-language/schema/raw/master/csl-citation.json"}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(Turkiewicz et al. 2015)</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68CDE00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3D17548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Prescription records and pharmacy dispensing records for PPI exposure; </w:t>
            </w:r>
          </w:p>
        </w:tc>
        <w:tc>
          <w:tcPr>
            <w:tcW w:w="2410" w:type="dxa"/>
            <w:tcBorders>
              <w:top w:val="nil"/>
              <w:left w:val="nil"/>
              <w:bottom w:val="single" w:sz="4" w:space="0" w:color="808080"/>
              <w:right w:val="nil"/>
            </w:tcBorders>
            <w:vAlign w:val="center"/>
            <w:hideMark/>
          </w:tcPr>
          <w:p w14:paraId="431210BD" w14:textId="77777777" w:rsidR="00B842AC" w:rsidRDefault="00B842AC" w:rsidP="00B842AC">
            <w:pPr>
              <w:spacing w:after="0" w:line="240" w:lineRule="auto"/>
              <w:jc w:val="center"/>
              <w:rPr>
                <w:rFonts w:ascii="Calibri" w:eastAsia="Times New Roman" w:hAnsi="Calibri" w:cs="Times New Roman"/>
                <w:sz w:val="20"/>
                <w:szCs w:val="20"/>
                <w:lang w:eastAsia="en-CA"/>
              </w:rPr>
            </w:pPr>
            <w:r>
              <w:rPr>
                <w:rFonts w:ascii="Calibri" w:eastAsia="Times New Roman" w:hAnsi="Calibri" w:cs="Times New Roman"/>
                <w:sz w:val="20"/>
                <w:szCs w:val="20"/>
                <w:lang w:eastAsia="en-CA"/>
              </w:rPr>
              <w:t>MI</w:t>
            </w:r>
          </w:p>
        </w:tc>
        <w:tc>
          <w:tcPr>
            <w:tcW w:w="1736" w:type="dxa"/>
            <w:tcBorders>
              <w:top w:val="nil"/>
              <w:left w:val="nil"/>
              <w:bottom w:val="single" w:sz="4" w:space="0" w:color="808080"/>
              <w:right w:val="nil"/>
            </w:tcBorders>
            <w:vAlign w:val="center"/>
            <w:hideMark/>
          </w:tcPr>
          <w:p w14:paraId="2718F2C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Hospital records, discharge diagnosis</w:t>
            </w:r>
          </w:p>
        </w:tc>
        <w:tc>
          <w:tcPr>
            <w:tcW w:w="1160" w:type="dxa"/>
            <w:tcBorders>
              <w:top w:val="nil"/>
              <w:left w:val="nil"/>
              <w:bottom w:val="single" w:sz="4" w:space="0" w:color="808080"/>
              <w:right w:val="nil"/>
            </w:tcBorders>
            <w:vAlign w:val="center"/>
            <w:hideMark/>
          </w:tcPr>
          <w:p w14:paraId="0325DCFD"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2005-2006</w:t>
            </w:r>
          </w:p>
        </w:tc>
        <w:tc>
          <w:tcPr>
            <w:tcW w:w="1533" w:type="dxa"/>
            <w:tcBorders>
              <w:top w:val="nil"/>
              <w:left w:val="nil"/>
              <w:bottom w:val="single" w:sz="4" w:space="0" w:color="808080"/>
              <w:right w:val="nil"/>
            </w:tcBorders>
            <w:vAlign w:val="center"/>
            <w:hideMark/>
          </w:tcPr>
          <w:p w14:paraId="5E9B879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5D5845F1" w14:textId="77777777" w:rsidTr="00B842AC">
        <w:trPr>
          <w:trHeight w:val="486"/>
        </w:trPr>
        <w:tc>
          <w:tcPr>
            <w:tcW w:w="1805" w:type="dxa"/>
            <w:tcBorders>
              <w:top w:val="nil"/>
              <w:left w:val="nil"/>
              <w:bottom w:val="single" w:sz="4" w:space="0" w:color="808080"/>
              <w:right w:val="nil"/>
            </w:tcBorders>
            <w:vAlign w:val="center"/>
            <w:hideMark/>
          </w:tcPr>
          <w:p w14:paraId="0BA4AC3C" w14:textId="0571BC73"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{"citationItems":[{"id":"ITEM-1","itemData":{"ISBN":"0269-2813","ISSN":"1365-2036","abstract":"BACKGROUND: The association between myocardial infarction (MI) and co-administration of proton pump inhibitors (PPIs) and clopidogrel remains controversial., AIM: To quantify the association between concomitant use of PPIs and clopidogrel and occurrence of recurrent MI., METHODS: We conducted a case-control study within a cohort of acute MI patients in PHARMO Record Linkage System (1999-2008). The cases were patients readmitted for MI. PPI exposure was categorized as current (3-1 days before MI), past (30-3 days before MI), or no use (&gt;30 days before MI). We used conditional logistic regression analyses., RESULTS: Among 23 655 patients hospitalized following MI, we identified 1247 patients readmitted for MI. Among clopidogrel users, current PPI use was associated with an increased risk of recurrent MI (OR: 1.62, 95% CI: 1.15-2.27) when compared with no PPI use, but not when compared with past PPI use (OR: 0.95, 95% CI: 0.38-2.41). Among clopidogrel non-users, current PPI use was associated with an increased risk of recurrent MI (OR: 1.38, 95% CI: 1.18-1.61) when compared with no PPI use., CONCLUSIONS: The apparent association between recurrent MI and use of PPIs with clopidogrel depends on the design, and is affected by confounding by indication. The association is not present when (un)measured confounding is addressed by design.Copyright © 2010 Blackwell Publishing Ltd.","author":[{"dropping-particle":"","family":"Valkhoff","given":"V E","non-dropping-particle":"","parse-names":false,"suffix":""},{"dropping-particle":"","family":"'t Jong","given":"G W","non-dropping-particle":"","parse-names":false,"suffix":""},{"dropping-particle":"","family":"Soest","given":"E M","non-dropping-particle":"Van","parse-names":false,"suffix":""},{"dropping-particle":"","family":"Kuipers","given":"E J","non-dropping-particle":"","parse-names":false,"suffix":""},{"dropping-particle":"","family":"Sturkenboom","given":"M C J M","non-dropping-particle":"","parse-names":false,"suffix":""}],"container-title":"Alimentary pharmacology &amp; therapeutics","id":"ITEM-1","issue":"1","issued":{"date-parts":[["2011"]]},"note":"NULL","page":"77-88","publisher":"Blackwell Publishing Ltd (9600 Garsington Road, Oxford OX4 2XG, United Kingdom)","publisher-place":"England","title":"Risk of recurrent myocardial infarction with the concomitant use of clopidogrel and proton pump inhibitors.","type":"article-journal","volume":"33"},"uris":["http://www.mendeley.com/documents/?uuid=9cdc9a9f-8bb6-4c06-a39a-f950907df585"]}],"mendeley":{"formattedCitation":"(Valkhoff et al. 2011)","plainTextFormattedCitation":"(Valkhoff et al. 2011)","previouslyFormattedCitation":"(Valkhoff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(Valkhoff et al. 2011)</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477035F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36D3191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Electronic health records, outpatient drug dispensing files of pharmacies.</w:t>
            </w:r>
          </w:p>
        </w:tc>
        <w:tc>
          <w:tcPr>
            <w:tcW w:w="2410" w:type="dxa"/>
            <w:tcBorders>
              <w:top w:val="nil"/>
              <w:left w:val="nil"/>
              <w:bottom w:val="single" w:sz="4" w:space="0" w:color="808080"/>
              <w:right w:val="nil"/>
            </w:tcBorders>
            <w:vAlign w:val="center"/>
            <w:hideMark/>
          </w:tcPr>
          <w:p w14:paraId="5B76C226" w14:textId="77777777" w:rsidR="00B842AC" w:rsidRDefault="00B842AC" w:rsidP="00B842AC">
            <w:pPr>
              <w:spacing w:after="0" w:line="240" w:lineRule="auto"/>
              <w:jc w:val="center"/>
              <w:rPr>
                <w:rFonts w:ascii="Calibri" w:eastAsia="Times New Roman" w:hAnsi="Calibri" w:cs="Times New Roman"/>
                <w:sz w:val="20"/>
                <w:szCs w:val="20"/>
                <w:lang w:eastAsia="en-CA"/>
              </w:rPr>
            </w:pPr>
            <w:r>
              <w:rPr>
                <w:rFonts w:ascii="Calibri" w:eastAsia="Times New Roman" w:hAnsi="Calibri" w:cs="Times New Roman"/>
                <w:sz w:val="20"/>
                <w:szCs w:val="20"/>
                <w:lang w:eastAsia="en-CA"/>
              </w:rPr>
              <w:t>recurrent MI</w:t>
            </w:r>
            <w:r>
              <w:rPr>
                <w:rFonts w:ascii="Calibri" w:eastAsia="Times New Roman" w:hAnsi="Calibri" w:cs="Times New Roman"/>
                <w:color w:val="4F81BD"/>
                <w:sz w:val="20"/>
                <w:szCs w:val="20"/>
                <w:lang w:eastAsia="en-CA"/>
              </w:rPr>
              <w:t xml:space="preserve">  </w:t>
            </w:r>
            <w:r>
              <w:rPr>
                <w:rFonts w:ascii="Calibri" w:eastAsia="Times New Roman" w:hAnsi="Calibri" w:cs="Times New Roman"/>
                <w:sz w:val="20"/>
                <w:szCs w:val="20"/>
                <w:lang w:eastAsia="en-CA"/>
              </w:rPr>
              <w:t>(up to 9 years; median: 3.6 years)</w:t>
            </w:r>
          </w:p>
        </w:tc>
        <w:tc>
          <w:tcPr>
            <w:tcW w:w="1736" w:type="dxa"/>
            <w:tcBorders>
              <w:top w:val="nil"/>
              <w:left w:val="nil"/>
              <w:bottom w:val="single" w:sz="4" w:space="0" w:color="808080"/>
              <w:right w:val="nil"/>
            </w:tcBorders>
            <w:vAlign w:val="center"/>
            <w:hideMark/>
          </w:tcPr>
          <w:p w14:paraId="7603257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Hospital records</w:t>
            </w:r>
          </w:p>
        </w:tc>
        <w:tc>
          <w:tcPr>
            <w:tcW w:w="1160" w:type="dxa"/>
            <w:tcBorders>
              <w:top w:val="nil"/>
              <w:left w:val="nil"/>
              <w:bottom w:val="single" w:sz="4" w:space="0" w:color="808080"/>
              <w:right w:val="nil"/>
            </w:tcBorders>
            <w:vAlign w:val="center"/>
            <w:hideMark/>
          </w:tcPr>
          <w:p w14:paraId="71C205A6"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1999-2008</w:t>
            </w:r>
          </w:p>
        </w:tc>
        <w:tc>
          <w:tcPr>
            <w:tcW w:w="1533" w:type="dxa"/>
            <w:tcBorders>
              <w:top w:val="nil"/>
              <w:left w:val="nil"/>
              <w:bottom w:val="single" w:sz="4" w:space="0" w:color="808080"/>
              <w:right w:val="nil"/>
            </w:tcBorders>
            <w:vAlign w:val="center"/>
            <w:hideMark/>
          </w:tcPr>
          <w:p w14:paraId="3B5F980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2D10D584" w14:textId="77777777" w:rsidTr="00B842AC">
        <w:trPr>
          <w:trHeight w:val="202"/>
        </w:trPr>
        <w:tc>
          <w:tcPr>
            <w:tcW w:w="1805" w:type="dxa"/>
            <w:tcBorders>
              <w:top w:val="nil"/>
              <w:left w:val="nil"/>
              <w:bottom w:val="single" w:sz="4" w:space="0" w:color="808080"/>
              <w:right w:val="nil"/>
            </w:tcBorders>
            <w:vAlign w:val="center"/>
            <w:hideMark/>
          </w:tcPr>
          <w:p w14:paraId="1E8022FE" w14:textId="07C9DD18"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{"citationItems":[{"id":"ITEM-1","itemData":{"ISBN":"8756-3282","abstract":"Objectives: Proton pump inhibitors (PPIs) are among the most prescribed medications worldwide, however, there is growing concern regarding potential negative effects on bone health. The aim was to examine the effect of dose and type of PPI use on subsequent use of osteoporosis medication and fractures in older Australian women. Methods: Data were included from 4432 participants (born 1921-26) in the 2002 survey of the Australian Longitudinal Study on Women's Health. Medication data were from the national pharmaceutical administrative database (2003-2012, inclusive). Fractures were sourced from linked hospital datasets available for four major States of Australia. Competing risk regression models used PPI exposure as a time-dependent covariate and either time to first osteoporosis medication prescription or fracture as the outcome, with death as a competing risk. Results: Of the 2328 PPI users and 2104 PPI non-users, 827 (36%) and 550 (26%) became users of osteoporosis medication, respectively. PPI use was associated with an increased risk of subsequent use of osteoporosis medication (adjusted sub-hazard ratio [SHR] = 1.28; 95% confidence interval [CI] = 1.13-1.44) and subsequent fracture (SHR = 1.29, CI = 1.08-1.55). Analysis with PPI categorized according to defined daily dose (DDD), showed some evidence for a dose-response effect (osteoporosis medication: &lt;400 DDD: SHR = 1.23, CI = 1.06-1.42 and &gt;400 DDD: SHR = 1.39, CI = 1.17-1.65, compared with non-users; SHRs were in the same range for fractures). Esomeprazole was the most common PPI prescribed (22.9%). Analysis by type of PPI use showed an increased subsequent risk for: (1) use of osteoporosis medication for rabeprazole (SHR = 1.51, CI = 1.08-2.10) and esomeprazole (SHR = 1.48, CI = 1.17-1.88); and (2) fractures for rabeprazole (SHR = 2.06, CI = 1.37-3.10). Users of multiple types of PPI also had increased risks for use of osteoporosis medication and fractures. Conclusion: An appropriate benefit/risk assessment should be made when prescribing PPIs, especially for esomeprazole and rabeprazole, as osteoporosis and fracture risks were increased in this cohort of elderly females subsequent to PPI prescription.","author":[{"dropping-particle":"","family":"Hoorn","given":"M","non-dropping-particle":"van der","parse-names":false,"suffix":""},{"dropping-particle":"","family":"Tett","given":"S","non-dropping-particle":"","parse-names":false,"suffix":""},{"dropping-particle":"","family":"Vries","given":"O","non-dropping-particle":"de","parse-names":false,"suffix":""},{"dropping-particle":"","family":"Dobson","given":"A","non-dropping-particle":"","parse-names":false,"suffix":""},{"dropping-particle":"","family":"Peeters","given":"G","non-dropping-particle":"","parse-names":false,"suffix":""}],"container-title":"Bone","id":"ITEM-1","issued":{"date-parts":[["2015"]]},"note":"7","page":"675-682","publisher":"Elsevier Inc.","publisher-place":"G.M.E.E.G. Peeters, The University of Queensland, School of Public Health, Herston Road, Herston, QLD 4006, Australia","title":"The effect of dose and type of proton pump inhibitor use on risk of fractures and osteoporosis treatment in older Australian women: A prospective cohort study","type":"article","volume":"81"},"uris":["http://www.mendeley.com/documents/?uuid=690c4ecb-baed-41db-bc5d-6bd348bb1ddf"]}],"mendeley":{"formattedCitation":"(van der Hoorn et al. 2015)","plainTextFormattedCitation":"(van der Hoorn et al. 2015)","previouslyFormattedCitation":"(van der Hoorn et al. 2015)"},"properties":{"noteIndex":0},"schema":"https://github.com/citation-style-language/schema/raw/master/csl-citation.json"}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(van der Hoorn et al. 2015)</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34CB281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70CDCE9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Pharmaceutical Benefits Scheme</w:t>
            </w:r>
            <w:r>
              <w:rPr>
                <w:rFonts w:ascii="Calibri" w:eastAsia="Times New Roman" w:hAnsi="Calibri" w:cs="Times New Roman"/>
                <w:color w:val="000000"/>
                <w:sz w:val="20"/>
                <w:szCs w:val="20"/>
                <w:lang w:eastAsia="en-CA"/>
              </w:rPr>
              <w:br/>
            </w:r>
            <w:r>
              <w:rPr>
                <w:rFonts w:ascii="Calibri" w:eastAsia="Times New Roman" w:hAnsi="Calibri" w:cs="Times New Roman"/>
                <w:color w:val="000000"/>
                <w:sz w:val="20"/>
                <w:szCs w:val="20"/>
                <w:lang w:eastAsia="en-CA"/>
              </w:rPr>
              <w:lastRenderedPageBreak/>
              <w:t>(PBS) administrative database</w:t>
            </w:r>
          </w:p>
        </w:tc>
        <w:tc>
          <w:tcPr>
            <w:tcW w:w="2410" w:type="dxa"/>
            <w:tcBorders>
              <w:top w:val="nil"/>
              <w:left w:val="nil"/>
              <w:bottom w:val="single" w:sz="4" w:space="0" w:color="808080"/>
              <w:right w:val="nil"/>
            </w:tcBorders>
            <w:vAlign w:val="center"/>
            <w:hideMark/>
          </w:tcPr>
          <w:p w14:paraId="227ABD8A"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lastRenderedPageBreak/>
              <w:t>ACM (mean 6.6 years)</w:t>
            </w:r>
          </w:p>
        </w:tc>
        <w:tc>
          <w:tcPr>
            <w:tcW w:w="1736" w:type="dxa"/>
            <w:tcBorders>
              <w:top w:val="nil"/>
              <w:left w:val="nil"/>
              <w:bottom w:val="single" w:sz="4" w:space="0" w:color="808080"/>
              <w:right w:val="nil"/>
            </w:tcBorders>
            <w:vAlign w:val="center"/>
            <w:hideMark/>
          </w:tcPr>
          <w:p w14:paraId="59C60C6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National death index</w:t>
            </w:r>
          </w:p>
        </w:tc>
        <w:tc>
          <w:tcPr>
            <w:tcW w:w="1160" w:type="dxa"/>
            <w:tcBorders>
              <w:top w:val="nil"/>
              <w:left w:val="nil"/>
              <w:bottom w:val="single" w:sz="4" w:space="0" w:color="808080"/>
              <w:right w:val="nil"/>
            </w:tcBorders>
            <w:vAlign w:val="center"/>
            <w:hideMark/>
          </w:tcPr>
          <w:p w14:paraId="1DD6D13E"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1996</w:t>
            </w:r>
          </w:p>
        </w:tc>
        <w:tc>
          <w:tcPr>
            <w:tcW w:w="1533" w:type="dxa"/>
            <w:tcBorders>
              <w:top w:val="nil"/>
              <w:left w:val="nil"/>
              <w:bottom w:val="single" w:sz="4" w:space="0" w:color="808080"/>
              <w:right w:val="nil"/>
            </w:tcBorders>
            <w:vAlign w:val="center"/>
            <w:hideMark/>
          </w:tcPr>
          <w:p w14:paraId="5525FAB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19445554" w14:textId="77777777" w:rsidTr="00B842AC">
        <w:trPr>
          <w:trHeight w:val="563"/>
        </w:trPr>
        <w:tc>
          <w:tcPr>
            <w:tcW w:w="1805" w:type="dxa"/>
            <w:tcBorders>
              <w:top w:val="nil"/>
              <w:left w:val="nil"/>
              <w:bottom w:val="single" w:sz="4" w:space="0" w:color="808080"/>
              <w:right w:val="nil"/>
            </w:tcBorders>
            <w:vAlign w:val="center"/>
            <w:hideMark/>
          </w:tcPr>
          <w:p w14:paraId="79DBECE9" w14:textId="54640534"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{"citationItems":[{"id":"ITEM-1","itemData":{"ISBN":"0002-9270","abstract":"Purpose: Administration of PPIs while awaiting endoscopy in patients who present with UGIB rapidly raises the intra-gastric pH which may promote early healing and decrease bleeding of high risk lesions. However, PPI therapy is associated with significant expense and there is little evidence to support that PPI usage prior to presentation with UGIB (baseline PPI use) leads to improved outcomes. We hypothesized those patients taking PPIs prior to admission will be less likely to have peptic ulcer disease and will have overall better outcomes when they are admitted for overt UGIB. Methods: A retrospective chart review was performed from January, 2005 to December, 2008 on patients presenting for endoscopic evaluation of overt UGIB defined as hematemesis, bloody nasogastric tube lavage, melena, hematochezia +/- acute hematocrit drop or orthorstasis. Patients who had UGIB secondary to varices, portal hypertensive gastropathy, and patients who had no significant finding on upper endoscopy were excluded. Eligible patients were assigned to two groups: patients who were taking a PPI prior to admission and patients who were not taking a PPI prior to admission. Logistic regression analysis was performed using treatment with a PPI within the last 4 weeks prior to admission as a predictor variable in both groups. Peptic ulcer disease, erosions, esophagitis, gastritis, duodenitis and arterial bleeding were considered to be a cause of non-variceal UGIB. Results: 843 consecutive patients were referred for endoscopic evaluation of UGIB, 658 patients met the inclusion criteria. There were 110 patients who were on PPI prior to admission and 548 patients who were not on PPI prior to admission. Demographic and clinical data are shown in Table 1. Conclusion: Patients taking a PPI prior to admission were less likely to have peptic ulcer disease (p=0.04), has decreased length of stay (p=0.05), and a trend toward lower mortality (p=0.06) when admitted for overt UGIB. (Table Presented) .","author":[{"dropping-particle":"","family":"Win","given":"M","non-dropping-particle":"","parse-names":false,"suffix":""},{"dropping-particle":"","family":"Joseph","given":"J","non-dropping-particle":"","parse-names":false,"suffix":""},{"dropping-particle":"","family":"Gress","given":"F","non-dropping-particle":"","parse-names":false,"suffix":""},{"dropping-particle":"","family":"Lee","given":"Y","non-dropping-particle":"","parse-names":false,"suffix":""},{"dropping-particle":"","family":"Goodman","given":"A","non-dropping-particle":"","parse-names":false,"suffix":""}],"collection-title":"75th Annual Scientific Meeting of the American College of Gastroenterology San Antonio, TX United States. Conference Start: 20101015 Conference End: 20101020","container-title":"American Journal of Gastroenterology","id":"ITEM-1","issued":{"date-parts":[["2010"]]},"note":"647","page":"S526-S527","publisher":"Nature Publishing Group","publisher-place":"M. Win, SUNY Downstate Medical Center, Brooklyn, NY, United States","title":"Effect of baseline Proton Pump Inhibitor (PPI) use on the prevalence and outcomes of peptic ulcer disease in african american patients with overt Upper Gastrointestinal Bleeding (UGIB)","type":"article","volume":"105"},"uris":["http://www.mendeley.com/documents/?uuid=0862ce2b-54e6-482c-bdd1-a326ec96978b"]}],"mendeley":{"formattedCitation":"(Win et al. 2010)","plainTextFormattedCitation":"(Win et al. 2010)","previouslyFormattedCitation":"(Win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(Win et al. 2010)</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051C9D2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022" w:type="dxa"/>
            <w:tcBorders>
              <w:top w:val="nil"/>
              <w:left w:val="nil"/>
              <w:bottom w:val="single" w:sz="4" w:space="0" w:color="808080"/>
              <w:right w:val="nil"/>
            </w:tcBorders>
            <w:vAlign w:val="center"/>
            <w:hideMark/>
          </w:tcPr>
          <w:p w14:paraId="35C6D55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Chart review</w:t>
            </w:r>
          </w:p>
        </w:tc>
        <w:tc>
          <w:tcPr>
            <w:tcW w:w="2410" w:type="dxa"/>
            <w:tcBorders>
              <w:top w:val="nil"/>
              <w:left w:val="nil"/>
              <w:bottom w:val="single" w:sz="4" w:space="0" w:color="808080"/>
              <w:right w:val="nil"/>
            </w:tcBorders>
            <w:vAlign w:val="center"/>
            <w:hideMark/>
          </w:tcPr>
          <w:p w14:paraId="27F3261A" w14:textId="77777777" w:rsidR="00B842AC" w:rsidRDefault="00B842AC" w:rsidP="00B842AC">
            <w:pPr>
              <w:spacing w:after="0" w:line="240" w:lineRule="auto"/>
              <w:jc w:val="center"/>
              <w:rPr>
                <w:rFonts w:ascii="Calibri" w:eastAsia="Times New Roman" w:hAnsi="Calibri" w:cs="Times New Roman"/>
                <w:sz w:val="20"/>
                <w:szCs w:val="20"/>
                <w:lang w:eastAsia="en-CA"/>
              </w:rPr>
            </w:pPr>
            <w:r>
              <w:rPr>
                <w:rFonts w:ascii="Calibri" w:eastAsia="Times New Roman" w:hAnsi="Calibri" w:cs="Times New Roman"/>
                <w:sz w:val="20"/>
                <w:szCs w:val="20"/>
                <w:lang w:eastAsia="en-CA"/>
              </w:rPr>
              <w:t>ACM (not clear)</w:t>
            </w:r>
          </w:p>
        </w:tc>
        <w:tc>
          <w:tcPr>
            <w:tcW w:w="1736" w:type="dxa"/>
            <w:tcBorders>
              <w:top w:val="nil"/>
              <w:left w:val="nil"/>
              <w:bottom w:val="single" w:sz="4" w:space="0" w:color="808080"/>
              <w:right w:val="nil"/>
            </w:tcBorders>
            <w:vAlign w:val="center"/>
            <w:hideMark/>
          </w:tcPr>
          <w:p w14:paraId="36096F7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Not clear if in-hospital mortality. No details on ascertainment. </w:t>
            </w:r>
          </w:p>
        </w:tc>
        <w:tc>
          <w:tcPr>
            <w:tcW w:w="1160" w:type="dxa"/>
            <w:tcBorders>
              <w:top w:val="nil"/>
              <w:left w:val="nil"/>
              <w:bottom w:val="single" w:sz="4" w:space="0" w:color="808080"/>
              <w:right w:val="nil"/>
            </w:tcBorders>
            <w:vAlign w:val="center"/>
            <w:hideMark/>
          </w:tcPr>
          <w:p w14:paraId="2305EEAA"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2005-2008</w:t>
            </w:r>
          </w:p>
        </w:tc>
        <w:tc>
          <w:tcPr>
            <w:tcW w:w="1533" w:type="dxa"/>
            <w:tcBorders>
              <w:top w:val="nil"/>
              <w:left w:val="nil"/>
              <w:bottom w:val="single" w:sz="4" w:space="0" w:color="808080"/>
              <w:right w:val="nil"/>
            </w:tcBorders>
            <w:vAlign w:val="center"/>
            <w:hideMark/>
          </w:tcPr>
          <w:p w14:paraId="35A1BFB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w:t>
            </w:r>
          </w:p>
        </w:tc>
      </w:tr>
      <w:tr w:rsidR="00B842AC" w14:paraId="14BAFC1E" w14:textId="77777777" w:rsidTr="00B842AC">
        <w:trPr>
          <w:trHeight w:val="498"/>
        </w:trPr>
        <w:tc>
          <w:tcPr>
            <w:tcW w:w="3790" w:type="dxa"/>
            <w:gridSpan w:val="2"/>
            <w:tcBorders>
              <w:top w:val="nil"/>
              <w:left w:val="nil"/>
              <w:bottom w:val="single" w:sz="4" w:space="0" w:color="808080"/>
              <w:right w:val="nil"/>
            </w:tcBorders>
            <w:shd w:val="clear" w:color="auto" w:fill="DEEAF6" w:themeFill="accent1" w:themeFillTint="33"/>
            <w:noWrap/>
            <w:vAlign w:val="center"/>
            <w:hideMark/>
          </w:tcPr>
          <w:p w14:paraId="6D8A316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b/>
                <w:bCs/>
                <w:color w:val="000000"/>
                <w:sz w:val="20"/>
                <w:szCs w:val="20"/>
                <w:lang w:eastAsia="en-CA"/>
              </w:rPr>
              <w:t>Intervention studies</w:t>
            </w:r>
          </w:p>
        </w:tc>
        <w:tc>
          <w:tcPr>
            <w:tcW w:w="2022" w:type="dxa"/>
            <w:tcBorders>
              <w:top w:val="nil"/>
              <w:left w:val="nil"/>
              <w:bottom w:val="single" w:sz="4" w:space="0" w:color="808080"/>
              <w:right w:val="nil"/>
            </w:tcBorders>
            <w:shd w:val="clear" w:color="auto" w:fill="DEEAF6" w:themeFill="accent1" w:themeFillTint="33"/>
            <w:noWrap/>
            <w:vAlign w:val="center"/>
            <w:hideMark/>
          </w:tcPr>
          <w:p w14:paraId="699758D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w:t>
            </w:r>
          </w:p>
        </w:tc>
        <w:tc>
          <w:tcPr>
            <w:tcW w:w="2410" w:type="dxa"/>
            <w:tcBorders>
              <w:top w:val="nil"/>
              <w:left w:val="nil"/>
              <w:bottom w:val="single" w:sz="4" w:space="0" w:color="808080"/>
              <w:right w:val="nil"/>
            </w:tcBorders>
            <w:shd w:val="clear" w:color="auto" w:fill="DEEAF6" w:themeFill="accent1" w:themeFillTint="33"/>
            <w:noWrap/>
            <w:vAlign w:val="center"/>
            <w:hideMark/>
          </w:tcPr>
          <w:p w14:paraId="6E3766E6"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p>
        </w:tc>
        <w:tc>
          <w:tcPr>
            <w:tcW w:w="1736" w:type="dxa"/>
            <w:tcBorders>
              <w:top w:val="nil"/>
              <w:left w:val="nil"/>
              <w:bottom w:val="single" w:sz="4" w:space="0" w:color="808080"/>
              <w:right w:val="nil"/>
            </w:tcBorders>
            <w:shd w:val="clear" w:color="auto" w:fill="DEEAF6" w:themeFill="accent1" w:themeFillTint="33"/>
            <w:noWrap/>
            <w:vAlign w:val="center"/>
            <w:hideMark/>
          </w:tcPr>
          <w:p w14:paraId="5E7373F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w:t>
            </w:r>
          </w:p>
        </w:tc>
        <w:tc>
          <w:tcPr>
            <w:tcW w:w="1160" w:type="dxa"/>
            <w:tcBorders>
              <w:top w:val="nil"/>
              <w:left w:val="nil"/>
              <w:bottom w:val="single" w:sz="4" w:space="0" w:color="808080"/>
              <w:right w:val="nil"/>
            </w:tcBorders>
            <w:shd w:val="clear" w:color="auto" w:fill="DEEAF6" w:themeFill="accent1" w:themeFillTint="33"/>
            <w:noWrap/>
            <w:vAlign w:val="center"/>
            <w:hideMark/>
          </w:tcPr>
          <w:p w14:paraId="0E35F3F4"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w:t>
            </w:r>
          </w:p>
        </w:tc>
        <w:tc>
          <w:tcPr>
            <w:tcW w:w="1533" w:type="dxa"/>
            <w:tcBorders>
              <w:top w:val="nil"/>
              <w:left w:val="nil"/>
              <w:bottom w:val="single" w:sz="4" w:space="0" w:color="808080"/>
              <w:right w:val="nil"/>
            </w:tcBorders>
            <w:shd w:val="clear" w:color="auto" w:fill="DEEAF6" w:themeFill="accent1" w:themeFillTint="33"/>
            <w:noWrap/>
            <w:vAlign w:val="center"/>
            <w:hideMark/>
          </w:tcPr>
          <w:p w14:paraId="46DC83D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w:t>
            </w:r>
          </w:p>
        </w:tc>
      </w:tr>
      <w:tr w:rsidR="00B842AC" w14:paraId="2635E86A" w14:textId="77777777" w:rsidTr="00B842AC">
        <w:trPr>
          <w:trHeight w:val="279"/>
        </w:trPr>
        <w:tc>
          <w:tcPr>
            <w:tcW w:w="1805" w:type="dxa"/>
            <w:tcBorders>
              <w:top w:val="nil"/>
              <w:left w:val="nil"/>
              <w:bottom w:val="single" w:sz="4" w:space="0" w:color="808080"/>
              <w:right w:val="nil"/>
            </w:tcBorders>
            <w:vAlign w:val="center"/>
            <w:hideMark/>
          </w:tcPr>
          <w:p w14:paraId="6466CE08" w14:textId="56F79482"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{"citationItems":[{"id":"ITEM-1","itemData":{"ISBN":"0959-8146","ISSN":"0959-8138","abstract":"Objective - To investigate the possible therapeutic role of omeprazole, a powerful proton pump inhibitor, in unselected patients presenting with upper gastrointestinal bleeding. Design - Double blind placebo controlled parallel group study. Active treatment was omeprazole 80 mg intravenously immediately, then three doses of 40 mg intravenously at eight hourly intervals, then 40 mg orally at 12 hourly intervals. Treatment was started within 12 hours of admission and given for four days or until surgery, discharge, or death. Setting - The medical wards of University and City Hospitals, Nottingham. Subjects - 1147 consecutive patients aged 18 years or more admitted over 40 months with acute upper gastrointestinal bleeding. Main outcome measures - Mortality from all causes; rate of rebleeding, transfusion requirements, and operation rate; effect of treatment on endoscopic appearances at initial endoscopy. Results - Of 1147 patients included in the intention to treat analysis, 569 received placebo and 578 omeprazole. No significant differences were found between the placebo and omeprazole groups for rates of transfusion (302 (53%) placebo v 298 (52%) omeprazole), rebleeding (100 (18%) v 85 (15%)), operation (63 (11%) v 62 (11%)),and death (30 (5.3%) v 40 (6.9%)). However, there was an unexpected but significant reduction in endoscopic signs of upper gastrointestinal bleeding in patients treated with omeprazole compared with those treated with placebo (236 (45%) placebo v 176 (33%) omeprazole; p &lt; 0.0001). Conclusions - Omeprazole failed to reduce mortality, rebleeding, or transfusion requirements, although the reduction in endoscopic signs of bleeding suggests that inhibition of acid may be capable of influencing intragastric bleeding. Our data do not justify the routine use of acid inhibiting drugs in the management of haematemesis and melaena.","author":[{"dropping-particle":"","family":"Daneshmend","given":"T K","non-dropping-particle":"","parse-names":false,"suffix":""},{"dropping-particle":"","family":"Hawkey","given":"C J","non-dropping-particle":"","parse-names":false,"suffix":""},{"dropping-particle":"","family":"Langman","given":"M J","non-dropping-particle":"","parse-names":false,"suffix":""},{"dropping-particle":"","family":"Logan","given":"R F","non-dropping-particle":"","parse-names":false,"suffix":""},{"dropping-particle":"","family":"Long","given":"R G","non-dropping-particle":"","parse-names":false,"suffix":""},{"dropping-particle":"","family":"Walt","given":"R P","non-dropping-particle":"","parse-names":false,"suffix":""}],"container-title":"BMJ (Clinical research ed.)","id":"ITEM-1","issue":"6820","issued":{"date-parts":[["1992"]]},"note":"1250\n\nFrom Duplicate 2 (Omeprazole versus placebo for acute upper gastrointestinal bleeding: randomised double blind controlled trial. - Daneshmend, T K; Hawkey, C J; Langman, M J; Logan, R F; Long, R G; Walt, R P)\n\nComment in: BMJ. 1992 Jan 18;304(6820):135-6; PMID: 1737156, Comment in: BMJ. 1992 Feb 8;304(6823):383; PMID: 1540748","page":"143-147","publisher":"Daneshmend,T K. Department of Therapeutics, University Hospital, Nottingham, England.","publisher-place":"ENGLAND","title":"Omeprazole versus placebo for acute upper gastrointestinal bleeding: randomised double blind controlled trial.","type":"article-journal","volume":"304"},"uris":["http://www.mendeley.com/documents/?uuid=553482a6-9357-4da8-88a5-3dc4bb7e7dc3"]}],"mendeley":{"formattedCitation":"(Daneshmend et al. 1992)","plainTextFormattedCitation":"(Daneshmend et al. 1992)","previouslyFormattedCitation":"(Daneshmend et al. 1992)"},"properties":{"noteIndex":0},"schema":"https://github.com/citation-style-language/schema/raw/master/csl-citation.json"}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(Daneshmend et al. 1992)</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56FAFF8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2022" w:type="dxa"/>
            <w:tcBorders>
              <w:top w:val="nil"/>
              <w:left w:val="nil"/>
              <w:bottom w:val="single" w:sz="4" w:space="0" w:color="808080"/>
              <w:right w:val="nil"/>
            </w:tcBorders>
            <w:vAlign w:val="center"/>
            <w:hideMark/>
          </w:tcPr>
          <w:p w14:paraId="7629596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w:t>
            </w:r>
          </w:p>
        </w:tc>
        <w:tc>
          <w:tcPr>
            <w:tcW w:w="2410" w:type="dxa"/>
            <w:tcBorders>
              <w:top w:val="nil"/>
              <w:left w:val="nil"/>
              <w:bottom w:val="single" w:sz="4" w:space="0" w:color="808080"/>
              <w:right w:val="nil"/>
            </w:tcBorders>
            <w:vAlign w:val="center"/>
            <w:hideMark/>
          </w:tcPr>
          <w:p w14:paraId="2B576DDB"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(40 days)</w:t>
            </w:r>
          </w:p>
        </w:tc>
        <w:tc>
          <w:tcPr>
            <w:tcW w:w="1736" w:type="dxa"/>
            <w:tcBorders>
              <w:top w:val="nil"/>
              <w:left w:val="nil"/>
              <w:bottom w:val="single" w:sz="4" w:space="0" w:color="808080"/>
              <w:right w:val="nil"/>
            </w:tcBorders>
            <w:vAlign w:val="center"/>
            <w:hideMark/>
          </w:tcPr>
          <w:p w14:paraId="541E2F4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160" w:type="dxa"/>
            <w:tcBorders>
              <w:top w:val="nil"/>
              <w:left w:val="nil"/>
              <w:bottom w:val="single" w:sz="4" w:space="0" w:color="808080"/>
              <w:right w:val="nil"/>
            </w:tcBorders>
            <w:vAlign w:val="center"/>
            <w:hideMark/>
          </w:tcPr>
          <w:p w14:paraId="25083333"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1986-1989</w:t>
            </w:r>
          </w:p>
        </w:tc>
        <w:tc>
          <w:tcPr>
            <w:tcW w:w="1533" w:type="dxa"/>
            <w:tcBorders>
              <w:top w:val="nil"/>
              <w:left w:val="nil"/>
              <w:bottom w:val="single" w:sz="4" w:space="0" w:color="808080"/>
              <w:right w:val="nil"/>
            </w:tcBorders>
            <w:vAlign w:val="center"/>
            <w:hideMark/>
          </w:tcPr>
          <w:p w14:paraId="46A0E9C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Industry</w:t>
            </w:r>
          </w:p>
        </w:tc>
      </w:tr>
      <w:tr w:rsidR="00E5015F" w14:paraId="09C6C465" w14:textId="77777777" w:rsidTr="002F0260">
        <w:trPr>
          <w:trHeight w:val="279"/>
        </w:trPr>
        <w:tc>
          <w:tcPr>
            <w:tcW w:w="1805" w:type="dxa"/>
            <w:tcBorders>
              <w:top w:val="nil"/>
              <w:left w:val="nil"/>
              <w:bottom w:val="single" w:sz="4" w:space="0" w:color="808080"/>
              <w:right w:val="nil"/>
            </w:tcBorders>
            <w:shd w:val="clear" w:color="auto" w:fill="auto"/>
            <w:vAlign w:val="center"/>
          </w:tcPr>
          <w:p w14:paraId="2B0E7856" w14:textId="12FAA1A6"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(Krag et al 2018)</w:t>
            </w:r>
          </w:p>
        </w:tc>
        <w:tc>
          <w:tcPr>
            <w:tcW w:w="1985" w:type="dxa"/>
            <w:tcBorders>
              <w:top w:val="nil"/>
              <w:left w:val="nil"/>
              <w:bottom w:val="single" w:sz="4" w:space="0" w:color="808080"/>
              <w:right w:val="nil"/>
            </w:tcBorders>
            <w:shd w:val="clear" w:color="auto" w:fill="auto"/>
            <w:vAlign w:val="center"/>
          </w:tcPr>
          <w:p w14:paraId="652B4425" w14:textId="34181A39"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Pantoprazole (40 mg once daily)</w:t>
            </w:r>
          </w:p>
        </w:tc>
        <w:tc>
          <w:tcPr>
            <w:tcW w:w="2022" w:type="dxa"/>
            <w:tcBorders>
              <w:top w:val="nil"/>
              <w:left w:val="nil"/>
              <w:bottom w:val="single" w:sz="4" w:space="0" w:color="808080"/>
              <w:right w:val="nil"/>
            </w:tcBorders>
            <w:shd w:val="clear" w:color="auto" w:fill="auto"/>
            <w:vAlign w:val="center"/>
          </w:tcPr>
          <w:p w14:paraId="47E23587" w14:textId="1BB2CA09"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Medication received intravenously at hospital until discharge or death</w:t>
            </w:r>
          </w:p>
        </w:tc>
        <w:tc>
          <w:tcPr>
            <w:tcW w:w="2410" w:type="dxa"/>
            <w:tcBorders>
              <w:top w:val="nil"/>
              <w:left w:val="nil"/>
              <w:bottom w:val="single" w:sz="4" w:space="0" w:color="808080"/>
              <w:right w:val="nil"/>
            </w:tcBorders>
            <w:shd w:val="clear" w:color="auto" w:fill="auto"/>
            <w:vAlign w:val="center"/>
          </w:tcPr>
          <w:p w14:paraId="4C2C6012" w14:textId="34FD8021"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ACM (3 months)</w:t>
            </w:r>
          </w:p>
        </w:tc>
        <w:tc>
          <w:tcPr>
            <w:tcW w:w="1736" w:type="dxa"/>
            <w:tcBorders>
              <w:top w:val="nil"/>
              <w:left w:val="nil"/>
              <w:bottom w:val="single" w:sz="4" w:space="0" w:color="808080"/>
              <w:right w:val="nil"/>
            </w:tcBorders>
            <w:shd w:val="clear" w:color="auto" w:fill="auto"/>
            <w:vAlign w:val="center"/>
          </w:tcPr>
          <w:p w14:paraId="5D6E7F2F" w14:textId="7C29490D"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Patient files, contact with patients or family, regional and national registries.</w:t>
            </w:r>
          </w:p>
        </w:tc>
        <w:tc>
          <w:tcPr>
            <w:tcW w:w="1160" w:type="dxa"/>
            <w:tcBorders>
              <w:top w:val="nil"/>
              <w:left w:val="nil"/>
              <w:bottom w:val="single" w:sz="4" w:space="0" w:color="808080"/>
              <w:right w:val="nil"/>
            </w:tcBorders>
            <w:shd w:val="clear" w:color="auto" w:fill="auto"/>
            <w:vAlign w:val="center"/>
          </w:tcPr>
          <w:p w14:paraId="73121672" w14:textId="56E47A79"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2016-2017</w:t>
            </w:r>
          </w:p>
        </w:tc>
        <w:tc>
          <w:tcPr>
            <w:tcW w:w="1533" w:type="dxa"/>
            <w:tcBorders>
              <w:top w:val="nil"/>
              <w:left w:val="nil"/>
              <w:bottom w:val="single" w:sz="4" w:space="0" w:color="808080"/>
              <w:right w:val="nil"/>
            </w:tcBorders>
            <w:shd w:val="clear" w:color="auto" w:fill="auto"/>
            <w:vAlign w:val="center"/>
          </w:tcPr>
          <w:p w14:paraId="17F41498" w14:textId="163B4C73"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Public/non profit</w:t>
            </w:r>
          </w:p>
        </w:tc>
      </w:tr>
      <w:tr w:rsidR="00E5015F" w14:paraId="455E26A4" w14:textId="77777777" w:rsidTr="002F0260">
        <w:trPr>
          <w:trHeight w:val="279"/>
        </w:trPr>
        <w:tc>
          <w:tcPr>
            <w:tcW w:w="1805" w:type="dxa"/>
            <w:tcBorders>
              <w:top w:val="nil"/>
              <w:left w:val="nil"/>
              <w:bottom w:val="single" w:sz="4" w:space="0" w:color="808080"/>
              <w:right w:val="nil"/>
            </w:tcBorders>
            <w:shd w:val="clear" w:color="auto" w:fill="auto"/>
            <w:vAlign w:val="center"/>
          </w:tcPr>
          <w:p w14:paraId="18A81F69" w14:textId="7BF09F1B"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(Leung et al 2018)</w:t>
            </w:r>
          </w:p>
        </w:tc>
        <w:tc>
          <w:tcPr>
            <w:tcW w:w="1985" w:type="dxa"/>
            <w:tcBorders>
              <w:top w:val="nil"/>
              <w:left w:val="nil"/>
              <w:bottom w:val="single" w:sz="4" w:space="0" w:color="808080"/>
              <w:right w:val="nil"/>
            </w:tcBorders>
            <w:shd w:val="clear" w:color="auto" w:fill="auto"/>
            <w:vAlign w:val="center"/>
          </w:tcPr>
          <w:p w14:paraId="04C9C68E" w14:textId="5914CC03"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Esomeprazole (40 mg twice daily for 10 days)</w:t>
            </w:r>
          </w:p>
        </w:tc>
        <w:tc>
          <w:tcPr>
            <w:tcW w:w="2022" w:type="dxa"/>
            <w:tcBorders>
              <w:top w:val="nil"/>
              <w:left w:val="nil"/>
              <w:bottom w:val="single" w:sz="4" w:space="0" w:color="808080"/>
              <w:right w:val="nil"/>
            </w:tcBorders>
            <w:shd w:val="clear" w:color="auto" w:fill="auto"/>
            <w:vAlign w:val="center"/>
          </w:tcPr>
          <w:p w14:paraId="4BD2ED08" w14:textId="0DE37D03"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Medication received in hospital</w:t>
            </w:r>
          </w:p>
        </w:tc>
        <w:tc>
          <w:tcPr>
            <w:tcW w:w="2410" w:type="dxa"/>
            <w:tcBorders>
              <w:top w:val="nil"/>
              <w:left w:val="nil"/>
              <w:bottom w:val="single" w:sz="4" w:space="0" w:color="808080"/>
              <w:right w:val="nil"/>
            </w:tcBorders>
            <w:shd w:val="clear" w:color="auto" w:fill="auto"/>
            <w:vAlign w:val="center"/>
          </w:tcPr>
          <w:p w14:paraId="75DC35A1" w14:textId="6B3FA179"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ACM (1 month)</w:t>
            </w:r>
          </w:p>
        </w:tc>
        <w:tc>
          <w:tcPr>
            <w:tcW w:w="1736" w:type="dxa"/>
            <w:tcBorders>
              <w:top w:val="nil"/>
              <w:left w:val="nil"/>
              <w:bottom w:val="single" w:sz="4" w:space="0" w:color="808080"/>
              <w:right w:val="nil"/>
            </w:tcBorders>
            <w:shd w:val="clear" w:color="auto" w:fill="auto"/>
            <w:vAlign w:val="center"/>
          </w:tcPr>
          <w:p w14:paraId="1C0246A5" w14:textId="03228071"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Follow up visits and national mortality records.</w:t>
            </w:r>
          </w:p>
        </w:tc>
        <w:tc>
          <w:tcPr>
            <w:tcW w:w="1160" w:type="dxa"/>
            <w:tcBorders>
              <w:top w:val="nil"/>
              <w:left w:val="nil"/>
              <w:bottom w:val="single" w:sz="4" w:space="0" w:color="808080"/>
              <w:right w:val="nil"/>
            </w:tcBorders>
            <w:shd w:val="clear" w:color="auto" w:fill="auto"/>
            <w:vAlign w:val="center"/>
          </w:tcPr>
          <w:p w14:paraId="1E5CE3D0" w14:textId="5DA62EAA"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2013-2016</w:t>
            </w:r>
          </w:p>
        </w:tc>
        <w:tc>
          <w:tcPr>
            <w:tcW w:w="1533" w:type="dxa"/>
            <w:tcBorders>
              <w:top w:val="nil"/>
              <w:left w:val="nil"/>
              <w:bottom w:val="single" w:sz="4" w:space="0" w:color="808080"/>
              <w:right w:val="nil"/>
            </w:tcBorders>
            <w:shd w:val="clear" w:color="auto" w:fill="auto"/>
            <w:vAlign w:val="center"/>
          </w:tcPr>
          <w:p w14:paraId="6C9C5B0E" w14:textId="4B5911C4"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Public/non profit</w:t>
            </w:r>
          </w:p>
        </w:tc>
      </w:tr>
      <w:tr w:rsidR="00E5015F" w14:paraId="4DF94965" w14:textId="77777777" w:rsidTr="002F0260">
        <w:trPr>
          <w:trHeight w:val="279"/>
        </w:trPr>
        <w:tc>
          <w:tcPr>
            <w:tcW w:w="1805" w:type="dxa"/>
            <w:tcBorders>
              <w:top w:val="nil"/>
              <w:left w:val="nil"/>
              <w:bottom w:val="single" w:sz="4" w:space="0" w:color="808080"/>
              <w:right w:val="nil"/>
            </w:tcBorders>
            <w:shd w:val="clear" w:color="auto" w:fill="auto"/>
            <w:vAlign w:val="center"/>
          </w:tcPr>
          <w:p w14:paraId="0CE76EE7" w14:textId="330B6D29"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(Selvanderan et al 2016)</w:t>
            </w:r>
          </w:p>
        </w:tc>
        <w:tc>
          <w:tcPr>
            <w:tcW w:w="1985" w:type="dxa"/>
            <w:tcBorders>
              <w:top w:val="nil"/>
              <w:left w:val="nil"/>
              <w:bottom w:val="single" w:sz="4" w:space="0" w:color="808080"/>
              <w:right w:val="nil"/>
            </w:tcBorders>
            <w:shd w:val="clear" w:color="auto" w:fill="auto"/>
            <w:vAlign w:val="center"/>
          </w:tcPr>
          <w:p w14:paraId="259649A5" w14:textId="58679961"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Pantoprazole IV (40 mg once daily)</w:t>
            </w:r>
          </w:p>
        </w:tc>
        <w:tc>
          <w:tcPr>
            <w:tcW w:w="2022" w:type="dxa"/>
            <w:tcBorders>
              <w:top w:val="nil"/>
              <w:left w:val="nil"/>
              <w:bottom w:val="single" w:sz="4" w:space="0" w:color="808080"/>
              <w:right w:val="nil"/>
            </w:tcBorders>
            <w:shd w:val="clear" w:color="auto" w:fill="auto"/>
            <w:vAlign w:val="center"/>
          </w:tcPr>
          <w:p w14:paraId="1193FB7D" w14:textId="19741620"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Randomized. Medication dispensed in hospital ICU</w:t>
            </w:r>
          </w:p>
        </w:tc>
        <w:tc>
          <w:tcPr>
            <w:tcW w:w="2410" w:type="dxa"/>
            <w:tcBorders>
              <w:top w:val="nil"/>
              <w:left w:val="nil"/>
              <w:bottom w:val="single" w:sz="4" w:space="0" w:color="808080"/>
              <w:right w:val="nil"/>
            </w:tcBorders>
            <w:shd w:val="clear" w:color="auto" w:fill="auto"/>
            <w:vAlign w:val="center"/>
          </w:tcPr>
          <w:p w14:paraId="752394E4" w14:textId="15819515"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ACM (3 months)</w:t>
            </w:r>
          </w:p>
        </w:tc>
        <w:tc>
          <w:tcPr>
            <w:tcW w:w="1736" w:type="dxa"/>
            <w:tcBorders>
              <w:top w:val="nil"/>
              <w:left w:val="nil"/>
              <w:bottom w:val="single" w:sz="4" w:space="0" w:color="808080"/>
              <w:right w:val="nil"/>
            </w:tcBorders>
            <w:shd w:val="clear" w:color="auto" w:fill="auto"/>
            <w:vAlign w:val="center"/>
          </w:tcPr>
          <w:p w14:paraId="7113EEA7" w14:textId="2740F6BC"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Not reported</w:t>
            </w:r>
          </w:p>
        </w:tc>
        <w:tc>
          <w:tcPr>
            <w:tcW w:w="1160" w:type="dxa"/>
            <w:tcBorders>
              <w:top w:val="nil"/>
              <w:left w:val="nil"/>
              <w:bottom w:val="single" w:sz="4" w:space="0" w:color="808080"/>
              <w:right w:val="nil"/>
            </w:tcBorders>
            <w:shd w:val="clear" w:color="auto" w:fill="auto"/>
            <w:vAlign w:val="center"/>
          </w:tcPr>
          <w:p w14:paraId="24B77860" w14:textId="0246554E"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2014-2015</w:t>
            </w:r>
          </w:p>
        </w:tc>
        <w:tc>
          <w:tcPr>
            <w:tcW w:w="1533" w:type="dxa"/>
            <w:tcBorders>
              <w:top w:val="nil"/>
              <w:left w:val="nil"/>
              <w:bottom w:val="single" w:sz="4" w:space="0" w:color="808080"/>
              <w:right w:val="nil"/>
            </w:tcBorders>
            <w:shd w:val="clear" w:color="auto" w:fill="auto"/>
            <w:vAlign w:val="center"/>
          </w:tcPr>
          <w:p w14:paraId="2D91D085" w14:textId="5F433DFE"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Public/non profit</w:t>
            </w:r>
          </w:p>
        </w:tc>
      </w:tr>
      <w:tr w:rsidR="00B842AC" w14:paraId="57C83E83" w14:textId="77777777" w:rsidTr="002F0260">
        <w:trPr>
          <w:trHeight w:val="343"/>
        </w:trPr>
        <w:tc>
          <w:tcPr>
            <w:tcW w:w="1805" w:type="dxa"/>
            <w:tcBorders>
              <w:top w:val="nil"/>
              <w:left w:val="nil"/>
              <w:bottom w:val="single" w:sz="4" w:space="0" w:color="808080"/>
              <w:right w:val="nil"/>
            </w:tcBorders>
            <w:shd w:val="clear" w:color="auto" w:fill="auto"/>
            <w:vAlign w:val="center"/>
            <w:hideMark/>
          </w:tcPr>
          <w:p w14:paraId="7D21F1E9" w14:textId="3CF0922E"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{"citationItems":[{"id":"ITEM-1","itemData":{"ISBN":"0929-5305","ISSN":"1573-742X","abstract":"Background: Bleeding complications are not uncommon in patients with acute myocardial infarction (AMI) during treatments. How to prevent the occurrence of upper gastrointestinal bleeding in AMI patients has become one of the most intractable problems. And there are conflicting data on the efficacy and complication rate of omeprazole treatment. We conducted an intervention study to determine whether using omeprazole could benefit AMI patients. Methods: A total of 237 patients with AMI were divided into two groups at random: omeprazole group including 114 patients and control group including 123 patients. Omeprazole 40 mg by intravenous drip was given to the patients in omeprazole group when they were admitted to the hospitals. From the second day they were given omeprazole 20 mg per day by oral administration for 7 days. In contrast, no gastric acid inhibitor was given to the patients in control group. The incidence of upper gastrointestinal bleeding, the recanalization rate and overall mortality in both groups were observed. Results: The incidence of uppergastrointestinal bleeding in omeprazole group was 5.3% (6/114) which was much lower than 14.6% (18/123) in control group (P = 0.017), but the recanalization rate had no significant difference between the two groups (P = 0.681). The overall mortality in omeprazole group was lower than that of control group (3.5% vs. 10.6%, P = 0.035). Conclusions: Our findings suggest that early useof omeprazole in AMI patients could decrease the incidence of upper gastrointestinal bleeding and the overall mortality, without influencing the recanalization rate. Early use of omeprazole might benefit AMI patients. © Springer Science+Business Media, LLC 2008.","author":[{"dropping-particle":"","family":"Gao","given":"Qian-Ping","non-dropping-particle":"","parse-names":false,"suffix":""},{"dropping-particle":"","family":"Sun","given":"Yan Yu-Xue","non-dropping-particle":"","parse-names":false,"suffix":""},{"dropping-particle":"","family":"Sun","given":"Yan Yu-Xue","non-dropping-particle":"","parse-names":false,"suffix":""},{"dropping-particle":"","family":"Wang","given":"Lan-Feng","non-dropping-particle":"","parse-names":false,"suffix":""},{"dropping-particle":"","family":"Fu","given":"Lu","non-dropping-particle":"","parse-names":false,"suffix":""}],"container-title":"Journal of thrombosis and thrombolysis","id":"ITEM-1","issue":"3","issued":{"date-parts":[["2009"]]},"note":"811","page":"282-287","publisher":"Gao,Qian-Ping. Department of Cardiology, The First Affiliated Hospital of Harbin Medical University, Harbin, Heilongjiang Province, China.","publisher-place":"Netherlands","title":"Early use of omeprazole benefits patients with acute myocardial infarction.","type":"article-journal","volume":"28"},"uris":["http://www.mendeley.com/documents/?uuid=7e930386-6b16-4b49-9fe0-91e7b22220f3"]}],"mendeley":{"formattedCitation":"(Gao et al. 2009)","plainTextFormattedCitation":"(Gao et al. 2009)","previouslyFormattedCitation":"(Gao et al. 2009)"},"properties":{"noteIndex":0},"schema":"https://github.com/citation-style-language/schema/raw/master/csl-citation.json"}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(Gao et al. 2009)</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shd w:val="clear" w:color="auto" w:fill="auto"/>
            <w:vAlign w:val="center"/>
            <w:hideMark/>
          </w:tcPr>
          <w:p w14:paraId="1A4A7BD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2022" w:type="dxa"/>
            <w:tcBorders>
              <w:top w:val="nil"/>
              <w:left w:val="nil"/>
              <w:bottom w:val="single" w:sz="4" w:space="0" w:color="808080"/>
              <w:right w:val="nil"/>
            </w:tcBorders>
            <w:shd w:val="clear" w:color="auto" w:fill="auto"/>
            <w:vAlign w:val="center"/>
            <w:hideMark/>
          </w:tcPr>
          <w:p w14:paraId="367CEAA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w:t>
            </w:r>
          </w:p>
        </w:tc>
        <w:tc>
          <w:tcPr>
            <w:tcW w:w="2410" w:type="dxa"/>
            <w:tcBorders>
              <w:top w:val="nil"/>
              <w:left w:val="nil"/>
              <w:bottom w:val="single" w:sz="4" w:space="0" w:color="808080"/>
              <w:right w:val="nil"/>
            </w:tcBorders>
            <w:shd w:val="clear" w:color="auto" w:fill="auto"/>
            <w:vAlign w:val="center"/>
            <w:hideMark/>
          </w:tcPr>
          <w:p w14:paraId="7142C775"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(2 weeks)</w:t>
            </w:r>
          </w:p>
        </w:tc>
        <w:tc>
          <w:tcPr>
            <w:tcW w:w="1736" w:type="dxa"/>
            <w:tcBorders>
              <w:top w:val="nil"/>
              <w:left w:val="nil"/>
              <w:bottom w:val="single" w:sz="4" w:space="0" w:color="808080"/>
              <w:right w:val="nil"/>
            </w:tcBorders>
            <w:shd w:val="clear" w:color="auto" w:fill="auto"/>
            <w:vAlign w:val="center"/>
            <w:hideMark/>
          </w:tcPr>
          <w:p w14:paraId="29EAB59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160" w:type="dxa"/>
            <w:tcBorders>
              <w:top w:val="nil"/>
              <w:left w:val="nil"/>
              <w:bottom w:val="single" w:sz="4" w:space="0" w:color="808080"/>
              <w:right w:val="nil"/>
            </w:tcBorders>
            <w:shd w:val="clear" w:color="auto" w:fill="auto"/>
            <w:vAlign w:val="center"/>
            <w:hideMark/>
          </w:tcPr>
          <w:p w14:paraId="2C450C7E"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2003-2007</w:t>
            </w:r>
          </w:p>
        </w:tc>
        <w:tc>
          <w:tcPr>
            <w:tcW w:w="1533" w:type="dxa"/>
            <w:tcBorders>
              <w:top w:val="nil"/>
              <w:left w:val="nil"/>
              <w:bottom w:val="single" w:sz="4" w:space="0" w:color="808080"/>
              <w:right w:val="nil"/>
            </w:tcBorders>
            <w:shd w:val="clear" w:color="auto" w:fill="auto"/>
            <w:vAlign w:val="center"/>
            <w:hideMark/>
          </w:tcPr>
          <w:p w14:paraId="6FFCFEC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3F1576E7" w14:textId="77777777" w:rsidTr="002F0260">
        <w:trPr>
          <w:trHeight w:val="546"/>
        </w:trPr>
        <w:tc>
          <w:tcPr>
            <w:tcW w:w="1805" w:type="dxa"/>
            <w:tcBorders>
              <w:top w:val="nil"/>
              <w:left w:val="nil"/>
              <w:bottom w:val="single" w:sz="4" w:space="0" w:color="808080"/>
              <w:right w:val="nil"/>
            </w:tcBorders>
            <w:shd w:val="clear" w:color="auto" w:fill="auto"/>
            <w:vAlign w:val="center"/>
            <w:hideMark/>
          </w:tcPr>
          <w:p w14:paraId="38131669" w14:textId="69BA9F35"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{"citationItems":[{"id":"ITEM-1","itemData":{"ISBN":"0036-5521","ISSN":"0036-5521","abstract":"BACKGROUND: Does profound acid inhibition by continuous infusion of omeprazole for 72 h reduce further bleeding in elderly patients with peptic ulcer bleeding (PUB)?, METHODS: Three hundred and thirty-three patients &gt; or = 60 years old with PUB were randomized to omeprazole (80 mg + mg/h) or placebo as continuous infusion for 72 h. From day 4 to 21 all patients received 20 mg omeprazole orally once daily., RESULTS: When evaluated on day 3, the primary variable 'overall outcome' (based on an ordinal ranking scale; see Study variables) (P = 0.017) and the secondary variables, surgery (P = 0.003), degree (P = 0.004) and duration of bleeding (P = 0.003) all favored the omeprazole group. Blood transfusions, need for endoscopic treatment, and mortality were not statistically different. On follow-up, by day 21, the mortality in the group initially receiving intravenous omeprazole was 6.9%, while the intravenous placebo group showed an extremely low mortality, 0.6%., CONCLUSION: Three days' infusion of omeprazole improved overall outcome and reduced need for intervention in PUB patients.","author":[{"dropping-particle":"","family":"Hasselgren","given":"G","non-dropping-particle":"","parse-names":false,"suffix":""},{"dropping-particle":"","family":"Lundell","given":"L","non-dropping-particle":"","parse-names":false,"suffix":""},{"dropping-particle":"","family":"Aadland","given":"E","non-dropping-particle":"","parse-names":false,"suffix":""},{"dropping-particle":"","family":"Efskind","given":"P","non-dropping-particle":"","parse-names":false,"suffix":""},{"dropping-particle":"","family":"Falk","given":"A","non-dropping-particle":"","parse-names":false,"suffix":""},{"dropping-particle":"","family":"Hyltander","given":"A","non-dropping-particle":"","parse-names":false,"suffix":""},{"dropping-particle":"","family":"Soderlund","given":"C","non-dropping-particle":"","parse-names":false,"suffix":""},{"dropping-particle":"","family":"Eriksson","given":"S","non-dropping-particle":"","parse-names":false,"suffix":""},{"dropping-particle":"","family":"Fernstrom","given":"P","non-dropping-particle":"","parse-names":false,"suffix":""},{"dropping-particle":"","family":"Lind","given":"T","non-dropping-particle":"","parse-names":false,"suffix":""}],"container-title":"Scandinavian journal of gastroenterology","id":"ITEM-1","issue":"4","issued":{"date-parts":[["1997"]]},"note":"From Duplicate 1 (Continuous intravenous infusion of omeprazole in elderly patients with peptic ulcer bleeding. Results of a placebo-controlled multicenter study. - Hasselgren, G; Lind, T; Lundell, L; Aadland, E; Efskind, P; Falk, A; Hyltander, A; Soderlund, C; Eriksson, S; Fernstrom, P)\n\nComment in: Scand J Gastroenterol. 1997 Apr;32(4):396-8; PMID: 9140165","page":"328-333","publisher":"Hasselgren,G. Dept. of Surgery, Sahlgrenska University Hospital, Goteborg, Sweden.","publisher-place":"T. Lind, Dept. of Surgery, Karnsjukhuset, S-541 85 Skovde, Sweden","title":"Continuous intravenous infusion of omeprazole in elderly patients with peptic ulcer bleeding. Results of a placebo-controlled multicenter study.","type":"article-journal","volume":"32"},"uris":["http://www.mendeley.com/documents/?uuid=71880bdb-7da4-40fe-8eac-2c97f9199e82"]}],"mendeley":{"formattedCitation":"(Hasselgren et al. 1997)","plainTextFormattedCitation":"(Hasselgren et al. 1997)","previouslyFormattedCitation":"(Hasselgren et al. 1997)"},"properties":{"noteIndex":0},"schema":"https://github.com/citation-style-language/schema/raw/master/csl-citation.json"}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(Hasselgren et al. 1997)</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shd w:val="clear" w:color="auto" w:fill="auto"/>
            <w:vAlign w:val="center"/>
            <w:hideMark/>
          </w:tcPr>
          <w:p w14:paraId="4F4F866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2022" w:type="dxa"/>
            <w:tcBorders>
              <w:top w:val="nil"/>
              <w:left w:val="nil"/>
              <w:bottom w:val="single" w:sz="4" w:space="0" w:color="808080"/>
              <w:right w:val="nil"/>
            </w:tcBorders>
            <w:shd w:val="clear" w:color="auto" w:fill="auto"/>
            <w:vAlign w:val="center"/>
            <w:hideMark/>
          </w:tcPr>
          <w:p w14:paraId="38E4B3A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Randomized PPI exposure </w:t>
            </w:r>
          </w:p>
        </w:tc>
        <w:tc>
          <w:tcPr>
            <w:tcW w:w="2410" w:type="dxa"/>
            <w:tcBorders>
              <w:top w:val="nil"/>
              <w:left w:val="nil"/>
              <w:bottom w:val="single" w:sz="4" w:space="0" w:color="808080"/>
              <w:right w:val="nil"/>
            </w:tcBorders>
            <w:shd w:val="clear" w:color="auto" w:fill="auto"/>
            <w:vAlign w:val="center"/>
            <w:hideMark/>
          </w:tcPr>
          <w:p w14:paraId="38CBEB86"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(3 weeks)</w:t>
            </w:r>
            <w:r>
              <w:rPr>
                <w:rFonts w:ascii="Calibri" w:eastAsia="Times New Roman" w:hAnsi="Calibri" w:cs="Times New Roman"/>
                <w:color w:val="000000"/>
                <w:sz w:val="20"/>
                <w:szCs w:val="20"/>
                <w:lang w:eastAsia="en-CA"/>
              </w:rPr>
              <w:br/>
              <w:t>Stroke (3 weeks)</w:t>
            </w:r>
            <w:r>
              <w:rPr>
                <w:rFonts w:ascii="Calibri" w:eastAsia="Times New Roman" w:hAnsi="Calibri" w:cs="Times New Roman"/>
                <w:color w:val="000000"/>
                <w:sz w:val="20"/>
                <w:szCs w:val="20"/>
                <w:lang w:eastAsia="en-CA"/>
              </w:rPr>
              <w:br/>
              <w:t>ACM  (3 weeks)</w:t>
            </w:r>
          </w:p>
        </w:tc>
        <w:tc>
          <w:tcPr>
            <w:tcW w:w="1736" w:type="dxa"/>
            <w:tcBorders>
              <w:top w:val="nil"/>
              <w:left w:val="nil"/>
              <w:bottom w:val="single" w:sz="4" w:space="0" w:color="808080"/>
              <w:right w:val="nil"/>
            </w:tcBorders>
            <w:shd w:val="clear" w:color="auto" w:fill="auto"/>
            <w:vAlign w:val="center"/>
            <w:hideMark/>
          </w:tcPr>
          <w:p w14:paraId="02174AD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160" w:type="dxa"/>
            <w:tcBorders>
              <w:top w:val="nil"/>
              <w:left w:val="nil"/>
              <w:bottom w:val="single" w:sz="4" w:space="0" w:color="808080"/>
              <w:right w:val="nil"/>
            </w:tcBorders>
            <w:shd w:val="clear" w:color="auto" w:fill="auto"/>
            <w:vAlign w:val="center"/>
            <w:hideMark/>
          </w:tcPr>
          <w:p w14:paraId="529E3DA5"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533" w:type="dxa"/>
            <w:tcBorders>
              <w:top w:val="nil"/>
              <w:left w:val="nil"/>
              <w:bottom w:val="single" w:sz="4" w:space="0" w:color="808080"/>
              <w:right w:val="nil"/>
            </w:tcBorders>
            <w:shd w:val="clear" w:color="auto" w:fill="auto"/>
            <w:vAlign w:val="center"/>
            <w:hideMark/>
          </w:tcPr>
          <w:p w14:paraId="1BAFB73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Industry</w:t>
            </w:r>
          </w:p>
        </w:tc>
      </w:tr>
      <w:tr w:rsidR="00B842AC" w14:paraId="1F7ABB16" w14:textId="77777777" w:rsidTr="00B842AC">
        <w:trPr>
          <w:trHeight w:val="686"/>
        </w:trPr>
        <w:tc>
          <w:tcPr>
            <w:tcW w:w="1805" w:type="dxa"/>
            <w:tcBorders>
              <w:top w:val="nil"/>
              <w:left w:val="nil"/>
              <w:bottom w:val="single" w:sz="4" w:space="0" w:color="808080"/>
              <w:right w:val="nil"/>
            </w:tcBorders>
            <w:vAlign w:val="center"/>
            <w:hideMark/>
          </w:tcPr>
          <w:p w14:paraId="357F4A4B" w14:textId="3D15F466"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{"citationItems":[{"id":"ITEM-1","itemData":{"author":[{"dropping-particle":"","family":"Hawkey","given":"G M","non-dropping-particle":"","parse-names":false,"suffix":""},{"dropping-particle":"","family":"Cole","given":"A T","non-dropping-particle":"","parse-names":false,"suffix":""},{"dropping-particle":"","family":"Mcintyre","given":"A S","non-dropping-particle":"","parse-names":false,"suffix":""},{"dropping-particle":"","family":"Long","given":"R G","non-dropping-particle":"","parse-names":false,"suffix":""},{"dropping-particle":"","family":"Hawkey","given":"C J","non-dropping-particle":"","parse-names":false,"suffix":""},{"dropping-particle":"","family":"Alexandra","given":"Queen","non-dropping-particle":"","parse-names":false,"suffix":""},{"dropping-particle":"","family":"Wycombe","given":"High","non-dropping-particle":"","parse-names":false,"suffix":""}],"container-title":"Gut","id":"ITEM-1","issued":{"date-parts":[["2001"]]},"note":"NULL","page":"372-379","title":"Drug treatments in upper gastrointestinal bleeding : value of endoscopic findings as surrogate end points","type":"article-journal","volume":"49"},"uris":["http://www.mendeley.com/documents/?uuid=309459d3-5adf-4547-ae78-5566b545d28f"]}],"mendeley":{"formattedCitation":"(Hawkey et al. 2001)","plainTextFormattedCitation":"(Hawkey et al. 2001)","previouslyFormattedCitation":"(Hawkey et al. 2001)"},"properties":{"noteIndex":0},"schema":"https://github.com/citation-style-language/schema/raw/master/csl-citation.json"}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(Hawkey et al. 2001)</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6F51F8E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Lansoprazole</w:t>
            </w:r>
          </w:p>
        </w:tc>
        <w:tc>
          <w:tcPr>
            <w:tcW w:w="2022" w:type="dxa"/>
            <w:tcBorders>
              <w:top w:val="nil"/>
              <w:left w:val="nil"/>
              <w:bottom w:val="single" w:sz="4" w:space="0" w:color="808080"/>
              <w:right w:val="nil"/>
            </w:tcBorders>
            <w:vAlign w:val="center"/>
            <w:hideMark/>
          </w:tcPr>
          <w:p w14:paraId="36C7D2E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 (4 groups)</w:t>
            </w:r>
          </w:p>
        </w:tc>
        <w:tc>
          <w:tcPr>
            <w:tcW w:w="2410" w:type="dxa"/>
            <w:tcBorders>
              <w:top w:val="nil"/>
              <w:left w:val="nil"/>
              <w:bottom w:val="single" w:sz="4" w:space="0" w:color="808080"/>
              <w:right w:val="nil"/>
            </w:tcBorders>
            <w:vAlign w:val="center"/>
            <w:hideMark/>
          </w:tcPr>
          <w:p w14:paraId="2AF3895E"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(unclear)</w:t>
            </w:r>
          </w:p>
        </w:tc>
        <w:tc>
          <w:tcPr>
            <w:tcW w:w="1736" w:type="dxa"/>
            <w:tcBorders>
              <w:top w:val="nil"/>
              <w:left w:val="nil"/>
              <w:bottom w:val="single" w:sz="4" w:space="0" w:color="808080"/>
              <w:right w:val="nil"/>
            </w:tcBorders>
            <w:vAlign w:val="center"/>
            <w:hideMark/>
          </w:tcPr>
          <w:p w14:paraId="5BE9A89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Personal visits by research staff</w:t>
            </w:r>
          </w:p>
        </w:tc>
        <w:tc>
          <w:tcPr>
            <w:tcW w:w="1160" w:type="dxa"/>
            <w:tcBorders>
              <w:top w:val="nil"/>
              <w:left w:val="nil"/>
              <w:bottom w:val="single" w:sz="4" w:space="0" w:color="808080"/>
              <w:right w:val="nil"/>
            </w:tcBorders>
            <w:vAlign w:val="center"/>
            <w:hideMark/>
          </w:tcPr>
          <w:p w14:paraId="2DF6D4EC"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reported</w:t>
            </w:r>
          </w:p>
        </w:tc>
        <w:tc>
          <w:tcPr>
            <w:tcW w:w="1533" w:type="dxa"/>
            <w:tcBorders>
              <w:top w:val="nil"/>
              <w:left w:val="nil"/>
              <w:bottom w:val="single" w:sz="4" w:space="0" w:color="808080"/>
              <w:right w:val="nil"/>
            </w:tcBorders>
            <w:vAlign w:val="center"/>
            <w:hideMark/>
          </w:tcPr>
          <w:p w14:paraId="7153308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Industry</w:t>
            </w:r>
          </w:p>
        </w:tc>
      </w:tr>
      <w:tr w:rsidR="003556A7" w14:paraId="1B8BF67E" w14:textId="77777777" w:rsidTr="00B842AC">
        <w:trPr>
          <w:trHeight w:val="357"/>
        </w:trPr>
        <w:tc>
          <w:tcPr>
            <w:tcW w:w="1805" w:type="dxa"/>
            <w:tcBorders>
              <w:top w:val="nil"/>
              <w:left w:val="nil"/>
              <w:bottom w:val="single" w:sz="4" w:space="0" w:color="808080"/>
              <w:right w:val="nil"/>
            </w:tcBorders>
            <w:vAlign w:val="center"/>
            <w:hideMark/>
          </w:tcPr>
          <w:p w14:paraId="42680C70" w14:textId="0628A29D" w:rsidR="003556A7" w:rsidRDefault="003556A7" w:rsidP="003556A7">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Pr>
                <w:rFonts w:ascii="Calibri" w:eastAsia="Times New Roman" w:hAnsi="Calibri" w:cs="Times New Roman"/>
                <w:color w:val="000000"/>
                <w:sz w:val="20"/>
                <w:szCs w:val="20"/>
                <w:lang w:eastAsia="en-CA"/>
              </w:rPr>
              <w:instrText>ADDIN CSL_CITATION {"citationItems":[{"id":"ITEM-1","itemData":{"ISBN":"1445-1433","ISSN":"1445-1433","abstract":"BACKGROUND: To study the effects of pantoprazole on gastric pH and recurrent bleeding after endoscopic treatment for bleeding peptic ulcers., METHODS: After endoscopic haemostasis, patients were randomly assigned to infusion group (pantoprazole 80 mg i.v. bolus followed by continuous infusion of 8 mg/h for 3 days), bolus group (pantoprazole 80 mg i.v. bolus followed by 40 mg i.v. bolus every 12 h for 3 days) and no-treatment group (no acid suppression in the first 3 days). Gastric pH was monitored. Rebleeding rate within 30 days, the need for surgery, transfusion requirement, total hospital stay, mortality rate and gastric pH were compared., RESULTS: One hundred and sixty-eight patients were included, with 15 patients excluded from the analysis. There were 54 patients in the infusion group, 49 in the bolus group and 50 in the no-treatment group. There was fewer rebleeding (3.7 vs 16.0%, P = 0.034), less operative intervention (0 vs 8.0%, P = 0.034) and shorter hospital stay (6.4 vs 8.2 days, P = 0.040) in the infusion group compared with that in no-treatment group. When the bolus group was compared with no-treatment group, there were fewer rebleed (4.1 vs 16.0%, P = 0.049) and less blood transfusion (1.5 vs 2.9 units, P = 0.007). There was no difference in mortality among the three groups. Patients who received either pantoprazole infusion or bolus had significantly higher mean pH and longer duration of pH above 6 compared with the no-treatment group. There was no difference in the rebleeding rate, transfusion requirement, need for operation and hospital stay between the infusion and bolus groups. The mean pH and the duration of pH above 6 were also similar., CONCLUSION: Pantoprazole either as infusion or bolus decreased rebleeding after endoscopic treatment for bleeding peptic ulcer.","author":[{"dropping-particle":"","family":"Hung","given":"Wai-Ka","non-dropping-particle":"","parse-names":false,"suffix":""},{"dropping-particle":"","family":"Li","given":"Vicky K M","non-dropping-particle":"","parse-names":false,"suffix":""},{"dropping-particle":"","family":"Chung","given":"Chi-Kin","non-dropping-particle":"","parse-names":false,"suffix":""},{"dropping-particle":"","family":"Ying","given":"Marcus W L","non-dropping-particle":"","parse-names":false,"suffix":""},{"dropping-particle":"","family":"Loo","given":"Ching-Kong","non-dropping-particle":"","parse-names":false,"suffix":""},{"dropping-particle":"","family":"Liu","given":"Cecilia K T","non-dropping-particle":"","parse-names":false,"suffix":""},{"dropping-particle":"","family":"Lam","given":"Billy Y K","non-dropping-particle":"","parse-names":false,"suffix":""},{"dropping-particle":"","family":"Chan","given":"Miranda C M","non-dropping-particle":"","parse-names":false,"suffix":""}],"container-title":"ANZ journal of surgery","id":"ITEM-1","issue":"8","issued":{"date-parts":[["2007"]]},"note":"921","page":"677-681","publisher":"Hung,Wai-Ka. Department of Surgery, Kwong Wah Hospital, Hong Kong, China. hwkhwk@netvigator.com","publisher-place":"W.-K. Hung, Department of Surgery, Kwong Wah Hospital, 25 Waterloo Road, Kowloon, Hong Kong. E-mail: hwkhwk@netvigator.com","title":"Randomized trial comparing pantoprazole infusion, bolus and no treatment on gastric pH and recurrent bleeding in peptic ulcers.","type":"article-journal","volume":"77"},"uris":["http://www.mendeley.com/documents/?uuid=d1047c32-d5d0-4d33-bea3-98d85922153a"]}],"mendeley":{"formattedCitation":"(Hung et al. 2007)","plainTextFormattedCitation":"(Hung et al. 2007)","previouslyFormattedCitation":"(Hung et al. 2007)"},"properties":{"noteIndex":0},"schema":"https://github.com/citation-style-language/schema/raw/master/csl-citation.json"}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(Hung et al. 2007)</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2CB20F89" w14:textId="77777777" w:rsidR="003556A7" w:rsidRDefault="003556A7" w:rsidP="003556A7">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Pantoprazole</w:t>
            </w:r>
          </w:p>
        </w:tc>
        <w:tc>
          <w:tcPr>
            <w:tcW w:w="2022" w:type="dxa"/>
            <w:tcBorders>
              <w:top w:val="nil"/>
              <w:left w:val="nil"/>
              <w:bottom w:val="single" w:sz="4" w:space="0" w:color="808080"/>
              <w:right w:val="nil"/>
            </w:tcBorders>
            <w:vAlign w:val="center"/>
            <w:hideMark/>
          </w:tcPr>
          <w:p w14:paraId="460AD55C" w14:textId="77777777" w:rsidR="003556A7" w:rsidRDefault="003556A7" w:rsidP="003556A7">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 (3 groups)</w:t>
            </w:r>
          </w:p>
        </w:tc>
        <w:tc>
          <w:tcPr>
            <w:tcW w:w="2410" w:type="dxa"/>
            <w:tcBorders>
              <w:top w:val="nil"/>
              <w:left w:val="nil"/>
              <w:bottom w:val="single" w:sz="4" w:space="0" w:color="808080"/>
              <w:right w:val="nil"/>
            </w:tcBorders>
            <w:vAlign w:val="center"/>
            <w:hideMark/>
          </w:tcPr>
          <w:p w14:paraId="28A7F50D" w14:textId="77777777" w:rsidR="003556A7" w:rsidRDefault="003556A7" w:rsidP="003556A7">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(1 month)</w:t>
            </w:r>
          </w:p>
        </w:tc>
        <w:tc>
          <w:tcPr>
            <w:tcW w:w="1736" w:type="dxa"/>
            <w:tcBorders>
              <w:top w:val="nil"/>
              <w:left w:val="nil"/>
              <w:bottom w:val="single" w:sz="4" w:space="0" w:color="808080"/>
              <w:right w:val="nil"/>
            </w:tcBorders>
            <w:vAlign w:val="center"/>
            <w:hideMark/>
          </w:tcPr>
          <w:p w14:paraId="4E70CA44" w14:textId="77777777" w:rsidR="003556A7" w:rsidRDefault="003556A7" w:rsidP="003556A7">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Monitoring of patients</w:t>
            </w:r>
          </w:p>
        </w:tc>
        <w:tc>
          <w:tcPr>
            <w:tcW w:w="1160" w:type="dxa"/>
            <w:tcBorders>
              <w:top w:val="nil"/>
              <w:left w:val="nil"/>
              <w:bottom w:val="single" w:sz="4" w:space="0" w:color="808080"/>
              <w:right w:val="nil"/>
            </w:tcBorders>
            <w:vAlign w:val="center"/>
            <w:hideMark/>
          </w:tcPr>
          <w:p w14:paraId="580C64AC" w14:textId="77777777" w:rsidR="003556A7" w:rsidRDefault="003556A7" w:rsidP="003556A7">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2002-2005</w:t>
            </w:r>
          </w:p>
        </w:tc>
        <w:tc>
          <w:tcPr>
            <w:tcW w:w="1533" w:type="dxa"/>
            <w:tcBorders>
              <w:top w:val="nil"/>
              <w:left w:val="nil"/>
              <w:bottom w:val="single" w:sz="4" w:space="0" w:color="808080"/>
              <w:right w:val="nil"/>
            </w:tcBorders>
            <w:vAlign w:val="center"/>
            <w:hideMark/>
          </w:tcPr>
          <w:p w14:paraId="6E7F0FBF" w14:textId="72DD3E0D" w:rsidR="003556A7" w:rsidRDefault="003556A7" w:rsidP="003556A7">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003C3F35" w14:textId="77777777" w:rsidTr="00B842AC">
        <w:trPr>
          <w:trHeight w:val="496"/>
        </w:trPr>
        <w:tc>
          <w:tcPr>
            <w:tcW w:w="1805" w:type="dxa"/>
            <w:tcBorders>
              <w:top w:val="nil"/>
              <w:left w:val="nil"/>
              <w:bottom w:val="single" w:sz="4" w:space="0" w:color="808080"/>
              <w:right w:val="nil"/>
            </w:tcBorders>
            <w:vAlign w:val="center"/>
            <w:hideMark/>
          </w:tcPr>
          <w:p w14:paraId="637C0D06" w14:textId="7A8ABC1D"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{"citationItems":[{"id":"ITEM-1","itemData":{"ISBN":"0002-9343","abstract":"BACKGROUND: Therapeutic endoscopy has provided a new means of treating bleeding peptic ulcers. Additional medical therapy may enhance the therapeutic benefit. Hemostasis is highly pH dependent and is severely impaired at low pH. Proton pump inhibitors, by achieving a significantly higher inhibition of gastric acidity, may improve the therapeutic outcomes after endoscopic treatment of ulcers. PATIENT AND METHODS: We enrolled 166 patients with hemorrhage from duodenal, gastric, or stomal ulcers and signs of recent hemorrhage, as confirmed by endoscopy. Twenty-six patients had ulcers with an arterial spurt, 41 patients had active ooze, 37 had a visible vessel, and 62 patients had an adherent clot. All patients received endoscopic injection sclerotherapy using 1:10,000 adrenaline and 1% polidocanol and were randomly assigned to receive omeprazole (40 mg orally) every 12 hours for 5 days or an identical-looking placebo. The outcome measures used were recurrent bleeding, surgery, blood transfusion, and hospital stay. RESULTS: Six (7%) of 82 patients in the omeprazole group had recurrent bleeding, as compared with 18 (21%) in the placebo group (P = 0.02). Two patients in the omeprazole group and 7 patients in the placebo group needed surgery to control their bleeding (P = 0.17). One patient in the omeprazole group and 2 patients in the placebo group died (P = 0.98). Twenty-nine patients (35%) in the omeprazole group and 61 patients (73%) in the placebo group received blood transfusions (P &lt; 0.001). The average hospital stay was 4.6 +/- 1.1 days in the omeprazole group and 6.0 +/- 0.7 days in the placebo group (P &lt; 0.001). CONCLUSION: The addition of oral omeprazole to combination injection sclerotherapy decreases the rate of recurrent bleeding, reduces the need for surgery and transfusion, and shortens the hospital stay for patients with stigmata of recent hemorrhage. © 2001 by Excerpta Medica, Inc.","author":[{"dropping-particle":"","family":"Javid","given":"G","non-dropping-particle":"","parse-names":false,"suffix":""},{"dropping-particle":"","family":"Masoodi","given":"I","non-dropping-particle":"","parse-names":false,"suffix":""},{"dropping-particle":"","family":"Zargar","given":"SA","non-dropping-particle":"","parse-names":false,"suffix":""},{"dropping-particle":"","family":"Khan","given":"BA","non-dropping-particle":"","parse-names":false,"suffix":""},{"dropping-particle":"","family":"Yatoo","given":"GN","non-dropping-particle":"","parse-names":false,"suffix":""},{"dropping-particle":"","family":"Shah","given":"AH","non-dropping-particle":"","parse-names":false,"suffix":""},{"dropping-particle":"","family":"Gulzar","given":"GM","non-dropping-particle":"","parse-names":false,"suffix":""},{"dropping-particle":"","family":"Sodhi","given":"JS","non-dropping-particle":"","parse-names":false,"suffix":""}],"container-title":"American Journal of Medicine","id":"ITEM-1","issue":"4","issued":{"date-parts":[["2001"]]},"note":"1166","page":"280-284","publisher":"Elsevier Inc. (360 Park Avenue South, New York NY 10010, United States)","publisher-place":"G. Javid, Gulistan Manzil Amira Kadal, Srinagar 190001, Kashmir, India","title":"Omeprazole as adjuvant therapy to endoscopic combination injection sclerotherapy for treating bleeding peptic ulcer","type":"article","volume":"111"},"uris":["http://www.mendeley.com/documents/?uuid=eb73fc71-83d6-44bb-8f5f-1232e1930e0f"]}],"mendeley":{"formattedCitation":"(Javid et al. 2001)","plainTextFormattedCitation":"(Javid et al. 2001)","previouslyFormattedCitation":"(Javid et al. 2001)"},"properties":{"noteIndex":0},"schema":"https://github.com/citation-style-language/schema/raw/master/csl-citation.json"}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(Javid et al. 2001)</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290C836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2022" w:type="dxa"/>
            <w:tcBorders>
              <w:top w:val="nil"/>
              <w:left w:val="nil"/>
              <w:bottom w:val="single" w:sz="4" w:space="0" w:color="808080"/>
              <w:right w:val="nil"/>
            </w:tcBorders>
            <w:vAlign w:val="center"/>
            <w:hideMark/>
          </w:tcPr>
          <w:p w14:paraId="601B148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w:t>
            </w:r>
          </w:p>
        </w:tc>
        <w:tc>
          <w:tcPr>
            <w:tcW w:w="2410" w:type="dxa"/>
            <w:tcBorders>
              <w:top w:val="nil"/>
              <w:left w:val="nil"/>
              <w:bottom w:val="single" w:sz="4" w:space="0" w:color="808080"/>
              <w:right w:val="nil"/>
            </w:tcBorders>
            <w:vAlign w:val="center"/>
            <w:hideMark/>
          </w:tcPr>
          <w:p w14:paraId="09EEC19B"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(not clear)</w:t>
            </w:r>
          </w:p>
        </w:tc>
        <w:tc>
          <w:tcPr>
            <w:tcW w:w="1736" w:type="dxa"/>
            <w:tcBorders>
              <w:top w:val="nil"/>
              <w:left w:val="nil"/>
              <w:bottom w:val="single" w:sz="4" w:space="0" w:color="808080"/>
              <w:right w:val="nil"/>
            </w:tcBorders>
            <w:vAlign w:val="center"/>
            <w:hideMark/>
          </w:tcPr>
          <w:p w14:paraId="27860CE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Not clear </w:t>
            </w:r>
          </w:p>
        </w:tc>
        <w:tc>
          <w:tcPr>
            <w:tcW w:w="1160" w:type="dxa"/>
            <w:tcBorders>
              <w:top w:val="nil"/>
              <w:left w:val="nil"/>
              <w:bottom w:val="single" w:sz="4" w:space="0" w:color="808080"/>
              <w:right w:val="nil"/>
            </w:tcBorders>
            <w:vAlign w:val="center"/>
            <w:hideMark/>
          </w:tcPr>
          <w:p w14:paraId="5CA90F12"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1996-1999</w:t>
            </w:r>
          </w:p>
        </w:tc>
        <w:tc>
          <w:tcPr>
            <w:tcW w:w="1533" w:type="dxa"/>
            <w:tcBorders>
              <w:top w:val="nil"/>
              <w:left w:val="nil"/>
              <w:bottom w:val="single" w:sz="4" w:space="0" w:color="808080"/>
              <w:right w:val="nil"/>
            </w:tcBorders>
            <w:vAlign w:val="center"/>
            <w:hideMark/>
          </w:tcPr>
          <w:p w14:paraId="5CB3FEA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52AAD052" w14:textId="77777777" w:rsidTr="00B842AC">
        <w:trPr>
          <w:trHeight w:val="467"/>
        </w:trPr>
        <w:tc>
          <w:tcPr>
            <w:tcW w:w="1805" w:type="dxa"/>
            <w:tcBorders>
              <w:top w:val="nil"/>
              <w:left w:val="nil"/>
              <w:bottom w:val="single" w:sz="4" w:space="0" w:color="808080"/>
              <w:right w:val="nil"/>
            </w:tcBorders>
            <w:vAlign w:val="center"/>
            <w:hideMark/>
          </w:tcPr>
          <w:p w14:paraId="22518A21" w14:textId="3087C87B"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lastRenderedPageBreak/>
              <w:fldChar w:fldCharType="begin" w:fldLock="1"/>
            </w:r>
            <w:r w:rsidR="00D325C7">
              <w:rPr>
                <w:rFonts w:ascii="Calibri" w:eastAsia="Times New Roman" w:hAnsi="Calibri" w:cs="Times New Roman"/>
                <w:color w:val="000000"/>
                <w:sz w:val="20"/>
                <w:szCs w:val="20"/>
                <w:lang w:eastAsia="en-CA"/>
              </w:rPr>
              <w:instrText>ADDIN CSL_CITATION {"citationItems":[{"id":"ITEM-1","itemData":{"ISBN":"0172-6390","ISSN":"0172-6390","abstract":"BACKGROUND/AIMS: Critically ill patients especially who require mechanical ventilation or have coagulopathy are at increased risk for stress-related gastrointestinal hemorrhage. There are conflicting data on the efficacy and complication rates of various prophylactic regimens., METHODOLOGY: Our single-center randomized, placebo-controlled study included 287 patients with high risk for stress-related upper gastrointestinal hemorrhage (&gt;48 h mechanical ventilation, coagulopathy). We compared 3 prophylactic regimens (proton pump inhibitor--omeprazole 40 mg i.v. once daily, n=72; H2 antagonists--famotidine 40 mg twice a day, n=71; and sucralfate 1 g every 6 hours, n=69) with placebo (n=75) in patients with trauma or after major surgery., RESULTS: Of 287 assessable patients, clinically significant stress-related upper gastrointestinal bleeding was observed in 1%, 3%, 4%, and 1% of patients assigned to receive omeprazole, famotidine, sucralfate, and placebo, respectively (p&gt;0.28). Bleeding developed significantly more often in patients with coagulopathy compared with the others (10% vs. 2%; p=0.006). The gastric pH (p&gt;0.001) and gastric colonization (p&lt;0.05) was significantly higher in the patients who received pH increasing substances when compared with the other 2 groups. Nosocomial pneumonia occurred in 11% of patients receiving omeprazole, in 10% of famotidine patients, in 9% of sucralfate patients and in 7% of controls (p&gt;0.34). No statistically significant differences were found for days on ventilator, length of ICU stay, or mortality among all the 4 groups., CONCLUSIONS: We could not show that omeprazole, famotidine, or sucralfate prophylaxis can affect already very low incidence of clinically important stress-related bleeding in high-risk surgical intensive care unit patients. Furthermore, our data suggested that especially gastric pH increasing medication could increase the risk for nosocomial pneumonia. Routine prophylaxis for stress-related bleeding even in high-risk patients seems not to be justified.","author":[{"dropping-particle":"","family":"Kantorova","given":"Ilona","non-dropping-particle":"","parse-names":false,"suffix":""},{"dropping-particle":"","family":"Svoboda","given":"Petr","non-dropping-particle":"","parse-names":false,"suffix":""},{"dropping-particle":"","family":"Scheer","given":"Peter","non-dropping-particle":"","parse-names":false,"suffix":""},{"dropping-particle":"","family":"Doubek","given":"Jaroslav","non-dropping-particle":"","parse-names":false,"suffix":""},{"dropping-particle":"","family":"Rehorkova","given":"Dagmar","non-dropping-particle":"","parse-names":false,"suffix":""},{"dropping-particle":"","family":"Bosakova","given":"Hana","non-dropping-particle":"","parse-names":false,"suffix":""},{"dropping-particle":"","family":"Ochmann","given":"Jiri","non-dropping-particle":"","parse-names":false,"suffix":""}],"container-title":"Hepato-gastroenterology","id":"ITEM-1","issue":"57","issued":{"date-parts":[["2004"]]},"note":"1078 cant find","page":"757-761","publisher":"H.G.E. Update Medical Publishing Ltd.","publisher-place":"P. Svoboda, Ponavka 6, 662 50 Brno, Czech Republic. E-mail: p.svoboda@unbr.cz","title":"Stress ulcer prophylaxis in critically ill patients: a randomized controlled trial.","type":"article-journal","volume":"51"},"uris":["http://www.mendeley.com/documents/?uuid=e0bd9e57-4dd5-4c21-887f-b3250ee32b89"]}],"mendeley":{"formattedCitation":"(Kantorova et al. 2004)","plainTextFormattedCitation":"(Kantorova et al. 2004)","previouslyFormattedCitation":"(Kantorova et al. 2004)"},"properties":{"noteIndex":0},"schema":"https://github.com/citation-style-language/schema/raw/master/csl-citation.json"}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(Kantorova et al. 2004)</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2D2CDE7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2022" w:type="dxa"/>
            <w:tcBorders>
              <w:top w:val="nil"/>
              <w:left w:val="nil"/>
              <w:bottom w:val="single" w:sz="4" w:space="0" w:color="808080"/>
              <w:right w:val="nil"/>
            </w:tcBorders>
            <w:vAlign w:val="center"/>
            <w:hideMark/>
          </w:tcPr>
          <w:p w14:paraId="2D5F789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w:t>
            </w:r>
          </w:p>
        </w:tc>
        <w:tc>
          <w:tcPr>
            <w:tcW w:w="2410" w:type="dxa"/>
            <w:tcBorders>
              <w:top w:val="nil"/>
              <w:left w:val="nil"/>
              <w:bottom w:val="single" w:sz="4" w:space="0" w:color="808080"/>
              <w:right w:val="nil"/>
            </w:tcBorders>
            <w:vAlign w:val="center"/>
            <w:hideMark/>
          </w:tcPr>
          <w:p w14:paraId="42A1E7E9"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(in hospital)</w:t>
            </w:r>
          </w:p>
        </w:tc>
        <w:tc>
          <w:tcPr>
            <w:tcW w:w="1736" w:type="dxa"/>
            <w:tcBorders>
              <w:top w:val="nil"/>
              <w:left w:val="nil"/>
              <w:bottom w:val="single" w:sz="4" w:space="0" w:color="808080"/>
              <w:right w:val="nil"/>
            </w:tcBorders>
            <w:vAlign w:val="center"/>
            <w:hideMark/>
          </w:tcPr>
          <w:p w14:paraId="584AB22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160" w:type="dxa"/>
            <w:tcBorders>
              <w:top w:val="nil"/>
              <w:left w:val="nil"/>
              <w:bottom w:val="single" w:sz="4" w:space="0" w:color="808080"/>
              <w:right w:val="nil"/>
            </w:tcBorders>
            <w:vAlign w:val="center"/>
            <w:hideMark/>
          </w:tcPr>
          <w:p w14:paraId="44A27510"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2000-2002</w:t>
            </w:r>
          </w:p>
        </w:tc>
        <w:tc>
          <w:tcPr>
            <w:tcW w:w="1533" w:type="dxa"/>
            <w:tcBorders>
              <w:top w:val="nil"/>
              <w:left w:val="nil"/>
              <w:bottom w:val="single" w:sz="4" w:space="0" w:color="808080"/>
              <w:right w:val="nil"/>
            </w:tcBorders>
            <w:vAlign w:val="center"/>
            <w:hideMark/>
          </w:tcPr>
          <w:p w14:paraId="2771C54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2E819995" w14:textId="77777777" w:rsidTr="00B842AC">
        <w:trPr>
          <w:trHeight w:val="215"/>
        </w:trPr>
        <w:tc>
          <w:tcPr>
            <w:tcW w:w="1805" w:type="dxa"/>
            <w:tcBorders>
              <w:top w:val="nil"/>
              <w:left w:val="nil"/>
              <w:bottom w:val="single" w:sz="4" w:space="0" w:color="808080"/>
              <w:right w:val="nil"/>
            </w:tcBorders>
            <w:vAlign w:val="center"/>
            <w:hideMark/>
          </w:tcPr>
          <w:p w14:paraId="7E06C036" w14:textId="669B06E3"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{"citationItems":[{"id":"ITEM-1","itemData":{"ISBN":"0269-2813","abstract":"Background: Endoscopic therapies and continuous intravenous omeprazole can decrease the morbidity and duration of hospital stay of patients with high-risk peptic ulcer. Aim: To evaluate the role of oral omeprazole in high-risk bleeders. Methods: After injection therapy of 160 patients with high-risk peptic ulcer, 80 received oral omeprazole and 80 received placebo, and all were followed up. Results: One hundred and forty-nine patients (71 omeprazole and 78 placebo) completed the study. Eleven patients were excluded from the study. Thirty-seven (25%) patients had gastric ulcer and 112 (75%) had duodenal ulcer. Fifty-seven (38%) ulcers showed visible vessels, 80 (54%) showed oozing of blood and 12 (8%) showed a spurting artery. Only one patient died (placebo group). The mean hospital stays were 62.8 +/- 28.6 h and 75 +/- 39 h in the omeprazole and placebo groups, respectively (P = 0.032). The mean amounts of blood transfused were 1.13 +/- 1.36 and 1.68 +/- 1.68 bags in the omeprazole and placebo groups, respectively (P = 0.029). The re-bleeding rate was lower in the omeprazole group than in the placebo group (12 vs. 26, respectively; P = 0.022). Conclusion: Oral omeprazole is effective in decreasing the hospital stay, re-bleeding rate and the need for blood transfusion in high-risk ulcer bleeders treated with endoscopic injection therapy.","author":[{"dropping-particle":"","family":"Kaviani","given":"MJ","non-dropping-particle":"","parse-names":false,"suffix":""},{"dropping-particle":"","family":"Hashemi","given":"MR","non-dropping-particle":"","parse-names":false,"suffix":""},{"dropping-particle":"","family":"Kazemifar","given":"AR","non-dropping-particle":"","parse-names":false,"suffix":""},{"dropping-particle":"","family":"Roozitalab","given":"S","non-dropping-particle":"","parse-names":false,"suffix":""},{"dropping-particle":"","family":"Mostaghni","given":"AA","non-dropping-particle":"","parse-names":false,"suffix":""},{"dropping-particle":"","family":"Merat","given":"S","non-dropping-particle":"","parse-names":false,"suffix":""},{"dropping-particle":"","family":"Alizadeh-Naini","given":"M","non-dropping-particle":"","parse-names":false,"suffix":""},{"dropping-particle":"","family":"Yarmohammadi","given":"H","non-dropping-particle":"","parse-names":false,"suffix":""}],"container-title":"Alimentary Pharmacology and Therapeutics","id":"ITEM-1","issue":"2","issued":{"date-parts":[["2003"]]},"note":"1110","page":"211-216","publisher":"Blackwell Publishing Ltd.","publisher-place":"M.J. Kaviani, Gastroenterohepatology Res. Center, Nemazee Hospital, Shiraz Univ. of Medical Sciences, P.O. Box 71935-1311, Shiraz, Iran, Islamic Republic of. E-mail: kavianim@sums.ac.ir","title":"Effect of oral omeprazole in reducing re-bleeding in bleeding peptic ulcers: A prospective, double-blind, randomized, clinical trial","type":"article","volume":"17"},"uris":["http://www.mendeley.com/documents/?uuid=08041c5b-4259-407d-ad7e-fa84bbb97638"]}],"mendeley":{"formattedCitation":"(Kaviani et al. 2003)","plainTextFormattedCitation":"(Kaviani et al. 2003)","previouslyFormattedCitation":"(Kaviani et al. 2003)"},"properties":{"noteIndex":0},"schema":"https://github.com/citation-style-language/schema/raw/master/csl-citation.json"}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(Kaviani et al. 2003)</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6408E36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2022" w:type="dxa"/>
            <w:tcBorders>
              <w:top w:val="nil"/>
              <w:left w:val="nil"/>
              <w:bottom w:val="single" w:sz="4" w:space="0" w:color="808080"/>
              <w:right w:val="nil"/>
            </w:tcBorders>
            <w:vAlign w:val="center"/>
            <w:hideMark/>
          </w:tcPr>
          <w:p w14:paraId="4409F11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w:t>
            </w:r>
          </w:p>
        </w:tc>
        <w:tc>
          <w:tcPr>
            <w:tcW w:w="2410" w:type="dxa"/>
            <w:tcBorders>
              <w:top w:val="nil"/>
              <w:left w:val="nil"/>
              <w:bottom w:val="single" w:sz="4" w:space="0" w:color="808080"/>
              <w:right w:val="nil"/>
            </w:tcBorders>
            <w:vAlign w:val="center"/>
            <w:hideMark/>
          </w:tcPr>
          <w:p w14:paraId="4C71E78D"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(3 weeks)</w:t>
            </w:r>
          </w:p>
        </w:tc>
        <w:tc>
          <w:tcPr>
            <w:tcW w:w="1736" w:type="dxa"/>
            <w:tcBorders>
              <w:top w:val="nil"/>
              <w:left w:val="nil"/>
              <w:bottom w:val="single" w:sz="4" w:space="0" w:color="808080"/>
              <w:right w:val="nil"/>
            </w:tcBorders>
            <w:vAlign w:val="center"/>
            <w:hideMark/>
          </w:tcPr>
          <w:p w14:paraId="48CCE5E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160" w:type="dxa"/>
            <w:tcBorders>
              <w:top w:val="nil"/>
              <w:left w:val="nil"/>
              <w:bottom w:val="single" w:sz="4" w:space="0" w:color="808080"/>
              <w:right w:val="nil"/>
            </w:tcBorders>
            <w:vAlign w:val="center"/>
            <w:hideMark/>
          </w:tcPr>
          <w:p w14:paraId="779D05BD"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1999-2000</w:t>
            </w:r>
          </w:p>
        </w:tc>
        <w:tc>
          <w:tcPr>
            <w:tcW w:w="1533" w:type="dxa"/>
            <w:tcBorders>
              <w:top w:val="nil"/>
              <w:left w:val="nil"/>
              <w:bottom w:val="single" w:sz="4" w:space="0" w:color="808080"/>
              <w:right w:val="nil"/>
            </w:tcBorders>
            <w:vAlign w:val="center"/>
            <w:hideMark/>
          </w:tcPr>
          <w:p w14:paraId="5DF22BA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218C06D4" w14:textId="77777777" w:rsidTr="00B842AC">
        <w:trPr>
          <w:trHeight w:val="369"/>
        </w:trPr>
        <w:tc>
          <w:tcPr>
            <w:tcW w:w="1805" w:type="dxa"/>
            <w:tcBorders>
              <w:top w:val="nil"/>
              <w:left w:val="nil"/>
              <w:bottom w:val="single" w:sz="4" w:space="0" w:color="808080"/>
              <w:right w:val="nil"/>
            </w:tcBorders>
            <w:vAlign w:val="center"/>
            <w:hideMark/>
          </w:tcPr>
          <w:p w14:paraId="3CEDC2E5" w14:textId="0DC57040"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{"citationItems":[{"id":"ITEM-1","itemData":{"ISBN":"0028-4793","ISSN":"0028-4793","abstract":"Background: The role of medical treatment for patients with bleeding peptic ulcers is uncertain. Methods: We conducted a double-blind, placebo- controlled trial in 220 patients with duodenal, gastric, or stomal ulcers and signs of recent bleeding, as confirmed by endoscopy. In 26 patients the ulcers showed arterial spurting, in 34 there was active oozing, in 35 there were nonbleeding, visible vessels, and in 125 there were adherent clots. The patients were randomly assigned to receive omeprazole (40 mg given orally every 12 hours for five days) or placebo. The outcome measures studied were further bleeding, surgery, and death. Results: Twelve of the 110 patients treated with omeprazole (10.9 percent) had continued bleeding or further bleeding, as compared with 40 of the 110 patients who received placebo (36.4 percent) (P&lt;0.001). Eight patients in the omeprazole group and 26 in the placebo group required surgery to control their bleeding (P&lt;0.001). Two patients in the omeprazole group and six in the placebo group died. Thirty- two patients in the omeprazole group (29.1 percent) and 78 in the placebo group (70.9 percent) received transfusions (P&lt;0.001). A subgroup analysis showed that omeprazole was associated with significant reductions in recurrent bleeding and surgery in patients with nonbleeding, visible vessels or adherent clots, but not in these with arterial spurting or oozing. Conclusions: In patients with bleeding peptic ulcers and signs of recent bleeding, treatment with omeprazole decreases the rate of further bleeding and the need for surgery.","author":[{"dropping-particle":"","family":"Khuroo","given":"M S","non-dropping-particle":"","parse-names":false,"suffix":""},{"dropping-particle":"","family":"Yattoo","given":"G N","non-dropping-particle":"","parse-names":false,"suffix":""},{"dropping-particle":"","family":"Javid","given":"G","non-dropping-particle":"","parse-names":false,"suffix":""},{"dropping-particle":"","family":"Khan","given":"B A","non-dropping-particle":"","parse-names":false,"suffix":""},{"dropping-particle":"","family":"Shah","given":"A A","non-dropping-particle":"","parse-names":false,"suffix":""},{"dropping-particle":"","family":"Gulzar","given":"G M","non-dropping-particle":"","parse-names":false,"suffix":""},{"dropping-particle":"","family":"Sodi","given":"J S","non-dropping-particle":"","parse-names":false,"suffix":""}],"container-title":"New England Journal of Medicine","id":"ITEM-1","issue":"15","issued":{"date-parts":[["1997"]]},"note":"From Duplicate 2 (A comparison of omeprazole and placebo for bleeding peptic ulcer. - Khuroo, M S; Yattoo, G N; Javid, G; Khan, B A; Shah, A A; Gulzar, G M; Sodi, J S)\n\nComment in: N Engl J Med. 1997 Apr 10;336(15):1091-3; PMID: 9091808","page":"1054-1058","publisher":"Khuroo,M S. Department of Gastroenterology, Sheri Kashmir Institute of Medical Sciences, Soura, Srinagar, Kashmir, India.","publisher-place":"UNITED STATES","title":"A comparison of omeprazole and placebo for bleeding peptic ulcer.","type":"article-journal","volume":"336"},"uris":["http://www.mendeley.com/documents/?uuid=58d39780-3ea0-470b-a6fa-3f5ced1943c9"]}],"mendeley":{"formattedCitation":"(Khuroo et al. 1997)","plainTextFormattedCitation":"(Khuroo et al. 1997)","previouslyFormattedCitation":"(Khuroo et al. 1997)"},"properties":{"noteIndex":0},"schema":"https://github.com/citation-style-language/schema/raw/master/csl-citation.json"}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(Khuroo et al. 1997)</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085A95E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2022" w:type="dxa"/>
            <w:tcBorders>
              <w:top w:val="nil"/>
              <w:left w:val="nil"/>
              <w:bottom w:val="single" w:sz="4" w:space="0" w:color="808080"/>
              <w:right w:val="nil"/>
            </w:tcBorders>
            <w:vAlign w:val="center"/>
            <w:hideMark/>
          </w:tcPr>
          <w:p w14:paraId="16354FB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w:t>
            </w:r>
          </w:p>
        </w:tc>
        <w:tc>
          <w:tcPr>
            <w:tcW w:w="2410" w:type="dxa"/>
            <w:tcBorders>
              <w:top w:val="nil"/>
              <w:left w:val="nil"/>
              <w:bottom w:val="single" w:sz="4" w:space="0" w:color="808080"/>
              <w:right w:val="nil"/>
            </w:tcBorders>
            <w:vAlign w:val="center"/>
            <w:hideMark/>
          </w:tcPr>
          <w:p w14:paraId="163F7A3E"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(1 month)</w:t>
            </w:r>
            <w:r w:rsidRPr="002F2A9F">
              <w:rPr>
                <w:rFonts w:ascii="Calibri" w:eastAsia="Times New Roman" w:hAnsi="Calibri" w:cs="Times New Roman"/>
                <w:color w:val="000000"/>
                <w:sz w:val="20"/>
                <w:szCs w:val="20"/>
                <w:vertAlign w:val="superscript"/>
                <w:lang w:eastAsia="en-CA"/>
              </w:rPr>
              <w:t>1</w:t>
            </w:r>
          </w:p>
        </w:tc>
        <w:tc>
          <w:tcPr>
            <w:tcW w:w="1736" w:type="dxa"/>
            <w:tcBorders>
              <w:top w:val="nil"/>
              <w:left w:val="nil"/>
              <w:bottom w:val="single" w:sz="4" w:space="0" w:color="808080"/>
              <w:right w:val="nil"/>
            </w:tcBorders>
            <w:vAlign w:val="center"/>
            <w:hideMark/>
          </w:tcPr>
          <w:p w14:paraId="1C416BC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160" w:type="dxa"/>
            <w:tcBorders>
              <w:top w:val="nil"/>
              <w:left w:val="nil"/>
              <w:bottom w:val="single" w:sz="4" w:space="0" w:color="808080"/>
              <w:right w:val="nil"/>
            </w:tcBorders>
            <w:vAlign w:val="center"/>
            <w:hideMark/>
          </w:tcPr>
          <w:p w14:paraId="14D151B2"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1992-1994</w:t>
            </w:r>
          </w:p>
        </w:tc>
        <w:tc>
          <w:tcPr>
            <w:tcW w:w="1533" w:type="dxa"/>
            <w:tcBorders>
              <w:top w:val="nil"/>
              <w:left w:val="nil"/>
              <w:bottom w:val="single" w:sz="4" w:space="0" w:color="808080"/>
              <w:right w:val="nil"/>
            </w:tcBorders>
            <w:vAlign w:val="center"/>
            <w:hideMark/>
          </w:tcPr>
          <w:p w14:paraId="3D37D24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11470C01" w14:textId="77777777" w:rsidTr="00B842AC">
        <w:trPr>
          <w:trHeight w:val="324"/>
        </w:trPr>
        <w:tc>
          <w:tcPr>
            <w:tcW w:w="1805" w:type="dxa"/>
            <w:tcBorders>
              <w:top w:val="nil"/>
              <w:left w:val="nil"/>
              <w:bottom w:val="single" w:sz="4" w:space="0" w:color="808080"/>
              <w:right w:val="nil"/>
            </w:tcBorders>
            <w:vAlign w:val="center"/>
            <w:hideMark/>
          </w:tcPr>
          <w:p w14:paraId="13EEBC99" w14:textId="1DE4A8D5"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{"citationItems":[{"id":"ITEM-1","itemData":{"ISBN":"0741-238X","ISSN":"1865-8652","abstract":"INTRODUCTION: Efficacy of a continuous high-dose intravenous infusion of esomeprazole, followed by an oral regimen after successful endoscopic therapy for peptic ulcer bleeding (PUB) was established in the PUB study (ClinicalTrials. gov identifier: NCT00251979). Mortality rates and detailed safety and tolerability results from this study are reported here., METHODS: This was a double-blind, randomized study in patients &gt;18 years with overt signs of upper gastrointestinal bleeding, following endoscopic diagnosis of a single gastric or duodenal ulcer (&gt;5 mm) with stigmata indicating current/ recent bleeding (Forrest class Ia, Ib, IIa, or IIb). Postendoscopic hemostasis, patients received intravenous esomeprazole (80 mg/30 minutes, then 8 mg/hour for 71.5 hours) or placebo. Postinfusion, all patients received open-label oral esomeprazole 40 mg once daily for 27 days. Mortality rates were analyzed using Fisher's exact test; other safety variables were analyzed descriptively., RESULTS: A total of 767 patients were randomized; 764 comprised the safety analysis set (375 patients received esomeprazole, 389 placebo). Baseline characteristics were similar across the two treatment groups. Three deaths from the esomeprazole treatment group and eight from the placebo group occurred during the trial (0.8% versus 2.1%; P=0.22). From these 11 all-cause deaths, one (esomeprazole group; rebleeding from duodenal ulcer) occurred during the 72-hour intravenous treatment phase. Adverse event (AE) frequency was similar for the two groups over the intravenous treatment phase (esomeprazole, 39.2%; placebo, 41.9%), with gastrointestinal disorders being most commonly reported (12.3% and 19.8%, respectively). Serious AEs were mostly related to bleeding events. Infusion-site reactions (mild, transient) were reported in 4.3% of esomeprazole-treated patients versus 0.5% of placebo patients. These did not lead to treatment discontinuation., CONCLUSION: Esomeprazole, given as a continuous high-dose intravenous infusion followed by an oral regimen after successful endoscopic therapy for PUB, was well tolerated, with no apparent safety concerns from either the high-dose intravenous treatment or oral phases.","author":[{"dropping-particle":"","family":"Kuipers","given":"Ernst J","non-dropping-particle":"","parse-names":false,"suffix":""},{"dropping-particle":"","family":"Sung","given":"Joseph J Y","non-dropping-particle":"","parse-names":false,"suffix":""},{"dropping-particle":"","family":"Barkun","given":"Alan","non-dropping-particle":"","parse-names":false,"suffix":""},{"dropping-particle":"","family":"Mossner","given":"Joachim","non-dropping-particle":"","parse-names":false,"suffix":""},{"dropping-particle":"","family":"Jensen","given":"Dennis","non-dropping-particle":"","parse-names":false,"suffix":""},{"dropping-particle":"","family":"Stuart","given":"Robert","non-dropping-particle":"","parse-names":false,"suffix":""},{"dropping-particle":"","family":"Lau","given":"James Y W","non-dropping-particle":"","parse-names":false,"suffix":""},{"dropping-particle":"","family":"Ahlbom","given":"Henrik","non-dropping-particle":"","parse-names":false,"suffix":""},{"dropping-particle":"","family":"Lind","given":"Tore","non-dropping-particle":"","parse-names":false,"suffix":""},{"dropping-particle":"","family":"Kilhamn","given":"Jan","non-dropping-particle":"","parse-names":false,"suffix":""}],"container-title":"Advances in therapy","id":"ITEM-1","issue":"2","issued":{"date-parts":[["2011"]]},"note":"585","page":"150-159","publisher":"Kuipers,Ernst J. Department of Gastroenterology, Erasmus MC University Medical Center, Rotterdam, The Netherlands. e.j.kuipers@erasmusmc.nl","publisher-place":"E. J. Kuipers, Departments of Gastroenterology and Hepatology, and Internal Medicine, Erasmus MC University, Medical Center, 's-Gravendijkwal 230, Rotterdam 3015 CE, Netherlands. E-mail: e.j.kuipers@erasmusmc.nl","title":"Safety and tolerability of high-dose intravenous esomeprazole for prevention of peptic ulcer rebleeding.","type":"article-journal","volume":"28"},"uris":["http://www.mendeley.com/documents/?uuid=3a02a126-4af9-44c1-b5d0-7a03e1458af0"]}],"mendeley":{"formattedCitation":"(Kuipers et al. 2011)","plainTextFormattedCitation":"(Kuipers et al. 2011)","previouslyFormattedCitation":"(Kuipers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(Kuipers et al. 2011)</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48C5FB4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Esomeprazole</w:t>
            </w:r>
          </w:p>
        </w:tc>
        <w:tc>
          <w:tcPr>
            <w:tcW w:w="2022" w:type="dxa"/>
            <w:tcBorders>
              <w:top w:val="nil"/>
              <w:left w:val="nil"/>
              <w:bottom w:val="single" w:sz="4" w:space="0" w:color="808080"/>
              <w:right w:val="nil"/>
            </w:tcBorders>
            <w:vAlign w:val="center"/>
            <w:hideMark/>
          </w:tcPr>
          <w:p w14:paraId="6E46518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w:t>
            </w:r>
          </w:p>
        </w:tc>
        <w:tc>
          <w:tcPr>
            <w:tcW w:w="2410" w:type="dxa"/>
            <w:tcBorders>
              <w:top w:val="nil"/>
              <w:left w:val="nil"/>
              <w:bottom w:val="single" w:sz="4" w:space="0" w:color="808080"/>
              <w:right w:val="nil"/>
            </w:tcBorders>
            <w:vAlign w:val="center"/>
            <w:hideMark/>
          </w:tcPr>
          <w:p w14:paraId="1AB357E1"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(up to 1 month)</w:t>
            </w:r>
          </w:p>
        </w:tc>
        <w:tc>
          <w:tcPr>
            <w:tcW w:w="1736" w:type="dxa"/>
            <w:tcBorders>
              <w:top w:val="nil"/>
              <w:left w:val="nil"/>
              <w:bottom w:val="single" w:sz="4" w:space="0" w:color="808080"/>
              <w:right w:val="nil"/>
            </w:tcBorders>
            <w:vAlign w:val="center"/>
            <w:hideMark/>
          </w:tcPr>
          <w:p w14:paraId="6D3F1B7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At each center</w:t>
            </w:r>
          </w:p>
        </w:tc>
        <w:tc>
          <w:tcPr>
            <w:tcW w:w="1160" w:type="dxa"/>
            <w:tcBorders>
              <w:top w:val="nil"/>
              <w:left w:val="nil"/>
              <w:bottom w:val="single" w:sz="4" w:space="0" w:color="808080"/>
              <w:right w:val="nil"/>
            </w:tcBorders>
            <w:vAlign w:val="center"/>
            <w:hideMark/>
          </w:tcPr>
          <w:p w14:paraId="290E98ED"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2005-2007</w:t>
            </w:r>
          </w:p>
        </w:tc>
        <w:tc>
          <w:tcPr>
            <w:tcW w:w="1533" w:type="dxa"/>
            <w:tcBorders>
              <w:top w:val="nil"/>
              <w:left w:val="nil"/>
              <w:bottom w:val="single" w:sz="4" w:space="0" w:color="808080"/>
              <w:right w:val="nil"/>
            </w:tcBorders>
            <w:vAlign w:val="center"/>
            <w:hideMark/>
          </w:tcPr>
          <w:p w14:paraId="300D822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Industry</w:t>
            </w:r>
          </w:p>
        </w:tc>
      </w:tr>
      <w:tr w:rsidR="00B842AC" w14:paraId="106C2D6F" w14:textId="77777777" w:rsidTr="00B842AC">
        <w:trPr>
          <w:trHeight w:val="279"/>
        </w:trPr>
        <w:tc>
          <w:tcPr>
            <w:tcW w:w="1805" w:type="dxa"/>
            <w:tcBorders>
              <w:top w:val="nil"/>
              <w:left w:val="nil"/>
              <w:bottom w:val="single" w:sz="4" w:space="0" w:color="808080"/>
              <w:right w:val="nil"/>
            </w:tcBorders>
            <w:vAlign w:val="center"/>
            <w:hideMark/>
          </w:tcPr>
          <w:p w14:paraId="6DA4432C" w14:textId="1F2413DA"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{"citationItems":[{"id":"ITEM-1","itemData":{"author":[{"dropping-particle":"","family":"Lau","given":"J Y","non-dropping-particle":"","parse-names":false,"suffix":""},{"dropping-particle":"","family":"Sung","given":"Joseph J Y","non-dropping-particle":"","parse-names":false,"suffix":""},{"dropping-particle":"","family":"Lee","given":"Kenneth K C","non-dropping-particle":"","parse-names":false,"suffix":""},{"dropping-particle":"","family":"Yung","given":"M Y","non-dropping-particle":"","parse-names":false,"suffix":""},{"dropping-particle":"","family":"Wong","given":"S K H","non-dropping-particle":"","parse-names":false,"suffix":""}],"container-title":"New England Journal of Medicine","id":"ITEM-1","issue":"5","issued":{"date-parts":[["2000"]]},"note":"NULL","page":"310-316","title":"Effect of intravenous omeprazole on recurrent bleeding after endoscopic treatment of bleeding peptic ulcers.","type":"article-journal","volume":"343"},"uris":["http://www.mendeley.com/documents/?uuid=4bb2f3db-b876-40c7-bfbf-31f9f02913a7"]}],"mendeley":{"formattedCitation":"(Lau et al. 2000)","plainTextFormattedCitation":"(Lau et al. 2000)","previouslyFormattedCitation":"(Lau et al. 2000)"},"properties":{"noteIndex":0},"schema":"https://github.com/citation-style-language/schema/raw/master/csl-citation.json"}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(Lau et al. 2000)</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51B1F3C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2022" w:type="dxa"/>
            <w:tcBorders>
              <w:top w:val="nil"/>
              <w:left w:val="nil"/>
              <w:bottom w:val="single" w:sz="4" w:space="0" w:color="808080"/>
              <w:right w:val="nil"/>
            </w:tcBorders>
            <w:vAlign w:val="center"/>
            <w:hideMark/>
          </w:tcPr>
          <w:p w14:paraId="32E12E3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w:t>
            </w:r>
          </w:p>
        </w:tc>
        <w:tc>
          <w:tcPr>
            <w:tcW w:w="2410" w:type="dxa"/>
            <w:tcBorders>
              <w:top w:val="nil"/>
              <w:left w:val="nil"/>
              <w:bottom w:val="single" w:sz="4" w:space="0" w:color="808080"/>
              <w:right w:val="nil"/>
            </w:tcBorders>
            <w:vAlign w:val="center"/>
            <w:hideMark/>
          </w:tcPr>
          <w:p w14:paraId="03B704E5"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(1 month)</w:t>
            </w:r>
          </w:p>
        </w:tc>
        <w:tc>
          <w:tcPr>
            <w:tcW w:w="1736" w:type="dxa"/>
            <w:tcBorders>
              <w:top w:val="nil"/>
              <w:left w:val="nil"/>
              <w:bottom w:val="single" w:sz="4" w:space="0" w:color="808080"/>
              <w:right w:val="nil"/>
            </w:tcBorders>
            <w:vAlign w:val="center"/>
            <w:hideMark/>
          </w:tcPr>
          <w:p w14:paraId="1F4383E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Monitoring of patients</w:t>
            </w:r>
          </w:p>
        </w:tc>
        <w:tc>
          <w:tcPr>
            <w:tcW w:w="1160" w:type="dxa"/>
            <w:tcBorders>
              <w:top w:val="nil"/>
              <w:left w:val="nil"/>
              <w:bottom w:val="single" w:sz="4" w:space="0" w:color="808080"/>
              <w:right w:val="nil"/>
            </w:tcBorders>
            <w:vAlign w:val="center"/>
            <w:hideMark/>
          </w:tcPr>
          <w:p w14:paraId="7C283664"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1998-1999</w:t>
            </w:r>
          </w:p>
        </w:tc>
        <w:tc>
          <w:tcPr>
            <w:tcW w:w="1533" w:type="dxa"/>
            <w:tcBorders>
              <w:top w:val="nil"/>
              <w:left w:val="nil"/>
              <w:bottom w:val="single" w:sz="4" w:space="0" w:color="808080"/>
              <w:right w:val="nil"/>
            </w:tcBorders>
            <w:vAlign w:val="center"/>
            <w:hideMark/>
          </w:tcPr>
          <w:p w14:paraId="2DBB95B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3648243C" w14:textId="77777777" w:rsidTr="00B842AC">
        <w:trPr>
          <w:trHeight w:val="563"/>
        </w:trPr>
        <w:tc>
          <w:tcPr>
            <w:tcW w:w="1805" w:type="dxa"/>
            <w:tcBorders>
              <w:top w:val="nil"/>
              <w:left w:val="nil"/>
              <w:bottom w:val="single" w:sz="4" w:space="0" w:color="808080"/>
              <w:right w:val="nil"/>
            </w:tcBorders>
            <w:vAlign w:val="center"/>
            <w:hideMark/>
          </w:tcPr>
          <w:p w14:paraId="2117B087" w14:textId="74878465"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author":[{"dropping-particle":"","family":"Lau","given":"J","non-dropping-particle":"","parse-names":false,"suffix":""},{"dropping-particle":"","family":"Leung","given":"W","non-dropping-particle":"","parse-names":false,"suffix":""},{"dropping-particle":"","family":"Wu","given":"J","non-dropping-particle":"","parse-names":false,"suffix":""},{"dropping-particle":"","family":"Chan","given":"Francis K L","non-dropping-particle":"","parse-names":false,"suffix":""},{"dropping-particle":"","family":"Wong","given":"Vincent W S","non-dropping-particle":"","parse-names":false,"suffix":""},{"dropping-particle":"","family":"Chiu","given":"Philip W Y","non-dropping-particle":"","parse-names":false,"suffix":""},{"dropping-particle":"","family":"Lee","given":"Vivian W Y","non-dropping-particle":"","parse-names":false,"suffix":""},{"dropping-particle":"","family":"Ph","given":"D","non-dropping-particle":"","parse-names":false,"suffix":""},{"dropping-particle":"","family":"Lee","given":"Kenneth K C","non-dropping-particle":"","parse-names":false,"suffix":""},{"dropping-particle":"","family":"Ph","given":"D","non-dropping-particle":"","parse-names":false,"suffix":""},{"dropping-particle":"","family":"Cheung","given":"Frances K Y","non-dropping-particle":"","parse-names":false,"suffix":""},{"dropping-particle":"","family":"Ch","given":"B","non-dropping-particle":"","parse-names":false,"suffix":""},{"dropping-particle":"","family":"Siu","given":"Priscilla","non-dropping-particle":"","parse-names":false,"suffix":""},{"dropping-particle":"","family":"Sc","given":"B","non-dropping-particle":"","parse-names":false,"suffix":""},{"dropping-particle":"","family":"Ng","given":"Enders K W","non-dropping-particle":"","parse-names":false,"suffix":""},{"dropping-particle":"","family":"Sung","given":"Joseph J Y","non-dropping-particle":"","parse-names":false,"suffix":""}],"container-title":"New England Journal of Medicine","id":"ITEM-1","issued":{"date-parts":[["2007"]]},"note":"NULL","page":"1631-1640","title":"Omeprazole before Endoscopy in Patients with Gastrointestinal Bleeding","type":"article-journal","volume":"356"},"uris":["http://www.mendeley.com/documents/?uuid=f9fce8f9-123f-4dcd-8b01-a16d5dcee949"]}],"mendeley":{"formattedCitation":"(Lau et al. 2007)","plainTextFormattedCitation":"(Lau et al. 2007)","previouslyFormattedCitation":"(Lau et al. 2007)"},"properties":{"noteIndex":0},"schema":"https://github.com/citation-style-language/schema/raw/master/csl-citation.json"}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(Lau et al. 2007)</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24DBDD2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2022" w:type="dxa"/>
            <w:tcBorders>
              <w:top w:val="nil"/>
              <w:left w:val="nil"/>
              <w:bottom w:val="single" w:sz="4" w:space="0" w:color="808080"/>
              <w:right w:val="nil"/>
            </w:tcBorders>
            <w:vAlign w:val="center"/>
            <w:hideMark/>
          </w:tcPr>
          <w:p w14:paraId="21C0A85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w:t>
            </w:r>
          </w:p>
        </w:tc>
        <w:tc>
          <w:tcPr>
            <w:tcW w:w="2410" w:type="dxa"/>
            <w:tcBorders>
              <w:top w:val="nil"/>
              <w:left w:val="nil"/>
              <w:bottom w:val="single" w:sz="4" w:space="0" w:color="808080"/>
              <w:right w:val="nil"/>
            </w:tcBorders>
            <w:vAlign w:val="center"/>
            <w:hideMark/>
          </w:tcPr>
          <w:p w14:paraId="77060244"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(unclear)</w:t>
            </w:r>
            <w:r>
              <w:rPr>
                <w:rFonts w:ascii="Calibri" w:eastAsia="Times New Roman" w:hAnsi="Calibri" w:cs="Times New Roman"/>
                <w:color w:val="000000"/>
                <w:sz w:val="20"/>
                <w:szCs w:val="20"/>
                <w:lang w:eastAsia="en-CA"/>
              </w:rPr>
              <w:br/>
              <w:t>ACM (1 month)</w:t>
            </w:r>
          </w:p>
        </w:tc>
        <w:tc>
          <w:tcPr>
            <w:tcW w:w="1736" w:type="dxa"/>
            <w:tcBorders>
              <w:top w:val="nil"/>
              <w:left w:val="nil"/>
              <w:bottom w:val="single" w:sz="4" w:space="0" w:color="808080"/>
              <w:right w:val="nil"/>
            </w:tcBorders>
            <w:vAlign w:val="center"/>
            <w:hideMark/>
          </w:tcPr>
          <w:p w14:paraId="3C91D88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Hospital records; Patient contact; Clinic follow up;</w:t>
            </w:r>
          </w:p>
        </w:tc>
        <w:tc>
          <w:tcPr>
            <w:tcW w:w="1160" w:type="dxa"/>
            <w:tcBorders>
              <w:top w:val="nil"/>
              <w:left w:val="nil"/>
              <w:bottom w:val="single" w:sz="4" w:space="0" w:color="808080"/>
              <w:right w:val="nil"/>
            </w:tcBorders>
            <w:vAlign w:val="center"/>
            <w:hideMark/>
          </w:tcPr>
          <w:p w14:paraId="422D57CA"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2004-2005</w:t>
            </w:r>
          </w:p>
        </w:tc>
        <w:tc>
          <w:tcPr>
            <w:tcW w:w="1533" w:type="dxa"/>
            <w:tcBorders>
              <w:top w:val="nil"/>
              <w:left w:val="nil"/>
              <w:bottom w:val="single" w:sz="4" w:space="0" w:color="808080"/>
              <w:right w:val="nil"/>
            </w:tcBorders>
            <w:vAlign w:val="center"/>
            <w:hideMark/>
          </w:tcPr>
          <w:p w14:paraId="608DAD8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3556A7" w14:paraId="373ECCE7" w14:textId="77777777" w:rsidTr="00B842AC">
        <w:trPr>
          <w:trHeight w:val="481"/>
        </w:trPr>
        <w:tc>
          <w:tcPr>
            <w:tcW w:w="1805" w:type="dxa"/>
            <w:tcBorders>
              <w:top w:val="nil"/>
              <w:left w:val="nil"/>
              <w:bottom w:val="single" w:sz="4" w:space="0" w:color="808080"/>
              <w:right w:val="nil"/>
            </w:tcBorders>
            <w:vAlign w:val="center"/>
            <w:hideMark/>
          </w:tcPr>
          <w:p w14:paraId="08A2F11C" w14:textId="644CD909" w:rsidR="003556A7" w:rsidRDefault="003556A7" w:rsidP="003556A7">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Pr>
                <w:rFonts w:ascii="Calibri" w:eastAsia="Times New Roman" w:hAnsi="Calibri" w:cs="Times New Roman"/>
                <w:color w:val="000000"/>
                <w:sz w:val="20"/>
                <w:szCs w:val="20"/>
                <w:lang w:eastAsia="en-CA"/>
              </w:rPr>
              <w:instrText>ADDIN CSL_CITATION {"citationItems":[{"id":"ITEM-1","itemData":{"ISBN":"0022-3085","ISSN":"1933-0693","abstract":"OBJECT: Patients with intracerebral hemorrhage (ICH) are at high risk for severe stress-related upper gastrointestinal (UGI) bleeding, which is predictive of higher mortality. The aim of this study was to evaluate the effectiveness of omeprazole and cimetidine compared with a placebo in the prevention and management of stress-related UGI bleeding in patients with ICH., METHODS: In a single-center, randomized, placebo-controlled study, 184 surgically treated patients with CT-proven ICH within 72 hours of ictus and negative results for gastric occult blood testing were included. Of these patients, 165 who were qualified upon further evaluation were randomized into 3 groups: 58 patients received 40 mg intravenous omeprazole every 12 hours, 54 patients received 300 mg intravenous cimetidine every 6 hours, and 53 patients received a placebo. Patients whose gastric occult blood tests were positive at admission (n = 70) and during/after the prophylaxis procedure (n = 48) were treated with high-dose omeprazole at 80 mg bolus plus 8 mg/hr infusion for 3 days, followed by 40 mg intravenous omeprazole every 12 hours for 7 days., RESULTS: Of the 165 assessable patients, stress-related UGI bleeding occurred in 9 (15.5%) in the omeprazole group compared with 15 patients (27.8%) in the cimetidine group and 24 patients (45.3%) in the placebo group (p = 0.003). The occurrence of UGI bleeding was significantly related to death (p = 0.022). Nosocomial pneumonia occurred in 14 patients (24.1%) receiving omeprazole, 12 (22.2%) receiving cimetidine, and 8 (15.1%) receiving placebo (p &gt; 0.05). In patients with UGI bleeding in which high-dose omeprazole was initiated, UGI bleeding arrested within the first 3 days in 103 patients (87.3%)., CONCLUSIONS: Omeprazole significantly reduced the morbidity of stress-related UGI bleeding in patients with ICH due to its effective prophylactic effect without increasing the risk of nosocomial pneumonia, but it did not reduce the 1-month mortality or ICU stay. Further evaluation of high-dose omeprazole as the drug of choice for patients presenting with UGI bleeding is warranted. Clinical trial registration no.: ChiCTR-TRC-12001871, registered at the Chinese clinical trial registry (http://www.chictr.org/en/proj/show.aspx?proj=2384).","author":[{"dropping-particle":"","family":"Liu","given":"Bo-lin","non-dropping-particle":"","parse-names":false,"suffix":""},{"dropping-particle":"","family":"Li","given":"Bing","non-dropping-particle":"","parse-names":false,"suffix":""},{"dropping-particle":"","family":"Zhang","given":"Xiang","non-dropping-particle":"","parse-names":false,"suffix":""},{"dropping-particle":"","family":"Fei","given":"Zhou","non-dropping-particle":"","parse-names":false,"suffix":""},{"dropping-particle":"","family":"Hu","given":"Shi-jie","non-dropping-particle":"","parse-names":false,"suffix":""},{"dropping-particle":"","family":"Lin","given":"Wei","non-dropping-particle":"","parse-names":false,"suffix":""},{"dropping-particle":"","family":"Gao","given":"Da-kuan","non-dropping-particle":"","parse-names":false,"suffix":""},{"dropping-particle":"","family":"Zhang","given":"Li","non-dropping-particle":"","parse-names":false,"suffix":""}],"container-title":"Journal of neurosurgery","id":"ITEM-1","issue":"1","issued":{"date-parts":[["2013"]]},"note":"NULL","page":"115","publisher":"American Association of Neurological Surgeons (1224 West Main Street Suite 450, Charlottesville VA 22903, United States)","publisher-place":"United States","title":"A randomized controlled study comparing omeprazole and cimetidine for the prophylaxis of stress-related upper gastrointestinal bleeding in patients with intracerebral hemorrhage.","type":"article-journal","volume":"118"},"uris":["http://www.mendeley.com/documents/?uuid=ffe072ff-5b4e-42fb-bdc1-4454ddcd9c80"]}],"mendeley":{"formattedCitation":"(Liu et al. 2013)","plainTextFormattedCitation":"(Liu et al. 2013)","previouslyFormattedCitation":"(Liu et al. 2013)"},"properties":{"noteIndex":0},"schema":"https://github.com/citation-style-language/schema/raw/master/csl-citation.json"}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(Liu et al. 2013)</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6E087472" w14:textId="77777777" w:rsidR="003556A7" w:rsidRDefault="003556A7" w:rsidP="003556A7">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2022" w:type="dxa"/>
            <w:tcBorders>
              <w:top w:val="nil"/>
              <w:left w:val="nil"/>
              <w:bottom w:val="single" w:sz="4" w:space="0" w:color="808080"/>
              <w:right w:val="nil"/>
            </w:tcBorders>
            <w:vAlign w:val="center"/>
            <w:hideMark/>
          </w:tcPr>
          <w:p w14:paraId="556818DF" w14:textId="77777777" w:rsidR="003556A7" w:rsidRDefault="003556A7" w:rsidP="003556A7">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w:t>
            </w:r>
          </w:p>
        </w:tc>
        <w:tc>
          <w:tcPr>
            <w:tcW w:w="2410" w:type="dxa"/>
            <w:tcBorders>
              <w:top w:val="nil"/>
              <w:left w:val="nil"/>
              <w:bottom w:val="single" w:sz="4" w:space="0" w:color="808080"/>
              <w:right w:val="nil"/>
            </w:tcBorders>
            <w:vAlign w:val="center"/>
            <w:hideMark/>
          </w:tcPr>
          <w:p w14:paraId="158F0CBD" w14:textId="77777777" w:rsidR="003556A7" w:rsidRDefault="003556A7" w:rsidP="003556A7">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(1 month)</w:t>
            </w:r>
          </w:p>
        </w:tc>
        <w:tc>
          <w:tcPr>
            <w:tcW w:w="1736" w:type="dxa"/>
            <w:tcBorders>
              <w:top w:val="nil"/>
              <w:left w:val="nil"/>
              <w:bottom w:val="single" w:sz="4" w:space="0" w:color="808080"/>
              <w:right w:val="nil"/>
            </w:tcBorders>
            <w:vAlign w:val="center"/>
            <w:hideMark/>
          </w:tcPr>
          <w:p w14:paraId="2BE86D74" w14:textId="77777777" w:rsidR="003556A7" w:rsidRDefault="003556A7" w:rsidP="003556A7">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160" w:type="dxa"/>
            <w:tcBorders>
              <w:top w:val="nil"/>
              <w:left w:val="nil"/>
              <w:bottom w:val="single" w:sz="4" w:space="0" w:color="808080"/>
              <w:right w:val="nil"/>
            </w:tcBorders>
            <w:vAlign w:val="center"/>
            <w:hideMark/>
          </w:tcPr>
          <w:p w14:paraId="0EBBB6DD" w14:textId="77777777" w:rsidR="003556A7" w:rsidRDefault="003556A7" w:rsidP="003556A7">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2006 - 2008</w:t>
            </w:r>
          </w:p>
        </w:tc>
        <w:tc>
          <w:tcPr>
            <w:tcW w:w="1533" w:type="dxa"/>
            <w:tcBorders>
              <w:top w:val="nil"/>
              <w:left w:val="nil"/>
              <w:bottom w:val="single" w:sz="4" w:space="0" w:color="808080"/>
              <w:right w:val="nil"/>
            </w:tcBorders>
            <w:vAlign w:val="center"/>
            <w:hideMark/>
          </w:tcPr>
          <w:p w14:paraId="5262E6D8" w14:textId="2CA2758E" w:rsidR="003556A7" w:rsidRDefault="003556A7" w:rsidP="003556A7">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55453C97" w14:textId="77777777" w:rsidTr="00B842AC">
        <w:trPr>
          <w:trHeight w:val="465"/>
        </w:trPr>
        <w:tc>
          <w:tcPr>
            <w:tcW w:w="1805" w:type="dxa"/>
            <w:tcBorders>
              <w:top w:val="nil"/>
              <w:left w:val="nil"/>
              <w:bottom w:val="single" w:sz="4" w:space="0" w:color="808080"/>
              <w:right w:val="nil"/>
            </w:tcBorders>
            <w:vAlign w:val="center"/>
            <w:hideMark/>
          </w:tcPr>
          <w:p w14:paraId="7F478AFD" w14:textId="207F9986"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{"citationItems":[{"id":"ITEM-1","itemData":{"ISBN":"0195-668X","abstract":"Purpose: The use of multiple antithrombotic drugs and aggressive invasive strategies has increased the risk of major bleeding in acute coronary syndrome (ACS) patients. It is not known to what extent bleeding determines clinical outcome. The aim of this study was to assess the role of gastrointestinal bleeding on intrahospital prognosis in patients with acute coronary syndrome. Methods: Between January 2008 and December 2008, 300 patients, with acute coronary syndrome, were randomized to either oral pantoprazole (20 mg/day during hospital stay) or no therapy. The primary study end point was mortality and the secondary end points were recurrent myocardial infarction and stroke) during short term follow up. Results: Follow-up was completed in all 300 (100%) of patients. In the pantoprazole group, the drug was well tolerated (without any side effects) and was maintained in 100% of patients. 3/150 (2.%) pts in the pantoprazole group died and 7/150 (4.7%) died in the control group og patients (p&lt;0.05). 1/150 pts suffered re-infarction in the pantoprazole group and were no reinfarctions in the controle group of pts. In total, 9/300 (3.0%) of patients had gastrointestinal bleeding; 2/150 (1.3%) in pantoprazole group - without any major bleeding and 7/149 (4.7%) in the control group, (chi2 = 2.899; p=0.08) - 4/149 (2.7%) were major; (chi2 = 4.081; p=0.06) for major bleeding. Transfusion was required in 1/150 (0.7%) in the pantoprazole group and in 6/149 (4.0%) in the control group of patients (chi2 = 3.691; p=0.05). Conclusions: This randomized, controlled, and unblinded study showed that the administration of the oral pantoprazole, during hospital stay, in pts with acute coronary syndrome was associated with a trend towards lower mortality rate, lower bleeding rate and lower need for blood transfusion.","author":[{"dropping-particle":"","family":"Nikcevic","given":"G","non-dropping-particle":"","parse-names":false,"suffix":""},{"dropping-particle":"","family":"Pejic","given":"M","non-dropping-particle":"","parse-names":false,"suffix":""},{"dropping-particle":"","family":"Srdic","given":"M","non-dropping-particle":"","parse-names":false,"suffix":""},{"dropping-particle":"","family":"Djordjevic","given":"S","non-dropping-particle":"","parse-names":false,"suffix":""},{"dropping-particle":"","family":"Vukcevic","given":"G","non-dropping-particle":"","parse-names":false,"suffix":""},{"dropping-particle":"","family":"Tomic","given":"M","non-dropping-particle":"","parse-names":false,"suffix":""},{"dropping-particle":"","family":"Kostic","given":"J","non-dropping-particle":"","parse-names":false,"suffix":""},{"dropping-particle":"","family":"Vasiljevic","given":"Z","non-dropping-particle":"","parse-names":false,"suffix":""},{"dropping-particle":"","family":"Milasinovic","given":"G","non-dropping-particle":"","parse-names":false,"suffix":""},{"dropping-particle":"","family":"S","given":"Raspopovic","non-dropping-particle":"","parse-names":false,"suffix":""}],"container-title":"European heart journal","id":"ITEM-1","issued":{"date-parts":[["2011"]]},"note":"565","page":"100","publisher":"Oxford University Press","title":"Prognostic implications of acute gastrointestinal bleeding in acute coronary syndrome: Intrahospital follow up.","type":"article","volume":"32"},"uris":["http://www.mendeley.com/documents/?uuid=748ca1f0-57d6-4ede-a054-814b54a99090"]}],"mendeley":{"formattedCitation":"(Nikcevic et al. 2011)","plainTextFormattedCitation":"(Nikcevic et al. 2011)","previouslyFormattedCitation":"(Nikcevic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(Nikcevic et al. 2011)</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76ABFA4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Pantoprazole</w:t>
            </w:r>
          </w:p>
        </w:tc>
        <w:tc>
          <w:tcPr>
            <w:tcW w:w="2022" w:type="dxa"/>
            <w:tcBorders>
              <w:top w:val="nil"/>
              <w:left w:val="nil"/>
              <w:bottom w:val="single" w:sz="4" w:space="0" w:color="808080"/>
              <w:right w:val="nil"/>
            </w:tcBorders>
            <w:vAlign w:val="center"/>
            <w:hideMark/>
          </w:tcPr>
          <w:p w14:paraId="3EAD651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 not blinded.</w:t>
            </w:r>
          </w:p>
        </w:tc>
        <w:tc>
          <w:tcPr>
            <w:tcW w:w="2410" w:type="dxa"/>
            <w:tcBorders>
              <w:top w:val="nil"/>
              <w:left w:val="nil"/>
              <w:bottom w:val="single" w:sz="4" w:space="0" w:color="808080"/>
              <w:right w:val="nil"/>
            </w:tcBorders>
            <w:vAlign w:val="center"/>
            <w:hideMark/>
          </w:tcPr>
          <w:p w14:paraId="1D0AE69D"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(not reported)</w:t>
            </w:r>
          </w:p>
        </w:tc>
        <w:tc>
          <w:tcPr>
            <w:tcW w:w="1736" w:type="dxa"/>
            <w:tcBorders>
              <w:top w:val="nil"/>
              <w:left w:val="nil"/>
              <w:bottom w:val="single" w:sz="4" w:space="0" w:color="808080"/>
              <w:right w:val="nil"/>
            </w:tcBorders>
            <w:vAlign w:val="center"/>
            <w:hideMark/>
          </w:tcPr>
          <w:p w14:paraId="463DD9A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blinded</w:t>
            </w:r>
          </w:p>
        </w:tc>
        <w:tc>
          <w:tcPr>
            <w:tcW w:w="1160" w:type="dxa"/>
            <w:tcBorders>
              <w:top w:val="nil"/>
              <w:left w:val="nil"/>
              <w:bottom w:val="single" w:sz="4" w:space="0" w:color="808080"/>
              <w:right w:val="nil"/>
            </w:tcBorders>
            <w:vAlign w:val="center"/>
            <w:hideMark/>
          </w:tcPr>
          <w:p w14:paraId="4DD45DA5"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2008</w:t>
            </w:r>
          </w:p>
        </w:tc>
        <w:tc>
          <w:tcPr>
            <w:tcW w:w="1533" w:type="dxa"/>
            <w:tcBorders>
              <w:top w:val="nil"/>
              <w:left w:val="nil"/>
              <w:bottom w:val="single" w:sz="4" w:space="0" w:color="808080"/>
              <w:right w:val="nil"/>
            </w:tcBorders>
            <w:vAlign w:val="center"/>
            <w:hideMark/>
          </w:tcPr>
          <w:p w14:paraId="67196BB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No statement</w:t>
            </w:r>
          </w:p>
        </w:tc>
      </w:tr>
      <w:tr w:rsidR="00B842AC" w14:paraId="0F0B54F1" w14:textId="77777777" w:rsidTr="00B842AC">
        <w:trPr>
          <w:trHeight w:val="855"/>
        </w:trPr>
        <w:tc>
          <w:tcPr>
            <w:tcW w:w="1805" w:type="dxa"/>
            <w:tcBorders>
              <w:top w:val="nil"/>
              <w:left w:val="nil"/>
              <w:bottom w:val="single" w:sz="4" w:space="0" w:color="808080"/>
              <w:right w:val="nil"/>
            </w:tcBorders>
            <w:vAlign w:val="center"/>
            <w:hideMark/>
          </w:tcPr>
          <w:p w14:paraId="5C325E25" w14:textId="62BDA4DC"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{"citationItems":[{"id":"ITEM-1","itemData":{"ISBN":"0036-5521","ISSN":"0036-5521","abstract":"BACKGROUND: Haemostasis is highly pH-dependent and severely impaired at low pH. However, there is no clear evidence that acid-suppressing drugs have beneficial effects in peptic ulcer haemorrhage. Endoscopic haemostatic treatment provides important reduction in morbidity and may be more efficient when a neutral intragastric pH is maintained., METHODS: We conducted a double-blind, placebo-controlled multicentre study of intravenous infusion of omeprazole (80 mg as bolus, followed by 8 mg/h) or placebo for 72 h. All patients received 20 mg omeprazole orally from day 3 until follow-up on day 21. Only patients with ulcer haemorrhage, endoscoped within 12 h after admission, and with a history or signs of circulatory failure and spurting bleeding, oozing bleeding, visible vessel, or clot, were included. Endoscopic intervention was aimed at when spurting bleeding, oozing bleeding, or a visible vessel was observed. The primary efficacy measure was the worst ranking on an overall outcome scale (5 = death, 4 = surgery, 3 = additional endoscopic treatment, 2 = more than 3 units of blood, and 1 = no more than 3 units of blood transfused). Base-line prognostic factors of treatment success by day 3 and of other binary outcomes were considered in a logistic regression model., RESULTS: Two hundred and seventy-four patients were randomly assigned to omeprazole (134 patients) or placebo (140 patients). The number of patients included in the 'intention-to-treat' analysis was 130 in the omeprazole group and 135 in the placebo group. The primary variable, the overall outcome at 72 h, showed a difference (P = 0.004) between the two treatments in favour of omeprazole. Treatment success by 72 h defined as no death, no operation, or no additional endoscopic treatment was 91.0% in the omeprazole group and 79.7% in the placebo group (therapeutic gain, 11.3 percentage units; 95% confidence interval, 2.3 to 20.4 percentage units). Significant differences in favour of omeprazole were also found for secondary variables such as number of blood transfusions, duration and degree of bleeding, and the need for surgery and additional endoscopic treatments on day 3 and day 21. However, the numbers of deaths by day 3, 21, or 35 were very similar., CONCLUSIONS: We found a beneficial effect of intravenous omeprazole in severe ulcer haemorrhage, with a reduction in the number of operations, in endoscopic treatments, and in the duration and severity of bleeding.","author":[{"dropping-particle":"","family":"Schaffalitzky de Muckadell","given":"O B","non-dropping-particle":"","parse-names":false,"suffix":""},{"dropping-particle":"","family":"Havelund","given":"T","non-dropping-particle":"","parse-names":false,"suffix":""},{"dropping-particle":"","family":"Harling","given":"H","non-dropping-particle":"","parse-names":false,"suffix":""},{"dropping-particle":"","family":"Boesby","given":"S","non-dropping-particle":"","parse-names":false,"suffix":""},{"dropping-particle":"","family":"Snel","given":"P","non-dropping-particle":"","parse-names":false,"suffix":""},{"dropping-particle":"","family":"Vreeburg","given":"E M","non-dropping-particle":"","parse-names":false,"suffix":""},{"dropping-particle":"","family":"Eriksson","given":"S","non-dropping-particle":"","parse-names":false,"suffix":""},{"dropping-particle":"","family":"Fernstrom","given":"P","non-dropping-particle":"","parse-names":false,"suffix":""},{"dropping-particle":"","family":"Hasselgren","given":"G","non-dropping-particle":"","parse-names":false,"suffix":""}],"container-title":"Scandinavian journal of gastroenterology","id":"ITEM-1","issue":"4","issued":{"date-parts":[["1997"]]},"note":"From Duplicate 3 (Effect of omeprazole on the outcome of endoscopically treated bleeding peptic ulcers. Randomized double-blind placebo-controlled multicentre study. - Schaffalitzky de Muckadell, O B; Havelund, T; Harling, H; Boesby, S; Snel, P; Vreeburg, E M; Eriksson, S; Fernstrom, P; Hasselgren, G)\n\nComment in: Scand J Gastroenterol. 1997 Apr;32(4):396-8; PMID: 9140165","page":"320-327","publisher":"Schaffalitzky de Muckadell,O B. Dept. of Medical Gastroenterology S, Odense University Hospital, Denmark.","publisher-place":"O.B. Schaffalitzky De Muckadell, Dept. of Medical Gastroenterology S, Odense University Hospital, DK-5000 Odense C, Denmark","title":"Effect of omeprazole on the outcome of endoscopically treated bleeding peptic ulcers. Randomized double-blind placebo-controlled multicentre study.","type":"article-journal","volume":"32"},"uris":["http://www.mendeley.com/documents/?uuid=fe148942-9e78-4ed8-bea1-44b8b9a85aca"]}],"mendeley":{"formattedCitation":"(Schaffalitzky de Muckadell et al. 1997)","plainTextFormattedCitation":"(Schaffalitzky de Muckadell et al. 1997)","previouslyFormattedCitation":"(Schaffalitzky de Muckadell et al. 1997)"},"properties":{"noteIndex":0},"schema":"https://github.com/citation-style-language/schema/raw/master/csl-citation.json"}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(Schaffalitzky de Muckadell et al. 1997)</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1352A3D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2022" w:type="dxa"/>
            <w:tcBorders>
              <w:top w:val="nil"/>
              <w:left w:val="nil"/>
              <w:bottom w:val="single" w:sz="4" w:space="0" w:color="808080"/>
              <w:right w:val="nil"/>
            </w:tcBorders>
            <w:vAlign w:val="center"/>
            <w:hideMark/>
          </w:tcPr>
          <w:p w14:paraId="6464F06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w:t>
            </w:r>
          </w:p>
        </w:tc>
        <w:tc>
          <w:tcPr>
            <w:tcW w:w="2410" w:type="dxa"/>
            <w:tcBorders>
              <w:top w:val="nil"/>
              <w:left w:val="nil"/>
              <w:bottom w:val="single" w:sz="4" w:space="0" w:color="808080"/>
              <w:right w:val="nil"/>
            </w:tcBorders>
            <w:vAlign w:val="center"/>
            <w:hideMark/>
          </w:tcPr>
          <w:p w14:paraId="0F67BC8C" w14:textId="77777777" w:rsidR="00B842AC" w:rsidRDefault="00B842AC" w:rsidP="00B842AC">
            <w:pPr>
              <w:spacing w:after="0" w:line="240" w:lineRule="auto"/>
              <w:jc w:val="center"/>
              <w:rPr>
                <w:rFonts w:ascii="Calibri" w:eastAsia="Times New Roman" w:hAnsi="Calibri" w:cs="Times New Roman"/>
                <w:sz w:val="20"/>
                <w:szCs w:val="20"/>
                <w:lang w:eastAsia="en-CA"/>
              </w:rPr>
            </w:pPr>
            <w:r>
              <w:rPr>
                <w:rFonts w:ascii="Calibri" w:eastAsia="Times New Roman" w:hAnsi="Calibri" w:cs="Times New Roman"/>
                <w:sz w:val="20"/>
                <w:szCs w:val="20"/>
                <w:lang w:eastAsia="en-CA"/>
              </w:rPr>
              <w:t>ACM (3 days, 21 days, 35 days)</w:t>
            </w:r>
          </w:p>
        </w:tc>
        <w:tc>
          <w:tcPr>
            <w:tcW w:w="1736" w:type="dxa"/>
            <w:tcBorders>
              <w:top w:val="nil"/>
              <w:left w:val="nil"/>
              <w:bottom w:val="single" w:sz="4" w:space="0" w:color="808080"/>
              <w:right w:val="nil"/>
            </w:tcBorders>
            <w:vAlign w:val="center"/>
            <w:hideMark/>
          </w:tcPr>
          <w:p w14:paraId="19B8F68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Survey; Deaths reviewed by external group. </w:t>
            </w:r>
          </w:p>
        </w:tc>
        <w:tc>
          <w:tcPr>
            <w:tcW w:w="1160" w:type="dxa"/>
            <w:tcBorders>
              <w:top w:val="nil"/>
              <w:left w:val="nil"/>
              <w:bottom w:val="single" w:sz="4" w:space="0" w:color="808080"/>
              <w:right w:val="nil"/>
            </w:tcBorders>
            <w:vAlign w:val="center"/>
            <w:hideMark/>
          </w:tcPr>
          <w:p w14:paraId="67D5ED82"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533" w:type="dxa"/>
            <w:tcBorders>
              <w:top w:val="nil"/>
              <w:left w:val="nil"/>
              <w:bottom w:val="single" w:sz="4" w:space="0" w:color="808080"/>
              <w:right w:val="nil"/>
            </w:tcBorders>
            <w:vAlign w:val="center"/>
            <w:hideMark/>
          </w:tcPr>
          <w:p w14:paraId="15057FF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35CE109A" w14:textId="77777777" w:rsidTr="00B842AC">
        <w:trPr>
          <w:trHeight w:val="404"/>
        </w:trPr>
        <w:tc>
          <w:tcPr>
            <w:tcW w:w="1805" w:type="dxa"/>
            <w:tcBorders>
              <w:top w:val="nil"/>
              <w:left w:val="nil"/>
              <w:bottom w:val="single" w:sz="4" w:space="0" w:color="808080"/>
              <w:right w:val="nil"/>
            </w:tcBorders>
            <w:vAlign w:val="center"/>
            <w:hideMark/>
          </w:tcPr>
          <w:p w14:paraId="40C66117" w14:textId="72C3A28C"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{"citationItems":[{"id":"ITEM-1","itemData":{"ISBN":"1539-3704","ISSN":"1539-3704","abstract":"BACKGROUND: Use of proton-pump inhibitors in the management of peptic ulcer bleeding is controversial because discrepant results have been reported in different ethnic groups., OBJECTIVE: To determine whether intravenous esomeprazole prevents recurrent peptic ulcer bleeding better than placebo in a multiethnic patient sample., DESIGN: Randomized trial conducted between October 2005 and December 2007; patients, providers, and researchers were blinded to group assignment., SETTING: 91 hospital emergency departments in 16 countries., PATIENTS: Patients 18 years or older with peptic ulcer bleeding from a single gastric or duodenal ulcer showing high-risk stigmata., INTERVENTION: Intravenous esomeprazole bolus, 80 mg, followed by 8-mg/h infusion, over 72 hours or matching placebo, each given after successful endoscopic hemostasis. Intervention was allocated by computer-generated randomization. After infusion, both groups received oral esomeprazole, 40 mg/d, for 27 days., MEASUREMENTS: The primary end point was rate of clinically significant recurrent bleeding within 72 hours. Recurrent bleeding within 7 and 30 days, death, surgery, endoscopic re-treatment, blood transfusions, hospitalization, and safety were also assessed., RESULTS: Of 767 patients randomly assigned, 764 provided data for an intention-to-treat analysis (375 esomeprazole recipients and 389 placebo recipients). Fewer patients receiving intravenous esomeprazole (22 of 375) had recurrent bleeding within 72 hours than those receiving placebo (40 of 389) (5.9% vs. 10.3%; difference, 4.4 percentage points [95% CI, 0.6% to 8.3%]; P = 0.026). The difference in bleeding recurrence remained significant at 7 days and 30 days (P = 0.010). Esomeprazole also reduced endoscopic re-treatment (6.4% vs. 11.6%; difference, 5.2 percentage points [95% CI of difference, 1.1 percentage points to 9.2 percentage points]; P = 0.012), surgery (2.7% vs. 5.4%), and all-cause mortality rates (0.8% vs. 2.1%) more than placebo, although differences for the latter 2 comparisons were not significant. About 10% and 40% of patients in both groups reported serious and nonserious adverse events, respectively., LIMITATION: Endoscopic therapy was not completely standardized; some patients received epinephrine injection, thermal coagulation, or hemoclips alone, whereas others received combination therapy, but there were similar proportions with single therapy in each group., CONCLUSION: High-dose intravenous esomeprazole given after…","author":[{"dropping-particle":"","family":"Sung","given":"Joseph J Y","non-dropping-particle":"","parse-names":false,"suffix":""},{"dropping-particle":"","family":"Barkun","given":"Alan","non-dropping-particle":"","parse-names":false,"suffix":""},{"dropping-particle":"","family":"Kuipers","given":"Ernst J","non-dropping-particle":"","parse-names":false,"suffix":""},{"dropping-particle":"","family":"Mossner","given":"Joachim","non-dropping-particle":"","parse-names":false,"suffix":""},{"dropping-particle":"","family":"Jensen","given":"Dennis M","non-dropping-particle":"","parse-names":false,"suffix":""},{"dropping-particle":"","family":"Stuart","given":"Robert","non-dropping-particle":"","parse-names":false,"suffix":""},{"dropping-particle":"","family":"Lau","given":"James Y","non-dropping-particle":"","parse-names":false,"suffix":""},{"dropping-particle":"","family":"Ahlbom","given":"Henrik","non-dropping-particle":"","parse-names":false,"suffix":""},{"dropping-particle":"","family":"Kilhamn","given":"Jan","non-dropping-particle":"","parse-names":false,"suffix":""},{"dropping-particle":"","family":"Lind","given":"Tore","non-dropping-particle":"","parse-names":false,"suffix":""},{"dropping-particle":"","family":"Group","given":"Peptic Ulcer Bleed Study","non-dropping-particle":"","parse-names":false,"suffix":""},{"dropping-particle":"","family":"J.J.Y.","given":"Sung","non-dropping-particle":"","parse-names":false,"suffix":""},{"dropping-particle":"","family":"A.","given":"Barkun","non-dropping-particle":"","parse-names":false,"suffix":""},{"dropping-particle":"","family":"E.J.","given":"Kuipers","non-dropping-particle":"","parse-names":false,"suffix":""},{"dropping-particle":"","family":"J.","given":"Mossner","non-dropping-particle":"","parse-names":false,"suffix":""},{"dropping-particle":"","family":"D.M.","given":"Jensen","non-dropping-particle":"","parse-names":false,"suffix":""},{"dropping-particle":"","family":"R.","given":"Stuart","non-dropping-particle":"","parse-names":false,"suffix":""},{"dropping-particle":"","family":"J.Y.","given":"Lau","non-dropping-particle":"","parse-names":false,"suffix":""},{"dropping-particle":"","family":"H.","given":"Ahlbom","non-dropping-particle":"","parse-names":false,"suffix":""},{"dropping-particle":"","family":"J.","given":"Kilhamn","non-dropping-particle":"","parse-names":false,"suffix":""},{"dropping-particle":"","family":"T.","given":"Lind","non-dropping-particle":"","parse-names":false,"suffix":""}],"container-title":"Annals of internal medicine","id":"ITEM-1","issue":"7","issued":{"date-parts":[["2009"]]},"note":"770\n\nFrom Duplicate 2 (Intravenous esomeprazole for prevention of recurrent peptic ulcer bleeding: a randomized trial. - Sung, Joseph J Y; Barkun, Alan; Kuipers, Ernst J; Mossner, Joachim; Jensen, Dennis M; Stuart, Robert; Lau, James Y; Ahlbom, Henrik; Kilhamn, Jan; Lind, Tore; Group, Peptic Ulcer Bleed Study)\n\nComment in: Ann Intern Med. 2009 Oct 20;151(8):588-9; author reply 590; PMID: 19841463, Comment in: Ann Intern Med. 2009 Oct 20;151(8):589; author reply 590; PMID: 19841465, Comment in: Curr Gastroenterol Rep. 2009 Oct;11(5):339-41; PMID: 19765360, Comment in: Ann Intern Med. 2009 Oct 20;151(8):589-90; author reply 590; PMID: 19841464","page":"455-464","publisher":"American College of Physicians (190 N. Indenpence Mall West, Philadelphia PA 19106-1572, United States)","publisher-place":"United States","title":"Intravenous esomeprazole for prevention of recurrent peptic ulcer bleeding: a randomized trial.","type":"article-journal","volume":"150"},"uris":["http://www.mendeley.com/documents/?uuid=dbb8b05d-97d6-4f00-b7f0-ea342e8fd2f3"]}],"mendeley":{"formattedCitation":"(Sung et al. 2009)","plainTextFormattedCitation":"(Sung et al. 2009)","previouslyFormattedCitation":"(Sung et al. 2009)"},"properties":{"noteIndex":0},"schema":"https://github.com/citation-style-language/schema/raw/master/csl-citation.json"}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(Sung et al. 2009)</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15878A6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Esomeprazole</w:t>
            </w:r>
          </w:p>
        </w:tc>
        <w:tc>
          <w:tcPr>
            <w:tcW w:w="2022" w:type="dxa"/>
            <w:tcBorders>
              <w:top w:val="nil"/>
              <w:left w:val="nil"/>
              <w:bottom w:val="single" w:sz="4" w:space="0" w:color="808080"/>
              <w:right w:val="nil"/>
            </w:tcBorders>
            <w:vAlign w:val="center"/>
            <w:hideMark/>
          </w:tcPr>
          <w:p w14:paraId="0BD512C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w:t>
            </w:r>
          </w:p>
        </w:tc>
        <w:tc>
          <w:tcPr>
            <w:tcW w:w="2410" w:type="dxa"/>
            <w:tcBorders>
              <w:top w:val="nil"/>
              <w:left w:val="nil"/>
              <w:bottom w:val="single" w:sz="4" w:space="0" w:color="808080"/>
              <w:right w:val="nil"/>
            </w:tcBorders>
            <w:vAlign w:val="center"/>
            <w:hideMark/>
          </w:tcPr>
          <w:p w14:paraId="083DCD63"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 month)</w:t>
            </w:r>
            <w:r>
              <w:rPr>
                <w:rFonts w:ascii="Calibri" w:eastAsia="Times New Roman" w:hAnsi="Calibri" w:cs="Times New Roman"/>
                <w:color w:val="000000"/>
                <w:sz w:val="20"/>
                <w:szCs w:val="20"/>
                <w:lang w:eastAsia="en-CA"/>
              </w:rPr>
              <w:br/>
              <w:t>ACM (1 month)</w:t>
            </w:r>
          </w:p>
        </w:tc>
        <w:tc>
          <w:tcPr>
            <w:tcW w:w="1736" w:type="dxa"/>
            <w:tcBorders>
              <w:top w:val="nil"/>
              <w:left w:val="nil"/>
              <w:bottom w:val="single" w:sz="4" w:space="0" w:color="808080"/>
              <w:right w:val="nil"/>
            </w:tcBorders>
            <w:vAlign w:val="center"/>
            <w:hideMark/>
          </w:tcPr>
          <w:p w14:paraId="45FCFCD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Blinded committee (for mortality)</w:t>
            </w:r>
          </w:p>
        </w:tc>
        <w:tc>
          <w:tcPr>
            <w:tcW w:w="1160" w:type="dxa"/>
            <w:tcBorders>
              <w:top w:val="nil"/>
              <w:left w:val="nil"/>
              <w:bottom w:val="single" w:sz="4" w:space="0" w:color="808080"/>
              <w:right w:val="nil"/>
            </w:tcBorders>
            <w:vAlign w:val="center"/>
            <w:hideMark/>
          </w:tcPr>
          <w:p w14:paraId="157BE46D"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2005-2007</w:t>
            </w:r>
          </w:p>
        </w:tc>
        <w:tc>
          <w:tcPr>
            <w:tcW w:w="1533" w:type="dxa"/>
            <w:tcBorders>
              <w:top w:val="nil"/>
              <w:left w:val="nil"/>
              <w:bottom w:val="single" w:sz="4" w:space="0" w:color="808080"/>
              <w:right w:val="nil"/>
            </w:tcBorders>
            <w:vAlign w:val="center"/>
            <w:hideMark/>
          </w:tcPr>
          <w:p w14:paraId="4CF6DEC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Industry</w:t>
            </w:r>
          </w:p>
        </w:tc>
      </w:tr>
      <w:tr w:rsidR="00B842AC" w14:paraId="17BBEDE4" w14:textId="77777777" w:rsidTr="00B842AC">
        <w:trPr>
          <w:trHeight w:val="197"/>
        </w:trPr>
        <w:tc>
          <w:tcPr>
            <w:tcW w:w="1805" w:type="dxa"/>
            <w:tcBorders>
              <w:top w:val="nil"/>
              <w:left w:val="nil"/>
              <w:bottom w:val="single" w:sz="4" w:space="0" w:color="808080"/>
              <w:right w:val="nil"/>
            </w:tcBorders>
            <w:vAlign w:val="center"/>
            <w:hideMark/>
          </w:tcPr>
          <w:p w14:paraId="3D5FAB47" w14:textId="3ED53639"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{"citationItems":[{"id":"ITEM-1","itemData":{"ISBN":"0815-9319","ISSN":"0815-9319","abstract":"BACKGROUND: After endoscopic treatment of bleeding peptic ulcer, a high-dose infusion of omeprazole substantially reduces the risk of recurrent bleeding. The role of oral proton pump inhibitors for these patients is uncertain. The purpose of the present study was to assess whether the use of oral esomeprazole would reduce the frequency of recurrent bleeding after endoscopic treatment of bleeding peptic ulcers., METHODS: Patients with actively bleeding ulcers or ulcers with non-bleeding visible vessels were treated with an epinephrine injection followed by thermocoagulation. After hemostasis had been achieved, they were randomly assigned in a double-blind fashion to receive esomeprazole (40 mg p.o. twice daily for 3 days) or placebo. The outcome measures studied were recurrent bleeding, blood transfusion requirement, surgery and death., RESULTS: A total of 70 patients were enrolled, 35 in each group. Bleeding recurred within 30 days in two patients (5.7%) in the esomeprazole group, as compared with three (8.6%) in the placebo group (P = 0.999). Blood transfusion requirement was 2.8 +/- 1.4 units in the esomeprazole group and 2.7 +/- 1.3 units in the placebo group (P = 0.761). Duration of hospitalization was 4.82 +/- 1.8 days in the esomeprazole group and 4.58 +/- 2.7 days in the placebo group (P = 0.792). No patients needed surgery for control of bleeding and no patients died in both groups., CONCLUSIONS: After successful endoscopic treatment of bleeding peptic ulcer, oral use of esomeprazole might offer no additional benefit on the risk of recurrent bleeding.","author":[{"dropping-particle":"","family":"Wei","given":"Kou-Liang","non-dropping-particle":"","parse-names":false,"suffix":""},{"dropping-particle":"","family":"Tung","given":"Shui-Yi","non-dropping-particle":"","parse-names":false,"suffix":""},{"dropping-particle":"","family":"Sheen","given":"Cheng-Han","non-dropping-particle":"","parse-names":false,"suffix":""},{"dropping-particle":"","family":"Chang","given":"Te-Shen","non-dropping-particle":"","parse-names":false,"suffix":""},{"dropping-particle":"","family":"Lee","given":"I-Lin","non-dropping-particle":"","parse-names":false,"suffix":""},{"dropping-particle":"","family":"Wu","given":"Cheng-Shyong","non-dropping-particle":"","parse-names":false,"suffix":""}],"container-title":"Journal of gastroenterology and hepatology","id":"ITEM-1","issue":"1","issued":{"date-parts":[["2007"]]},"note":"889","page":"43-46","publisher":"Blackwell Publishing","publisher-place":"Australia","title":"Effect of oral esomeprazole on recurrent bleeding after endoscopic treatment of bleeding peptic ulcers.","type":"article-journal","volume":"22"},"uris":["http://www.mendeley.com/documents/?uuid=63176a6c-d4fe-4247-8b80-d0b708ab832b"]}],"mendeley":{"formattedCitation":"(Wei et al. 2007)","plainTextFormattedCitation":"(Wei et al. 2007)","previouslyFormattedCitation":"(Wei et al. 2007)"},"properties":{"noteIndex":0},"schema":"https://github.com/citation-style-language/schema/raw/master/csl-citation.json"}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(Wei et al. 2007)</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4" w:space="0" w:color="808080"/>
              <w:right w:val="nil"/>
            </w:tcBorders>
            <w:vAlign w:val="center"/>
            <w:hideMark/>
          </w:tcPr>
          <w:p w14:paraId="1A3A99A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Esomeprazole</w:t>
            </w:r>
          </w:p>
        </w:tc>
        <w:tc>
          <w:tcPr>
            <w:tcW w:w="2022" w:type="dxa"/>
            <w:tcBorders>
              <w:top w:val="nil"/>
              <w:left w:val="nil"/>
              <w:bottom w:val="single" w:sz="4" w:space="0" w:color="808080"/>
              <w:right w:val="nil"/>
            </w:tcBorders>
            <w:vAlign w:val="center"/>
            <w:hideMark/>
          </w:tcPr>
          <w:p w14:paraId="5524C9B2" w14:textId="77777777" w:rsidR="00B842AC" w:rsidRPr="001B1380" w:rsidRDefault="00B842AC" w:rsidP="00B842AC">
            <w:pPr>
              <w:spacing w:after="0" w:line="240" w:lineRule="auto"/>
              <w:rPr>
                <w:rFonts w:ascii="Calibri" w:eastAsia="Times New Roman" w:hAnsi="Calibri" w:cs="Times New Roman"/>
                <w:sz w:val="20"/>
                <w:szCs w:val="20"/>
                <w:lang w:eastAsia="en-CA"/>
              </w:rPr>
            </w:pPr>
            <w:r w:rsidRPr="001B1380">
              <w:rPr>
                <w:rFonts w:ascii="Calibri" w:eastAsia="Times New Roman" w:hAnsi="Calibri" w:cs="Times New Roman"/>
                <w:sz w:val="20"/>
                <w:szCs w:val="20"/>
                <w:lang w:eastAsia="en-CA"/>
              </w:rPr>
              <w:t>Randomized PPI exposure</w:t>
            </w:r>
          </w:p>
        </w:tc>
        <w:tc>
          <w:tcPr>
            <w:tcW w:w="2410" w:type="dxa"/>
            <w:tcBorders>
              <w:top w:val="nil"/>
              <w:left w:val="nil"/>
              <w:bottom w:val="single" w:sz="4" w:space="0" w:color="808080"/>
              <w:right w:val="nil"/>
            </w:tcBorders>
            <w:vAlign w:val="center"/>
            <w:hideMark/>
          </w:tcPr>
          <w:p w14:paraId="7F5A9670" w14:textId="77777777" w:rsidR="00B842AC" w:rsidRPr="001B1380" w:rsidRDefault="00B842AC" w:rsidP="00B842AC">
            <w:pPr>
              <w:spacing w:after="0" w:line="240" w:lineRule="auto"/>
              <w:jc w:val="center"/>
              <w:rPr>
                <w:rFonts w:ascii="Calibri" w:eastAsia="Times New Roman" w:hAnsi="Calibri" w:cs="Times New Roman"/>
                <w:sz w:val="20"/>
                <w:szCs w:val="20"/>
                <w:lang w:eastAsia="en-CA"/>
              </w:rPr>
            </w:pPr>
            <w:r w:rsidRPr="001B1380">
              <w:rPr>
                <w:rFonts w:ascii="Calibri" w:eastAsia="Times New Roman" w:hAnsi="Calibri" w:cs="Times New Roman"/>
                <w:sz w:val="20"/>
                <w:szCs w:val="20"/>
                <w:lang w:eastAsia="en-CA"/>
              </w:rPr>
              <w:t>ACM</w:t>
            </w:r>
          </w:p>
        </w:tc>
        <w:tc>
          <w:tcPr>
            <w:tcW w:w="1736" w:type="dxa"/>
            <w:tcBorders>
              <w:top w:val="nil"/>
              <w:left w:val="nil"/>
              <w:bottom w:val="single" w:sz="4" w:space="0" w:color="808080"/>
              <w:right w:val="nil"/>
            </w:tcBorders>
            <w:vAlign w:val="center"/>
            <w:hideMark/>
          </w:tcPr>
          <w:p w14:paraId="514A52A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160" w:type="dxa"/>
            <w:tcBorders>
              <w:top w:val="nil"/>
              <w:left w:val="nil"/>
              <w:bottom w:val="single" w:sz="4" w:space="0" w:color="808080"/>
              <w:right w:val="nil"/>
            </w:tcBorders>
            <w:vAlign w:val="center"/>
            <w:hideMark/>
          </w:tcPr>
          <w:p w14:paraId="2B51B633"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2002-2004</w:t>
            </w:r>
          </w:p>
        </w:tc>
        <w:tc>
          <w:tcPr>
            <w:tcW w:w="1533" w:type="dxa"/>
            <w:tcBorders>
              <w:top w:val="nil"/>
              <w:left w:val="nil"/>
              <w:bottom w:val="single" w:sz="4" w:space="0" w:color="808080"/>
              <w:right w:val="nil"/>
            </w:tcBorders>
            <w:vAlign w:val="center"/>
            <w:hideMark/>
          </w:tcPr>
          <w:p w14:paraId="78C77AB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6DCED3CC" w14:textId="77777777" w:rsidTr="00B842AC">
        <w:trPr>
          <w:trHeight w:val="486"/>
        </w:trPr>
        <w:tc>
          <w:tcPr>
            <w:tcW w:w="1805" w:type="dxa"/>
            <w:tcBorders>
              <w:top w:val="nil"/>
              <w:left w:val="nil"/>
              <w:bottom w:val="single" w:sz="8" w:space="0" w:color="auto"/>
              <w:right w:val="nil"/>
            </w:tcBorders>
            <w:vAlign w:val="center"/>
            <w:hideMark/>
          </w:tcPr>
          <w:p w14:paraId="1FA1FFD9" w14:textId="51E624A0"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{"citationItems":[{"id":"ITEM-1","itemData":{"DOI":"10.1111/j.1440-1746.2006.04292.x","author":[{"dropping-particle":"","family":"Zargar","given":"Showkat Ali","non-dropping-particle":"","parse-names":false,"suffix":""},{"dropping-particle":"","family":"Javid","given":"Gul","non-dropping-particle":"","parse-names":false,"suffix":""},{"dropping-particle":"","family":"Khan","given":"Bashir Ahmad","non-dropping-particle":"","parse-names":false,"suffix":""},{"dropping-particle":"","family":"Yattoo","given":"Ghulam Nabi","non-dropping-particle":"","parse-names":false,"suffix":""},{"dropping-particle":"","family":"Shah","given":"Altaf Hussain","non-dropping-particle":"","parse-names":false,"suffix":""},{"dropping-particle":"","family":"Gulzar","given":"Ghulam Mohammad","non-dropping-particle":"","parse-names":false,"suffix":""},{"dropping-particle":"","family":"Sodhi","given":"Jaswinder Singh","non-dropping-particle":"","parse-names":false,"suffix":""},{"dropping-particle":"","family":"Mujeeb","given":"Sheikh Abdul","non-dropping-particle":"","parse-names":false,"suffix":""},{"dropping-particle":"","family":"Khan","given":"Mushtaq Ahmad","non-dropping-particle":"","parse-names":false,"suffix":""},{"dropping-particle":"","family":"Shah","given":"Nisar Ahmad","non-dropping-particle":"","parse-names":false,"suffix":""},{"dropping-particle":"","family":"Shafi","given":"Hakim Mohamad","non-dropping-particle":"","parse-names":false,"suffix":""}],"container-title":"Journal of gastroenterology and hepatology","id":"ITEM-1","issued":{"date-parts":[["2006"]]},"note":"NULL","page":"716-721","title":"Pantoprazole infusion as adjuvant therapy to endoscopic treatment in patients with peptic ulcer bleeding : Prospective randomized controlled trial","type":"article-journal","volume":"21"},"uris":["http://www.mendeley.com/documents/?uuid=0157f6f1-2afb-4e84-ae73-b3d0d6d37f6e"]}],"mendeley":{"formattedCitation":"(Zargar et al. 2006)","plainTextFormattedCitation":"(Zargar et al. 2006)","previouslyFormattedCitation":"(Zargar et al. 2006)"},"properties":{"noteIndex":0},"schema":"https://github.com/citation-style-language/schema/raw/master/csl-citation.json"}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(Zargar et al. 2006)</w:t>
            </w:r>
            <w:r>
              <w:rPr>
                <w:rFonts w:ascii="Calibri" w:eastAsia="Times New Roman" w:hAnsi="Calibri" w:cs="Times New Roman"/>
                <w:color w:val="000000"/>
                <w:sz w:val="20"/>
                <w:szCs w:val="20"/>
                <w:lang w:eastAsia="en-CA"/>
              </w:rPr>
              <w:fldChar w:fldCharType="end"/>
            </w:r>
          </w:p>
        </w:tc>
        <w:tc>
          <w:tcPr>
            <w:tcW w:w="1985" w:type="dxa"/>
            <w:tcBorders>
              <w:top w:val="nil"/>
              <w:left w:val="nil"/>
              <w:bottom w:val="single" w:sz="8" w:space="0" w:color="auto"/>
              <w:right w:val="nil"/>
            </w:tcBorders>
            <w:vAlign w:val="center"/>
            <w:hideMark/>
          </w:tcPr>
          <w:p w14:paraId="24E0EE4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Pantoprazole</w:t>
            </w:r>
          </w:p>
        </w:tc>
        <w:tc>
          <w:tcPr>
            <w:tcW w:w="2022" w:type="dxa"/>
            <w:tcBorders>
              <w:top w:val="nil"/>
              <w:left w:val="nil"/>
              <w:bottom w:val="single" w:sz="8" w:space="0" w:color="auto"/>
              <w:right w:val="nil"/>
            </w:tcBorders>
            <w:vAlign w:val="center"/>
            <w:hideMark/>
          </w:tcPr>
          <w:p w14:paraId="642176A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w:t>
            </w:r>
          </w:p>
        </w:tc>
        <w:tc>
          <w:tcPr>
            <w:tcW w:w="2410" w:type="dxa"/>
            <w:tcBorders>
              <w:top w:val="nil"/>
              <w:left w:val="nil"/>
              <w:bottom w:val="single" w:sz="8" w:space="0" w:color="auto"/>
              <w:right w:val="nil"/>
            </w:tcBorders>
            <w:vAlign w:val="center"/>
            <w:hideMark/>
          </w:tcPr>
          <w:p w14:paraId="72D1B73C"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(unclear - maximum of 6 weeks)</w:t>
            </w:r>
          </w:p>
        </w:tc>
        <w:tc>
          <w:tcPr>
            <w:tcW w:w="1736" w:type="dxa"/>
            <w:tcBorders>
              <w:top w:val="nil"/>
              <w:left w:val="nil"/>
              <w:bottom w:val="single" w:sz="8" w:space="0" w:color="auto"/>
              <w:right w:val="nil"/>
            </w:tcBorders>
            <w:vAlign w:val="center"/>
            <w:hideMark/>
          </w:tcPr>
          <w:p w14:paraId="726F7F7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Follow up visits;</w:t>
            </w:r>
          </w:p>
        </w:tc>
        <w:tc>
          <w:tcPr>
            <w:tcW w:w="1160" w:type="dxa"/>
            <w:tcBorders>
              <w:top w:val="nil"/>
              <w:left w:val="nil"/>
              <w:bottom w:val="single" w:sz="8" w:space="0" w:color="auto"/>
              <w:right w:val="nil"/>
            </w:tcBorders>
            <w:vAlign w:val="center"/>
            <w:hideMark/>
          </w:tcPr>
          <w:p w14:paraId="3A78FBA0" w14:textId="77777777" w:rsidR="00B842AC" w:rsidRDefault="00B842AC" w:rsidP="00B842AC">
            <w:pPr>
              <w:spacing w:after="0" w:line="240" w:lineRule="auto"/>
              <w:jc w:val="center"/>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2001-2003</w:t>
            </w:r>
          </w:p>
        </w:tc>
        <w:tc>
          <w:tcPr>
            <w:tcW w:w="1533" w:type="dxa"/>
            <w:tcBorders>
              <w:top w:val="nil"/>
              <w:left w:val="nil"/>
              <w:bottom w:val="single" w:sz="8" w:space="0" w:color="auto"/>
              <w:right w:val="nil"/>
            </w:tcBorders>
            <w:vAlign w:val="center"/>
            <w:hideMark/>
          </w:tcPr>
          <w:p w14:paraId="4E5A006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bl>
    <w:p w14:paraId="32A02B87" w14:textId="77777777" w:rsidR="00B842AC" w:rsidRDefault="00B842AC" w:rsidP="00B842AC">
      <w:pPr>
        <w:rPr>
          <w:rFonts w:ascii="Calibri" w:eastAsia="Times New Roman" w:hAnsi="Calibri" w:cs="Times New Roman"/>
          <w:i/>
          <w:iCs/>
          <w:sz w:val="18"/>
          <w:szCs w:val="18"/>
          <w:lang w:eastAsia="en-CA"/>
        </w:rPr>
      </w:pPr>
      <w:r w:rsidRPr="009A2AF2">
        <w:rPr>
          <w:rFonts w:ascii="Calibri" w:eastAsia="Times New Roman" w:hAnsi="Calibri" w:cs="Times New Roman"/>
          <w:sz w:val="20"/>
          <w:szCs w:val="20"/>
          <w:vertAlign w:val="superscript"/>
          <w:lang w:eastAsia="en-CA"/>
        </w:rPr>
        <w:t>1</w:t>
      </w:r>
      <w:r w:rsidRPr="009A2AF2">
        <w:rPr>
          <w:rFonts w:ascii="Calibri" w:eastAsia="Times New Roman" w:hAnsi="Calibri" w:cs="Times New Roman"/>
          <w:i/>
          <w:iCs/>
          <w:sz w:val="18"/>
          <w:szCs w:val="18"/>
          <w:lang w:eastAsia="en-CA"/>
        </w:rPr>
        <w:t>Cardiac death, defined as an unexpected natural death from circulatory arrest, usually due to a life-threatening ventricular arrhythmia, and that was consistent with an underlying cardiac cause</w:t>
      </w:r>
    </w:p>
    <w:p w14:paraId="52157EA3" w14:textId="337877ED" w:rsidR="00B842AC" w:rsidRDefault="00B842AC" w:rsidP="00B842AC">
      <w:pPr>
        <w:rPr>
          <w:rFonts w:asciiTheme="majorHAnsi" w:eastAsiaTheme="majorEastAsia" w:hAnsiTheme="majorHAnsi" w:cstheme="majorBidi"/>
          <w:b/>
          <w:bCs/>
          <w:i/>
          <w:iCs/>
          <w:color w:val="000000" w:themeColor="text1"/>
        </w:rPr>
      </w:pPr>
      <w:r>
        <w:br w:type="page"/>
      </w:r>
    </w:p>
    <w:p w14:paraId="5DA921FF" w14:textId="75BEC215" w:rsidR="009462F4" w:rsidRDefault="00C91E2E" w:rsidP="00E73B88">
      <w:pPr>
        <w:pStyle w:val="Heading4"/>
        <w:rPr>
          <w:rFonts w:eastAsia="Times New Roman"/>
          <w:lang w:eastAsia="en-CA"/>
        </w:rPr>
      </w:pPr>
      <w:bookmarkStart w:id="20" w:name="_Toc510634440"/>
      <w:r>
        <w:rPr>
          <w:lang w:eastAsia="en-CA"/>
        </w:rPr>
        <w:lastRenderedPageBreak/>
        <w:t xml:space="preserve">Table </w:t>
      </w:r>
      <w:r w:rsidR="00B842AC">
        <w:rPr>
          <w:lang w:eastAsia="en-CA"/>
        </w:rPr>
        <w:t>S3</w:t>
      </w:r>
      <w:r>
        <w:rPr>
          <w:lang w:eastAsia="en-CA"/>
        </w:rPr>
        <w:t>.</w:t>
      </w:r>
      <w:r w:rsidR="009462F4">
        <w:rPr>
          <w:rFonts w:eastAsia="Times New Roman"/>
          <w:lang w:eastAsia="en-CA"/>
        </w:rPr>
        <w:t xml:space="preserve"> </w:t>
      </w:r>
      <w:r w:rsidR="00E73B88">
        <w:rPr>
          <w:rFonts w:eastAsia="Times New Roman"/>
          <w:lang w:eastAsia="en-CA"/>
        </w:rPr>
        <w:t>Characteristics of s</w:t>
      </w:r>
      <w:r w:rsidR="009462F4">
        <w:t xml:space="preserve">tudy design and patient population of studies </w:t>
      </w:r>
      <w:r w:rsidR="009462F4">
        <w:rPr>
          <w:rFonts w:eastAsia="Times New Roman"/>
          <w:lang w:eastAsia="en-CA"/>
        </w:rPr>
        <w:t>that assessed the effect of concomitant PPI and clopidogrel treatment vs clopidogrel alone (Group B).</w:t>
      </w:r>
      <w:bookmarkEnd w:id="20"/>
    </w:p>
    <w:tbl>
      <w:tblPr>
        <w:tblW w:w="14033" w:type="dxa"/>
        <w:tblLayout w:type="fixed"/>
        <w:tblLook w:val="04A0" w:firstRow="1" w:lastRow="0" w:firstColumn="1" w:lastColumn="0" w:noHBand="0" w:noVBand="1"/>
      </w:tblPr>
      <w:tblGrid>
        <w:gridCol w:w="1310"/>
        <w:gridCol w:w="1667"/>
        <w:gridCol w:w="1241"/>
        <w:gridCol w:w="993"/>
        <w:gridCol w:w="4003"/>
        <w:gridCol w:w="1275"/>
        <w:gridCol w:w="1276"/>
        <w:gridCol w:w="1134"/>
        <w:gridCol w:w="1134"/>
      </w:tblGrid>
      <w:tr w:rsidR="009462F4" w:rsidRPr="005C4B89" w14:paraId="309B28A5" w14:textId="77777777" w:rsidTr="005C4B89">
        <w:trPr>
          <w:trHeight w:val="429"/>
          <w:tblHeader/>
        </w:trPr>
        <w:tc>
          <w:tcPr>
            <w:tcW w:w="1310" w:type="dxa"/>
            <w:tcBorders>
              <w:top w:val="single" w:sz="4" w:space="0" w:color="auto"/>
              <w:left w:val="nil"/>
              <w:bottom w:val="single" w:sz="4" w:space="0" w:color="auto"/>
              <w:right w:val="nil"/>
            </w:tcBorders>
            <w:shd w:val="clear" w:color="auto" w:fill="FFFFFF"/>
            <w:vAlign w:val="center"/>
            <w:hideMark/>
          </w:tcPr>
          <w:p w14:paraId="1293E800"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Citation</w:t>
            </w:r>
            <w:r w:rsidRPr="005C4B89">
              <w:rPr>
                <w:rFonts w:ascii="Calibri" w:eastAsia="Times New Roman" w:hAnsi="Calibri" w:cs="Times New Roman"/>
                <w:b/>
                <w:bCs/>
                <w:color w:val="000000"/>
                <w:sz w:val="18"/>
                <w:szCs w:val="18"/>
                <w:lang w:eastAsia="en-CA"/>
              </w:rPr>
              <w:br/>
              <w:t>(Location)</w:t>
            </w:r>
          </w:p>
        </w:tc>
        <w:tc>
          <w:tcPr>
            <w:tcW w:w="1667" w:type="dxa"/>
            <w:tcBorders>
              <w:top w:val="single" w:sz="4" w:space="0" w:color="auto"/>
              <w:left w:val="nil"/>
              <w:bottom w:val="single" w:sz="4" w:space="0" w:color="auto"/>
              <w:right w:val="nil"/>
            </w:tcBorders>
            <w:shd w:val="clear" w:color="auto" w:fill="FFFFFF"/>
            <w:vAlign w:val="center"/>
            <w:hideMark/>
          </w:tcPr>
          <w:p w14:paraId="4F37F854"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Study design</w:t>
            </w:r>
            <w:r w:rsidRPr="005C4B89">
              <w:rPr>
                <w:rFonts w:ascii="Calibri" w:eastAsia="Times New Roman" w:hAnsi="Calibri" w:cs="Times New Roman"/>
                <w:b/>
                <w:bCs/>
                <w:color w:val="000000"/>
                <w:sz w:val="18"/>
                <w:szCs w:val="18"/>
                <w:lang w:eastAsia="en-CA"/>
              </w:rPr>
              <w:br/>
              <w:t>(Setting)</w:t>
            </w:r>
          </w:p>
        </w:tc>
        <w:tc>
          <w:tcPr>
            <w:tcW w:w="1241" w:type="dxa"/>
            <w:tcBorders>
              <w:top w:val="single" w:sz="4" w:space="0" w:color="auto"/>
              <w:left w:val="nil"/>
              <w:bottom w:val="single" w:sz="4" w:space="0" w:color="auto"/>
              <w:right w:val="nil"/>
            </w:tcBorders>
            <w:shd w:val="clear" w:color="auto" w:fill="FFFFFF"/>
            <w:vAlign w:val="center"/>
            <w:hideMark/>
          </w:tcPr>
          <w:p w14:paraId="313E8E6D"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Database/cohort name or NCT identifier</w:t>
            </w:r>
          </w:p>
        </w:tc>
        <w:tc>
          <w:tcPr>
            <w:tcW w:w="993" w:type="dxa"/>
            <w:tcBorders>
              <w:top w:val="single" w:sz="4" w:space="0" w:color="auto"/>
              <w:left w:val="nil"/>
              <w:bottom w:val="single" w:sz="4" w:space="0" w:color="auto"/>
              <w:right w:val="nil"/>
            </w:tcBorders>
            <w:shd w:val="clear" w:color="auto" w:fill="FFFFFF"/>
            <w:vAlign w:val="center"/>
            <w:hideMark/>
          </w:tcPr>
          <w:p w14:paraId="47EAB241"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Patient population</w:t>
            </w:r>
          </w:p>
        </w:tc>
        <w:tc>
          <w:tcPr>
            <w:tcW w:w="4003" w:type="dxa"/>
            <w:tcBorders>
              <w:top w:val="single" w:sz="4" w:space="0" w:color="auto"/>
              <w:left w:val="nil"/>
              <w:bottom w:val="single" w:sz="4" w:space="0" w:color="auto"/>
              <w:right w:val="nil"/>
            </w:tcBorders>
            <w:shd w:val="clear" w:color="auto" w:fill="FFFFFF"/>
            <w:vAlign w:val="center"/>
            <w:hideMark/>
          </w:tcPr>
          <w:p w14:paraId="11C54C78"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Selection criteria</w:t>
            </w:r>
          </w:p>
        </w:tc>
        <w:tc>
          <w:tcPr>
            <w:tcW w:w="1275" w:type="dxa"/>
            <w:tcBorders>
              <w:top w:val="single" w:sz="4" w:space="0" w:color="auto"/>
              <w:left w:val="nil"/>
              <w:bottom w:val="single" w:sz="4" w:space="0" w:color="auto"/>
              <w:right w:val="nil"/>
            </w:tcBorders>
            <w:shd w:val="clear" w:color="auto" w:fill="FFFFFF"/>
            <w:vAlign w:val="center"/>
            <w:hideMark/>
          </w:tcPr>
          <w:p w14:paraId="59135DCD"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Study sample size</w:t>
            </w:r>
          </w:p>
        </w:tc>
        <w:tc>
          <w:tcPr>
            <w:tcW w:w="1276" w:type="dxa"/>
            <w:tcBorders>
              <w:top w:val="single" w:sz="4" w:space="0" w:color="auto"/>
              <w:left w:val="nil"/>
              <w:bottom w:val="single" w:sz="4" w:space="0" w:color="auto"/>
              <w:right w:val="nil"/>
            </w:tcBorders>
            <w:shd w:val="clear" w:color="auto" w:fill="FFFFFF"/>
            <w:vAlign w:val="center"/>
            <w:hideMark/>
          </w:tcPr>
          <w:p w14:paraId="570262E1"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Mean age (years) (sd)</w:t>
            </w:r>
          </w:p>
        </w:tc>
        <w:tc>
          <w:tcPr>
            <w:tcW w:w="1134" w:type="dxa"/>
            <w:tcBorders>
              <w:top w:val="single" w:sz="4" w:space="0" w:color="auto"/>
              <w:left w:val="nil"/>
              <w:bottom w:val="single" w:sz="4" w:space="0" w:color="auto"/>
              <w:right w:val="nil"/>
            </w:tcBorders>
            <w:shd w:val="clear" w:color="auto" w:fill="FFFFFF"/>
            <w:vAlign w:val="center"/>
            <w:hideMark/>
          </w:tcPr>
          <w:p w14:paraId="119830AD"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 Males</w:t>
            </w:r>
          </w:p>
        </w:tc>
        <w:tc>
          <w:tcPr>
            <w:tcW w:w="1134" w:type="dxa"/>
            <w:tcBorders>
              <w:top w:val="single" w:sz="4" w:space="0" w:color="auto"/>
              <w:left w:val="nil"/>
              <w:bottom w:val="single" w:sz="4" w:space="0" w:color="auto"/>
              <w:right w:val="nil"/>
            </w:tcBorders>
            <w:shd w:val="clear" w:color="auto" w:fill="FFFFFF"/>
            <w:vAlign w:val="center"/>
            <w:hideMark/>
          </w:tcPr>
          <w:p w14:paraId="169015A5" w14:textId="77777777" w:rsidR="009462F4" w:rsidRPr="005C4B89" w:rsidRDefault="009462F4">
            <w:pPr>
              <w:spacing w:after="0" w:line="240" w:lineRule="auto"/>
              <w:jc w:val="center"/>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Ethnicity</w:t>
            </w:r>
          </w:p>
        </w:tc>
      </w:tr>
      <w:tr w:rsidR="009462F4" w:rsidRPr="005C4B89" w14:paraId="7CFA7743" w14:textId="77777777" w:rsidTr="001B1380">
        <w:trPr>
          <w:trHeight w:val="371"/>
        </w:trPr>
        <w:tc>
          <w:tcPr>
            <w:tcW w:w="2977" w:type="dxa"/>
            <w:gridSpan w:val="2"/>
            <w:shd w:val="clear" w:color="auto" w:fill="DEEAF6" w:themeFill="accent1" w:themeFillTint="33"/>
            <w:noWrap/>
            <w:vAlign w:val="center"/>
            <w:hideMark/>
          </w:tcPr>
          <w:p w14:paraId="54FEC2A8" w14:textId="77777777" w:rsidR="009462F4" w:rsidRPr="005C4B89" w:rsidRDefault="009462F4">
            <w:pPr>
              <w:spacing w:after="0" w:line="240" w:lineRule="auto"/>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i/>
                <w:iCs/>
                <w:color w:val="000000"/>
                <w:sz w:val="18"/>
                <w:szCs w:val="18"/>
                <w:lang w:eastAsia="en-CA"/>
              </w:rPr>
              <w:t>Observational Studies</w:t>
            </w:r>
          </w:p>
        </w:tc>
        <w:tc>
          <w:tcPr>
            <w:tcW w:w="1241" w:type="dxa"/>
            <w:shd w:val="clear" w:color="auto" w:fill="DEEAF6" w:themeFill="accent1" w:themeFillTint="33"/>
            <w:vAlign w:val="center"/>
            <w:hideMark/>
          </w:tcPr>
          <w:p w14:paraId="4C7E9434" w14:textId="77777777" w:rsidR="009462F4" w:rsidRPr="005C4B89" w:rsidRDefault="009462F4">
            <w:pPr>
              <w:spacing w:after="0" w:line="240" w:lineRule="auto"/>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 </w:t>
            </w:r>
          </w:p>
        </w:tc>
        <w:tc>
          <w:tcPr>
            <w:tcW w:w="993" w:type="dxa"/>
            <w:shd w:val="clear" w:color="auto" w:fill="DEEAF6" w:themeFill="accent1" w:themeFillTint="33"/>
            <w:vAlign w:val="center"/>
            <w:hideMark/>
          </w:tcPr>
          <w:p w14:paraId="2F085B52" w14:textId="77777777" w:rsidR="009462F4" w:rsidRPr="005C4B89" w:rsidRDefault="009462F4">
            <w:pPr>
              <w:spacing w:after="0" w:line="240" w:lineRule="auto"/>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 </w:t>
            </w:r>
          </w:p>
        </w:tc>
        <w:tc>
          <w:tcPr>
            <w:tcW w:w="4003" w:type="dxa"/>
            <w:shd w:val="clear" w:color="auto" w:fill="DEEAF6" w:themeFill="accent1" w:themeFillTint="33"/>
            <w:vAlign w:val="center"/>
            <w:hideMark/>
          </w:tcPr>
          <w:p w14:paraId="6EA416C1" w14:textId="77777777" w:rsidR="009462F4" w:rsidRPr="005C4B89" w:rsidRDefault="009462F4">
            <w:pPr>
              <w:spacing w:after="0" w:line="240" w:lineRule="auto"/>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 </w:t>
            </w:r>
          </w:p>
        </w:tc>
        <w:tc>
          <w:tcPr>
            <w:tcW w:w="1275" w:type="dxa"/>
            <w:shd w:val="clear" w:color="auto" w:fill="DEEAF6" w:themeFill="accent1" w:themeFillTint="33"/>
            <w:vAlign w:val="center"/>
            <w:hideMark/>
          </w:tcPr>
          <w:p w14:paraId="2809CC45" w14:textId="77777777" w:rsidR="009462F4" w:rsidRPr="005C4B89" w:rsidRDefault="009462F4">
            <w:pPr>
              <w:spacing w:after="0" w:line="240" w:lineRule="auto"/>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 </w:t>
            </w:r>
          </w:p>
        </w:tc>
        <w:tc>
          <w:tcPr>
            <w:tcW w:w="1276" w:type="dxa"/>
            <w:shd w:val="clear" w:color="auto" w:fill="DEEAF6" w:themeFill="accent1" w:themeFillTint="33"/>
            <w:vAlign w:val="center"/>
            <w:hideMark/>
          </w:tcPr>
          <w:p w14:paraId="1AEE4B1C" w14:textId="77777777" w:rsidR="009462F4" w:rsidRPr="005C4B89" w:rsidRDefault="009462F4">
            <w:pPr>
              <w:spacing w:after="0" w:line="240" w:lineRule="auto"/>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 </w:t>
            </w:r>
          </w:p>
        </w:tc>
        <w:tc>
          <w:tcPr>
            <w:tcW w:w="1134" w:type="dxa"/>
            <w:shd w:val="clear" w:color="auto" w:fill="DEEAF6" w:themeFill="accent1" w:themeFillTint="33"/>
            <w:vAlign w:val="center"/>
            <w:hideMark/>
          </w:tcPr>
          <w:p w14:paraId="42C4350F" w14:textId="77777777" w:rsidR="009462F4" w:rsidRPr="005C4B89" w:rsidRDefault="009462F4">
            <w:pPr>
              <w:spacing w:after="0" w:line="240" w:lineRule="auto"/>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 </w:t>
            </w:r>
          </w:p>
        </w:tc>
        <w:tc>
          <w:tcPr>
            <w:tcW w:w="1134" w:type="dxa"/>
            <w:shd w:val="clear" w:color="auto" w:fill="DEEAF6" w:themeFill="accent1" w:themeFillTint="33"/>
            <w:vAlign w:val="center"/>
            <w:hideMark/>
          </w:tcPr>
          <w:p w14:paraId="7C3449A7" w14:textId="77777777" w:rsidR="009462F4" w:rsidRPr="005C4B89" w:rsidRDefault="009462F4">
            <w:pPr>
              <w:spacing w:after="0" w:line="240" w:lineRule="auto"/>
              <w:rPr>
                <w:rFonts w:ascii="Calibri" w:eastAsia="Times New Roman" w:hAnsi="Calibri" w:cs="Times New Roman"/>
                <w:b/>
                <w:bCs/>
                <w:color w:val="000000"/>
                <w:sz w:val="18"/>
                <w:szCs w:val="18"/>
                <w:lang w:eastAsia="en-CA"/>
              </w:rPr>
            </w:pPr>
            <w:r w:rsidRPr="005C4B89">
              <w:rPr>
                <w:rFonts w:ascii="Calibri" w:eastAsia="Times New Roman" w:hAnsi="Calibri" w:cs="Times New Roman"/>
                <w:b/>
                <w:bCs/>
                <w:color w:val="000000"/>
                <w:sz w:val="18"/>
                <w:szCs w:val="18"/>
                <w:lang w:eastAsia="en-CA"/>
              </w:rPr>
              <w:t> </w:t>
            </w:r>
          </w:p>
        </w:tc>
      </w:tr>
      <w:tr w:rsidR="009462F4" w:rsidRPr="005C4B89" w14:paraId="54576EB4" w14:textId="77777777" w:rsidTr="005C4B89">
        <w:trPr>
          <w:trHeight w:val="1095"/>
        </w:trPr>
        <w:tc>
          <w:tcPr>
            <w:tcW w:w="1310" w:type="dxa"/>
            <w:tcBorders>
              <w:top w:val="single" w:sz="4" w:space="0" w:color="808080"/>
              <w:left w:val="nil"/>
              <w:bottom w:val="single" w:sz="4" w:space="0" w:color="808080"/>
              <w:right w:val="nil"/>
            </w:tcBorders>
            <w:shd w:val="clear" w:color="auto" w:fill="FFFFFF"/>
            <w:vAlign w:val="center"/>
            <w:hideMark/>
          </w:tcPr>
          <w:p w14:paraId="362DE711" w14:textId="331AE630"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{"citationItems":[{"id":"ITEM-1","itemData":{"ISSN":"1522-726X","abstract":"The aim of this study was to evaluate whether combination therapy of clopidogrel and proton pump inhibitors (PPIs) causes higher numbers of cardiovascular events than clopidogrel alone in Japanese patients. PPIs are often prescribed in combination with clopidogrel following coronary stenting. PPIs are reported to diminish the effect of clopidogrel because both are metabolized by CYP2C19. However, no reports address the effects of PPIs on cardiovascular events following coronary stenting in the Japanese population. A total of 1,887 patients treated with clopidogrel following coronary stenting were enrolled in the Ibaraki Cardiac Assessment Study (ICAS) registry. All subjects were classified into two groups according to treatment without (n = 819) or with (n = 1,068) PPI. Propensity score analysis matched 1:1 according to treatment without PPI (n = 500) or with PPI (n = 500). Primary endpoint was the composite of all-cause death or myocardial infarction. No significant difference was observed in the primary endpoint between the group without PPI and the group with PPI (4.6% vs. 4.6%, P = 0.77). In contrast, a significant difference was found between the group without PPI and with PPI in regard to the incidence of gastrointestinal bleeding at the end of the follow-up period and the specific PPI prescribed (2.4% vs. 0.8%, adjusted HR = 0.30, 95% Confidence interval 0.08-0.87, P = 0.026) after propensity score matching. No significant association between PPI use and primary endpoint was observed in the Japanese population, whereas PPI use resulted in a significant reduction in the rate of gastrointestinal bleeding. Copyright © 2012 Wiley Periodicals, Inc.","author":[{"dropping-particle":"","family":"Aihara","given":"Hideaki","non-dropping-particle":"","parse-names":false,"suffix":""},{"dropping-particle":"","family":"Sato","given":"Akira","non-dropping-particle":"","parse-names":false,"suffix":""},{"dropping-particle":"","family":"Takeyasu","given":"Noriyuki","non-dropping-particle":"","parse-names":false,"suffix":""},{"dropping-particle":"","family":"Nishina","given":"Hidetaka","non-dropping-particle":"","parse-names":false,"suffix":""},{"dropping-particle":"","family":"Hoshi","given":"Tomoya","non-dropping-particle":"","parse-names":false,"suffix":""},{"dropping-particle":"","family":"Akiyama","given":"Daiki","non-dropping-particle":"","parse-names":false,"suffix":""},{"dropping-particle":"","family":"Kakefuda","given":"Yuki","non-dropping-particle":"","parse-names":false,"suffix":""},{"dropping-particle":"","family":"Watabe","given":"Hiroaki","non-dropping-particle":"","parse-names":false,"suffix":""},{"dropping-particle":"","family":"Aonuma","given":"Kazutaka","non-dropping-particle":"","parse-names":false,"suffix":""}],"container-title":"Catheterization and cardiovascular interventions : official journal of the Society for Cardiac Angiography &amp; Interventions","id":"ITEM-1","issue":"4","issued":{"date-parts":[["2012"]]},"note":"524","page":"556-563","publisher":"Aihara,Hideaki. Department of Cardiology, Moriya Daiichi General Hospital, Moriya, Japan.","publisher-place":"H. Aihara, Department of Cardiology, Moriya Daiichi General Hospital, Moriya, Japan.","title":"Effect of individual proton pump inhibitors on cardiovascular events in patients treated with clopidogrel following coronary stenting: results from the Ibaraki Cardiac Assessment Study Registry","type":"article-journal","volume":"80"},"uris":["http://www.mendeley.com/documents/?uuid=ebb2a582-ffa8-4744-9977-a3375c5a6930"]}],"mendeley":{"formattedCitation":"(Aihara et al. 2012)","plainTextFormattedCitation":"(Aihara et al. 2012)","previouslyFormattedCitation":"(Aihara et al. 2012)"},"properties":{"noteIndex":0},"schema":"https://github.com/citation-style-language/schema/raw/master/csl-citation.json"}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(Aihara et al. 2012)</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(Japan)</w:t>
            </w:r>
          </w:p>
        </w:tc>
        <w:tc>
          <w:tcPr>
            <w:tcW w:w="1667" w:type="dxa"/>
            <w:tcBorders>
              <w:top w:val="single" w:sz="4" w:space="0" w:color="808080"/>
              <w:left w:val="nil"/>
              <w:bottom w:val="single" w:sz="4" w:space="0" w:color="808080"/>
              <w:right w:val="nil"/>
            </w:tcBorders>
            <w:shd w:val="clear" w:color="auto" w:fill="FFFFFF"/>
            <w:vAlign w:val="center"/>
            <w:hideMark/>
          </w:tcPr>
          <w:p w14:paraId="1A06482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(hospital registries (12 centers)</w:t>
            </w:r>
          </w:p>
        </w:tc>
        <w:tc>
          <w:tcPr>
            <w:tcW w:w="1241" w:type="dxa"/>
            <w:tcBorders>
              <w:top w:val="single" w:sz="4" w:space="0" w:color="808080"/>
              <w:left w:val="nil"/>
              <w:bottom w:val="single" w:sz="4" w:space="0" w:color="808080"/>
              <w:right w:val="nil"/>
            </w:tcBorders>
            <w:shd w:val="clear" w:color="auto" w:fill="FFFFFF"/>
            <w:vAlign w:val="center"/>
            <w:hideMark/>
          </w:tcPr>
          <w:p w14:paraId="7E0BA76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Ibaraki Cardiac Assessment Study (ICAS) registry</w:t>
            </w:r>
          </w:p>
        </w:tc>
        <w:tc>
          <w:tcPr>
            <w:tcW w:w="993" w:type="dxa"/>
            <w:tcBorders>
              <w:top w:val="single" w:sz="4" w:space="0" w:color="808080"/>
              <w:left w:val="nil"/>
              <w:bottom w:val="single" w:sz="4" w:space="0" w:color="808080"/>
              <w:right w:val="nil"/>
            </w:tcBorders>
            <w:shd w:val="clear" w:color="auto" w:fill="FFFFFF"/>
            <w:vAlign w:val="center"/>
            <w:hideMark/>
          </w:tcPr>
          <w:p w14:paraId="20214DE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PCI with stent</w:t>
            </w:r>
          </w:p>
        </w:tc>
        <w:tc>
          <w:tcPr>
            <w:tcW w:w="4003" w:type="dxa"/>
            <w:tcBorders>
              <w:top w:val="single" w:sz="4" w:space="0" w:color="808080"/>
              <w:left w:val="nil"/>
              <w:bottom w:val="single" w:sz="4" w:space="0" w:color="808080"/>
              <w:right w:val="nil"/>
            </w:tcBorders>
            <w:shd w:val="clear" w:color="auto" w:fill="FFFFFF"/>
            <w:vAlign w:val="center"/>
            <w:hideMark/>
          </w:tcPr>
          <w:p w14:paraId="38B6F8D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-informed consent</w:t>
            </w:r>
            <w:r w:rsidRPr="005C4B89">
              <w:rPr>
                <w:rFonts w:ascii="Calibri" w:eastAsia="Times New Roman" w:hAnsi="Calibri" w:cs="Times New Roman"/>
                <w:color w:val="000000"/>
                <w:sz w:val="18"/>
                <w:szCs w:val="18"/>
                <w:lang w:eastAsia="en-CA"/>
              </w:rPr>
              <w:br/>
              <w:t>-underwent PCI +stenting between Feb 2006-Aug 2009</w:t>
            </w:r>
            <w:r w:rsidRPr="005C4B89">
              <w:rPr>
                <w:rFonts w:ascii="Calibri" w:eastAsia="Times New Roman" w:hAnsi="Calibri" w:cs="Times New Roman"/>
                <w:color w:val="000000"/>
                <w:sz w:val="18"/>
                <w:szCs w:val="18"/>
                <w:lang w:eastAsia="en-CA"/>
              </w:rPr>
              <w:br/>
              <w:t>-treated with CP following stenting</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-not prescribed CP after discharge</w:t>
            </w:r>
            <w:r w:rsidRPr="005C4B89">
              <w:rPr>
                <w:rFonts w:ascii="Calibri" w:eastAsia="Times New Roman" w:hAnsi="Calibri" w:cs="Times New Roman"/>
                <w:color w:val="000000"/>
                <w:sz w:val="18"/>
                <w:szCs w:val="18"/>
                <w:lang w:eastAsia="en-CA"/>
              </w:rPr>
              <w:br/>
              <w:t>-patients confirmed to have discontinued or newly started PPIs after discharge</w:t>
            </w:r>
            <w:r w:rsidRPr="005C4B89">
              <w:rPr>
                <w:rFonts w:ascii="Calibri" w:eastAsia="Times New Roman" w:hAnsi="Calibri" w:cs="Times New Roman"/>
                <w:color w:val="000000"/>
                <w:sz w:val="18"/>
                <w:szCs w:val="18"/>
                <w:lang w:eastAsia="en-CA"/>
              </w:rPr>
              <w:br/>
              <w:t xml:space="preserve">-non Ibaraki residents </w:t>
            </w:r>
            <w:r w:rsidRPr="005C4B89">
              <w:rPr>
                <w:rFonts w:ascii="Calibri" w:eastAsia="Times New Roman" w:hAnsi="Calibri" w:cs="Times New Roman"/>
                <w:color w:val="000000"/>
                <w:sz w:val="18"/>
                <w:szCs w:val="18"/>
                <w:lang w:eastAsia="en-CA"/>
              </w:rPr>
              <w:br/>
              <w:t>-patients that could not be linked to hospital discharge billing (to avoid loss to follow up)</w:t>
            </w:r>
          </w:p>
        </w:tc>
        <w:tc>
          <w:tcPr>
            <w:tcW w:w="1275" w:type="dxa"/>
            <w:tcBorders>
              <w:top w:val="single" w:sz="4" w:space="0" w:color="808080"/>
              <w:left w:val="nil"/>
              <w:bottom w:val="single" w:sz="4" w:space="0" w:color="808080"/>
              <w:right w:val="nil"/>
            </w:tcBorders>
            <w:shd w:val="clear" w:color="auto" w:fill="FFFFFF"/>
            <w:vAlign w:val="center"/>
            <w:hideMark/>
          </w:tcPr>
          <w:p w14:paraId="5E74A94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1,887 </w:t>
            </w:r>
            <w:r w:rsidRPr="005C4B89">
              <w:rPr>
                <w:rFonts w:ascii="Calibri" w:eastAsia="Times New Roman" w:hAnsi="Calibri" w:cs="Times New Roman"/>
                <w:color w:val="000000"/>
                <w:sz w:val="18"/>
                <w:szCs w:val="18"/>
                <w:lang w:eastAsia="en-CA"/>
              </w:rPr>
              <w:br/>
              <w:t>(PPI: 1,068; No PPI: 819)</w:t>
            </w:r>
          </w:p>
        </w:tc>
        <w:tc>
          <w:tcPr>
            <w:tcW w:w="1276" w:type="dxa"/>
            <w:tcBorders>
              <w:top w:val="single" w:sz="4" w:space="0" w:color="808080"/>
              <w:left w:val="nil"/>
              <w:bottom w:val="single" w:sz="4" w:space="0" w:color="808080"/>
              <w:right w:val="nil"/>
            </w:tcBorders>
            <w:shd w:val="clear" w:color="auto" w:fill="FFFFFF"/>
            <w:vAlign w:val="center"/>
            <w:hideMark/>
          </w:tcPr>
          <w:p w14:paraId="3C8F78A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69 (11)</w:t>
            </w:r>
            <w:r w:rsidRPr="005C4B89">
              <w:rPr>
                <w:rFonts w:ascii="Calibri" w:eastAsia="Times New Roman" w:hAnsi="Calibri" w:cs="Times New Roman"/>
                <w:color w:val="000000"/>
                <w:sz w:val="18"/>
                <w:szCs w:val="18"/>
                <w:lang w:eastAsia="en-CA"/>
              </w:rPr>
              <w:br/>
              <w:t>no PPI: 68 (10)</w:t>
            </w:r>
          </w:p>
        </w:tc>
        <w:tc>
          <w:tcPr>
            <w:tcW w:w="1134" w:type="dxa"/>
            <w:tcBorders>
              <w:top w:val="single" w:sz="4" w:space="0" w:color="808080"/>
              <w:left w:val="nil"/>
              <w:bottom w:val="single" w:sz="4" w:space="0" w:color="808080"/>
              <w:right w:val="nil"/>
            </w:tcBorders>
            <w:shd w:val="clear" w:color="auto" w:fill="FFFFFF"/>
            <w:vAlign w:val="center"/>
            <w:hideMark/>
          </w:tcPr>
          <w:p w14:paraId="6713EF9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 PPI: 76</w:t>
            </w:r>
            <w:r w:rsidRPr="005C4B89">
              <w:rPr>
                <w:rFonts w:ascii="Calibri" w:eastAsia="Times New Roman" w:hAnsi="Calibri" w:cs="Times New Roman"/>
                <w:color w:val="000000"/>
                <w:sz w:val="18"/>
                <w:szCs w:val="18"/>
                <w:lang w:eastAsia="en-CA"/>
              </w:rPr>
              <w:br/>
              <w:t>PPI: 74%</w:t>
            </w:r>
          </w:p>
        </w:tc>
        <w:tc>
          <w:tcPr>
            <w:tcW w:w="1134" w:type="dxa"/>
            <w:tcBorders>
              <w:top w:val="single" w:sz="4" w:space="0" w:color="808080"/>
              <w:left w:val="nil"/>
              <w:bottom w:val="single" w:sz="4" w:space="0" w:color="808080"/>
              <w:right w:val="nil"/>
            </w:tcBorders>
            <w:shd w:val="clear" w:color="auto" w:fill="FFFFFF"/>
            <w:vAlign w:val="center"/>
            <w:hideMark/>
          </w:tcPr>
          <w:p w14:paraId="02DC312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Asian</w:t>
            </w:r>
          </w:p>
        </w:tc>
      </w:tr>
      <w:tr w:rsidR="009462F4" w:rsidRPr="005C4B89" w14:paraId="61DD9844"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0FCDF797" w14:textId="7FCC75F8"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{"citationItems":[{"id":"ITEM-1","itemData":{"ISBN":"0002-9149","ISSN":"1879-1913","abstract":"The aim of the present study was to analyze the effect of drug exposure patterns of clopidogrel and proton pump inhibitors (PPIs) on the clinical outcomes after percutaneous coronary intervention (PCI). Previous analyses predominantly included discharge medications and did not explore the effect of the drug exposure patterns. We analyzed all-cause death, nonfatal myocardial infarction, repeat revascularization, and major adverse cardiovascular events (MACE) in a cohort of 23,200 post-PCI patients (January 2003 to December 2008) using a multivariate adjusted Cox model and propensity-matched case-control analysis. The adjusted hazard ratio for MACE on PPI according to the exposure patterns of clopidogrel after PCI for 6 years was 1.24 (95% confidence interval [CI] 1.11 to 1.38) and 1.12 (95% CI 1.03 to 1.22) for \"continuous\" (consistent clopidogrel with or without PPIs) and \"switched\" (clopidogrel with or without varying PPIs) respectively. However, the propensity score adjusted odds ratios for MACE on PPI use was 0.97 (95% CI 0.65 to 1.44) for \"continuous\" and 1.04 (95% CI 0.87 to 1.25) for \"switched.\" Moreover, in the first year after PCI, the use of \"rescue\" (&lt;30 days before MACE) nitroglycerin was greater in the patients taking clopidogrel and PPIs than in those taking clopidogrel alone, as was the overall use of rescue PPIs (p &lt;0.001). In conclusion, PPI use in clopidogrel-treated post-PCI patients was not associated with an increased risk of MACE after controlling for the confounding effect of PPI use with propensity matching. A potential for the misdiagnosis of angina symptoms and rescue use of nitroglycerin and PPIs in post-PCI patients exists, a finding that might have confounded previous observational analyses.Copyright Published by Elsevier Inc.","author":[{"dropping-particle":"","family":"Banerjee","given":"Subhash","non-dropping-particle":"","parse-names":false,"suffix":""},{"dropping-particle":"","family":"Weideman","given":"Rick A","non-dropping-particle":"","parse-names":false,"suffix":""},{"dropping-particle":"","family":"Weideman","given":"Mark W","non-dropping-particle":"","parse-names":false,"suffix":""},{"dropping-particle":"","family":"Little","given":"Bertis B","non-dropping-particle":"","parse-names":false,"suffix":""},{"dropping-particle":"","family":"Kelly","given":"Kevin C","non-dropping-particle":"","parse-names":false,"suffix":""},{"dropping-particle":"","family":"Gunter","given":"Jennifer T","non-dropping-particle":"","parse-names":false,"suffix":""},{"dropping-particle":"","family":"Tortorice","given":"Kathryn L","non-dropping-particle":"","parse-names":false,"suffix":""},{"dropping-particle":"","family":"Shank","given":"Michelle","non-dropping-particle":"","parse-names":false,"suffix":""},{"dropping-particle":"","family":"Cryer","given":"Byron","non-dropping-particle":"","parse-names":false,"suffix":""},{"dropping-particle":"","family":"Reilly","given":"Robert F","non-dropping-particle":"","parse-names":false,"suffix":""},{"dropping-particle":"V","family":"Rao","given":"Sunil","non-dropping-particle":"","parse-names":false,"suffix":""},{"dropping-particle":"","family":"Kastrati","given":"Adnan","non-dropping-particle":"","parse-names":false,"suffix":""},{"dropping-particle":"","family":"Lemos","given":"James A","non-dropping-particle":"de","parse-names":false,"suffix":""},{"dropping-particle":"","family":"Brilakis","given":"Emmanouil S","non-dropping-particle":"","parse-names":false,"suffix":""},{"dropping-particle":"","family":"Bhatt","given":"Deepak L","non-dropping-particle":"","parse-names":false,"suffix":""}],"container-title":"American Journal of Cardiology","id":"ITEM-1","issue":"6","issued":{"date-parts":[["2011"]]},"note":"634","page":"871-878","publisher":"Elsevier Inc. (360 Park Avenue South, New York NY 10010, United States)","publisher-place":"United States","title":"Effect of concomitant use of clopidogrel and proton pump inhibitors after percutaneous coronary intervention","type":"article-journal","volume":"107"},"uris":["http://www.mendeley.com/documents/?uuid=ccbc9ed4-bca9-4d8a-8bd9-9a63c9474760"]}],"mendeley":{"formattedCitation":"(Banerjee et al. 2011)","plainTextFormattedCitation":"(Banerjee et al. 2011)","previouslyFormattedCitation":"(Banerjee et al. 2011)"},"properties":{"noteIndex":0},"schema":"https://github.com/citation-style-language/schema/raw/master/csl-citation.json"}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(Banerjee et al. 2011)</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(USA)</w:t>
            </w:r>
          </w:p>
        </w:tc>
        <w:tc>
          <w:tcPr>
            <w:tcW w:w="1667" w:type="dxa"/>
            <w:tcBorders>
              <w:top w:val="nil"/>
              <w:left w:val="nil"/>
              <w:bottom w:val="single" w:sz="4" w:space="0" w:color="808080"/>
              <w:right w:val="nil"/>
            </w:tcBorders>
            <w:shd w:val="clear" w:color="auto" w:fill="FFFFFF"/>
            <w:vAlign w:val="center"/>
            <w:hideMark/>
          </w:tcPr>
          <w:p w14:paraId="6BA00F2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analysis, hospitalized patients)</w:t>
            </w:r>
          </w:p>
        </w:tc>
        <w:tc>
          <w:tcPr>
            <w:tcW w:w="1241" w:type="dxa"/>
            <w:tcBorders>
              <w:top w:val="nil"/>
              <w:left w:val="nil"/>
              <w:bottom w:val="single" w:sz="4" w:space="0" w:color="808080"/>
              <w:right w:val="nil"/>
            </w:tcBorders>
            <w:shd w:val="clear" w:color="auto" w:fill="FFFFFF"/>
            <w:vAlign w:val="center"/>
            <w:hideMark/>
          </w:tcPr>
          <w:p w14:paraId="767341C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Veterans Affairs Pharmacy Benefits Management database, National Patient Care Database</w:t>
            </w:r>
          </w:p>
        </w:tc>
        <w:tc>
          <w:tcPr>
            <w:tcW w:w="993" w:type="dxa"/>
            <w:tcBorders>
              <w:top w:val="nil"/>
              <w:left w:val="nil"/>
              <w:bottom w:val="single" w:sz="4" w:space="0" w:color="808080"/>
              <w:right w:val="nil"/>
            </w:tcBorders>
            <w:shd w:val="clear" w:color="auto" w:fill="FFFFFF"/>
            <w:vAlign w:val="center"/>
            <w:hideMark/>
          </w:tcPr>
          <w:p w14:paraId="3EB083D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PCI</w:t>
            </w:r>
          </w:p>
        </w:tc>
        <w:tc>
          <w:tcPr>
            <w:tcW w:w="4003" w:type="dxa"/>
            <w:tcBorders>
              <w:top w:val="nil"/>
              <w:left w:val="nil"/>
              <w:bottom w:val="single" w:sz="4" w:space="0" w:color="808080"/>
              <w:right w:val="nil"/>
            </w:tcBorders>
            <w:shd w:val="clear" w:color="auto" w:fill="FFFFFF"/>
            <w:vAlign w:val="center"/>
            <w:hideMark/>
          </w:tcPr>
          <w:p w14:paraId="14BE4FE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in Veterans affairs pharmacy benefits management database and national patient care database</w:t>
            </w:r>
            <w:r w:rsidRPr="005C4B89">
              <w:rPr>
                <w:rFonts w:ascii="Calibri" w:eastAsia="Times New Roman" w:hAnsi="Calibri" w:cs="Times New Roman"/>
                <w:color w:val="000000"/>
                <w:sz w:val="18"/>
                <w:szCs w:val="18"/>
                <w:lang w:eastAsia="en-CA"/>
              </w:rPr>
              <w:br/>
              <w:t>- PCI with stent implantation between Jan 2003-Dec 2008</w:t>
            </w:r>
            <w:r w:rsidRPr="005C4B89">
              <w:rPr>
                <w:rFonts w:ascii="Calibri" w:eastAsia="Times New Roman" w:hAnsi="Calibri" w:cs="Times New Roman"/>
                <w:color w:val="000000"/>
                <w:sz w:val="18"/>
                <w:szCs w:val="18"/>
                <w:lang w:eastAsia="en-CA"/>
              </w:rPr>
              <w:br/>
              <w:t>- discharged on clopidogrel</w:t>
            </w:r>
            <w:r w:rsidRPr="005C4B89">
              <w:rPr>
                <w:rFonts w:ascii="Calibri" w:eastAsia="Times New Roman" w:hAnsi="Calibri" w:cs="Times New Roman"/>
                <w:color w:val="000000"/>
                <w:sz w:val="18"/>
                <w:szCs w:val="18"/>
                <w:lang w:eastAsia="en-CA"/>
              </w:rPr>
              <w:br/>
              <w:t>- complete demographic and drug refill data</w:t>
            </w:r>
          </w:p>
        </w:tc>
        <w:tc>
          <w:tcPr>
            <w:tcW w:w="1275" w:type="dxa"/>
            <w:tcBorders>
              <w:top w:val="nil"/>
              <w:left w:val="nil"/>
              <w:bottom w:val="single" w:sz="4" w:space="0" w:color="808080"/>
              <w:right w:val="nil"/>
            </w:tcBorders>
            <w:shd w:val="clear" w:color="auto" w:fill="FFFFFF"/>
            <w:vAlign w:val="center"/>
            <w:hideMark/>
          </w:tcPr>
          <w:p w14:paraId="640D373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4,545</w:t>
            </w:r>
            <w:r w:rsidRPr="005C4B89">
              <w:rPr>
                <w:rFonts w:ascii="Calibri" w:eastAsia="Times New Roman" w:hAnsi="Calibri" w:cs="Times New Roman"/>
                <w:color w:val="000000"/>
                <w:sz w:val="18"/>
                <w:szCs w:val="18"/>
                <w:lang w:eastAsia="en-CA"/>
              </w:rPr>
              <w:br/>
              <w:t>(PPI: 867; No PPI: 3,678)</w:t>
            </w:r>
          </w:p>
        </w:tc>
        <w:tc>
          <w:tcPr>
            <w:tcW w:w="1276" w:type="dxa"/>
            <w:tcBorders>
              <w:top w:val="nil"/>
              <w:left w:val="nil"/>
              <w:bottom w:val="single" w:sz="4" w:space="0" w:color="808080"/>
              <w:right w:val="nil"/>
            </w:tcBorders>
            <w:shd w:val="clear" w:color="auto" w:fill="FFFFFF"/>
            <w:vAlign w:val="center"/>
            <w:hideMark/>
          </w:tcPr>
          <w:p w14:paraId="6A0C76C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65: (10)</w:t>
            </w:r>
            <w:r w:rsidRPr="005C4B89">
              <w:rPr>
                <w:rFonts w:ascii="Calibri" w:eastAsia="Times New Roman" w:hAnsi="Calibri" w:cs="Times New Roman"/>
                <w:color w:val="000000"/>
                <w:sz w:val="18"/>
                <w:szCs w:val="18"/>
                <w:lang w:eastAsia="en-CA"/>
              </w:rPr>
              <w:br/>
              <w:t>no PPI: 64 (10)</w:t>
            </w:r>
          </w:p>
        </w:tc>
        <w:tc>
          <w:tcPr>
            <w:tcW w:w="1134" w:type="dxa"/>
            <w:tcBorders>
              <w:top w:val="nil"/>
              <w:left w:val="nil"/>
              <w:bottom w:val="single" w:sz="4" w:space="0" w:color="808080"/>
              <w:right w:val="nil"/>
            </w:tcBorders>
            <w:shd w:val="clear" w:color="auto" w:fill="FFFFFF"/>
            <w:vAlign w:val="center"/>
            <w:hideMark/>
          </w:tcPr>
          <w:p w14:paraId="7B35677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98 (veterans)</w:t>
            </w:r>
          </w:p>
        </w:tc>
        <w:tc>
          <w:tcPr>
            <w:tcW w:w="1134" w:type="dxa"/>
            <w:tcBorders>
              <w:top w:val="nil"/>
              <w:left w:val="nil"/>
              <w:bottom w:val="single" w:sz="4" w:space="0" w:color="808080"/>
              <w:right w:val="nil"/>
            </w:tcBorders>
            <w:shd w:val="clear" w:color="auto" w:fill="FFFFFF"/>
            <w:vAlign w:val="center"/>
            <w:hideMark/>
          </w:tcPr>
          <w:p w14:paraId="4ACE27E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Caucasian, African American, Hispanic, Other</w:t>
            </w:r>
          </w:p>
        </w:tc>
      </w:tr>
      <w:tr w:rsidR="009462F4" w:rsidRPr="005C4B89" w14:paraId="5B2173CF"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56D31D00" w14:textId="1F30504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{"citationItems":[{"id":"ITEM-1","itemData":{"ISBN":"0277-0008","ISSN":"1875-9114","abstract":"Study Objective. To examine the effect of the drug interaction between clopidogrel and proton pump inhibitors (PPIs) on the risk of an adverse cardiovascular event. Design. Population-based, retrospective cohort study. Data Source. IMS LifeLink Health Plan administrative claims database. Patients. A total of 10, 101 patients aged 18 years or older with a diagnosis of acute coronary syndrome (ACS) made during a hospitalization or emergency department visit between 2001 and 2008 and who had their first clopidogrel prescription within 90 days after their ACS diagnosis were included in the study. Patients were stratified according to concurrent use (clopidogrel plus PPI group) or no use (clopidogrel alone group) of the following PPIs: esomeprazole, lansoprazole, omeprazole, pantoprazole, or rabeprazole. Measurements and Main Results. Data were collected on baseline patient demographic and clinical characteristics. Patients were followed from their first clopidogrel prescription until they experienced an adverse cardiovascular event, defined as inpatient hospitalization or emergency department visits for myocardial infarction, percutaneous coronary intervention, or intermediate coronary syndrome; were disenrolled; discontinued clopidogrel; or reached the end of the study period. Using a propensity scoring method, the clopidogrel plus PPI group was matched in a 1:1 ratio with the clopidogrel alone group. Exposure to overlapping clopidogrel-PPI prescriptions was modeled as a time-dependent covariate. The Cox hazards regression model was used to estimate the risk of an adverse cardiovascular event in the clopidogrel plus PPI group versus the clopidogrel alone group. Propensity score matching resulted in 2674 patient pairs. In the propensity score-matched sample, the mean age was 61.30 years, with a mean follow-up of 268 days, and 70.04% were male. Concurrent use of clopidogrel with a PPI was associated with a significantly increased risk of a cardiovascular adverse event (hazard ratio 1.438, 95% confidence interval 1.237-1.671) compared with clopidogrel alone. Conclusion. Concurrent use of clopidogrel plus a PPI was associated with a significant increase in risk of an adverse cardiovascular event in patients with ACS. Large randomized studies are needed to confirm this finding. Until then, clinicians should prescribe the concurrent use of these two drugs cautiously.","author":[{"dropping-particle":"","family":"Bhurke","given":"Sharvari M","non-dropping-particle":"","parse-names":false,"suffix":""},{"dropping-particle":"","family":"Martin","given":"Bradley C","non-dropping-particle":"","parse-names":false,"suffix":""},{"dropping-particle":"","family":"Li","given":"Chenghui","non-dropping-particle":"","parse-names":false,"suffix":""},{"dropping-particle":"","family":"Franks","given":"Amy M","non-dropping-particle":"","parse-names":false,"suffix":""},{"dropping-particle":"","family":"Bursac","given":"Zoran","non-dropping-particle":"","parse-names":false,"suffix":""},{"dropping-particle":"","family":"Said","given":"Qayyim","non-dropping-particle":"","parse-names":false,"suffix":""}],"container-title":"Pharmacotherapy","id":"ITEM-1","issue":"9","issued":{"date-parts":[["2012"]]},"note":"510","page":"809-818","publisher":"Pharmacotherapy Publications Inc. (750 Washington Street, Boston MA 02111, United States)","publisher-place":"United States","title":"Effect of the clopidogrel - Proton Pump Inhibitor drug interaction on adverse cardiovascular events in patients with Acute Coronary Syndrome","type":"article-journal","volume":"32"},"uris":["http://www.mendeley.com/documents/?uuid=df525721-42af-4a49-a8d0-17b7af3d2997"]}],"mendeley":{"formattedCitation":"(Bhurke et al. 2012)","plainTextFormattedCitation":"(Bhurke et al. 2012)","previouslyFormattedCitation":"(Bhurke et al. 2012)"},"properties":{"noteIndex":0},"schema":"https://github.com/citation-style-language/schema/raw/master/csl-citation.json"}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(Bhurke et al. 2012)</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(USA)</w:t>
            </w:r>
          </w:p>
        </w:tc>
        <w:tc>
          <w:tcPr>
            <w:tcW w:w="1667" w:type="dxa"/>
            <w:tcBorders>
              <w:top w:val="nil"/>
              <w:left w:val="nil"/>
              <w:bottom w:val="single" w:sz="4" w:space="0" w:color="808080"/>
              <w:right w:val="nil"/>
            </w:tcBorders>
            <w:shd w:val="clear" w:color="auto" w:fill="FFFFFF"/>
            <w:vAlign w:val="center"/>
            <w:hideMark/>
          </w:tcPr>
          <w:p w14:paraId="7C0C756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analysis,, population based)</w:t>
            </w:r>
          </w:p>
        </w:tc>
        <w:tc>
          <w:tcPr>
            <w:tcW w:w="1241" w:type="dxa"/>
            <w:tcBorders>
              <w:top w:val="nil"/>
              <w:left w:val="nil"/>
              <w:bottom w:val="single" w:sz="4" w:space="0" w:color="808080"/>
              <w:right w:val="nil"/>
            </w:tcBorders>
            <w:shd w:val="clear" w:color="auto" w:fill="FFFFFF"/>
            <w:vAlign w:val="center"/>
            <w:hideMark/>
          </w:tcPr>
          <w:p w14:paraId="050183B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IMS LifeLink Health Plan </w:t>
            </w:r>
          </w:p>
        </w:tc>
        <w:tc>
          <w:tcPr>
            <w:tcW w:w="993" w:type="dxa"/>
            <w:tcBorders>
              <w:top w:val="nil"/>
              <w:left w:val="nil"/>
              <w:bottom w:val="single" w:sz="4" w:space="0" w:color="808080"/>
              <w:right w:val="nil"/>
            </w:tcBorders>
            <w:shd w:val="clear" w:color="auto" w:fill="FFFFFF"/>
            <w:vAlign w:val="center"/>
            <w:hideMark/>
          </w:tcPr>
          <w:p w14:paraId="262677B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ACS</w:t>
            </w:r>
          </w:p>
        </w:tc>
        <w:tc>
          <w:tcPr>
            <w:tcW w:w="4003" w:type="dxa"/>
            <w:tcBorders>
              <w:top w:val="nil"/>
              <w:left w:val="nil"/>
              <w:bottom w:val="single" w:sz="4" w:space="0" w:color="808080"/>
              <w:right w:val="nil"/>
            </w:tcBorders>
            <w:shd w:val="clear" w:color="auto" w:fill="FFFFFF"/>
            <w:vAlign w:val="center"/>
            <w:hideMark/>
          </w:tcPr>
          <w:p w14:paraId="2CCB93D4" w14:textId="4E6F9E48"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ACS patients</w:t>
            </w:r>
            <w:r w:rsidRPr="005C4B89">
              <w:rPr>
                <w:rFonts w:ascii="Calibri" w:eastAsia="Times New Roman" w:hAnsi="Calibri" w:cs="Times New Roman"/>
                <w:color w:val="000000"/>
                <w:sz w:val="18"/>
                <w:szCs w:val="18"/>
                <w:lang w:eastAsia="en-CA"/>
              </w:rPr>
              <w:br/>
              <w:t>- 18+</w:t>
            </w:r>
            <w:r w:rsidRPr="005C4B89">
              <w:rPr>
                <w:rFonts w:ascii="Calibri" w:eastAsia="Times New Roman" w:hAnsi="Calibri" w:cs="Times New Roman"/>
                <w:color w:val="000000"/>
                <w:sz w:val="18"/>
                <w:szCs w:val="18"/>
                <w:lang w:eastAsia="en-CA"/>
              </w:rPr>
              <w:br/>
              <w:t xml:space="preserve">- ER visit or hospitalization </w:t>
            </w:r>
            <w:r w:rsidRPr="005C4B89">
              <w:rPr>
                <w:rFonts w:ascii="Calibri" w:eastAsia="Times New Roman" w:hAnsi="Calibri" w:cs="Times New Roman"/>
                <w:color w:val="000000"/>
                <w:sz w:val="18"/>
                <w:szCs w:val="18"/>
                <w:lang w:eastAsia="en-CA"/>
              </w:rPr>
              <w:br/>
              <w:t>- new clopidogrel users (within 90 days after diagnosis) and no clopidogrel use 180 days prior to ACS diagnosis</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ACS diagnosis during 180 days prior to index date (first clopidogrel prescription)</w:t>
            </w:r>
          </w:p>
        </w:tc>
        <w:tc>
          <w:tcPr>
            <w:tcW w:w="1275" w:type="dxa"/>
            <w:tcBorders>
              <w:top w:val="nil"/>
              <w:left w:val="nil"/>
              <w:bottom w:val="single" w:sz="4" w:space="0" w:color="808080"/>
              <w:right w:val="nil"/>
            </w:tcBorders>
            <w:shd w:val="clear" w:color="auto" w:fill="FFFFFF"/>
            <w:vAlign w:val="center"/>
            <w:hideMark/>
          </w:tcPr>
          <w:p w14:paraId="18F2F88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10,101</w:t>
            </w:r>
            <w:r w:rsidRPr="005C4B89">
              <w:rPr>
                <w:rFonts w:ascii="Calibri" w:eastAsia="Times New Roman" w:hAnsi="Calibri" w:cs="Times New Roman"/>
                <w:color w:val="000000"/>
                <w:sz w:val="18"/>
                <w:szCs w:val="18"/>
                <w:lang w:eastAsia="en-CA"/>
              </w:rPr>
              <w:br/>
              <w:t>(PPI: 2,958; No PPI: 7,143)</w:t>
            </w:r>
          </w:p>
        </w:tc>
        <w:tc>
          <w:tcPr>
            <w:tcW w:w="1276" w:type="dxa"/>
            <w:tcBorders>
              <w:top w:val="nil"/>
              <w:left w:val="nil"/>
              <w:bottom w:val="single" w:sz="4" w:space="0" w:color="808080"/>
              <w:right w:val="nil"/>
            </w:tcBorders>
            <w:shd w:val="clear" w:color="auto" w:fill="FFFFFF"/>
            <w:vAlign w:val="center"/>
            <w:hideMark/>
          </w:tcPr>
          <w:p w14:paraId="3C34CB4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61 (12)</w:t>
            </w:r>
            <w:r w:rsidRPr="005C4B89">
              <w:rPr>
                <w:rFonts w:ascii="Calibri" w:eastAsia="Times New Roman" w:hAnsi="Calibri" w:cs="Times New Roman"/>
                <w:color w:val="000000"/>
                <w:sz w:val="18"/>
                <w:szCs w:val="18"/>
                <w:lang w:eastAsia="en-CA"/>
              </w:rPr>
              <w:br/>
              <w:t>no PPI: 61 (12)</w:t>
            </w:r>
            <w:r w:rsidRPr="005C4B89">
              <w:rPr>
                <w:rFonts w:ascii="Calibri" w:eastAsia="Times New Roman" w:hAnsi="Calibri" w:cs="Times New Roman"/>
                <w:color w:val="000000"/>
                <w:sz w:val="18"/>
                <w:szCs w:val="18"/>
                <w:lang w:eastAsia="en-CA"/>
              </w:rPr>
              <w:br/>
              <w:t>(PS matched cohorts)</w:t>
            </w:r>
          </w:p>
        </w:tc>
        <w:tc>
          <w:tcPr>
            <w:tcW w:w="1134" w:type="dxa"/>
            <w:tcBorders>
              <w:top w:val="nil"/>
              <w:left w:val="nil"/>
              <w:bottom w:val="single" w:sz="4" w:space="0" w:color="808080"/>
              <w:right w:val="nil"/>
            </w:tcBorders>
            <w:shd w:val="clear" w:color="auto" w:fill="FFFFFF"/>
            <w:vAlign w:val="center"/>
            <w:hideMark/>
          </w:tcPr>
          <w:p w14:paraId="5066344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70</w:t>
            </w:r>
          </w:p>
        </w:tc>
        <w:tc>
          <w:tcPr>
            <w:tcW w:w="1134" w:type="dxa"/>
            <w:tcBorders>
              <w:top w:val="nil"/>
              <w:left w:val="nil"/>
              <w:bottom w:val="single" w:sz="4" w:space="0" w:color="808080"/>
              <w:right w:val="nil"/>
            </w:tcBorders>
            <w:shd w:val="clear" w:color="auto" w:fill="FFFFFF"/>
            <w:vAlign w:val="center"/>
            <w:hideMark/>
          </w:tcPr>
          <w:p w14:paraId="7BF0ACC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60FA76C5"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228E6AF3" w14:textId="150B38DC"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fldChar w:fldCharType="begin" w:fldLock="1"/>
            </w:r>
            <w:r w:rsidR="00D325C7">
              <w:rPr>
                <w:rFonts w:ascii="Calibri" w:eastAsia="Times New Roman" w:hAnsi="Calibri" w:cs="Times New Roman"/>
                <w:color w:val="000000"/>
                <w:sz w:val="18"/>
                <w:szCs w:val="18"/>
                <w:lang w:eastAsia="en-CA"/>
              </w:rPr>
              <w:instrText>ADDIN CSL_CITATION {"citationItems":[{"id":"ITEM-1","itemData":{"ISBN":"0954-6820","ISSN":"1365-2796","abstract":"OBJECTIVE: To investigate whether there is an increased risk of cardiac events with a combined therapy of clopidogrel and proton pump inhibitors (PPIs) after percutaneous coronary intervention (PCI)., DESIGN: In the BAsel Stent Kosten Effektivitats Trial (BASKET), all patients undergoing PCI received 6 months of clopidogrel and were analysed for the use of PPI therapy. Endpoints were major adverse cardiac events (MACE), myocardial infarction (MI), death and target vessel revascularization (TVR) after 36 months., RESULTS: Of 801 patients with available discharge medication data, 109 (14%) received PPIs. Patients who received PPIs were older (66.5 +/- 10.5 vs. 63.3 +/- 11.3 years, P = 0.006), more likely to be woman (80% vs. 69%, P = 0.009) and have a history of diabetes (29.6% vs. 17.3%, P = 0.002) or gastrointestinal ulcer disease (8.3% vs. 3.3%, P = 0.015) and more often received nonsteroidal anti-inflammatory drugs (7.3% vs. 2.2%, P = 0.003) and corticosteroids (11% vs. 3.6%, P = 0.001) but not aspirin (91.7% vs. 97%, P = 0.008) compared with those who did not receive PPIs. Patients who received PPI therapy had higher rates of MACE (30.3% vs. 20.8%, P = 0.027) and MI (14.7% vs. 7.4%, P = 0.01) but similar rates of death (9.2% vs. 7.4%, P = 0.51) and TVR (20.2% vs. 15.3%, P = 0.2) compared with those who did not. By multivariate analysis, diabetes (hazard ratio 1.83, 95% confidence interval 1.07-3.15) and PPI use (hazard ratio 1.88, 95% confidence interval 1.05-3.37) were the only independent risk factors for MI., CONCLUSION: In a real-world PCI population, the combination of PPIs and clopidogrel was associated with a doubling of MI rates after 3 years. Even after correction for confounding factors, concomitant PPI use remained an independent predictor of outcome emphasizing the clinical importance of this drug-drug interaction.","author":[{"dropping-particle":"","family":"Burkard","given":"T","non-dropping-particle":"","parse-names":false,"suffix":""},{"dropping-particle":"","family":"Kaiser","given":"C A","non-dropping-particle":"","parse-names":false,"suffix":""},{"dropping-particle":"","family":"Brunner-La Rocca","given":"H","non-dropping-particle":"","parse-names":false,"suffix":""},{"dropping-particle":"","family":"Osswald","given":"S","non-dropping-particle":"","parse-names":false,"suffix":""},{"dropping-particle":"","family":"Pfisterer","given":"M E","non-dropping-particle":"","parse-names":false,"suffix":""},{"dropping-particle":"V","family":"Jeger","given":"R","non-dropping-particle":"","parse-names":false,"suffix":""},{"dropping-particle":"","family":"Investigators","given":"BASKET","non-dropping-particle":"","parse-names":false,"suffix":""}],"container-title":"Journal of internal medicine","id":"ITEM-1","issue":"3","issued":{"date-parts":[["2012"]]},"note":"506\n","page":"257-263","publisher":"Blackwell Publishing Ltd (9600 Garsington Road, Oxford OX4 2XG, United Kingdom)","publisher-place":"England","title":"Combined clopidogrel and proton pump inhibitor therapy is associated with higher cardiovascular event rates after percutaneous coronary intervention: a report from the BASKET trial.","type":"article-journal","volume":"271"},"uris":["http://www.mendeley.com/documents/?uuid=20c60c99-5a52-4fd6-be8f-e75af8f036bf"]}],"mendeley":{"formattedCitation":"(Burkard et al. 2012)","plainTextFormattedCitation":"(Burkard et al. 2012)","previouslyFormattedCitation":"(Burkard et al. 2012)"},"properties":{"noteIndex":0},"schema":"https://github.com/citation-style-language/schema/raw/master/csl-citation.json"}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(Burkard et al. 2012)</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(Netherlands)</w:t>
            </w:r>
          </w:p>
        </w:tc>
        <w:tc>
          <w:tcPr>
            <w:tcW w:w="1667" w:type="dxa"/>
            <w:tcBorders>
              <w:top w:val="nil"/>
              <w:left w:val="nil"/>
              <w:bottom w:val="single" w:sz="4" w:space="0" w:color="808080"/>
              <w:right w:val="nil"/>
            </w:tcBorders>
            <w:shd w:val="clear" w:color="auto" w:fill="FFFFFF"/>
            <w:vAlign w:val="center"/>
            <w:hideMark/>
          </w:tcPr>
          <w:p w14:paraId="4CA9C35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Post-hoc analyses of RCT</w:t>
            </w:r>
            <w:r w:rsidRPr="005C4B89">
              <w:rPr>
                <w:rFonts w:ascii="Calibri" w:eastAsia="Times New Roman" w:hAnsi="Calibri" w:cs="Times New Roman"/>
                <w:color w:val="000000"/>
                <w:sz w:val="18"/>
                <w:szCs w:val="18"/>
                <w:lang w:eastAsia="en-CA"/>
              </w:rPr>
              <w:br/>
              <w:t>(hospitals)</w:t>
            </w:r>
          </w:p>
        </w:tc>
        <w:tc>
          <w:tcPr>
            <w:tcW w:w="1241" w:type="dxa"/>
            <w:tcBorders>
              <w:top w:val="nil"/>
              <w:left w:val="nil"/>
              <w:bottom w:val="single" w:sz="4" w:space="0" w:color="808080"/>
              <w:right w:val="nil"/>
            </w:tcBorders>
            <w:shd w:val="clear" w:color="auto" w:fill="FFFFFF"/>
            <w:vAlign w:val="center"/>
            <w:hideMark/>
          </w:tcPr>
          <w:p w14:paraId="27B7E35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BASKET trial (post-hoc)</w:t>
            </w:r>
          </w:p>
        </w:tc>
        <w:tc>
          <w:tcPr>
            <w:tcW w:w="993" w:type="dxa"/>
            <w:tcBorders>
              <w:top w:val="nil"/>
              <w:left w:val="nil"/>
              <w:bottom w:val="single" w:sz="4" w:space="0" w:color="808080"/>
              <w:right w:val="nil"/>
            </w:tcBorders>
            <w:shd w:val="clear" w:color="auto" w:fill="FFFFFF"/>
            <w:vAlign w:val="center"/>
            <w:hideMark/>
          </w:tcPr>
          <w:p w14:paraId="5499F27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PCI</w:t>
            </w:r>
          </w:p>
        </w:tc>
        <w:tc>
          <w:tcPr>
            <w:tcW w:w="4003" w:type="dxa"/>
            <w:tcBorders>
              <w:top w:val="nil"/>
              <w:left w:val="nil"/>
              <w:bottom w:val="single" w:sz="4" w:space="0" w:color="808080"/>
              <w:right w:val="nil"/>
            </w:tcBorders>
            <w:shd w:val="clear" w:color="auto" w:fill="FFFFFF"/>
            <w:vAlign w:val="center"/>
            <w:hideMark/>
          </w:tcPr>
          <w:p w14:paraId="30F7F2A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undergoing PCI</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i/>
                <w:iCs/>
                <w:color w:val="000000"/>
                <w:sz w:val="18"/>
                <w:szCs w:val="18"/>
                <w:lang w:eastAsia="en-CA"/>
              </w:rPr>
              <w:t>Exclusion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no discharge medication</w:t>
            </w:r>
          </w:p>
        </w:tc>
        <w:tc>
          <w:tcPr>
            <w:tcW w:w="1275" w:type="dxa"/>
            <w:tcBorders>
              <w:top w:val="nil"/>
              <w:left w:val="nil"/>
              <w:bottom w:val="single" w:sz="4" w:space="0" w:color="808080"/>
              <w:right w:val="nil"/>
            </w:tcBorders>
            <w:shd w:val="clear" w:color="auto" w:fill="FFFFFF"/>
            <w:vAlign w:val="center"/>
            <w:hideMark/>
          </w:tcPr>
          <w:p w14:paraId="3325FE8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801</w:t>
            </w:r>
            <w:r w:rsidRPr="005C4B89">
              <w:rPr>
                <w:rFonts w:ascii="Calibri" w:eastAsia="Times New Roman" w:hAnsi="Calibri" w:cs="Times New Roman"/>
                <w:color w:val="000000"/>
                <w:sz w:val="18"/>
                <w:szCs w:val="18"/>
                <w:lang w:eastAsia="en-CA"/>
              </w:rPr>
              <w:br/>
              <w:t>(PPI: 109; No PPI: 692)</w:t>
            </w:r>
          </w:p>
        </w:tc>
        <w:tc>
          <w:tcPr>
            <w:tcW w:w="1276" w:type="dxa"/>
            <w:tcBorders>
              <w:top w:val="nil"/>
              <w:left w:val="nil"/>
              <w:bottom w:val="single" w:sz="4" w:space="0" w:color="808080"/>
              <w:right w:val="nil"/>
            </w:tcBorders>
            <w:shd w:val="clear" w:color="auto" w:fill="FFFFFF"/>
            <w:vAlign w:val="center"/>
            <w:hideMark/>
          </w:tcPr>
          <w:p w14:paraId="53A2BB3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66(11)</w:t>
            </w:r>
            <w:r w:rsidRPr="005C4B89">
              <w:rPr>
                <w:rFonts w:ascii="Calibri" w:eastAsia="Times New Roman" w:hAnsi="Calibri" w:cs="Times New Roman"/>
                <w:color w:val="000000"/>
                <w:sz w:val="18"/>
                <w:szCs w:val="18"/>
                <w:lang w:eastAsia="en-CA"/>
              </w:rPr>
              <w:br/>
              <w:t>no PPI: 63 (11)</w:t>
            </w:r>
          </w:p>
        </w:tc>
        <w:tc>
          <w:tcPr>
            <w:tcW w:w="1134" w:type="dxa"/>
            <w:tcBorders>
              <w:top w:val="nil"/>
              <w:left w:val="nil"/>
              <w:bottom w:val="single" w:sz="4" w:space="0" w:color="808080"/>
              <w:right w:val="nil"/>
            </w:tcBorders>
            <w:shd w:val="clear" w:color="auto" w:fill="FFFFFF"/>
            <w:vAlign w:val="center"/>
            <w:hideMark/>
          </w:tcPr>
          <w:p w14:paraId="24F5FB7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69</w:t>
            </w:r>
            <w:r w:rsidRPr="005C4B89">
              <w:rPr>
                <w:rFonts w:ascii="Calibri" w:eastAsia="Times New Roman" w:hAnsi="Calibri" w:cs="Times New Roman"/>
                <w:color w:val="000000"/>
                <w:sz w:val="18"/>
                <w:szCs w:val="18"/>
                <w:lang w:eastAsia="en-CA"/>
              </w:rPr>
              <w:br/>
              <w:t>no PPI: 80</w:t>
            </w:r>
          </w:p>
        </w:tc>
        <w:tc>
          <w:tcPr>
            <w:tcW w:w="1134" w:type="dxa"/>
            <w:tcBorders>
              <w:top w:val="nil"/>
              <w:left w:val="nil"/>
              <w:bottom w:val="single" w:sz="4" w:space="0" w:color="808080"/>
              <w:right w:val="nil"/>
            </w:tcBorders>
            <w:shd w:val="clear" w:color="auto" w:fill="FFFFFF"/>
            <w:vAlign w:val="center"/>
            <w:hideMark/>
          </w:tcPr>
          <w:p w14:paraId="0BBCB1B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4BCEEB4C"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5A2CCEF2" w14:textId="5B20E9EF"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{"citationItems":[{"id":"ITEM-1","itemData":{"ISBN":"0003-4819","ISSN":"1539-3704","abstract":"Background: Controversy remains on whether the dual use of clopidogrel and proton-pump inhibitors (PPIs) affects clinical efficacy of clopidogrel. Objective: To examine the risk for adverse cardiovascular outcomes related to concomitant use of PPIs and clopidogrel compared with that of PPIs alone in adults hospitalized for myocardial infarction. Design: A nationwide cohort study based on linked administrative registry data. Setting: All hospitals in Denmark. Patients: All patients discharged after first-time myocardial infarction from 2000 to 2006. Measurements: The primary outcome was a composite of rehospitalization for myocardial infarction or stroke or cardiovascular death. Patients were examined at several assembly time points, including 7, 14, 21, and 30 days after myocardial infarction. Follow-up was 1 year. Results: Of 56 406 included patients, 9137 (16.2%) were rehospitalized for myocardial infarction or stroke or experienced cardiovascular death. Of the 24 702 patients (43.8%) who received clopidogrel, 6753 (27.3%) received concomitant PPIs. The hazard ratio for cardiovascular death or rehospitalization for myocardial infarction or stroke for concomitant use of a PPI and clopidogrel among the cohort assembled at day 30 after discharge was 1.29 (95% CI, 1.17 to 1.42). The corresponding ratio for use of a PPI in patients who did not receive clopidogrel was 1.29 (CI, 1.21 to 1.37). No statistically significant interaction occurred between a PPI and clopidogrel (P = 0.72). Limitations: Unmeasured and residual confounding, time-varying measurement errors of exposure, and biases from survival effects were possible. Conclusion: Proton-pump inhibitors seem to be associated with increased risk for adverse cardiovascular outcomes after discharge, regardless of clopidogrel use for myocardial infarction. Dual PPI and clopidogrel use was not associated with any additional risk for adverse cardiovascular events over that observed for patients prescribed a PPI alone. Primary Funding Source: The Danish Medical Research Council and the Danish Heart Foundation. © 2010 American College of Physicians.","author":[{"dropping-particle":"","family":"Charlot","given":"Mette","non-dropping-particle":"","parse-names":false,"suffix":""},{"dropping-particle":"","family":"Ahlehoff","given":"Ole","non-dropping-particle":"","parse-names":false,"suffix":""},{"dropping-particle":"","family":"Norgaard","given":"Mette Lykke","non-dropping-particle":"","parse-names":false,"suffix":""},{"dropping-particle":"","family":"Jorgensen","given":"Casper H","non-dropping-particle":"","parse-names":false,"suffix":""},{"dropping-particle":"","family":"Sorensen","given":"Rikke","non-dropping-particle":"","parse-names":false,"suffix":""},{"dropping-particle":"","family":"Abildstrom","given":"Steen Z","non-dropping-particle":"","parse-names":false,"suffix":""},{"dropping-particle":"","family":"Hansen","given":"Peter Riis","non-dropping-particle":"","parse-names":false,"suffix":""},{"dropping-particle":"","family":"Madsen","given":"Jan Kyst","non-dropping-particle":"","parse-names":false,"suffix":""},{"dropping-particle":"","family":"Kober","given":"Lars","non-dropping-particle":"","parse-names":false,"suffix":""},{"dropping-particle":"","family":"Torp-Pedersen","given":"Christian","non-dropping-particle":"","parse-names":false,"suffix":""},{"dropping-particle":"","family":"Gislason","given":"Gunnar","non-dropping-particle":"","parse-names":false,"suffix":""},{"dropping-particle":"","family":"M.","given":"Charlot","non-dropping-particle":"","parse-names":false,"suffix":""},{"dropping-particle":"","family":"O.","given":"Ahlehoff","non-dropping-particle":"","parse-names":false,"suffix":""},{"dropping-particle":"","family":"M.L.","given":"Norgaard","non-dropping-particle":"","parse-names":false,"suffix":""},{"dropping-particle":"","family":"C.H.","given":"Jorgensen","non-dropping-particle":"","parse-names":false,"suffix":""},{"dropping-particle":"","family":"R.","given":"Sorensen","non-dropping-particle":"","parse-names":false,"suffix":""},{"dropping-particle":"","family":"S.Z.","given":"Abildstrom","non-dropping-particle":"","parse-names":false,"suffix":""},{"dropping-particle":"","family":"P.R.","given":"Hansen","non-dropping-particle":"","parse-names":false,"suffix":""},{"dropping-particle":"","family":"J.K.","given":"Madsen","non-dropping-particle":"","parse-names":false,"suffix":""},{"dropping-particle":"","family":"L.","given":"Kober","non-dropping-particle":"","parse-names":false,"suffix":""},{"dropping-particle":"","family":"C.","given":"Torp-Pedersen","non-dropping-particle":"","parse-names":false,"suffix":""},{"dropping-particle":"","family":"G.","given":"Gislason","non-dropping-particle":"","parse-names":false,"suffix":""}],"collection-title":"[Erratum appears in Ann Intern Med. 2011 Jan 4;154(1):76]","container-title":"Annals of internal medicine","id":"ITEM-1","issue":"6","issued":{"date-parts":[["2010"]]},"note":"738\n\nFrom Duplicate 2 (Proton-pump inhibitors are associated with increased cardiovascular risk independent of clopidogrel use: a nationwide cohort study. - Charlot, Mette; Ahlehoff, Ole; Norgaard, Mette Lykke; Jorgensen, Casper H; Sorensen, Rikke; Abildstrom, Steen Z; Hansen, Peter Riis; Madsen, Jan Kyst; Kober, Lars; Torp-Pedersen, Christian; Gislason, Gunnar)\n\nComment in: Ann Intern Med. 2010 Sep 21;153(6):413-5; PMID: 20855806, Comment in: Ann Intern Med. 2010 Dec 21;153(12):JC6-13; PMID: 21173402","page":"378-386","publisher":"American College of Physicians (190 N. Indenpence Mall West, Philadelphia PA 19106-1572, United States)","publisher-place":"United States","title":"Proton-pump inhibitors are associated with increased cardiovascular risk independent of clopidogrel use: A nationwide cohort study","type":"article-journal","volume":"153"},"uris":["http://www.mendeley.com/documents/?uuid=635d380f-5f01-47cc-857d-b442de1e24ac"]}],"mendeley":{"formattedCitation":"(Charlot et al. 2010)","plainTextFormattedCitation":"(Charlot et al. 2010)","previouslyFormattedCitation":"(Charlot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(Charlot et al.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(Denmark)</w:t>
            </w:r>
          </w:p>
        </w:tc>
        <w:tc>
          <w:tcPr>
            <w:tcW w:w="1667" w:type="dxa"/>
            <w:tcBorders>
              <w:top w:val="nil"/>
              <w:left w:val="nil"/>
              <w:bottom w:val="single" w:sz="4" w:space="0" w:color="808080"/>
              <w:right w:val="nil"/>
            </w:tcBorders>
            <w:shd w:val="clear" w:color="auto" w:fill="FFFFFF"/>
            <w:vAlign w:val="center"/>
            <w:hideMark/>
          </w:tcPr>
          <w:p w14:paraId="040C0B0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analysis,, hospitals)</w:t>
            </w:r>
          </w:p>
        </w:tc>
        <w:tc>
          <w:tcPr>
            <w:tcW w:w="1241" w:type="dxa"/>
            <w:tcBorders>
              <w:top w:val="nil"/>
              <w:left w:val="nil"/>
              <w:bottom w:val="single" w:sz="4" w:space="0" w:color="808080"/>
              <w:right w:val="nil"/>
            </w:tcBorders>
            <w:shd w:val="clear" w:color="auto" w:fill="FFFFFF"/>
            <w:vAlign w:val="center"/>
            <w:hideMark/>
          </w:tcPr>
          <w:p w14:paraId="5D10FC9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Danish National Patient Registry  </w:t>
            </w:r>
          </w:p>
        </w:tc>
        <w:tc>
          <w:tcPr>
            <w:tcW w:w="993" w:type="dxa"/>
            <w:tcBorders>
              <w:top w:val="nil"/>
              <w:left w:val="nil"/>
              <w:bottom w:val="single" w:sz="4" w:space="0" w:color="808080"/>
              <w:right w:val="nil"/>
            </w:tcBorders>
            <w:shd w:val="clear" w:color="auto" w:fill="FFFFFF"/>
            <w:vAlign w:val="center"/>
            <w:hideMark/>
          </w:tcPr>
          <w:p w14:paraId="6FB6106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MI</w:t>
            </w:r>
          </w:p>
        </w:tc>
        <w:tc>
          <w:tcPr>
            <w:tcW w:w="4003" w:type="dxa"/>
            <w:tcBorders>
              <w:top w:val="nil"/>
              <w:left w:val="nil"/>
              <w:bottom w:val="single" w:sz="4" w:space="0" w:color="808080"/>
              <w:right w:val="nil"/>
            </w:tcBorders>
            <w:shd w:val="clear" w:color="auto" w:fill="FFFFFF"/>
            <w:vAlign w:val="center"/>
            <w:hideMark/>
          </w:tcPr>
          <w:p w14:paraId="36A0356E" w14:textId="6B26E6C2"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&gt;30 years</w:t>
            </w:r>
            <w:r w:rsidRPr="005C4B89">
              <w:rPr>
                <w:rFonts w:ascii="Calibri" w:eastAsia="Times New Roman" w:hAnsi="Calibri" w:cs="Times New Roman"/>
                <w:color w:val="000000"/>
                <w:sz w:val="18"/>
                <w:szCs w:val="18"/>
                <w:lang w:eastAsia="en-CA"/>
              </w:rPr>
              <w:br/>
              <w:t>- hospitalized with  AMI between 2000-2006</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prior MI</w:t>
            </w:r>
            <w:r w:rsidRPr="005C4B89">
              <w:rPr>
                <w:rFonts w:ascii="Calibri" w:eastAsia="Times New Roman" w:hAnsi="Calibri" w:cs="Times New Roman"/>
                <w:color w:val="000000"/>
                <w:sz w:val="18"/>
                <w:szCs w:val="18"/>
                <w:lang w:eastAsia="en-CA"/>
              </w:rPr>
              <w:br/>
              <w:t>- partially missing data</w:t>
            </w:r>
          </w:p>
        </w:tc>
        <w:tc>
          <w:tcPr>
            <w:tcW w:w="1275" w:type="dxa"/>
            <w:tcBorders>
              <w:top w:val="nil"/>
              <w:left w:val="nil"/>
              <w:bottom w:val="single" w:sz="4" w:space="0" w:color="808080"/>
              <w:right w:val="nil"/>
            </w:tcBorders>
            <w:shd w:val="clear" w:color="auto" w:fill="FFFFFF"/>
            <w:vAlign w:val="center"/>
            <w:hideMark/>
          </w:tcPr>
          <w:p w14:paraId="3B2E9A1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Cohort size : 56406</w:t>
            </w:r>
            <w:r w:rsidRPr="005C4B89">
              <w:rPr>
                <w:rFonts w:ascii="Calibri" w:eastAsia="Times New Roman" w:hAnsi="Calibri" w:cs="Times New Roman"/>
                <w:color w:val="000000"/>
                <w:sz w:val="18"/>
                <w:szCs w:val="18"/>
                <w:lang w:eastAsia="en-CA"/>
              </w:rPr>
              <w:br/>
              <w:t>PS matched: (PPI: 15,443; No PPI: 15,433)</w:t>
            </w:r>
          </w:p>
        </w:tc>
        <w:tc>
          <w:tcPr>
            <w:tcW w:w="1276" w:type="dxa"/>
            <w:tcBorders>
              <w:top w:val="nil"/>
              <w:left w:val="nil"/>
              <w:bottom w:val="single" w:sz="4" w:space="0" w:color="808080"/>
              <w:right w:val="nil"/>
            </w:tcBorders>
            <w:shd w:val="clear" w:color="auto" w:fill="FFFFFF"/>
            <w:vAlign w:val="center"/>
            <w:hideMark/>
          </w:tcPr>
          <w:p w14:paraId="05DA827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 treatment:  70(13)</w:t>
            </w:r>
            <w:r w:rsidRPr="005C4B89">
              <w:rPr>
                <w:rFonts w:ascii="Calibri" w:eastAsia="Times New Roman" w:hAnsi="Calibri" w:cs="Times New Roman"/>
                <w:color w:val="000000"/>
                <w:sz w:val="18"/>
                <w:szCs w:val="18"/>
                <w:lang w:eastAsia="en-CA"/>
              </w:rPr>
              <w:br/>
              <w:t>PPI only: 73(12)</w:t>
            </w:r>
            <w:r w:rsidRPr="005C4B89">
              <w:rPr>
                <w:rFonts w:ascii="Calibri" w:eastAsia="Times New Roman" w:hAnsi="Calibri" w:cs="Times New Roman"/>
                <w:color w:val="000000"/>
                <w:sz w:val="18"/>
                <w:szCs w:val="18"/>
                <w:lang w:eastAsia="en-CA"/>
              </w:rPr>
              <w:br/>
              <w:t>CP only: 64 (13)</w:t>
            </w:r>
            <w:r w:rsidRPr="005C4B89">
              <w:rPr>
                <w:rFonts w:ascii="Calibri" w:eastAsia="Times New Roman" w:hAnsi="Calibri" w:cs="Times New Roman"/>
                <w:color w:val="000000"/>
                <w:sz w:val="18"/>
                <w:szCs w:val="18"/>
                <w:lang w:eastAsia="en-CA"/>
              </w:rPr>
              <w:br/>
              <w:t>Concomitant: 66(13)</w:t>
            </w:r>
            <w:r w:rsidRPr="005C4B89">
              <w:rPr>
                <w:rFonts w:ascii="Calibri" w:eastAsia="Times New Roman" w:hAnsi="Calibri" w:cs="Times New Roman"/>
                <w:color w:val="000000"/>
                <w:sz w:val="18"/>
                <w:szCs w:val="18"/>
                <w:lang w:eastAsia="en-CA"/>
              </w:rPr>
              <w:br/>
              <w:t>PS matched:  73 (13)</w:t>
            </w:r>
          </w:p>
        </w:tc>
        <w:tc>
          <w:tcPr>
            <w:tcW w:w="1134" w:type="dxa"/>
            <w:tcBorders>
              <w:top w:val="nil"/>
              <w:left w:val="nil"/>
              <w:bottom w:val="single" w:sz="4" w:space="0" w:color="808080"/>
              <w:right w:val="nil"/>
            </w:tcBorders>
            <w:shd w:val="clear" w:color="auto" w:fill="FFFFFF"/>
            <w:vAlign w:val="center"/>
            <w:hideMark/>
          </w:tcPr>
          <w:p w14:paraId="2ACB800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 treatment: 61</w:t>
            </w:r>
            <w:r w:rsidRPr="005C4B89">
              <w:rPr>
                <w:rFonts w:ascii="Calibri" w:eastAsia="Times New Roman" w:hAnsi="Calibri" w:cs="Times New Roman"/>
                <w:color w:val="000000"/>
                <w:sz w:val="18"/>
                <w:szCs w:val="18"/>
                <w:lang w:eastAsia="en-CA"/>
              </w:rPr>
              <w:br/>
              <w:t>PPI only: 53</w:t>
            </w:r>
            <w:r w:rsidRPr="005C4B89">
              <w:rPr>
                <w:rFonts w:ascii="Calibri" w:eastAsia="Times New Roman" w:hAnsi="Calibri" w:cs="Times New Roman"/>
                <w:color w:val="000000"/>
                <w:sz w:val="18"/>
                <w:szCs w:val="18"/>
                <w:lang w:eastAsia="en-CA"/>
              </w:rPr>
              <w:br/>
              <w:t>Clopidogrel only: 71</w:t>
            </w:r>
            <w:r w:rsidRPr="005C4B89">
              <w:rPr>
                <w:rFonts w:ascii="Calibri" w:eastAsia="Times New Roman" w:hAnsi="Calibri" w:cs="Times New Roman"/>
                <w:color w:val="000000"/>
                <w:sz w:val="18"/>
                <w:szCs w:val="18"/>
                <w:lang w:eastAsia="en-CA"/>
              </w:rPr>
              <w:br/>
              <w:t>Concomitant: 62</w:t>
            </w:r>
            <w:r w:rsidRPr="005C4B89">
              <w:rPr>
                <w:rFonts w:ascii="Calibri" w:eastAsia="Times New Roman" w:hAnsi="Calibri" w:cs="Times New Roman"/>
                <w:color w:val="000000"/>
                <w:sz w:val="18"/>
                <w:szCs w:val="18"/>
                <w:lang w:eastAsia="en-CA"/>
              </w:rPr>
              <w:br/>
              <w:t>PS matched: 54</w:t>
            </w:r>
          </w:p>
        </w:tc>
        <w:tc>
          <w:tcPr>
            <w:tcW w:w="1134" w:type="dxa"/>
            <w:tcBorders>
              <w:top w:val="nil"/>
              <w:left w:val="nil"/>
              <w:bottom w:val="single" w:sz="4" w:space="0" w:color="808080"/>
              <w:right w:val="nil"/>
            </w:tcBorders>
            <w:shd w:val="clear" w:color="auto" w:fill="FFFFFF"/>
            <w:vAlign w:val="center"/>
            <w:hideMark/>
          </w:tcPr>
          <w:p w14:paraId="5BFB1E8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(largely Caucasian population)</w:t>
            </w:r>
          </w:p>
        </w:tc>
      </w:tr>
      <w:tr w:rsidR="009462F4" w:rsidRPr="005C4B89" w14:paraId="724E7CEC"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377D87D7" w14:textId="18D7D56B"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{"citationItems":[{"id":"ITEM-1","itemData":{"ISBN":"0010-6178","abstract":"Objective: To determine if concomitant use of proton pump inhibitors (PPIs) and clopidogrel is associated with adverse events among postpercutaneous coronary intervention (PCI) patients. Methods:This is a single-center, retrospective case-control study of 3,287 consecutive patients on clopidogrel who underwent PCI. Univariate and multivariate analyses determined if concomitant PPI and clopidogrel use was associated with major adverse cardiac events (MACE). Results: There were significantly more deaths (3.0% vs 1.1%; P&lt;0.001), repeat revascularizations (3.8% vs 2.1%; P=0.005) and MACE(7.1%vs3.5%;P&lt;0.001)intheclopidogrel and PPI group. Cox regression revealed that PPI is an independent predictor of MACE (HR 1.70,95% CI of 1.20-2.41; P=0.003), mortality (HR 1.79; 95% CI 1.03-3.12, P=0.038), and target-vessel revascularization (HR 1.75; 95% CI 1.12-2.72, P=0.014). Conclusions: Concomitant use of PPIs and clopidogrel among post PCI patients was associated with increased rates of all-cause mortality, target vessel revascularization, and combined MACE at nine months follow-up.","author":[{"dropping-particle":"","family":"Ching","given":"GG","non-dropping-particle":"","parse-names":false,"suffix":""},{"dropping-particle":"","family":"Li","given":"D","non-dropping-particle":"","parse-names":false,"suffix":""},{"dropping-particle":"","family":"Baker","given":"WL","non-dropping-particle":"","parse-names":false,"suffix":""},{"dropping-particle":"","family":"Hohl","given":"PK","non-dropping-particle":"","parse-names":false,"suffix":""},{"dropping-particle":"","family":"Mather","given":"JF","non-dropping-particle":"","parse-names":false,"suffix":""},{"dropping-particle":"","family":"McKay","given":"RG","non-dropping-particle":"","parse-names":false,"suffix":""},{"dropping-particle":"","family":"Lundbye","given":"JB","non-dropping-particle":"","parse-names":false,"suffix":""}],"container-title":"Connecticut Medicine","id":"ITEM-1","issue":"4","issued":{"date-parts":[["2012"]]},"note":"496 cant find","page":"205-211","publisher":"Connecticut State Medical Society (160 St. Ronan Street, New Haven CT 06511, United States)","publisher-place":"G.G. Ching, University of Connecticut Health Center, Farmington, United States","title":"Major adverse cardiac events among postpercutaneous coronary intervention patients on clopidogrel and proton pump inhibiors","type":"article","volume":"76"},"uris":["http://www.mendeley.com/documents/?uuid=85f3e098-4558-4ff7-8399-24484b46120a"]}],"mendeley":{"formattedCitation":"(Ching et al. 2012)","plainTextFormattedCitation":"(Ching et al. 2012)","previouslyFormattedCitation":"(Ching et al. 2012)"},"properties":{"noteIndex":0},"schema":"https://github.com/citation-style-language/schema/raw/master/csl-citation.json"}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(Ching et al. 2012)</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w:t>
            </w:r>
          </w:p>
        </w:tc>
        <w:tc>
          <w:tcPr>
            <w:tcW w:w="1667" w:type="dxa"/>
            <w:tcBorders>
              <w:top w:val="nil"/>
              <w:left w:val="nil"/>
              <w:bottom w:val="single" w:sz="4" w:space="0" w:color="808080"/>
              <w:right w:val="nil"/>
            </w:tcBorders>
            <w:shd w:val="clear" w:color="auto" w:fill="FFFFFF"/>
            <w:vAlign w:val="center"/>
            <w:hideMark/>
          </w:tcPr>
          <w:p w14:paraId="65D11274" w14:textId="2171D00B" w:rsidR="009462F4" w:rsidRPr="005C4B89" w:rsidRDefault="001B1380" w:rsidP="001B1380">
            <w:pPr>
              <w:spacing w:after="0" w:line="240" w:lineRule="auto"/>
              <w:rPr>
                <w:rFonts w:ascii="Calibri" w:eastAsia="Times New Roman" w:hAnsi="Calibri" w:cs="Times New Roman"/>
                <w:color w:val="FF0000"/>
                <w:sz w:val="18"/>
                <w:szCs w:val="18"/>
                <w:lang w:eastAsia="en-CA"/>
              </w:rPr>
            </w:pPr>
            <w:r w:rsidRPr="001B1380">
              <w:rPr>
                <w:rFonts w:ascii="Calibri" w:eastAsia="Times New Roman" w:hAnsi="Calibri" w:cs="Times New Roman"/>
                <w:sz w:val="18"/>
                <w:szCs w:val="18"/>
                <w:lang w:eastAsia="en-CA"/>
              </w:rPr>
              <w:t xml:space="preserve">Retrospective cohort </w:t>
            </w:r>
            <w:r w:rsidR="009462F4" w:rsidRPr="001B1380">
              <w:rPr>
                <w:rFonts w:ascii="Calibri" w:eastAsia="Times New Roman" w:hAnsi="Calibri" w:cs="Times New Roman"/>
                <w:sz w:val="18"/>
                <w:szCs w:val="18"/>
                <w:lang w:eastAsia="en-CA"/>
              </w:rPr>
              <w:br/>
              <w:t>(hospital)</w:t>
            </w:r>
          </w:p>
        </w:tc>
        <w:tc>
          <w:tcPr>
            <w:tcW w:w="1241" w:type="dxa"/>
            <w:tcBorders>
              <w:top w:val="nil"/>
              <w:left w:val="nil"/>
              <w:bottom w:val="single" w:sz="4" w:space="0" w:color="808080"/>
              <w:right w:val="nil"/>
            </w:tcBorders>
            <w:shd w:val="clear" w:color="auto" w:fill="FFFFFF"/>
            <w:vAlign w:val="center"/>
            <w:hideMark/>
          </w:tcPr>
          <w:p w14:paraId="20BDD3B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FFFFFF"/>
            <w:vAlign w:val="center"/>
            <w:hideMark/>
          </w:tcPr>
          <w:p w14:paraId="2D6F083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PCI</w:t>
            </w:r>
          </w:p>
        </w:tc>
        <w:tc>
          <w:tcPr>
            <w:tcW w:w="4003" w:type="dxa"/>
            <w:tcBorders>
              <w:top w:val="nil"/>
              <w:left w:val="nil"/>
              <w:bottom w:val="single" w:sz="4" w:space="0" w:color="808080"/>
              <w:right w:val="nil"/>
            </w:tcBorders>
            <w:shd w:val="clear" w:color="auto" w:fill="FFFFFF"/>
            <w:vAlign w:val="center"/>
            <w:hideMark/>
          </w:tcPr>
          <w:p w14:paraId="1799FFF1" w14:textId="4CACB81A"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PCI at Hartford Hospital Cardiac Catheterization Lab between Jan 2004-Nov 2008</w:t>
            </w:r>
            <w:r w:rsidRPr="005C4B89">
              <w:rPr>
                <w:rFonts w:ascii="Calibri" w:eastAsia="Times New Roman" w:hAnsi="Calibri" w:cs="Times New Roman"/>
                <w:color w:val="000000"/>
                <w:sz w:val="18"/>
                <w:szCs w:val="18"/>
                <w:lang w:eastAsia="en-CA"/>
              </w:rPr>
              <w:br/>
              <w:t>- dischar</w:t>
            </w:r>
            <w:r w:rsidR="00DE19B3">
              <w:rPr>
                <w:rFonts w:ascii="Calibri" w:eastAsia="Times New Roman" w:hAnsi="Calibri" w:cs="Times New Roman"/>
                <w:color w:val="000000"/>
                <w:sz w:val="18"/>
                <w:szCs w:val="18"/>
                <w:lang w:eastAsia="en-CA"/>
              </w:rPr>
              <w:t>ged on clopidogrel and aspirin</w:t>
            </w:r>
          </w:p>
        </w:tc>
        <w:tc>
          <w:tcPr>
            <w:tcW w:w="1275" w:type="dxa"/>
            <w:tcBorders>
              <w:top w:val="nil"/>
              <w:left w:val="nil"/>
              <w:bottom w:val="single" w:sz="4" w:space="0" w:color="808080"/>
              <w:right w:val="nil"/>
            </w:tcBorders>
            <w:shd w:val="clear" w:color="auto" w:fill="FFFFFF"/>
            <w:vAlign w:val="center"/>
            <w:hideMark/>
          </w:tcPr>
          <w:p w14:paraId="09FC869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3,287</w:t>
            </w:r>
            <w:r w:rsidRPr="005C4B89">
              <w:rPr>
                <w:rFonts w:ascii="Calibri" w:eastAsia="Times New Roman" w:hAnsi="Calibri" w:cs="Times New Roman"/>
                <w:color w:val="000000"/>
                <w:sz w:val="18"/>
                <w:szCs w:val="18"/>
                <w:lang w:eastAsia="en-CA"/>
              </w:rPr>
              <w:br/>
              <w:t>(PPI: 1,128; No PPI: 2,159)</w:t>
            </w:r>
          </w:p>
        </w:tc>
        <w:tc>
          <w:tcPr>
            <w:tcW w:w="1276" w:type="dxa"/>
            <w:tcBorders>
              <w:top w:val="nil"/>
              <w:left w:val="nil"/>
              <w:bottom w:val="single" w:sz="4" w:space="0" w:color="808080"/>
              <w:right w:val="nil"/>
            </w:tcBorders>
            <w:shd w:val="clear" w:color="auto" w:fill="FFFFFF"/>
            <w:vAlign w:val="center"/>
            <w:hideMark/>
          </w:tcPr>
          <w:p w14:paraId="37C4E22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66 (13)</w:t>
            </w:r>
            <w:r w:rsidRPr="005C4B89">
              <w:rPr>
                <w:rFonts w:ascii="Calibri" w:eastAsia="Times New Roman" w:hAnsi="Calibri" w:cs="Times New Roman"/>
                <w:color w:val="000000"/>
                <w:sz w:val="18"/>
                <w:szCs w:val="18"/>
                <w:lang w:eastAsia="en-CA"/>
              </w:rPr>
              <w:br/>
              <w:t>no PPI: 62(13)</w:t>
            </w:r>
          </w:p>
        </w:tc>
        <w:tc>
          <w:tcPr>
            <w:tcW w:w="1134" w:type="dxa"/>
            <w:tcBorders>
              <w:top w:val="nil"/>
              <w:left w:val="nil"/>
              <w:bottom w:val="single" w:sz="4" w:space="0" w:color="808080"/>
              <w:right w:val="nil"/>
            </w:tcBorders>
            <w:shd w:val="clear" w:color="auto" w:fill="FFFFFF"/>
            <w:vAlign w:val="center"/>
            <w:hideMark/>
          </w:tcPr>
          <w:p w14:paraId="1724664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60</w:t>
            </w:r>
            <w:r w:rsidRPr="005C4B89">
              <w:rPr>
                <w:rFonts w:ascii="Calibri" w:eastAsia="Times New Roman" w:hAnsi="Calibri" w:cs="Times New Roman"/>
                <w:color w:val="000000"/>
                <w:sz w:val="18"/>
                <w:szCs w:val="18"/>
                <w:lang w:eastAsia="en-CA"/>
              </w:rPr>
              <w:br/>
              <w:t xml:space="preserve">no PPI: 71 </w:t>
            </w:r>
          </w:p>
        </w:tc>
        <w:tc>
          <w:tcPr>
            <w:tcW w:w="1134" w:type="dxa"/>
            <w:tcBorders>
              <w:top w:val="nil"/>
              <w:left w:val="nil"/>
              <w:bottom w:val="single" w:sz="4" w:space="0" w:color="808080"/>
              <w:right w:val="nil"/>
            </w:tcBorders>
            <w:shd w:val="clear" w:color="auto" w:fill="FFFFFF"/>
            <w:vAlign w:val="center"/>
            <w:hideMark/>
          </w:tcPr>
          <w:p w14:paraId="6A73AA0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49E44548"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6D291FA6" w14:textId="2B230E48"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{"citationItems":[{"id":"ITEM-1","itemData":{"ISSN":"1347-4820","abstract":"BACKGROUND: The aim of this study was to examine the effect of proton-pump inhibitor (PPI) on clinical outcomes in Japanese patients who undergo coronary stent implantation., METHODS AND RESULTS: A total of 1,270 patients (males 915, 69 years) were enrolled and dual antiplatelet therapy of aspirin and a thienopyridine derivative was prescribed (clopidogrel 630, ticlopidine 640). Patients were divided into 2 groups treated with or without PPI. PPI was administered in 331 cases (26%), and non-PPI in 939 (74%). There were no significant differences in cardiovascular death (PPI vs. non-PPI: 5 vs. 11 cases), nonfatal myocardial infarction (3 vs. 5), and stroke (3 vs. 16) between PPI and non-PPI groups, but the ratio of gastrointestinal events had a higher tendency in non-PPI group compared with PPI group (1 vs. 17, P=0.08). In subgroup analysis of patients taking clopidogrel, or patients with acute coronary syndrome, there was no significant difference in the ratio of cardiovascular events (7 vs. 16, 6 vs. 17, NS). The non-PPI group had a tendency of an increased risk of gastrointestinal events compared with the PPI group (0 vs. 9, P=0.06; 1 vs. 7, P=0.14)., CONCLUSIONS: In contrast to the negative drug interaction of PPI reported elsewhere, in the present study the intake of PPI was not associated with an increased risk for adverse clinical outcomes in patients treated with stents.","author":[{"dropping-particle":"","family":"Chitose","given":"Tadasuke","non-dropping-particle":"","parse-names":false,"suffix":""},{"dropping-particle":"","family":"Hokimoto","given":"Seiji","non-dropping-particle":"","parse-names":false,"suffix":""},{"dropping-particle":"","family":"Oshima","given":"Shuichi","non-dropping-particle":"","parse-names":false,"suffix":""},{"dropping-particle":"","family":"Nakao","given":"Koichi","non-dropping-particle":"","parse-names":false,"suffix":""},{"dropping-particle":"","family":"Fujimoto","given":"Kazuteru","non-dropping-particle":"","parse-names":false,"suffix":""},{"dropping-particle":"","family":"Miyao","given":"Yuji","non-dropping-particle":"","parse-names":false,"suffix":""},{"dropping-particle":"","family":"Shimomura","given":"Hideki","non-dropping-particle":"","parse-names":false,"suffix":""},{"dropping-particle":"","family":"Tsunoda","given":"Ryusuke","non-dropping-particle":"","parse-names":false,"suffix":""},{"dropping-particle":"","family":"Maruyama","given":"Hideki","non-dropping-particle":"","parse-names":false,"suffix":""},{"dropping-particle":"","family":"Hirose","given":"Toyoki","non-dropping-particle":"","parse-names":false,"suffix":""},{"dropping-particle":"","family":"Yamamoto","given":"Koichiro","non-dropping-particle":"","parse-names":false,"suffix":""},{"dropping-particle":"","family":"Mizobe","given":"Michio","non-dropping-particle":"","parse-names":false,"suffix":""},{"dropping-particle":"","family":"Kaikita","given":"Koichi","non-dropping-particle":"","parse-names":false,"suffix":""},{"dropping-particle":"","family":"Nakamura","given":"Sunao","non-dropping-particle":"","parse-names":false,"suffix":""},{"dropping-particle":"","family":"Ogawa","given":"Hisao","non-dropping-particle":"","parse-names":false,"suffix":""}],"container-title":"Circulation journal : official journal of the Japanese Circulation Society","id":"ITEM-1","issue":"1","issued":{"date-parts":[["2012"]]},"note":"495","page":"71-78","publisher":"Chitose,Tadasuke. Department of Cardiovascular Medicine, Graduate School of Medical Sciences, Kumamoto University, Kumamoto, Japan.","publisher-place":"Japan","title":"Clinical outcomes following coronary stenting in Japanese patients treated with and without proton pump inhibitor.","type":"article-journal","volume":"76"},"uris":["http://www.mendeley.com/documents/?uuid=bd780bc7-c9e6-4bf3-97c4-0cd4563f3392"]}],"mendeley":{"formattedCitation":"(Chitose et al. 2012)","plainTextFormattedCitation":"(Chitose et al. 2012)","previouslyFormattedCitation":"(Chitose et al. 2012)"},"properties":{"noteIndex":0},"schema":"https://github.com/citation-style-language/schema/raw/master/csl-citation.json"}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(Chitose et al. 2012)</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(Japan)</w:t>
            </w:r>
          </w:p>
        </w:tc>
        <w:tc>
          <w:tcPr>
            <w:tcW w:w="1667" w:type="dxa"/>
            <w:tcBorders>
              <w:top w:val="nil"/>
              <w:left w:val="nil"/>
              <w:bottom w:val="single" w:sz="4" w:space="0" w:color="808080"/>
              <w:right w:val="nil"/>
            </w:tcBorders>
            <w:shd w:val="clear" w:color="auto" w:fill="FFFFFF"/>
            <w:vAlign w:val="center"/>
            <w:hideMark/>
          </w:tcPr>
          <w:p w14:paraId="5DB0167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Prospective cohort</w:t>
            </w:r>
            <w:r w:rsidRPr="005C4B89">
              <w:rPr>
                <w:rFonts w:ascii="Calibri" w:eastAsia="Times New Roman" w:hAnsi="Calibri" w:cs="Times New Roman"/>
                <w:color w:val="000000"/>
                <w:sz w:val="18"/>
                <w:szCs w:val="18"/>
                <w:lang w:eastAsia="en-CA"/>
              </w:rPr>
              <w:br/>
              <w:t>(hospital registries (16 centers))</w:t>
            </w:r>
          </w:p>
        </w:tc>
        <w:tc>
          <w:tcPr>
            <w:tcW w:w="1241" w:type="dxa"/>
            <w:tcBorders>
              <w:top w:val="nil"/>
              <w:left w:val="nil"/>
              <w:bottom w:val="single" w:sz="4" w:space="0" w:color="808080"/>
              <w:right w:val="nil"/>
            </w:tcBorders>
            <w:shd w:val="clear" w:color="auto" w:fill="FFFFFF"/>
            <w:vAlign w:val="center"/>
            <w:hideMark/>
          </w:tcPr>
          <w:p w14:paraId="475ADA7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Kumamoto Intervention Conference Study (KICS) </w:t>
            </w:r>
          </w:p>
        </w:tc>
        <w:tc>
          <w:tcPr>
            <w:tcW w:w="993" w:type="dxa"/>
            <w:tcBorders>
              <w:top w:val="nil"/>
              <w:left w:val="nil"/>
              <w:bottom w:val="single" w:sz="4" w:space="0" w:color="808080"/>
              <w:right w:val="nil"/>
            </w:tcBorders>
            <w:shd w:val="clear" w:color="auto" w:fill="FFFFFF"/>
            <w:vAlign w:val="center"/>
            <w:hideMark/>
          </w:tcPr>
          <w:p w14:paraId="037C4ED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PCI</w:t>
            </w:r>
          </w:p>
        </w:tc>
        <w:tc>
          <w:tcPr>
            <w:tcW w:w="4003" w:type="dxa"/>
            <w:tcBorders>
              <w:top w:val="nil"/>
              <w:left w:val="nil"/>
              <w:bottom w:val="single" w:sz="4" w:space="0" w:color="808080"/>
              <w:right w:val="nil"/>
            </w:tcBorders>
            <w:shd w:val="clear" w:color="auto" w:fill="FFFFFF"/>
            <w:vAlign w:val="center"/>
            <w:hideMark/>
          </w:tcPr>
          <w:p w14:paraId="52E963BF" w14:textId="191F91BE"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consecutive patients undergoing PCI at one of 16 centers in Japan between June 2008 - March 2009</w:t>
            </w:r>
            <w:r w:rsidRPr="005C4B89">
              <w:rPr>
                <w:rFonts w:ascii="Calibri" w:eastAsia="Times New Roman" w:hAnsi="Calibri" w:cs="Times New Roman"/>
                <w:color w:val="000000"/>
                <w:sz w:val="18"/>
                <w:szCs w:val="18"/>
                <w:lang w:eastAsia="en-CA"/>
              </w:rPr>
              <w:br/>
              <w:t>- written consent</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in-hospital death</w:t>
            </w:r>
            <w:r w:rsidRPr="005C4B89">
              <w:rPr>
                <w:rFonts w:ascii="Calibri" w:eastAsia="Times New Roman" w:hAnsi="Calibri" w:cs="Times New Roman"/>
                <w:color w:val="000000"/>
                <w:sz w:val="18"/>
                <w:szCs w:val="18"/>
                <w:lang w:eastAsia="en-CA"/>
              </w:rPr>
              <w:br/>
              <w:t>- not on thienopyridines at time of discharge</w:t>
            </w:r>
            <w:r w:rsidRPr="005C4B89">
              <w:rPr>
                <w:rFonts w:ascii="Calibri" w:eastAsia="Times New Roman" w:hAnsi="Calibri" w:cs="Times New Roman"/>
                <w:color w:val="000000"/>
                <w:sz w:val="18"/>
                <w:szCs w:val="18"/>
                <w:lang w:eastAsia="en-CA"/>
              </w:rPr>
              <w:br/>
              <w:t>- re-intervention after first registration</w:t>
            </w:r>
            <w:r w:rsidRPr="005C4B89">
              <w:rPr>
                <w:rFonts w:ascii="Calibri" w:eastAsia="Times New Roman" w:hAnsi="Calibri" w:cs="Times New Roman"/>
                <w:color w:val="000000"/>
                <w:sz w:val="18"/>
                <w:szCs w:val="18"/>
                <w:lang w:eastAsia="en-CA"/>
              </w:rPr>
              <w:br/>
              <w:t>- planned staged interventional procedure</w:t>
            </w:r>
          </w:p>
        </w:tc>
        <w:tc>
          <w:tcPr>
            <w:tcW w:w="1275" w:type="dxa"/>
            <w:tcBorders>
              <w:top w:val="nil"/>
              <w:left w:val="nil"/>
              <w:bottom w:val="single" w:sz="4" w:space="0" w:color="808080"/>
              <w:right w:val="nil"/>
            </w:tcBorders>
            <w:shd w:val="clear" w:color="auto" w:fill="FFFFFF"/>
            <w:vAlign w:val="center"/>
            <w:hideMark/>
          </w:tcPr>
          <w:p w14:paraId="5EA487D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1,270</w:t>
            </w:r>
            <w:r w:rsidRPr="005C4B89">
              <w:rPr>
                <w:rFonts w:ascii="Calibri" w:eastAsia="Times New Roman" w:hAnsi="Calibri" w:cs="Times New Roman"/>
                <w:color w:val="000000"/>
                <w:sz w:val="18"/>
                <w:szCs w:val="18"/>
                <w:lang w:eastAsia="en-CA"/>
              </w:rPr>
              <w:br/>
              <w:t>(PPI: 331; No PPI: 939)</w:t>
            </w:r>
          </w:p>
        </w:tc>
        <w:tc>
          <w:tcPr>
            <w:tcW w:w="1276" w:type="dxa"/>
            <w:tcBorders>
              <w:top w:val="nil"/>
              <w:left w:val="nil"/>
              <w:bottom w:val="single" w:sz="4" w:space="0" w:color="808080"/>
              <w:right w:val="nil"/>
            </w:tcBorders>
            <w:shd w:val="clear" w:color="auto" w:fill="FFFFFF"/>
            <w:vAlign w:val="center"/>
            <w:hideMark/>
          </w:tcPr>
          <w:p w14:paraId="68FBAA0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72(12)</w:t>
            </w:r>
            <w:r w:rsidRPr="005C4B89">
              <w:rPr>
                <w:rFonts w:ascii="Calibri" w:eastAsia="Times New Roman" w:hAnsi="Calibri" w:cs="Times New Roman"/>
                <w:color w:val="000000"/>
                <w:sz w:val="18"/>
                <w:szCs w:val="18"/>
                <w:lang w:eastAsia="en-CA"/>
              </w:rPr>
              <w:br/>
              <w:t>no PPI: 69(12)</w:t>
            </w:r>
          </w:p>
        </w:tc>
        <w:tc>
          <w:tcPr>
            <w:tcW w:w="1134" w:type="dxa"/>
            <w:tcBorders>
              <w:top w:val="nil"/>
              <w:left w:val="nil"/>
              <w:bottom w:val="single" w:sz="4" w:space="0" w:color="808080"/>
              <w:right w:val="nil"/>
            </w:tcBorders>
            <w:shd w:val="clear" w:color="auto" w:fill="FFFFFF"/>
            <w:vAlign w:val="center"/>
            <w:hideMark/>
          </w:tcPr>
          <w:p w14:paraId="19B5C7F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68</w:t>
            </w:r>
            <w:r w:rsidRPr="005C4B89">
              <w:rPr>
                <w:rFonts w:ascii="Calibri" w:eastAsia="Times New Roman" w:hAnsi="Calibri" w:cs="Times New Roman"/>
                <w:color w:val="000000"/>
                <w:sz w:val="18"/>
                <w:szCs w:val="18"/>
                <w:lang w:eastAsia="en-CA"/>
              </w:rPr>
              <w:br/>
              <w:t>no PPI: 71</w:t>
            </w:r>
          </w:p>
        </w:tc>
        <w:tc>
          <w:tcPr>
            <w:tcW w:w="1134" w:type="dxa"/>
            <w:tcBorders>
              <w:top w:val="nil"/>
              <w:left w:val="nil"/>
              <w:bottom w:val="single" w:sz="4" w:space="0" w:color="808080"/>
              <w:right w:val="nil"/>
            </w:tcBorders>
            <w:shd w:val="clear" w:color="auto" w:fill="FFFFFF"/>
            <w:vAlign w:val="center"/>
            <w:hideMark/>
          </w:tcPr>
          <w:p w14:paraId="6DC56C9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205CDE04" w14:textId="77777777" w:rsidTr="002B686E">
        <w:trPr>
          <w:trHeight w:val="514"/>
        </w:trPr>
        <w:tc>
          <w:tcPr>
            <w:tcW w:w="1310" w:type="dxa"/>
            <w:tcBorders>
              <w:top w:val="nil"/>
              <w:left w:val="nil"/>
              <w:bottom w:val="single" w:sz="4" w:space="0" w:color="808080"/>
              <w:right w:val="nil"/>
            </w:tcBorders>
            <w:shd w:val="clear" w:color="auto" w:fill="FFFFFF"/>
            <w:vAlign w:val="center"/>
            <w:hideMark/>
          </w:tcPr>
          <w:p w14:paraId="7BE5E2B8" w14:textId="4C5861E0"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{"citationItems":[{"id":"ITEM-1","itemData":{"ISBN":"1470-269X","ISSN":"1473-1150","abstract":"We examined clinical outcomes with proton pump inhibitors (PPI) use within CYP2C19 genotype groups during clopidogrel treatment following acute myocardial infarction (AMI). 2062 patients were genotyped for CYP2C19*2 and*17 variants in TRIUMPH. 12 month clinical outcomes were analyzed among patients discharged on clopidogrel within CYP2C19*2 carrier, CYP2C19*17 carrier, and CYP2C19*1 homozygote genotype groups. PPI use was not associated with a difference in mortality. Among clopidogrel-treated Caucasians following AMI, PPI use was associated with a significantly higher rate of cardiac rehospitalization (HR 1.62, 95% CI 1.19-2.19; P=0.002) compared with no PPI use. PPI users who were carriers of the CYP2C19*17 variant experienced significantly higher rates of cardiac rehospitalization (HR 2.05, 95% CI 1.26-3.33; P=0.003), carriers of the CYP2C19*2 variant had a trend toward increased 1-year cardiac rehospitalization (HR 1.69, 95% CI 0.95-2.99; P=0.07), while no significant differences were observed among CYP2C19*1 homozygotes. These results indicate that the risks associated with PPI use among clopidogrel-treated Caucasian post-MI patients are impacted by CYP2C19 genotype, and suggest knowledge of genotype may be useful for personalizing PPI use among patients following AMI to reduce rehospitalization.","author":[{"dropping-particle":"","family":"Depta","given":"J P","non-dropping-particle":"","parse-names":false,"suffix":""},{"dropping-particle":"","family":"Lenzini","given":"P A","non-dropping-particle":"","parse-names":false,"suffix":""},{"dropping-particle":"","family":"Lanfear","given":"D E","non-dropping-particle":"","parse-names":false,"suffix":""},{"dropping-particle":"","family":"Wang","given":"T Y","non-dropping-particle":"","parse-names":false,"suffix":""},{"dropping-particle":"","family":"Spertus","given":"J A","non-dropping-particle":"","parse-names":false,"suffix":""},{"dropping-particle":"","family":"Bach","given":"R G","non-dropping-particle":"","parse-names":false,"suffix":""},{"dropping-particle":"","family":"Cresci","given":"S","non-dropping-particle":"","parse-names":false,"suffix":""}],"container-title":"Pharmacogenomics Journal","id":"ITEM-1","issue":"1","issued":{"date-parts":[["2015"]]},"note":"63","page":"20-25","publisher":"Depta,J P. Washington University School of Medicine, Department of Medicine, St Louis, MO, USA.","publisher-place":"United States","title":"Clinical outcomes associated with proton pump inhibitor use among clopidogrel-treated patients within CYP2C19 genotype groups following acute myocardial infarction","type":"article-journal","volume":"15"},"uris":["http://www.mendeley.com/documents/?uuid=b6cd58cf-d234-4f50-a963-4f7bfa35cbb6"]}],"mendeley":{"formattedCitation":"(Depta et al. 2015)","plainTextFormattedCitation":"(Depta et al. 2015)","previouslyFormattedCitation":"(Depta et al. 2015)"},"properties":{"noteIndex":0},"schema":"https://github.com/citation-style-language/schema/raw/master/csl-citation.json"}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(Depta et al. 2015)</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(USA )</w:t>
            </w:r>
          </w:p>
        </w:tc>
        <w:tc>
          <w:tcPr>
            <w:tcW w:w="1667" w:type="dxa"/>
            <w:tcBorders>
              <w:top w:val="nil"/>
              <w:left w:val="nil"/>
              <w:bottom w:val="single" w:sz="4" w:space="0" w:color="808080"/>
              <w:right w:val="nil"/>
            </w:tcBorders>
            <w:shd w:val="clear" w:color="auto" w:fill="FFFFFF"/>
            <w:vAlign w:val="center"/>
            <w:hideMark/>
          </w:tcPr>
          <w:p w14:paraId="3D37ABB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Prospective cohort</w:t>
            </w:r>
            <w:r w:rsidRPr="005C4B89">
              <w:rPr>
                <w:rFonts w:ascii="Calibri" w:eastAsia="Times New Roman" w:hAnsi="Calibri" w:cs="Times New Roman"/>
                <w:color w:val="000000"/>
                <w:sz w:val="18"/>
                <w:szCs w:val="18"/>
                <w:lang w:eastAsia="en-CA"/>
              </w:rPr>
              <w:br/>
              <w:t>(medical centers (24 centers))</w:t>
            </w:r>
          </w:p>
        </w:tc>
        <w:tc>
          <w:tcPr>
            <w:tcW w:w="1241" w:type="dxa"/>
            <w:tcBorders>
              <w:top w:val="nil"/>
              <w:left w:val="nil"/>
              <w:bottom w:val="single" w:sz="4" w:space="0" w:color="808080"/>
              <w:right w:val="nil"/>
            </w:tcBorders>
            <w:shd w:val="clear" w:color="auto" w:fill="FFFFFF"/>
            <w:vAlign w:val="center"/>
            <w:hideMark/>
          </w:tcPr>
          <w:p w14:paraId="1BC2B97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TRIUMPH cohort (Translational Research Investigating Underlying disparities in acute Myocardial</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lastRenderedPageBreak/>
              <w:t>infarction Patients' Health status)</w:t>
            </w:r>
          </w:p>
        </w:tc>
        <w:tc>
          <w:tcPr>
            <w:tcW w:w="993" w:type="dxa"/>
            <w:tcBorders>
              <w:top w:val="nil"/>
              <w:left w:val="nil"/>
              <w:bottom w:val="single" w:sz="4" w:space="0" w:color="808080"/>
              <w:right w:val="nil"/>
            </w:tcBorders>
            <w:shd w:val="clear" w:color="auto" w:fill="FFFFFF"/>
            <w:vAlign w:val="center"/>
            <w:hideMark/>
          </w:tcPr>
          <w:p w14:paraId="1850B52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ACS</w:t>
            </w:r>
          </w:p>
        </w:tc>
        <w:tc>
          <w:tcPr>
            <w:tcW w:w="4003" w:type="dxa"/>
            <w:tcBorders>
              <w:top w:val="nil"/>
              <w:left w:val="nil"/>
              <w:bottom w:val="single" w:sz="4" w:space="0" w:color="808080"/>
              <w:right w:val="nil"/>
            </w:tcBorders>
            <w:shd w:val="clear" w:color="auto" w:fill="FFFFFF"/>
            <w:vAlign w:val="center"/>
            <w:hideMark/>
          </w:tcPr>
          <w:p w14:paraId="6B41C313" w14:textId="33DFA112"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xml:space="preserve">- AMI (elevated troponin level and documented clinical ischemia </w:t>
            </w:r>
            <w:r w:rsidRPr="005C4B89">
              <w:rPr>
                <w:rFonts w:ascii="Calibri" w:eastAsia="Times New Roman" w:hAnsi="Calibri" w:cs="Times New Roman"/>
                <w:color w:val="000000"/>
                <w:sz w:val="18"/>
                <w:szCs w:val="18"/>
                <w:lang w:eastAsia="en-CA"/>
              </w:rPr>
              <w:br/>
              <w:t>- Caucasian or African American</w:t>
            </w:r>
            <w:r w:rsidRPr="005C4B89">
              <w:rPr>
                <w:rFonts w:ascii="Calibri" w:eastAsia="Times New Roman" w:hAnsi="Calibri" w:cs="Times New Roman"/>
                <w:color w:val="000000"/>
                <w:sz w:val="18"/>
                <w:szCs w:val="18"/>
                <w:lang w:eastAsia="en-CA"/>
              </w:rPr>
              <w:br/>
              <w:t>- discharged on cl</w:t>
            </w:r>
            <w:r w:rsidR="00DE19B3">
              <w:rPr>
                <w:rFonts w:ascii="Calibri" w:eastAsia="Times New Roman" w:hAnsi="Calibri" w:cs="Times New Roman"/>
                <w:color w:val="000000"/>
                <w:sz w:val="18"/>
                <w:szCs w:val="18"/>
                <w:lang w:eastAsia="en-CA"/>
              </w:rPr>
              <w:t>opidogrel after AMI</w:t>
            </w:r>
          </w:p>
        </w:tc>
        <w:tc>
          <w:tcPr>
            <w:tcW w:w="1275" w:type="dxa"/>
            <w:tcBorders>
              <w:top w:val="nil"/>
              <w:left w:val="nil"/>
              <w:bottom w:val="single" w:sz="4" w:space="0" w:color="808080"/>
              <w:right w:val="nil"/>
            </w:tcBorders>
            <w:shd w:val="clear" w:color="auto" w:fill="FFFFFF"/>
            <w:vAlign w:val="center"/>
            <w:hideMark/>
          </w:tcPr>
          <w:p w14:paraId="54E5950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2,062 </w:t>
            </w:r>
            <w:r w:rsidRPr="005C4B89">
              <w:rPr>
                <w:rFonts w:ascii="Calibri" w:eastAsia="Times New Roman" w:hAnsi="Calibri" w:cs="Times New Roman"/>
                <w:color w:val="000000"/>
                <w:sz w:val="18"/>
                <w:szCs w:val="18"/>
                <w:lang w:eastAsia="en-CA"/>
              </w:rPr>
              <w:br/>
              <w:t>(PPI: 372; No PPI: 1,690)</w:t>
            </w:r>
          </w:p>
        </w:tc>
        <w:tc>
          <w:tcPr>
            <w:tcW w:w="1276" w:type="dxa"/>
            <w:tcBorders>
              <w:top w:val="nil"/>
              <w:left w:val="nil"/>
              <w:bottom w:val="single" w:sz="4" w:space="0" w:color="808080"/>
              <w:right w:val="nil"/>
            </w:tcBorders>
            <w:shd w:val="clear" w:color="auto" w:fill="FFFFFF"/>
            <w:vAlign w:val="center"/>
            <w:hideMark/>
          </w:tcPr>
          <w:p w14:paraId="06941C5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60 (12)</w:t>
            </w:r>
            <w:r w:rsidRPr="005C4B89">
              <w:rPr>
                <w:rFonts w:ascii="Calibri" w:eastAsia="Times New Roman" w:hAnsi="Calibri" w:cs="Times New Roman"/>
                <w:color w:val="000000"/>
                <w:sz w:val="18"/>
                <w:szCs w:val="18"/>
                <w:lang w:eastAsia="en-CA"/>
              </w:rPr>
              <w:br/>
              <w:t>no PPI: 58 (12)</w:t>
            </w:r>
          </w:p>
        </w:tc>
        <w:tc>
          <w:tcPr>
            <w:tcW w:w="1134" w:type="dxa"/>
            <w:tcBorders>
              <w:top w:val="nil"/>
              <w:left w:val="nil"/>
              <w:bottom w:val="single" w:sz="4" w:space="0" w:color="808080"/>
              <w:right w:val="nil"/>
            </w:tcBorders>
            <w:shd w:val="clear" w:color="auto" w:fill="FFFFFF"/>
            <w:vAlign w:val="center"/>
            <w:hideMark/>
          </w:tcPr>
          <w:p w14:paraId="7B0F2E4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70</w:t>
            </w:r>
          </w:p>
        </w:tc>
        <w:tc>
          <w:tcPr>
            <w:tcW w:w="1134" w:type="dxa"/>
            <w:tcBorders>
              <w:top w:val="nil"/>
              <w:left w:val="nil"/>
              <w:bottom w:val="single" w:sz="4" w:space="0" w:color="808080"/>
              <w:right w:val="nil"/>
            </w:tcBorders>
            <w:shd w:val="clear" w:color="auto" w:fill="FFFFFF"/>
            <w:vAlign w:val="center"/>
            <w:hideMark/>
          </w:tcPr>
          <w:p w14:paraId="106F7EB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Caucasian, African American</w:t>
            </w:r>
          </w:p>
        </w:tc>
      </w:tr>
      <w:tr w:rsidR="009462F4" w:rsidRPr="005C4B89" w14:paraId="738BB15C"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32FAEBE5" w14:textId="65AB1782"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{"citationItems":[{"id":"ITEM-1","itemData":{"ISSN":"1756-1833","abstract":"Objective: To measure the association between use of proton pump inhibitors and a range of harmful outcomes in patients using clopidogrel and aspirin. Design: Observational cohort study and self controlled case series. Setting: United Kingdom General Practice Research Database with linked data from the Myocardial Ischaemia National Audit Project (MINAP) and the Office for National Statistics (the cardiovascular disease research using linked bespoke studies and electronic records (CALIBER) collaboration) Population: 24 471 patients receiving clopidogrel and aspirin. Main outcome measures: The primary outcome was death or incident myocardial infarction. Secondary outcomes were death, incident myocardial infarction, vascular death, and non-vascular death. Comparisons were made between proton pump inhibitor use and non-use. Results: Of the 24 471 patients prescribed clopidogrel and aspirin, 12 439 (50%) were also prescribed a proton pump inhibitor at some time during the study. Death or incident myocardial infarction occurred in 1419 (11%) patients while they were receiving a proton pump inhibitor compared with 1341 (8%) who were not receiving a proton pump inhibitor. In multivariate analysis, the hazard ratio for the association between proton pump inhibitor use and death or incident myocardial infarction was 1.37 (95% confidence interval 1.27 to 1.48). Comparable results were seen for secondary outcomes and with other 2C19 inhibitors and with non-2C19 inhibitors. With the self controlled case series design to remove the effect of differences between people, there was no association between proton pump inhibitor use and myocardial infarction, with a rate ratio of 0.75 (0.55 to 1.01). Similarly, with the self controlled case series there was no association with myocardial infarction for other 2C19 inhibitors/non-inhibitors. Conclusion: The lack of a specific association and the discrepancy between findings of the analyses between and within people suggests that the interaction between proton pump inhibitors and clopidogrel is clinically unimportant.","author":[{"dropping-particle":"","family":"Douglas","given":"Ian J","non-dropping-particle":"","parse-names":false,"suffix":""},{"dropping-particle":"","family":"Evans","given":"Stephen J W","non-dropping-particle":"","parse-names":false,"suffix":""},{"dropping-particle":"","family":"Hingorani","given":"Aroon D","non-dropping-particle":"","parse-names":false,"suffix":""},{"dropping-particle":"","family":"Grosso","given":"Anthony M","non-dropping-particle":"","parse-names":false,"suffix":""},{"dropping-particle":"","family":"Timmis","given":"Adam","non-dropping-particle":"","parse-names":false,"suffix":""},{"dropping-particle":"","family":"Hemingway","given":"Harry","non-dropping-particle":"","parse-names":false,"suffix":""},{"dropping-particle":"","family":"Smeeth","given":"Liam","non-dropping-particle":"","parse-names":false,"suffix":""}],"container-title":"BMJ (Online)","id":"ITEM-1","issue":"7869","issued":{"date-parts":[["2012"]]},"note":"486\n\n\nFrom Duplicate 1 (Clopidogrel and interaction with proton pump inhibitors: comparison between cohort and within person study designs. - Douglas, Ian J; Evans, Stephen J W; Hingorani, Aroon D; Grosso, Anthony M; Timmis, Adam; Hemingway, Harry; Smeeth, Liam)\n\nComment in: Evid Based Med. 2013 Jun;18(3):e30; PMID: 23086386, Comment in: BMJ. 2012;345:e4558; PMID: 22782732","page":"e4388","publisher":"BMJ Publishing Group (Tavistock Square, London WC1H 9JR, United Kingdom)","publisher-place":"England","title":"Clopidogrel and interaction with proton pump inhibitors: comparison between cohort and within person study designs.","type":"article-journal","volume":"345"},"uris":["http://www.mendeley.com/documents/?uuid=9d888fb6-d655-4901-8684-806dd57bb688"]}],"mendeley":{"formattedCitation":"(Douglas et al. 2012)","plainTextFormattedCitation":"(Douglas et al. 2012)","previouslyFormattedCitation":"(Douglas et al. 2012)"},"properties":{"noteIndex":0},"schema":"https://github.com/citation-style-language/schema/raw/master/csl-citation.json"}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(Douglas et al. 2012)</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(UK)</w:t>
            </w:r>
          </w:p>
        </w:tc>
        <w:tc>
          <w:tcPr>
            <w:tcW w:w="1667" w:type="dxa"/>
            <w:tcBorders>
              <w:top w:val="nil"/>
              <w:left w:val="nil"/>
              <w:bottom w:val="single" w:sz="4" w:space="0" w:color="808080"/>
              <w:right w:val="nil"/>
            </w:tcBorders>
            <w:shd w:val="clear" w:color="auto" w:fill="FFFFFF"/>
            <w:vAlign w:val="center"/>
            <w:hideMark/>
          </w:tcPr>
          <w:p w14:paraId="5F38719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analysis)</w:t>
            </w:r>
          </w:p>
        </w:tc>
        <w:tc>
          <w:tcPr>
            <w:tcW w:w="1241" w:type="dxa"/>
            <w:tcBorders>
              <w:top w:val="nil"/>
              <w:left w:val="nil"/>
              <w:bottom w:val="single" w:sz="4" w:space="0" w:color="808080"/>
              <w:right w:val="nil"/>
            </w:tcBorders>
            <w:shd w:val="clear" w:color="auto" w:fill="FFFFFF"/>
            <w:vAlign w:val="center"/>
            <w:hideMark/>
          </w:tcPr>
          <w:p w14:paraId="136B10B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UK General Practice Research Database (GPRD), Myocardial Ischemia National Audit Project (MINAP), Office for National Statistics</w:t>
            </w:r>
          </w:p>
        </w:tc>
        <w:tc>
          <w:tcPr>
            <w:tcW w:w="993" w:type="dxa"/>
            <w:tcBorders>
              <w:top w:val="nil"/>
              <w:left w:val="nil"/>
              <w:bottom w:val="single" w:sz="4" w:space="0" w:color="808080"/>
              <w:right w:val="nil"/>
            </w:tcBorders>
            <w:shd w:val="clear" w:color="auto" w:fill="FFFFFF"/>
            <w:vAlign w:val="center"/>
            <w:hideMark/>
          </w:tcPr>
          <w:p w14:paraId="0D6DFCC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On clopidogrel and aspirin</w:t>
            </w:r>
          </w:p>
        </w:tc>
        <w:tc>
          <w:tcPr>
            <w:tcW w:w="4003" w:type="dxa"/>
            <w:tcBorders>
              <w:top w:val="nil"/>
              <w:left w:val="nil"/>
              <w:bottom w:val="single" w:sz="4" w:space="0" w:color="808080"/>
              <w:right w:val="nil"/>
            </w:tcBorders>
            <w:shd w:val="clear" w:color="auto" w:fill="FFFFFF"/>
            <w:vAlign w:val="center"/>
            <w:hideMark/>
          </w:tcPr>
          <w:p w14:paraId="4F880BA7" w14:textId="7479C5B8"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active within GPRD from Jan 2003 onwards with at least 12 months between  first registration and first recorded CP prescription</w:t>
            </w:r>
            <w:r w:rsidRPr="005C4B89">
              <w:rPr>
                <w:rFonts w:ascii="Calibri" w:eastAsia="Times New Roman" w:hAnsi="Calibri" w:cs="Times New Roman"/>
                <w:color w:val="000000"/>
                <w:sz w:val="18"/>
                <w:szCs w:val="18"/>
                <w:lang w:eastAsia="en-CA"/>
              </w:rPr>
              <w:br/>
              <w:t>- concurrently prescribed aspirin</w:t>
            </w:r>
          </w:p>
        </w:tc>
        <w:tc>
          <w:tcPr>
            <w:tcW w:w="1275" w:type="dxa"/>
            <w:tcBorders>
              <w:top w:val="nil"/>
              <w:left w:val="nil"/>
              <w:bottom w:val="single" w:sz="4" w:space="0" w:color="808080"/>
              <w:right w:val="nil"/>
            </w:tcBorders>
            <w:shd w:val="clear" w:color="auto" w:fill="FFFFFF"/>
            <w:vAlign w:val="center"/>
            <w:hideMark/>
          </w:tcPr>
          <w:p w14:paraId="3133F4F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24,471 </w:t>
            </w:r>
            <w:r w:rsidRPr="005C4B89">
              <w:rPr>
                <w:rFonts w:ascii="Calibri" w:eastAsia="Times New Roman" w:hAnsi="Calibri" w:cs="Times New Roman"/>
                <w:color w:val="000000"/>
                <w:sz w:val="18"/>
                <w:szCs w:val="18"/>
                <w:lang w:eastAsia="en-CA"/>
              </w:rPr>
              <w:br/>
              <w:t>(PPI: 9,111; No PPI: 15,360)</w:t>
            </w:r>
          </w:p>
        </w:tc>
        <w:tc>
          <w:tcPr>
            <w:tcW w:w="1276" w:type="dxa"/>
            <w:tcBorders>
              <w:top w:val="nil"/>
              <w:left w:val="nil"/>
              <w:bottom w:val="single" w:sz="4" w:space="0" w:color="808080"/>
              <w:right w:val="nil"/>
            </w:tcBorders>
            <w:shd w:val="clear" w:color="auto" w:fill="FFFFFF"/>
            <w:vAlign w:val="center"/>
            <w:hideMark/>
          </w:tcPr>
          <w:p w14:paraId="31486AE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71</w:t>
            </w:r>
            <w:r w:rsidRPr="005C4B89">
              <w:rPr>
                <w:rFonts w:ascii="Calibri" w:eastAsia="Times New Roman" w:hAnsi="Calibri" w:cs="Times New Roman"/>
                <w:color w:val="000000"/>
                <w:sz w:val="18"/>
                <w:szCs w:val="18"/>
                <w:lang w:eastAsia="en-CA"/>
              </w:rPr>
              <w:br/>
              <w:t>no PPI: 68</w:t>
            </w:r>
          </w:p>
        </w:tc>
        <w:tc>
          <w:tcPr>
            <w:tcW w:w="1134" w:type="dxa"/>
            <w:tcBorders>
              <w:top w:val="nil"/>
              <w:left w:val="nil"/>
              <w:bottom w:val="single" w:sz="4" w:space="0" w:color="808080"/>
              <w:right w:val="nil"/>
            </w:tcBorders>
            <w:shd w:val="clear" w:color="auto" w:fill="FFFFFF"/>
            <w:vAlign w:val="center"/>
            <w:hideMark/>
          </w:tcPr>
          <w:p w14:paraId="423A50A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58</w:t>
            </w:r>
            <w:r w:rsidRPr="005C4B89">
              <w:rPr>
                <w:rFonts w:ascii="Calibri" w:eastAsia="Times New Roman" w:hAnsi="Calibri" w:cs="Times New Roman"/>
                <w:color w:val="000000"/>
                <w:sz w:val="18"/>
                <w:szCs w:val="18"/>
                <w:lang w:eastAsia="en-CA"/>
              </w:rPr>
              <w:br/>
              <w:t>no PPI: 65</w:t>
            </w:r>
          </w:p>
        </w:tc>
        <w:tc>
          <w:tcPr>
            <w:tcW w:w="1134" w:type="dxa"/>
            <w:tcBorders>
              <w:top w:val="nil"/>
              <w:left w:val="nil"/>
              <w:bottom w:val="single" w:sz="4" w:space="0" w:color="808080"/>
              <w:right w:val="nil"/>
            </w:tcBorders>
            <w:shd w:val="clear" w:color="auto" w:fill="FFFFFF"/>
            <w:vAlign w:val="center"/>
            <w:hideMark/>
          </w:tcPr>
          <w:p w14:paraId="5235C32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4BE26510" w14:textId="77777777" w:rsidTr="00DE19B3">
        <w:trPr>
          <w:trHeight w:val="938"/>
        </w:trPr>
        <w:tc>
          <w:tcPr>
            <w:tcW w:w="1310" w:type="dxa"/>
            <w:tcBorders>
              <w:top w:val="nil"/>
              <w:left w:val="nil"/>
              <w:bottom w:val="single" w:sz="4" w:space="0" w:color="808080"/>
              <w:right w:val="nil"/>
            </w:tcBorders>
            <w:shd w:val="clear" w:color="auto" w:fill="FFFFFF"/>
            <w:vAlign w:val="center"/>
            <w:hideMark/>
          </w:tcPr>
          <w:p w14:paraId="53ADD114" w14:textId="2058AF44"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{"citationItems":[{"id":"ITEM-1","itemData":{"ISSN":"1932-8737","abstract":"BACKGROUND: The purpose of this study was to determine the readmission rate for acute myocardial infarction (AMI) in patients discharged on clopidogrel and a proton-pump inhibitor (PPI) versus patients discharged on clopidogrel alone after experiencing an AMI and undergoing stent placement. Clopidogrel is a prodrug that requires metabolism in the liver by the cytochrome P450 system (CYP450), in particular cytochrome P450 2C19 (CYP2C19).(1) Recent studies have suggested that medications metabolized by CYP450, such as PPIs, influence the effect of clopidogrel on platelet function(2,3) with an increased risk of cardiovascular events.(4,5) PPIs are often administered with clopidogrel due to the increased bleeding risk of dual antiplatelet therapy, a strategy endorsed by existing consensus guidelines.(6), HYPOTHESIS: Treatment with a PPI in combination with clopidogrel would increase the risk of readmission for an AMI after stent placement for AMI., METHODS: We collected data on all patients discharged on clopidogrel after stent placement for an AMI between January 2003 and January 2008. Patients were followed for 1 year after their index hospitalization for readmission for an AMI. Rates of readmission were determined for those discharged on clopidogrel alone versus those discharged on clopidogrel and a PPI., RESULTS: Patients discharged on clopidogrel and a PPI had higher rates of readmission for AMI within 1 year of stent implantation for AMI., CONCLUSIONS: Patients discharged on clopidogrel and a PPI, including esomeprazole and pantoprazole, seem to be at an increased risk of recurrent AMI within 1 year after stent placement for an AMI.Copyright (c) 2010 Wiley Periodicals, Inc.","author":[{"dropping-particle":"","family":"Evanchan","given":"Jason","non-dropping-particle":"","parse-names":false,"suffix":""},{"dropping-particle":"","family":"Donnally","given":"Michael R","non-dropping-particle":"","parse-names":false,"suffix":""},{"dropping-particle":"","family":"Binkley","given":"Philip","non-dropping-particle":"","parse-names":false,"suffix":""},{"dropping-particle":"","family":"Mazzaferri","given":"Ernest","non-dropping-particle":"","parse-names":false,"suffix":""}],"container-title":"Clinical cardiology","id":"ITEM-1","issue":"3","issued":{"date-parts":[["2010"]]},"note":"727","page":"168-171","publisher":"Evanchan,Jason. Division of Cardiovascular Medicine, The Ohio State University Medical Center, Columbus, OH 43210, USA.","publisher-place":"United States","title":"Recurrence of acute myocardial infarction in patients discharged on clopidogrel and a proton pump inhibitor after stent placement for acute myocardial infarction.","type":"article-journal","volume":"33"},"uris":["http://www.mendeley.com/documents/?uuid=097852bf-5647-4dff-b26f-222938fb185f"]}],"mendeley":{"formattedCitation":"(Evanchan et al. 2010)","plainTextFormattedCitation":"(Evanchan et al. 2010)","previouslyFormattedCitation":"(Evanchan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(Evanchan et al.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w:t>
            </w:r>
          </w:p>
        </w:tc>
        <w:tc>
          <w:tcPr>
            <w:tcW w:w="1667" w:type="dxa"/>
            <w:tcBorders>
              <w:top w:val="nil"/>
              <w:left w:val="nil"/>
              <w:bottom w:val="single" w:sz="4" w:space="0" w:color="808080"/>
              <w:right w:val="nil"/>
            </w:tcBorders>
            <w:shd w:val="clear" w:color="auto" w:fill="FFFFFF"/>
            <w:vAlign w:val="center"/>
            <w:hideMark/>
          </w:tcPr>
          <w:p w14:paraId="4E3ABF5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(electronic and paper records)</w:t>
            </w:r>
          </w:p>
        </w:tc>
        <w:tc>
          <w:tcPr>
            <w:tcW w:w="1241" w:type="dxa"/>
            <w:tcBorders>
              <w:top w:val="nil"/>
              <w:left w:val="nil"/>
              <w:bottom w:val="single" w:sz="4" w:space="0" w:color="808080"/>
              <w:right w:val="nil"/>
            </w:tcBorders>
            <w:shd w:val="clear" w:color="auto" w:fill="FFFFFF"/>
            <w:vAlign w:val="center"/>
            <w:hideMark/>
          </w:tcPr>
          <w:p w14:paraId="3ECC171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FFFFFF"/>
            <w:vAlign w:val="center"/>
            <w:hideMark/>
          </w:tcPr>
          <w:p w14:paraId="369FCCE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MI and stent</w:t>
            </w:r>
          </w:p>
        </w:tc>
        <w:tc>
          <w:tcPr>
            <w:tcW w:w="4003" w:type="dxa"/>
            <w:tcBorders>
              <w:top w:val="nil"/>
              <w:left w:val="nil"/>
              <w:bottom w:val="single" w:sz="4" w:space="0" w:color="808080"/>
              <w:right w:val="nil"/>
            </w:tcBorders>
            <w:shd w:val="clear" w:color="auto" w:fill="FFFFFF"/>
            <w:vAlign w:val="center"/>
            <w:hideMark/>
          </w:tcPr>
          <w:p w14:paraId="2B84FFE1" w14:textId="46C6BB5C"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admitted with AMI and underwent PCI with stent between Jan 2003-Jan 20</w:t>
            </w:r>
            <w:r w:rsidR="002B686E">
              <w:rPr>
                <w:rFonts w:ascii="Calibri" w:eastAsia="Times New Roman" w:hAnsi="Calibri" w:cs="Times New Roman"/>
                <w:color w:val="000000"/>
                <w:sz w:val="18"/>
                <w:szCs w:val="18"/>
                <w:lang w:eastAsia="en-CA"/>
              </w:rPr>
              <w:t>08</w:t>
            </w:r>
            <w:r w:rsidR="002B686E">
              <w:rPr>
                <w:rFonts w:ascii="Calibri" w:eastAsia="Times New Roman" w:hAnsi="Calibri" w:cs="Times New Roman"/>
                <w:color w:val="000000"/>
                <w:sz w:val="18"/>
                <w:szCs w:val="18"/>
                <w:lang w:eastAsia="en-CA"/>
              </w:rPr>
              <w:br/>
              <w:t>- discharged on clopidogrel</w:t>
            </w:r>
          </w:p>
        </w:tc>
        <w:tc>
          <w:tcPr>
            <w:tcW w:w="1275" w:type="dxa"/>
            <w:tcBorders>
              <w:top w:val="nil"/>
              <w:left w:val="nil"/>
              <w:bottom w:val="single" w:sz="4" w:space="0" w:color="808080"/>
              <w:right w:val="nil"/>
            </w:tcBorders>
            <w:shd w:val="clear" w:color="auto" w:fill="FFFFFF"/>
            <w:vAlign w:val="center"/>
            <w:hideMark/>
          </w:tcPr>
          <w:p w14:paraId="2859308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5,794 </w:t>
            </w:r>
            <w:r w:rsidRPr="005C4B89">
              <w:rPr>
                <w:rFonts w:ascii="Calibri" w:eastAsia="Times New Roman" w:hAnsi="Calibri" w:cs="Times New Roman"/>
                <w:color w:val="000000"/>
                <w:sz w:val="18"/>
                <w:szCs w:val="18"/>
                <w:lang w:eastAsia="en-CA"/>
              </w:rPr>
              <w:br/>
              <w:t>(PPI: 1369;  No PPI: 4,425)</w:t>
            </w:r>
          </w:p>
        </w:tc>
        <w:tc>
          <w:tcPr>
            <w:tcW w:w="1276" w:type="dxa"/>
            <w:tcBorders>
              <w:top w:val="nil"/>
              <w:left w:val="nil"/>
              <w:bottom w:val="single" w:sz="4" w:space="0" w:color="808080"/>
              <w:right w:val="nil"/>
            </w:tcBorders>
            <w:shd w:val="clear" w:color="auto" w:fill="FFFFFF"/>
            <w:vAlign w:val="center"/>
            <w:hideMark/>
          </w:tcPr>
          <w:p w14:paraId="00A7AA6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64</w:t>
            </w:r>
            <w:r w:rsidRPr="005C4B89">
              <w:rPr>
                <w:rFonts w:ascii="Calibri" w:eastAsia="Times New Roman" w:hAnsi="Calibri" w:cs="Times New Roman"/>
                <w:color w:val="000000"/>
                <w:sz w:val="18"/>
                <w:szCs w:val="18"/>
                <w:lang w:eastAsia="en-CA"/>
              </w:rPr>
              <w:br/>
              <w:t>no PPI: 63</w:t>
            </w:r>
          </w:p>
        </w:tc>
        <w:tc>
          <w:tcPr>
            <w:tcW w:w="1134" w:type="dxa"/>
            <w:tcBorders>
              <w:top w:val="nil"/>
              <w:left w:val="nil"/>
              <w:bottom w:val="single" w:sz="4" w:space="0" w:color="808080"/>
              <w:right w:val="nil"/>
            </w:tcBorders>
            <w:shd w:val="clear" w:color="auto" w:fill="FFFFFF"/>
            <w:vAlign w:val="center"/>
            <w:hideMark/>
          </w:tcPr>
          <w:p w14:paraId="3B41C2F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c>
          <w:tcPr>
            <w:tcW w:w="1134" w:type="dxa"/>
            <w:tcBorders>
              <w:top w:val="nil"/>
              <w:left w:val="nil"/>
              <w:bottom w:val="single" w:sz="4" w:space="0" w:color="808080"/>
              <w:right w:val="nil"/>
            </w:tcBorders>
            <w:shd w:val="clear" w:color="auto" w:fill="FFFFFF"/>
            <w:vAlign w:val="center"/>
            <w:hideMark/>
          </w:tcPr>
          <w:p w14:paraId="64E1F78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178894EC" w14:textId="77777777" w:rsidTr="00DE19B3">
        <w:trPr>
          <w:trHeight w:val="1311"/>
        </w:trPr>
        <w:tc>
          <w:tcPr>
            <w:tcW w:w="1310" w:type="dxa"/>
            <w:tcBorders>
              <w:top w:val="nil"/>
              <w:left w:val="nil"/>
              <w:bottom w:val="single" w:sz="4" w:space="0" w:color="808080"/>
              <w:right w:val="nil"/>
            </w:tcBorders>
            <w:shd w:val="clear" w:color="auto" w:fill="FFFFFF"/>
            <w:vAlign w:val="center"/>
            <w:hideMark/>
          </w:tcPr>
          <w:p w14:paraId="51C89EB9" w14:textId="5126D4D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{"citationItems":[{"id":"ITEM-1","itemData":{"DOI":"10.1016/j.amjcard.2009.10.063","ISSN":"0002-9149","author":[{"dropping-particle":"","family":"Gaglia","given":"Michael A","non-dropping-particle":"","parse-names":false,"suffix":""},{"dropping-particle":"","family":"Torguson","given":"Rebecca","non-dropping-particle":"","parse-names":false,"suffix":""},{"dropping-particle":"","family":"Hanna","given":"Nicholas","non-dropping-particle":"","parse-names":false,"suffix":""},{"dropping-particle":"","family":"Gonzalez","given":"Manuel A","non-dropping-particle":"","parse-names":false,"suffix":""},{"dropping-particle":"","family":"Collins","given":"Sara D","non-dropping-particle":"","parse-names":false,"suffix":""},{"dropping-particle":"","family":"Syed","given":"Asmir I","non-dropping-particle":"","parse-names":false,"suffix":""},{"dropping-particle":"","family":"Ben-dor","given":"Itsik","non-dropping-particle":"","parse-names":false,"suffix":""},{"dropping-particle":"","family":"Maluenda","given":"Gabriel","non-dropping-particle":"","parse-names":false,"suffix":""},{"dropping-particle":"","family":"Delhaye","given":"Cedric","non-dropping-particle":"","parse-names":false,"suffix":""},{"dropping-particle":"","family":"Wakabayashi","given":"Kohei","non-dropping-particle":"","parse-names":false,"suffix":""},{"dropping-particle":"","family":"Xue","given":"Zhenyi","non-dropping-particle":"","parse-names":false,"suffix":""},{"dropping-particle":"","family":"Suddath","given":"William O","non-dropping-particle":"","parse-names":false,"suffix":""},{"dropping-particle":"","family":"Kent","given":"Kenneth M","non-dropping-particle":"","parse-names":false,"suffix":""},{"dropping-particle":"","family":"Satler","given":"Lowell F","non-dropping-particle":"","parse-names":false,"suffix":""},{"dropping-particle":"","family":"Pichard","given":"Augusto D","non-dropping-particle":"","parse-names":false,"suffix":""},{"dropping-particle":"","family":"Waksman","given":"Ron","non-dropping-particle":"","parse-names":false,"suffix":""}],"container-title":"American Journal of Cardiology","id":"ITEM-1","issue":"6","issued":{"date-parts":[["2010"]]},"note":"NULL","page":"833-838","publisher":"Elsevier Inc.","title":"Relation of Proton Pump Inhibitor Use After Percutaneous Coronary Intervention With Drug-Eluting Stents to Outcomes","type":"article-journal","volume":"105"},"uris":["http://www.mendeley.com/documents/?uuid=fcf06f02-259d-4b2d-8481-c0da88c9f28f"]}],"mendeley":{"formattedCitation":"(Gaglia et al. 2010)","plainTextFormattedCitation":"(Gaglia et al. 2010)","previouslyFormattedCitation":"(Gaglia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(Gaglia et al.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(USA)</w:t>
            </w:r>
          </w:p>
        </w:tc>
        <w:tc>
          <w:tcPr>
            <w:tcW w:w="1667" w:type="dxa"/>
            <w:tcBorders>
              <w:top w:val="nil"/>
              <w:left w:val="nil"/>
              <w:bottom w:val="single" w:sz="4" w:space="0" w:color="808080"/>
              <w:right w:val="nil"/>
            </w:tcBorders>
            <w:shd w:val="clear" w:color="auto" w:fill="FFFFFF"/>
            <w:vAlign w:val="center"/>
            <w:hideMark/>
          </w:tcPr>
          <w:p w14:paraId="187DF3E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analysis, hospital (1 center))</w:t>
            </w:r>
          </w:p>
        </w:tc>
        <w:tc>
          <w:tcPr>
            <w:tcW w:w="1241" w:type="dxa"/>
            <w:tcBorders>
              <w:top w:val="nil"/>
              <w:left w:val="nil"/>
              <w:bottom w:val="single" w:sz="4" w:space="0" w:color="808080"/>
              <w:right w:val="nil"/>
            </w:tcBorders>
            <w:shd w:val="clear" w:color="auto" w:fill="FFFFFF"/>
            <w:vAlign w:val="center"/>
            <w:hideMark/>
          </w:tcPr>
          <w:p w14:paraId="3301BBF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FFFFFF"/>
            <w:vAlign w:val="center"/>
            <w:hideMark/>
          </w:tcPr>
          <w:p w14:paraId="649468D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PCI with DES</w:t>
            </w:r>
          </w:p>
        </w:tc>
        <w:tc>
          <w:tcPr>
            <w:tcW w:w="4003" w:type="dxa"/>
            <w:tcBorders>
              <w:top w:val="nil"/>
              <w:left w:val="nil"/>
              <w:bottom w:val="single" w:sz="4" w:space="0" w:color="808080"/>
              <w:right w:val="nil"/>
            </w:tcBorders>
            <w:shd w:val="clear" w:color="auto" w:fill="FFFFFF"/>
            <w:vAlign w:val="center"/>
            <w:hideMark/>
          </w:tcPr>
          <w:p w14:paraId="2C86DAD8" w14:textId="43241FA8"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underwent PCI with DES</w:t>
            </w:r>
            <w:r w:rsidRPr="005C4B89">
              <w:rPr>
                <w:rFonts w:ascii="Calibri" w:eastAsia="Times New Roman" w:hAnsi="Calibri" w:cs="Times New Roman"/>
                <w:color w:val="000000"/>
                <w:sz w:val="18"/>
                <w:szCs w:val="18"/>
                <w:lang w:eastAsia="en-CA"/>
              </w:rPr>
              <w:br/>
              <w:t>- r</w:t>
            </w:r>
            <w:r w:rsidR="00DE19B3">
              <w:rPr>
                <w:rFonts w:ascii="Calibri" w:eastAsia="Times New Roman" w:hAnsi="Calibri" w:cs="Times New Roman"/>
                <w:color w:val="000000"/>
                <w:sz w:val="18"/>
                <w:szCs w:val="18"/>
                <w:lang w:eastAsia="en-CA"/>
              </w:rPr>
              <w:t>andomly selected from database</w:t>
            </w:r>
          </w:p>
        </w:tc>
        <w:tc>
          <w:tcPr>
            <w:tcW w:w="1275" w:type="dxa"/>
            <w:tcBorders>
              <w:top w:val="nil"/>
              <w:left w:val="nil"/>
              <w:bottom w:val="single" w:sz="4" w:space="0" w:color="808080"/>
              <w:right w:val="nil"/>
            </w:tcBorders>
            <w:shd w:val="clear" w:color="auto" w:fill="FFFFFF"/>
            <w:vAlign w:val="center"/>
            <w:hideMark/>
          </w:tcPr>
          <w:p w14:paraId="4C86690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820 </w:t>
            </w:r>
            <w:r w:rsidRPr="005C4B89">
              <w:rPr>
                <w:rFonts w:ascii="Calibri" w:eastAsia="Times New Roman" w:hAnsi="Calibri" w:cs="Times New Roman"/>
                <w:color w:val="000000"/>
                <w:sz w:val="18"/>
                <w:szCs w:val="18"/>
                <w:lang w:eastAsia="en-CA"/>
              </w:rPr>
              <w:br/>
              <w:t>(PPI: 318; No PPI: 502)</w:t>
            </w:r>
          </w:p>
        </w:tc>
        <w:tc>
          <w:tcPr>
            <w:tcW w:w="1276" w:type="dxa"/>
            <w:tcBorders>
              <w:top w:val="nil"/>
              <w:left w:val="nil"/>
              <w:bottom w:val="single" w:sz="4" w:space="0" w:color="808080"/>
              <w:right w:val="nil"/>
            </w:tcBorders>
            <w:shd w:val="clear" w:color="auto" w:fill="FFFFFF"/>
            <w:vAlign w:val="center"/>
            <w:hideMark/>
          </w:tcPr>
          <w:p w14:paraId="5B784C9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PPI: 64 (12) </w:t>
            </w:r>
            <w:r w:rsidRPr="005C4B89">
              <w:rPr>
                <w:rFonts w:ascii="Calibri" w:eastAsia="Times New Roman" w:hAnsi="Calibri" w:cs="Times New Roman"/>
                <w:color w:val="000000"/>
                <w:sz w:val="18"/>
                <w:szCs w:val="18"/>
                <w:lang w:eastAsia="en-CA"/>
              </w:rPr>
              <w:br/>
              <w:t>no PPI: 64 (12)</w:t>
            </w:r>
          </w:p>
        </w:tc>
        <w:tc>
          <w:tcPr>
            <w:tcW w:w="1134" w:type="dxa"/>
            <w:tcBorders>
              <w:top w:val="nil"/>
              <w:left w:val="nil"/>
              <w:bottom w:val="single" w:sz="4" w:space="0" w:color="808080"/>
              <w:right w:val="nil"/>
            </w:tcBorders>
            <w:shd w:val="clear" w:color="auto" w:fill="FFFFFF"/>
            <w:vAlign w:val="center"/>
            <w:hideMark/>
          </w:tcPr>
          <w:p w14:paraId="311E4FC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62</w:t>
            </w:r>
            <w:r w:rsidRPr="005C4B89">
              <w:rPr>
                <w:rFonts w:ascii="Calibri" w:eastAsia="Times New Roman" w:hAnsi="Calibri" w:cs="Times New Roman"/>
                <w:color w:val="000000"/>
                <w:sz w:val="18"/>
                <w:szCs w:val="18"/>
                <w:lang w:eastAsia="en-CA"/>
              </w:rPr>
              <w:br/>
              <w:t>no PPI: 64</w:t>
            </w:r>
          </w:p>
        </w:tc>
        <w:tc>
          <w:tcPr>
            <w:tcW w:w="1134" w:type="dxa"/>
            <w:tcBorders>
              <w:top w:val="nil"/>
              <w:left w:val="nil"/>
              <w:bottom w:val="single" w:sz="4" w:space="0" w:color="808080"/>
              <w:right w:val="nil"/>
            </w:tcBorders>
            <w:shd w:val="clear" w:color="auto" w:fill="FFFFFF"/>
            <w:vAlign w:val="center"/>
            <w:hideMark/>
          </w:tcPr>
          <w:p w14:paraId="72E6B3B1" w14:textId="6086F980"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Caucasian</w:t>
            </w:r>
            <w:r w:rsidR="00DE19B3">
              <w:rPr>
                <w:rFonts w:ascii="Calibri" w:eastAsia="Times New Roman" w:hAnsi="Calibri" w:cs="Times New Roman"/>
                <w:color w:val="000000"/>
                <w:sz w:val="18"/>
                <w:szCs w:val="18"/>
                <w:lang w:eastAsia="en-CA"/>
              </w:rPr>
              <w:t xml:space="preserve"> (70%)</w:t>
            </w:r>
            <w:r w:rsidRPr="005C4B89">
              <w:rPr>
                <w:rFonts w:ascii="Calibri" w:eastAsia="Times New Roman" w:hAnsi="Calibri" w:cs="Times New Roman"/>
                <w:color w:val="000000"/>
                <w:sz w:val="18"/>
                <w:szCs w:val="18"/>
                <w:lang w:eastAsia="en-CA"/>
              </w:rPr>
              <w:t>, Asia</w:t>
            </w:r>
            <w:r w:rsidR="00DE19B3">
              <w:rPr>
                <w:rFonts w:ascii="Calibri" w:eastAsia="Times New Roman" w:hAnsi="Calibri" w:cs="Times New Roman"/>
                <w:color w:val="000000"/>
                <w:sz w:val="18"/>
                <w:szCs w:val="18"/>
                <w:lang w:eastAsia="en-CA"/>
              </w:rPr>
              <w:t>n,  African American, Hispanic</w:t>
            </w:r>
          </w:p>
        </w:tc>
      </w:tr>
      <w:tr w:rsidR="009462F4" w:rsidRPr="005C4B89" w14:paraId="3DC6B419" w14:textId="77777777" w:rsidTr="00DE19B3">
        <w:trPr>
          <w:trHeight w:val="1223"/>
        </w:trPr>
        <w:tc>
          <w:tcPr>
            <w:tcW w:w="1310" w:type="dxa"/>
            <w:tcBorders>
              <w:top w:val="nil"/>
              <w:left w:val="nil"/>
              <w:bottom w:val="single" w:sz="4" w:space="0" w:color="808080"/>
              <w:right w:val="nil"/>
            </w:tcBorders>
            <w:shd w:val="clear" w:color="auto" w:fill="FFFFFF"/>
            <w:vAlign w:val="center"/>
            <w:hideMark/>
          </w:tcPr>
          <w:p w14:paraId="4AC79F20" w14:textId="73B0B338"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{"citationItems":[{"id":"ITEM-1","itemData":{"ISBN":"1130-6343","ISSN":"0214-753X","abstract":"OBJECTIVES: Check the progress of hospitalization and death of the patients that use clopidogrel associated with omeprazole and the patients that do not., METHODS: A retrospective cohort was conducted between January 2007 and November 2009 to evaluate patients that were using clopidogrel in association or not with omeprazole., RESULTS: The study included 2823 patients. Of these patients, 36% were female and 64% were male, the mean age was 63 years. Regarding the association of drugs for gastric protection, omeprazole was prescribed to 45%, ranitidine for 9%, while 46% of patients were not receiving gastroprotective medication. As for the analysis by groups, 35.5% of the omeprazole group was hospitalized after starting treatment with clopidogrel, compared with 25.7% in the group without omeprazole. In evaluating the deaths among patients using clopidogrel in the study period, we found the occurrence of 36 deaths, 22 in the omeprazole group and 14 in the other group., CONCLUSIONS: In our study, we did not evaluate the clinical status of the patients and the rates of reinfarction. And, as our study data showed, there are not any statistically differences between the groups that used clopidogrel associated with omeprazole, with ranitidine or that did not use any gastroprotective medication.Copyright © 2011 SEFH. Published by Elsevier Espana. All rights reserved.","author":[{"dropping-particle":"","family":"Galante","given":"CM","non-dropping-particle":"","parse-names":false,"suffix":""},{"dropping-particle":"","family":"Santos","given":"VG","non-dropping-particle":"","parse-names":false,"suffix":""},{"dropping-particle":"","family":"Cunha","given":"GBW","non-dropping-particle":"da","parse-names":false,"suffix":""}],"container-title":"Farmacia hospitalaria : organo oficial de expresion cientifica de la Sociedad Espanola de Farmacia Hospitalaria","id":"ITEM-1","issue":"4","issued":{"date-parts":[["2012"]]},"note":"505","page":"216-219","publisher":"Cappelletti Galante,M. Pharmacy Service-Heart Institute (InCor) do Hospital das Clinicas da Faculdade de Medicina da Universidade de Sao Paulo, Sao Paulo, SP, Brazil. mariana.galante@incor.usp.br","publisher-place":"Spain","title":"Assessment of the use of clopidogrel associated with gastroprotective medications in outpatients.","type":"article-journal","volume":"36"},"uris":["http://www.mendeley.com/documents/?uuid=89541c62-edcf-4193-b2f4-e13aaa9adea0"]}],"mendeley":{"formattedCitation":"(Galante et al. 2012)","plainTextFormattedCitation":"(Galante et al. 2012)","previouslyFormattedCitation":"(Galante et al. 2012)"},"properties":{"noteIndex":0},"schema":"https://github.com/citation-style-language/schema/raw/master/csl-citation.json"}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(Galante et al. 2012)</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t xml:space="preserve"> </w:t>
            </w:r>
            <w:r w:rsidRPr="005C4B89">
              <w:rPr>
                <w:rFonts w:ascii="Calibri" w:eastAsia="Times New Roman" w:hAnsi="Calibri" w:cs="Times New Roman"/>
                <w:color w:val="000000"/>
                <w:sz w:val="18"/>
                <w:szCs w:val="18"/>
                <w:lang w:eastAsia="en-CA"/>
              </w:rPr>
              <w:br/>
              <w:t>(Brazil)</w:t>
            </w:r>
          </w:p>
        </w:tc>
        <w:tc>
          <w:tcPr>
            <w:tcW w:w="1667" w:type="dxa"/>
            <w:tcBorders>
              <w:top w:val="nil"/>
              <w:left w:val="nil"/>
              <w:bottom w:val="single" w:sz="4" w:space="0" w:color="808080"/>
              <w:right w:val="nil"/>
            </w:tcBorders>
            <w:shd w:val="clear" w:color="auto" w:fill="FFFFFF"/>
            <w:vAlign w:val="center"/>
            <w:hideMark/>
          </w:tcPr>
          <w:p w14:paraId="673065B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analysis, hospital)</w:t>
            </w:r>
          </w:p>
        </w:tc>
        <w:tc>
          <w:tcPr>
            <w:tcW w:w="1241" w:type="dxa"/>
            <w:tcBorders>
              <w:top w:val="nil"/>
              <w:left w:val="nil"/>
              <w:bottom w:val="single" w:sz="4" w:space="0" w:color="808080"/>
              <w:right w:val="nil"/>
            </w:tcBorders>
            <w:shd w:val="clear" w:color="auto" w:fill="FFFFFF"/>
            <w:vAlign w:val="center"/>
            <w:hideMark/>
          </w:tcPr>
          <w:p w14:paraId="46BA13B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FFFFFF"/>
            <w:vAlign w:val="center"/>
            <w:hideMark/>
          </w:tcPr>
          <w:p w14:paraId="6B921F5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PCI</w:t>
            </w:r>
          </w:p>
        </w:tc>
        <w:tc>
          <w:tcPr>
            <w:tcW w:w="4003" w:type="dxa"/>
            <w:tcBorders>
              <w:top w:val="nil"/>
              <w:left w:val="nil"/>
              <w:bottom w:val="single" w:sz="4" w:space="0" w:color="808080"/>
              <w:right w:val="nil"/>
            </w:tcBorders>
            <w:shd w:val="clear" w:color="auto" w:fill="FFFFFF"/>
            <w:vAlign w:val="center"/>
          </w:tcPr>
          <w:p w14:paraId="56025845" w14:textId="2350BD39"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i/>
                <w:iCs/>
                <w:color w:val="000000"/>
                <w:sz w:val="18"/>
                <w:szCs w:val="18"/>
                <w:lang w:eastAsia="en-CA"/>
              </w:rPr>
              <w:t>Inclusion</w:t>
            </w:r>
            <w:r w:rsidRPr="005C4B89">
              <w:rPr>
                <w:rFonts w:ascii="Calibri" w:eastAsia="Times New Roman" w:hAnsi="Calibri" w:cs="Times New Roman"/>
                <w:color w:val="000000"/>
                <w:sz w:val="18"/>
                <w:szCs w:val="18"/>
                <w:lang w:eastAsia="en-CA"/>
              </w:rPr>
              <w:t>:</w:t>
            </w:r>
            <w:r w:rsidRPr="005C4B89">
              <w:rPr>
                <w:rFonts w:ascii="Calibri" w:eastAsia="Times New Roman" w:hAnsi="Calibri" w:cs="Times New Roman"/>
                <w:color w:val="000000"/>
                <w:sz w:val="18"/>
                <w:szCs w:val="18"/>
                <w:lang w:eastAsia="en-CA"/>
              </w:rPr>
              <w:br/>
              <w:t>- treated with clopidogrel between Jan 2007- Nov 2009  at the</w:t>
            </w:r>
            <w:r w:rsidR="00DE19B3">
              <w:rPr>
                <w:rFonts w:ascii="Calibri" w:eastAsia="Times New Roman" w:hAnsi="Calibri" w:cs="Times New Roman"/>
                <w:color w:val="000000"/>
                <w:sz w:val="18"/>
                <w:szCs w:val="18"/>
                <w:lang w:eastAsia="en-CA"/>
              </w:rPr>
              <w:t xml:space="preserve"> Heart Institute in Sao Paulo</w:t>
            </w:r>
          </w:p>
        </w:tc>
        <w:tc>
          <w:tcPr>
            <w:tcW w:w="1275" w:type="dxa"/>
            <w:tcBorders>
              <w:top w:val="nil"/>
              <w:left w:val="nil"/>
              <w:bottom w:val="single" w:sz="4" w:space="0" w:color="808080"/>
              <w:right w:val="nil"/>
            </w:tcBorders>
            <w:shd w:val="clear" w:color="auto" w:fill="FFFFFF"/>
            <w:vAlign w:val="center"/>
            <w:hideMark/>
          </w:tcPr>
          <w:p w14:paraId="3301438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2,823</w:t>
            </w:r>
            <w:r w:rsidRPr="005C4B89">
              <w:rPr>
                <w:rFonts w:ascii="Calibri" w:eastAsia="Times New Roman" w:hAnsi="Calibri" w:cs="Times New Roman"/>
                <w:color w:val="000000"/>
                <w:sz w:val="18"/>
                <w:szCs w:val="18"/>
                <w:lang w:eastAsia="en-CA"/>
              </w:rPr>
              <w:br/>
              <w:t>(PPI (omeprazole): 1,273; No PPI: 1,295; Others)</w:t>
            </w:r>
          </w:p>
        </w:tc>
        <w:tc>
          <w:tcPr>
            <w:tcW w:w="1276" w:type="dxa"/>
            <w:tcBorders>
              <w:top w:val="nil"/>
              <w:left w:val="nil"/>
              <w:bottom w:val="single" w:sz="4" w:space="0" w:color="808080"/>
              <w:right w:val="nil"/>
            </w:tcBorders>
            <w:shd w:val="clear" w:color="auto" w:fill="FFFFFF"/>
            <w:vAlign w:val="center"/>
            <w:hideMark/>
          </w:tcPr>
          <w:p w14:paraId="5287900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63 (12)</w:t>
            </w:r>
          </w:p>
        </w:tc>
        <w:tc>
          <w:tcPr>
            <w:tcW w:w="1134" w:type="dxa"/>
            <w:tcBorders>
              <w:top w:val="nil"/>
              <w:left w:val="nil"/>
              <w:bottom w:val="single" w:sz="4" w:space="0" w:color="808080"/>
              <w:right w:val="nil"/>
            </w:tcBorders>
            <w:shd w:val="clear" w:color="auto" w:fill="FFFFFF"/>
            <w:vAlign w:val="center"/>
            <w:hideMark/>
          </w:tcPr>
          <w:p w14:paraId="35ADCA3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64</w:t>
            </w:r>
          </w:p>
        </w:tc>
        <w:tc>
          <w:tcPr>
            <w:tcW w:w="1134" w:type="dxa"/>
            <w:tcBorders>
              <w:top w:val="nil"/>
              <w:left w:val="nil"/>
              <w:bottom w:val="single" w:sz="4" w:space="0" w:color="808080"/>
              <w:right w:val="nil"/>
            </w:tcBorders>
            <w:shd w:val="clear" w:color="auto" w:fill="FFFFFF"/>
            <w:vAlign w:val="center"/>
            <w:hideMark/>
          </w:tcPr>
          <w:p w14:paraId="6733801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E5015F" w:rsidRPr="005C4B89" w14:paraId="60FB8340" w14:textId="77777777" w:rsidTr="002F0260">
        <w:trPr>
          <w:trHeight w:val="1223"/>
        </w:trPr>
        <w:tc>
          <w:tcPr>
            <w:tcW w:w="1310" w:type="dxa"/>
            <w:tcBorders>
              <w:top w:val="nil"/>
              <w:left w:val="nil"/>
              <w:bottom w:val="single" w:sz="4" w:space="0" w:color="808080"/>
              <w:right w:val="nil"/>
            </w:tcBorders>
            <w:shd w:val="clear" w:color="auto" w:fill="auto"/>
            <w:vAlign w:val="center"/>
          </w:tcPr>
          <w:p w14:paraId="1D32E487" w14:textId="54833F35"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(Gargiulo et al 2016)</w:t>
            </w:r>
            <w:r>
              <w:rPr>
                <w:rFonts w:ascii="Calibri" w:hAnsi="Calibri" w:cs="Calibri"/>
                <w:color w:val="000000"/>
                <w:sz w:val="18"/>
                <w:szCs w:val="18"/>
              </w:rPr>
              <w:br/>
              <w:t>(Italy)</w:t>
            </w:r>
          </w:p>
        </w:tc>
        <w:tc>
          <w:tcPr>
            <w:tcW w:w="1667" w:type="dxa"/>
            <w:tcBorders>
              <w:top w:val="nil"/>
              <w:left w:val="nil"/>
              <w:bottom w:val="single" w:sz="4" w:space="0" w:color="808080"/>
              <w:right w:val="nil"/>
            </w:tcBorders>
            <w:shd w:val="clear" w:color="auto" w:fill="auto"/>
            <w:vAlign w:val="center"/>
          </w:tcPr>
          <w:p w14:paraId="4475C37E" w14:textId="57DD9FF7"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Post-hoc analysis of RCT</w:t>
            </w:r>
            <w:r>
              <w:rPr>
                <w:rFonts w:ascii="Calibri" w:hAnsi="Calibri" w:cs="Calibri"/>
                <w:color w:val="000000"/>
                <w:sz w:val="18"/>
                <w:szCs w:val="18"/>
              </w:rPr>
              <w:br/>
              <w:t>(3 hospitals)</w:t>
            </w:r>
          </w:p>
        </w:tc>
        <w:tc>
          <w:tcPr>
            <w:tcW w:w="1241" w:type="dxa"/>
            <w:tcBorders>
              <w:top w:val="nil"/>
              <w:left w:val="nil"/>
              <w:bottom w:val="single" w:sz="4" w:space="0" w:color="808080"/>
              <w:right w:val="nil"/>
            </w:tcBorders>
            <w:shd w:val="clear" w:color="auto" w:fill="auto"/>
            <w:vAlign w:val="center"/>
          </w:tcPr>
          <w:p w14:paraId="74D9984E" w14:textId="6C4EB52C"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PRODIGY trial NCT00611286.</w:t>
            </w:r>
          </w:p>
        </w:tc>
        <w:tc>
          <w:tcPr>
            <w:tcW w:w="993" w:type="dxa"/>
            <w:tcBorders>
              <w:top w:val="nil"/>
              <w:left w:val="nil"/>
              <w:bottom w:val="single" w:sz="4" w:space="0" w:color="808080"/>
              <w:right w:val="nil"/>
            </w:tcBorders>
            <w:shd w:val="clear" w:color="auto" w:fill="auto"/>
            <w:vAlign w:val="center"/>
          </w:tcPr>
          <w:p w14:paraId="5AB4D8E0" w14:textId="22894F26"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xml:space="preserve">PCI </w:t>
            </w:r>
          </w:p>
        </w:tc>
        <w:tc>
          <w:tcPr>
            <w:tcW w:w="4003" w:type="dxa"/>
            <w:tcBorders>
              <w:top w:val="nil"/>
              <w:left w:val="nil"/>
              <w:bottom w:val="single" w:sz="4" w:space="0" w:color="808080"/>
              <w:right w:val="nil"/>
            </w:tcBorders>
            <w:shd w:val="clear" w:color="auto" w:fill="auto"/>
            <w:vAlign w:val="center"/>
          </w:tcPr>
          <w:p w14:paraId="66F102FB" w14:textId="42B12B35" w:rsidR="00E5015F" w:rsidRPr="005C4B89" w:rsidRDefault="00E5015F" w:rsidP="00E5015F">
            <w:pPr>
              <w:spacing w:after="0" w:line="240" w:lineRule="auto"/>
              <w:rPr>
                <w:rFonts w:ascii="Calibri" w:eastAsia="Times New Roman" w:hAnsi="Calibri" w:cs="Times New Roman"/>
                <w:i/>
                <w:iCs/>
                <w:color w:val="000000"/>
                <w:sz w:val="18"/>
                <w:szCs w:val="18"/>
                <w:lang w:eastAsia="en-CA"/>
              </w:rPr>
            </w:pPr>
            <w:r w:rsidRPr="005C4B89">
              <w:rPr>
                <w:rFonts w:ascii="Calibri" w:eastAsia="Times New Roman" w:hAnsi="Calibri" w:cs="Times New Roman"/>
                <w:i/>
                <w:iCs/>
                <w:color w:val="000000"/>
                <w:sz w:val="18"/>
                <w:szCs w:val="18"/>
                <w:lang w:eastAsia="en-CA"/>
              </w:rPr>
              <w:t>Inclusion</w:t>
            </w:r>
            <w:r>
              <w:rPr>
                <w:rFonts w:ascii="Calibri" w:hAnsi="Calibri" w:cs="Calibri"/>
                <w:color w:val="000000"/>
                <w:sz w:val="18"/>
                <w:szCs w:val="18"/>
              </w:rPr>
              <w:t>:</w:t>
            </w:r>
            <w:r>
              <w:rPr>
                <w:rFonts w:ascii="Calibri" w:hAnsi="Calibri" w:cs="Calibri"/>
                <w:color w:val="000000"/>
                <w:sz w:val="18"/>
                <w:szCs w:val="18"/>
              </w:rPr>
              <w:br/>
              <w:t>- PCI patients receiving DES  at 3 Italian sites randomized to either 6 or 24 months of DAPT (clopidogrel + aspirin).</w:t>
            </w:r>
          </w:p>
        </w:tc>
        <w:tc>
          <w:tcPr>
            <w:tcW w:w="1275" w:type="dxa"/>
            <w:tcBorders>
              <w:top w:val="nil"/>
              <w:left w:val="nil"/>
              <w:bottom w:val="single" w:sz="4" w:space="0" w:color="808080"/>
              <w:right w:val="nil"/>
            </w:tcBorders>
            <w:shd w:val="clear" w:color="auto" w:fill="auto"/>
            <w:vAlign w:val="center"/>
          </w:tcPr>
          <w:p w14:paraId="470C4FD1" w14:textId="1C7B7616"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1,970;</w:t>
            </w:r>
            <w:r>
              <w:rPr>
                <w:rFonts w:ascii="Calibri" w:hAnsi="Calibri" w:cs="Calibri"/>
                <w:color w:val="000000"/>
                <w:sz w:val="18"/>
                <w:szCs w:val="18"/>
              </w:rPr>
              <w:br/>
              <w:t>PPI: 738;</w:t>
            </w:r>
          </w:p>
        </w:tc>
        <w:tc>
          <w:tcPr>
            <w:tcW w:w="1276" w:type="dxa"/>
            <w:tcBorders>
              <w:top w:val="nil"/>
              <w:left w:val="nil"/>
              <w:bottom w:val="single" w:sz="4" w:space="0" w:color="808080"/>
              <w:right w:val="nil"/>
            </w:tcBorders>
            <w:shd w:val="clear" w:color="auto" w:fill="auto"/>
            <w:vAlign w:val="center"/>
          </w:tcPr>
          <w:p w14:paraId="3E5EEFB3" w14:textId="476DE842"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No PPI:  59-77 (range);</w:t>
            </w:r>
            <w:r>
              <w:rPr>
                <w:rFonts w:ascii="Calibri" w:hAnsi="Calibri" w:cs="Calibri"/>
                <w:color w:val="000000"/>
                <w:sz w:val="18"/>
                <w:szCs w:val="18"/>
              </w:rPr>
              <w:br/>
              <w:t>PPI: 62-78 (range) ;</w:t>
            </w:r>
          </w:p>
        </w:tc>
        <w:tc>
          <w:tcPr>
            <w:tcW w:w="1134" w:type="dxa"/>
            <w:tcBorders>
              <w:top w:val="nil"/>
              <w:left w:val="nil"/>
              <w:bottom w:val="single" w:sz="4" w:space="0" w:color="808080"/>
              <w:right w:val="nil"/>
            </w:tcBorders>
            <w:shd w:val="clear" w:color="auto" w:fill="auto"/>
            <w:vAlign w:val="center"/>
          </w:tcPr>
          <w:p w14:paraId="5B1E79A5" w14:textId="5E7403A4"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No PPI:  79.2%;</w:t>
            </w:r>
            <w:r>
              <w:rPr>
                <w:rFonts w:ascii="Calibri" w:hAnsi="Calibri" w:cs="Calibri"/>
                <w:color w:val="000000"/>
                <w:sz w:val="18"/>
                <w:szCs w:val="18"/>
              </w:rPr>
              <w:br/>
              <w:t>PPI: 72.5%;</w:t>
            </w:r>
          </w:p>
        </w:tc>
        <w:tc>
          <w:tcPr>
            <w:tcW w:w="1134" w:type="dxa"/>
            <w:tcBorders>
              <w:top w:val="nil"/>
              <w:left w:val="nil"/>
              <w:bottom w:val="single" w:sz="4" w:space="0" w:color="808080"/>
              <w:right w:val="nil"/>
            </w:tcBorders>
            <w:shd w:val="clear" w:color="auto" w:fill="auto"/>
            <w:vAlign w:val="center"/>
          </w:tcPr>
          <w:p w14:paraId="3B2DA40E" w14:textId="23BC985A"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9462F4" w:rsidRPr="005C4B89" w14:paraId="59CCEDBF" w14:textId="77777777" w:rsidTr="00DE19B3">
        <w:trPr>
          <w:trHeight w:val="1364"/>
        </w:trPr>
        <w:tc>
          <w:tcPr>
            <w:tcW w:w="1310" w:type="dxa"/>
            <w:tcBorders>
              <w:top w:val="nil"/>
              <w:left w:val="nil"/>
              <w:bottom w:val="single" w:sz="4" w:space="0" w:color="808080"/>
              <w:right w:val="nil"/>
            </w:tcBorders>
            <w:shd w:val="clear" w:color="auto" w:fill="FFFFFF"/>
            <w:vAlign w:val="center"/>
            <w:hideMark/>
          </w:tcPr>
          <w:p w14:paraId="1764EC24" w14:textId="6DAF5602"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fldChar w:fldCharType="begin" w:fldLock="1"/>
            </w:r>
            <w:r w:rsidR="00D325C7">
              <w:rPr>
                <w:rFonts w:ascii="Calibri" w:eastAsia="Times New Roman" w:hAnsi="Calibri" w:cs="Times New Roman"/>
                <w:color w:val="000000"/>
                <w:sz w:val="18"/>
                <w:szCs w:val="18"/>
                <w:lang w:eastAsia="en-CA"/>
              </w:rPr>
              <w:instrText>ADDIN CSL_CITATION {"citationItems":[{"id":"ITEM-1","itemData":{"author":[{"dropping-particle":"","family":"Gaspar","given":"A","non-dropping-particle":"","parse-names":false,"suffix":""},{"dropping-particle":"","family":"Ribeiro","given":"S","non-dropping-particle":"","parse-names":false,"suffix":""},{"dropping-particle":"","family":"Nabais","given":"S","non-dropping-particle":"","parse-names":false,"suffix":""},{"dropping-particle":"","family":"Rocha","given":"","non-dropping-particle":"","parse-names":false,"suffix":""},{"dropping-particle":"","family":"Azevedo","given":"P","non-dropping-particle":"","parse-names":false,"suffix":""},{"dropping-particle":"","family":"Pereira","given":"MA","non-dropping-particle":"","parse-names":false,"suffix":""},{"dropping-particle":"","family":"Brandao","given":"A","non-dropping-particle":"","parse-names":false,"suffix":""},{"dropping-particle":"","family":"Salgado","given":"A","non-dropping-particle":"","parse-names":false,"suffix":""},{"dropping-particle":"","family":"Correia","given":"A","non-dropping-particle":"","parse-names":false,"suffix":""}],"container-title":"Rev Port Cardiol","id":"ITEM-1","issue":"10","issued":{"date-parts":[["2010"]]},"note":"NULL","page":"1511-1520","title":"Proton pump inhibitors in patients treated with aspirin and clopidogrel after acute coronary syndrome [ 105 ]","type":"article-journal","volume":"29"},"uris":["http://www.mendeley.com/documents/?uuid=9da3f639-d1d6-4f07-b5d9-f6df5476624b"]}],"mendeley":{"formattedCitation":"(Gaspar et al. 2010)","plainTextFormattedCitation":"(Gaspar et al. 2010)","previouslyFormattedCitation":"(Gaspar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(Gaspar et al.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(Portugal)</w:t>
            </w:r>
          </w:p>
        </w:tc>
        <w:tc>
          <w:tcPr>
            <w:tcW w:w="1667" w:type="dxa"/>
            <w:tcBorders>
              <w:top w:val="nil"/>
              <w:left w:val="nil"/>
              <w:bottom w:val="single" w:sz="4" w:space="0" w:color="808080"/>
              <w:right w:val="nil"/>
            </w:tcBorders>
            <w:shd w:val="clear" w:color="auto" w:fill="FFFFFF"/>
            <w:vAlign w:val="center"/>
            <w:hideMark/>
          </w:tcPr>
          <w:p w14:paraId="15C3E89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analysis, hospital (1 center))</w:t>
            </w:r>
          </w:p>
        </w:tc>
        <w:tc>
          <w:tcPr>
            <w:tcW w:w="1241" w:type="dxa"/>
            <w:tcBorders>
              <w:top w:val="nil"/>
              <w:left w:val="nil"/>
              <w:bottom w:val="single" w:sz="4" w:space="0" w:color="808080"/>
              <w:right w:val="nil"/>
            </w:tcBorders>
            <w:shd w:val="clear" w:color="auto" w:fill="FFFFFF"/>
            <w:vAlign w:val="center"/>
            <w:hideMark/>
          </w:tcPr>
          <w:p w14:paraId="17BD9AB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FFFFFF"/>
            <w:vAlign w:val="center"/>
            <w:hideMark/>
          </w:tcPr>
          <w:p w14:paraId="5FE5B72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ACS</w:t>
            </w:r>
          </w:p>
        </w:tc>
        <w:tc>
          <w:tcPr>
            <w:tcW w:w="4003" w:type="dxa"/>
            <w:tcBorders>
              <w:top w:val="nil"/>
              <w:left w:val="nil"/>
              <w:bottom w:val="single" w:sz="4" w:space="0" w:color="808080"/>
              <w:right w:val="nil"/>
            </w:tcBorders>
            <w:shd w:val="clear" w:color="auto" w:fill="FFFFFF"/>
            <w:vAlign w:val="center"/>
            <w:hideMark/>
          </w:tcPr>
          <w:p w14:paraId="0AB0F884" w14:textId="4203F9DD"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-admitted with ACS</w:t>
            </w:r>
            <w:r w:rsidRPr="005C4B89">
              <w:rPr>
                <w:rFonts w:ascii="Calibri" w:eastAsia="Times New Roman" w:hAnsi="Calibri" w:cs="Times New Roman"/>
                <w:color w:val="000000"/>
                <w:sz w:val="18"/>
                <w:szCs w:val="18"/>
                <w:lang w:eastAsia="en-CA"/>
              </w:rPr>
              <w:br/>
              <w:t>-discharge on aspirin and CP for at least 6 months</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incomplete prescription data to allow exposure assessment</w:t>
            </w:r>
          </w:p>
        </w:tc>
        <w:tc>
          <w:tcPr>
            <w:tcW w:w="1275" w:type="dxa"/>
            <w:tcBorders>
              <w:top w:val="nil"/>
              <w:left w:val="nil"/>
              <w:bottom w:val="single" w:sz="4" w:space="0" w:color="808080"/>
              <w:right w:val="nil"/>
            </w:tcBorders>
            <w:shd w:val="clear" w:color="auto" w:fill="FFFFFF"/>
            <w:vAlign w:val="center"/>
            <w:hideMark/>
          </w:tcPr>
          <w:p w14:paraId="423A982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802</w:t>
            </w:r>
            <w:r w:rsidRPr="005C4B89">
              <w:rPr>
                <w:rFonts w:ascii="Calibri" w:eastAsia="Times New Roman" w:hAnsi="Calibri" w:cs="Times New Roman"/>
                <w:color w:val="000000"/>
                <w:sz w:val="18"/>
                <w:szCs w:val="18"/>
                <w:lang w:eastAsia="en-CA"/>
              </w:rPr>
              <w:br/>
              <w:t>(PPI: 274; no PPI: 528)</w:t>
            </w:r>
          </w:p>
        </w:tc>
        <w:tc>
          <w:tcPr>
            <w:tcW w:w="1276" w:type="dxa"/>
            <w:tcBorders>
              <w:top w:val="nil"/>
              <w:left w:val="nil"/>
              <w:bottom w:val="single" w:sz="4" w:space="0" w:color="808080"/>
              <w:right w:val="nil"/>
            </w:tcBorders>
            <w:shd w:val="clear" w:color="auto" w:fill="FFFFFF"/>
            <w:vAlign w:val="center"/>
            <w:hideMark/>
          </w:tcPr>
          <w:p w14:paraId="5CEBCC7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64(13)</w:t>
            </w:r>
            <w:r w:rsidRPr="005C4B89">
              <w:rPr>
                <w:rFonts w:ascii="Calibri" w:eastAsia="Times New Roman" w:hAnsi="Calibri" w:cs="Times New Roman"/>
                <w:color w:val="000000"/>
                <w:sz w:val="18"/>
                <w:szCs w:val="18"/>
                <w:lang w:eastAsia="en-CA"/>
              </w:rPr>
              <w:br/>
              <w:t xml:space="preserve">no PPI: 61 (13) </w:t>
            </w:r>
          </w:p>
        </w:tc>
        <w:tc>
          <w:tcPr>
            <w:tcW w:w="1134" w:type="dxa"/>
            <w:tcBorders>
              <w:top w:val="nil"/>
              <w:left w:val="nil"/>
              <w:bottom w:val="single" w:sz="4" w:space="0" w:color="808080"/>
              <w:right w:val="nil"/>
            </w:tcBorders>
            <w:shd w:val="clear" w:color="auto" w:fill="FFFFFF"/>
            <w:vAlign w:val="center"/>
            <w:hideMark/>
          </w:tcPr>
          <w:p w14:paraId="5D10935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74</w:t>
            </w:r>
            <w:r w:rsidRPr="005C4B89">
              <w:rPr>
                <w:rFonts w:ascii="Calibri" w:eastAsia="Times New Roman" w:hAnsi="Calibri" w:cs="Times New Roman"/>
                <w:color w:val="000000"/>
                <w:sz w:val="18"/>
                <w:szCs w:val="18"/>
                <w:lang w:eastAsia="en-CA"/>
              </w:rPr>
              <w:br/>
              <w:t>no PPI: 77</w:t>
            </w:r>
          </w:p>
        </w:tc>
        <w:tc>
          <w:tcPr>
            <w:tcW w:w="1134" w:type="dxa"/>
            <w:tcBorders>
              <w:top w:val="nil"/>
              <w:left w:val="nil"/>
              <w:bottom w:val="single" w:sz="4" w:space="0" w:color="808080"/>
              <w:right w:val="nil"/>
            </w:tcBorders>
            <w:shd w:val="clear" w:color="auto" w:fill="FFFFFF"/>
            <w:vAlign w:val="center"/>
            <w:hideMark/>
          </w:tcPr>
          <w:p w14:paraId="5FF1C98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5F6F8762" w14:textId="77777777" w:rsidTr="00DE19B3">
        <w:trPr>
          <w:trHeight w:val="230"/>
        </w:trPr>
        <w:tc>
          <w:tcPr>
            <w:tcW w:w="1310" w:type="dxa"/>
            <w:tcBorders>
              <w:top w:val="nil"/>
              <w:left w:val="nil"/>
              <w:bottom w:val="single" w:sz="4" w:space="0" w:color="808080"/>
              <w:right w:val="nil"/>
            </w:tcBorders>
            <w:shd w:val="clear" w:color="auto" w:fill="FFFFFF"/>
            <w:vAlign w:val="center"/>
            <w:hideMark/>
          </w:tcPr>
          <w:p w14:paraId="2A18C596" w14:textId="1FD14559"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{"citationItems":[{"id":"ITEM-1","itemData":{"ISBN":"0009-7322","ISSN":"1524-4539","abstract":"BACKGROUND: The clinical significance of the interaction between clopidogrel and proton pump inhibitors (PPIs) remains unclear., METHODS AND RESULTS: We examined the relationship between PPI use and 1-year cardiovascular events (cardiovascular death, myocardial infarction, or stroke) in patients with acute coronary syndrome randomized to clopidogrel or ticagrelor in a prespecified, nonrandomized subgroup analysis of the Platelet Inhibition and Patient Outcomes (PLATO) trial. The primary end point rates were higher for individuals on a PPI (n=6539) compared with those not on a PPI (n=12 060) at randomization in both the clopidogrel (13.0% versus 10.9%; adjusted hazard ratio [HR], 1.20; 95% confidence interval [CI], 1.04-1.38) and ticagrelor (11.0% versus 9.2%; HR, 1.24; 95% CI, 1.07-1.45) groups. Patients on non-PPI gastrointestinal drugs had similar primary end point rates compared with those on a PPI (PPI versus non-PPI gastrointestinal treatment: clopidogrel, HR, 0.98; 95% CI, 0.79-1.23; ticagrelor, HR, 0.89; 95% CI, 0.73-1.10). In contrast, patients on no gastric therapy had a significantly lower primary end point rate (PPI versus no gastrointestinal treatment: clopidogrel, HR, 1.29; 95% CI, 1.12-1.49; ticagrelor, HR, 1.30; 95% CI, 1.14-1.49)., CONCLUSIONS: The use of a PPI was independently associated with a higher rate of cardiovascular events in patients with acute coronary syndrome receiving clopidogrel. However, a similar association was observed between cardiovascular events and PPI use during ticagrelor treatment and with other non-PPI gastrointestinal treatment. Therefore, in the PLATO trial, the association between PPI use and adverse events may be due to confounding, with PPI use more of a marker for, than a cause of, higher rates of cardiovascular events., CLINICAL TRIAL REGISTRATION: http://www.clinicaltrials.gov. Unique identifier: NCT00391872.","author":[{"dropping-particle":"","family":"Goodman","given":"Shaun G","non-dropping-particle":"","parse-names":false,"suffix":""},{"dropping-particle":"","family":"Clare","given":"Robert","non-dropping-particle":"","parse-names":false,"suffix":""},{"dropping-particle":"","family":"Pieper","given":"Karen S","non-dropping-particle":"","parse-names":false,"suffix":""},{"dropping-particle":"","family":"Nicolau","given":"Jose C","non-dropping-particle":"","parse-names":false,"suffix":""},{"dropping-particle":"","family":"Storey","given":"Robert F","non-dropping-particle":"","parse-names":false,"suffix":""},{"dropping-particle":"","family":"Cantor","given":"Warren J","non-dropping-particle":"","parse-names":false,"suffix":""},{"dropping-particle":"","family":"Mahaffey","given":"Kenneth W","non-dropping-particle":"","parse-names":false,"suffix":""},{"dropping-particle":"","family":"Angiolillo","given":"Dominick J","non-dropping-particle":"","parse-names":false,"suffix":""},{"dropping-particle":"","family":"Husted","given":"Steen","non-dropping-particle":"","parse-names":false,"suffix":""},{"dropping-particle":"","family":"Cannon","given":"Christopher P","non-dropping-particle":"","parse-names":false,"suffix":""},{"dropping-particle":"","family":"James","given":"Stefan K","non-dropping-particle":"","parse-names":false,"suffix":""},{"dropping-particle":"","family":"Kilhamn","given":"Jan","non-dropping-particle":"","parse-names":false,"suffix":""},{"dropping-particle":"","family":"Steg","given":"P Gabriel","non-dropping-particle":"","parse-names":false,"suffix":""},{"dropping-particle":"","family":"Harrington","given":"Robert A","non-dropping-particle":"","parse-names":false,"suffix":""},{"dropping-particle":"","family":"Wallentin","given":"Lars","non-dropping-particle":"","parse-names":false,"suffix":""}],"container-title":"Circulation","id":"ITEM-1","issue":"8","issued":{"date-parts":[["2012"]]},"note":"471\n\nFrom Duplicate 1 (Association of proton pump inhibitor use on cardiovascular outcomes with clopidogrel and ticagrelor: insights from the platelet inhibition and patient outcomes trial. - Goodman, Shaun G; Clare, Robert; Pieper, Karen S; Nicolau, Jose C; Storey, Robert F; Cantor, Warren J; Mahaffey, Kenneth W; Angiolillo, Dominick J; Husted, Steen; Cannon, Christopher P; James, Stefan K; Kilhamn, Jan; Steg, P Gabriel; Harrington, Robert A; Wallentin, Lars; Investigators, Platelet Inhibition and Patient Outcomes Trial)\n\nComment in: Circulation. 2012 Sep 11;126(11):e170; author reply e171-2; PMID: 22965784","page":"978-986","publisher":"Goodman,Shaun G. MSc, Division of Cardiology, St. Michael's Hospital, 30 Bond St, Room 6-034, Queen, Toronto, Ontario, Canada M5B 1W8. goodmans@chrc.net","publisher-place":"United States","title":"Association of proton pump inhibitor use on cardiovascular outcomes with clopidogrel and ticagrelor: insights from the platelet inhibition and patient outcomes trial.","type":"article-journal","volume":"125"},"uris":["http://www.mendeley.com/documents/?uuid=be410982-3fcc-42e5-a1c3-ce2959b51931"]}],"mendeley":{"formattedCitation":"(Goodman et al. 2012)","plainTextFormattedCitation":"(Goodman et al. 2012)","previouslyFormattedCitation":"(Goodman et al. 2012)"},"properties":{"noteIndex":0},"schema":"https://github.com/citation-style-language/schema/raw/master/csl-citation.json"}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(Goodman et al. 2012)</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(43 countries)</w:t>
            </w:r>
          </w:p>
        </w:tc>
        <w:tc>
          <w:tcPr>
            <w:tcW w:w="1667" w:type="dxa"/>
            <w:tcBorders>
              <w:top w:val="nil"/>
              <w:left w:val="nil"/>
              <w:bottom w:val="single" w:sz="4" w:space="0" w:color="808080"/>
              <w:right w:val="nil"/>
            </w:tcBorders>
            <w:shd w:val="clear" w:color="auto" w:fill="FFFFFF"/>
            <w:vAlign w:val="center"/>
            <w:hideMark/>
          </w:tcPr>
          <w:p w14:paraId="1360D9D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Post-hoc analyses of RCT</w:t>
            </w:r>
            <w:r w:rsidRPr="005C4B89">
              <w:rPr>
                <w:rFonts w:ascii="Calibri" w:eastAsia="Times New Roman" w:hAnsi="Calibri" w:cs="Times New Roman"/>
                <w:color w:val="000000"/>
                <w:sz w:val="18"/>
                <w:szCs w:val="18"/>
                <w:lang w:eastAsia="en-CA"/>
              </w:rPr>
              <w:br/>
              <w:t>(hospitals, 3 centers)</w:t>
            </w:r>
          </w:p>
        </w:tc>
        <w:tc>
          <w:tcPr>
            <w:tcW w:w="1241" w:type="dxa"/>
            <w:tcBorders>
              <w:top w:val="nil"/>
              <w:left w:val="nil"/>
              <w:bottom w:val="single" w:sz="4" w:space="0" w:color="808080"/>
              <w:right w:val="nil"/>
            </w:tcBorders>
            <w:shd w:val="clear" w:color="auto" w:fill="FFFFFF"/>
            <w:vAlign w:val="center"/>
            <w:hideMark/>
          </w:tcPr>
          <w:p w14:paraId="0592F35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PLATO trial (post-hoc)</w:t>
            </w:r>
          </w:p>
        </w:tc>
        <w:tc>
          <w:tcPr>
            <w:tcW w:w="993" w:type="dxa"/>
            <w:tcBorders>
              <w:top w:val="nil"/>
              <w:left w:val="nil"/>
              <w:bottom w:val="single" w:sz="4" w:space="0" w:color="808080"/>
              <w:right w:val="nil"/>
            </w:tcBorders>
            <w:shd w:val="clear" w:color="auto" w:fill="FFFFFF"/>
            <w:vAlign w:val="center"/>
            <w:hideMark/>
          </w:tcPr>
          <w:p w14:paraId="718E145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ACS</w:t>
            </w:r>
          </w:p>
        </w:tc>
        <w:tc>
          <w:tcPr>
            <w:tcW w:w="4003" w:type="dxa"/>
            <w:tcBorders>
              <w:top w:val="nil"/>
              <w:left w:val="nil"/>
              <w:bottom w:val="single" w:sz="4" w:space="0" w:color="808080"/>
              <w:right w:val="nil"/>
            </w:tcBorders>
            <w:shd w:val="clear" w:color="auto" w:fill="FFFFFF"/>
            <w:vAlign w:val="center"/>
            <w:hideMark/>
          </w:tcPr>
          <w:p w14:paraId="72AF2F3C" w14:textId="2D95719F"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xml:space="preserve">- hospitalized for ACS and had ST segment elevation or new left bundle branch block and were to undergo PCI </w:t>
            </w:r>
            <w:r w:rsidRPr="005C4B89">
              <w:rPr>
                <w:rFonts w:ascii="Calibri" w:eastAsia="Times New Roman" w:hAnsi="Calibri" w:cs="Times New Roman"/>
                <w:color w:val="000000"/>
                <w:sz w:val="18"/>
                <w:szCs w:val="18"/>
                <w:lang w:eastAsia="en-CA"/>
              </w:rPr>
              <w:br/>
              <w:t>- or had at least 2 of the following: ST-segment deviation; positive biomarker indicating myocardial necrosis; age 60 years; prior myocardial infarction (MI) or coronary artery bypass grafting; coronary artery disease (with 50% stenosis in 2 vessels); prior ischemic stroke, transient ischemic attack, carotid stenosis (50%), or cerebral revascularization; diabetes mellitus; peripheral arterial disease; or chronic renal dysfunction (creatinine clearance 60 mL/min per 1.73 m2)</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xml:space="preserve">- increased risk of bleeding (ex, active bleeding, major surgery 30 days), </w:t>
            </w:r>
            <w:r w:rsidRPr="005C4B89">
              <w:rPr>
                <w:rFonts w:ascii="Calibri" w:eastAsia="Times New Roman" w:hAnsi="Calibri" w:cs="Times New Roman"/>
                <w:color w:val="000000"/>
                <w:sz w:val="18"/>
                <w:szCs w:val="18"/>
                <w:lang w:eastAsia="en-CA"/>
              </w:rPr>
              <w:br/>
              <w:t>- clinically important anemia or thrombocytopenia</w:t>
            </w:r>
            <w:r w:rsidRPr="005C4B89">
              <w:rPr>
                <w:rFonts w:ascii="Calibri" w:eastAsia="Times New Roman" w:hAnsi="Calibri" w:cs="Times New Roman"/>
                <w:color w:val="000000"/>
                <w:sz w:val="18"/>
                <w:szCs w:val="18"/>
                <w:lang w:eastAsia="en-CA"/>
              </w:rPr>
              <w:br/>
              <w:t>- need for ongoing oral anticoagulation therapy</w:t>
            </w:r>
            <w:r w:rsidRPr="005C4B89">
              <w:rPr>
                <w:rFonts w:ascii="Calibri" w:eastAsia="Times New Roman" w:hAnsi="Calibri" w:cs="Times New Roman"/>
                <w:color w:val="000000"/>
                <w:sz w:val="18"/>
                <w:szCs w:val="18"/>
                <w:lang w:eastAsia="en-CA"/>
              </w:rPr>
              <w:br/>
              <w:t>- moderate/severe liver disease.</w:t>
            </w:r>
          </w:p>
        </w:tc>
        <w:tc>
          <w:tcPr>
            <w:tcW w:w="1275" w:type="dxa"/>
            <w:tcBorders>
              <w:top w:val="nil"/>
              <w:left w:val="nil"/>
              <w:bottom w:val="single" w:sz="4" w:space="0" w:color="808080"/>
              <w:right w:val="nil"/>
            </w:tcBorders>
            <w:shd w:val="clear" w:color="auto" w:fill="FFFFFF"/>
            <w:vAlign w:val="center"/>
            <w:hideMark/>
          </w:tcPr>
          <w:p w14:paraId="45B404B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18,601</w:t>
            </w:r>
            <w:r w:rsidRPr="005C4B89">
              <w:rPr>
                <w:rFonts w:ascii="Calibri" w:eastAsia="Times New Roman" w:hAnsi="Calibri" w:cs="Times New Roman"/>
                <w:color w:val="000000"/>
                <w:sz w:val="18"/>
                <w:szCs w:val="18"/>
                <w:lang w:eastAsia="en-CA"/>
              </w:rPr>
              <w:br/>
              <w:t>(PPI: 6,539; No PPI: 12,060)</w:t>
            </w:r>
          </w:p>
        </w:tc>
        <w:tc>
          <w:tcPr>
            <w:tcW w:w="1276" w:type="dxa"/>
            <w:tcBorders>
              <w:top w:val="nil"/>
              <w:left w:val="nil"/>
              <w:bottom w:val="single" w:sz="4" w:space="0" w:color="808080"/>
              <w:right w:val="nil"/>
            </w:tcBorders>
            <w:shd w:val="clear" w:color="auto" w:fill="FFFFFF"/>
            <w:vAlign w:val="center"/>
            <w:hideMark/>
          </w:tcPr>
          <w:p w14:paraId="262593F5" w14:textId="77777777" w:rsidR="009462F4" w:rsidRPr="005C4B89" w:rsidRDefault="009462F4">
            <w:pPr>
              <w:spacing w:after="0" w:line="240" w:lineRule="auto"/>
              <w:rPr>
                <w:rFonts w:ascii="Calibri" w:eastAsia="Times New Roman" w:hAnsi="Calibri" w:cs="Times New Roman"/>
                <w:sz w:val="18"/>
                <w:szCs w:val="18"/>
                <w:lang w:eastAsia="en-CA"/>
              </w:rPr>
            </w:pPr>
            <w:r w:rsidRPr="005C4B89">
              <w:rPr>
                <w:rFonts w:ascii="Calibri" w:eastAsia="Times New Roman" w:hAnsi="Calibri" w:cs="Times New Roman"/>
                <w:sz w:val="18"/>
                <w:szCs w:val="18"/>
                <w:lang w:eastAsia="en-CA"/>
              </w:rPr>
              <w:t>PPI: 63</w:t>
            </w:r>
            <w:r w:rsidRPr="005C4B89">
              <w:rPr>
                <w:rFonts w:ascii="Calibri" w:eastAsia="Times New Roman" w:hAnsi="Calibri" w:cs="Times New Roman"/>
                <w:sz w:val="18"/>
                <w:szCs w:val="18"/>
                <w:lang w:eastAsia="en-CA"/>
              </w:rPr>
              <w:br/>
              <w:t>no PPI: 62</w:t>
            </w:r>
          </w:p>
        </w:tc>
        <w:tc>
          <w:tcPr>
            <w:tcW w:w="1134" w:type="dxa"/>
            <w:tcBorders>
              <w:top w:val="nil"/>
              <w:left w:val="nil"/>
              <w:bottom w:val="single" w:sz="4" w:space="0" w:color="808080"/>
              <w:right w:val="nil"/>
            </w:tcBorders>
            <w:shd w:val="clear" w:color="auto" w:fill="FFFFFF"/>
            <w:vAlign w:val="center"/>
            <w:hideMark/>
          </w:tcPr>
          <w:p w14:paraId="0AA9EFA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72</w:t>
            </w:r>
            <w:r w:rsidRPr="005C4B89">
              <w:rPr>
                <w:rFonts w:ascii="Calibri" w:eastAsia="Times New Roman" w:hAnsi="Calibri" w:cs="Times New Roman"/>
                <w:color w:val="000000"/>
                <w:sz w:val="18"/>
                <w:szCs w:val="18"/>
                <w:lang w:eastAsia="en-CA"/>
              </w:rPr>
              <w:br/>
              <w:t>no PPI: 71</w:t>
            </w:r>
          </w:p>
        </w:tc>
        <w:tc>
          <w:tcPr>
            <w:tcW w:w="1134" w:type="dxa"/>
            <w:tcBorders>
              <w:top w:val="nil"/>
              <w:left w:val="nil"/>
              <w:bottom w:val="single" w:sz="4" w:space="0" w:color="808080"/>
              <w:right w:val="nil"/>
            </w:tcBorders>
            <w:shd w:val="clear" w:color="auto" w:fill="FFFFFF"/>
            <w:vAlign w:val="center"/>
            <w:hideMark/>
          </w:tcPr>
          <w:p w14:paraId="345C993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Caucasian, Asian, African American, Other</w:t>
            </w:r>
            <w:r w:rsidRPr="005C4B89">
              <w:rPr>
                <w:rFonts w:ascii="Calibri" w:eastAsia="Times New Roman" w:hAnsi="Calibri" w:cs="Times New Roman"/>
                <w:color w:val="000000"/>
                <w:sz w:val="18"/>
                <w:szCs w:val="18"/>
                <w:lang w:eastAsia="en-CA"/>
              </w:rPr>
              <w:br/>
              <w:t>(&gt;90% Caucasian)</w:t>
            </w:r>
          </w:p>
        </w:tc>
      </w:tr>
      <w:tr w:rsidR="009462F4" w:rsidRPr="005C4B89" w14:paraId="04595CDA" w14:textId="77777777" w:rsidTr="00DE19B3">
        <w:trPr>
          <w:trHeight w:val="797"/>
        </w:trPr>
        <w:tc>
          <w:tcPr>
            <w:tcW w:w="1310" w:type="dxa"/>
            <w:tcBorders>
              <w:top w:val="nil"/>
              <w:left w:val="nil"/>
              <w:bottom w:val="single" w:sz="4" w:space="0" w:color="808080"/>
              <w:right w:val="nil"/>
            </w:tcBorders>
            <w:shd w:val="clear" w:color="auto" w:fill="FFFFFF"/>
            <w:vAlign w:val="center"/>
            <w:hideMark/>
          </w:tcPr>
          <w:p w14:paraId="07FE8B2D" w14:textId="3C57C935"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{"citationItems":[{"id":"ITEM-1","itemData":{"ISSN":"1573-2568","abstract":"BACKGROUND: Recent studies have suggested that proton pump inhibitors (PPIs) attenuate the benefits of clopidogrel. The clinical relevance of this interaction in patients who have undergone percutaneous coronary intervention (PCI) is unknown. We hypothesized that post-PCI patients discharged on clopidogrel will have higher cardiovascular events if concomitant PPI therapy is used., AIMS: To determine whether post-PCI patients discharged on clopidogrel will have higher cardiovascular events if concomitant PPI therapy is used., METHODS: We reviewed the medical records of all the patients discharged on clopidogrel who underwent PCI from January 2003 to August 2004. The primary outcome studied was a major adverse cardiovascular event (MACE), which was defined as a composite of death, myocardial infarction, and target vessel failure., RESULTS: Of the 315 post-PCI patients who were discharged on clopidogrel, 72 were discharged on PPI. During a mean follow-up period of 50 months, patients discharged on concomitant clopidogrel-PPI therapy had a MACE rate of 56% (vs. 38% in the clopidogrel alone group) (P = 0.025) and had 95% excess risk of MACE., CONCLUSION: Concomitant use of clopidogrel and PPI in post-PCI patients is associated with a higher risk of MACE. This suggests that PPIs may attenuate clopidogrel's beneficial antiplatelet effect, which is crucial after PCI. Prospective randomized studies are warranted to provide definitive evidence for this interaction.","author":[{"dropping-particle":"","family":"Gupta","given":"Ekta","non-dropping-particle":"","parse-names":false,"suffix":""},{"dropping-particle":"","family":"Bansal","given":"Darpan","non-dropping-particle":"","parse-names":false,"suffix":""},{"dropping-particle":"","family":"Sotos","given":"John","non-dropping-particle":"","parse-names":false,"suffix":""},{"dropping-particle":"","family":"Olden","given":"Kevin","non-dropping-particle":"","parse-names":false,"suffix":""}],"container-title":"Digestive diseases and sciences","id":"ITEM-1","issue":"7","issued":{"date-parts":[["2010"]]},"note":"715","page":"1964-1968","publisher":"Gupta,Ekta. Division of Gastroenterology, University of Arkansas for Medical Sciences and Central Arkansas Veterans Healthcare System, Little Rock, AR 72205, USA. EGupta@uams.edu","publisher-place":"United States","title":"Risk of adverse clinical outcomes with concomitant use of clopidogrel and proton pump inhibitors following percutaneous coronary intervention.","type":"article-journal","volume":"55"},"uris":["http://www.mendeley.com/documents/?uuid=648615a3-115b-4680-ad7b-1c3f6647c19b"]}],"mendeley":{"formattedCitation":"(Gupta et al. 2010)","plainTextFormattedCitation":"(Gupta et al. 2010)","previouslyFormattedCitation":"(Gupta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(Gupta et al.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(USA)</w:t>
            </w:r>
          </w:p>
        </w:tc>
        <w:tc>
          <w:tcPr>
            <w:tcW w:w="1667" w:type="dxa"/>
            <w:tcBorders>
              <w:top w:val="nil"/>
              <w:left w:val="nil"/>
              <w:bottom w:val="single" w:sz="4" w:space="0" w:color="808080"/>
              <w:right w:val="nil"/>
            </w:tcBorders>
            <w:shd w:val="clear" w:color="auto" w:fill="FFFFFF"/>
            <w:vAlign w:val="center"/>
            <w:hideMark/>
          </w:tcPr>
          <w:p w14:paraId="4B2DEB8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(hospital records (1 center))</w:t>
            </w:r>
          </w:p>
        </w:tc>
        <w:tc>
          <w:tcPr>
            <w:tcW w:w="1241" w:type="dxa"/>
            <w:tcBorders>
              <w:top w:val="nil"/>
              <w:left w:val="nil"/>
              <w:bottom w:val="single" w:sz="4" w:space="0" w:color="808080"/>
              <w:right w:val="nil"/>
            </w:tcBorders>
            <w:shd w:val="clear" w:color="auto" w:fill="FFFFFF"/>
            <w:vAlign w:val="center"/>
            <w:hideMark/>
          </w:tcPr>
          <w:p w14:paraId="3BB0898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FFFFFF"/>
            <w:vAlign w:val="center"/>
            <w:hideMark/>
          </w:tcPr>
          <w:p w14:paraId="7E980B4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PCI</w:t>
            </w:r>
          </w:p>
        </w:tc>
        <w:tc>
          <w:tcPr>
            <w:tcW w:w="4003" w:type="dxa"/>
            <w:tcBorders>
              <w:top w:val="nil"/>
              <w:left w:val="nil"/>
              <w:bottom w:val="single" w:sz="4" w:space="0" w:color="808080"/>
              <w:right w:val="nil"/>
            </w:tcBorders>
            <w:shd w:val="clear" w:color="auto" w:fill="FFFFFF"/>
            <w:vAlign w:val="center"/>
            <w:hideMark/>
          </w:tcPr>
          <w:p w14:paraId="1A76D7E3" w14:textId="77777777" w:rsidR="00DE19B3"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p>
          <w:p w14:paraId="29F68954" w14:textId="5C44CEE5"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 underwent PCI between Jan 2003-Aug 2004 </w:t>
            </w:r>
            <w:r w:rsidRPr="005C4B89">
              <w:rPr>
                <w:rFonts w:ascii="Calibri" w:eastAsia="Times New Roman" w:hAnsi="Calibri" w:cs="Times New Roman"/>
                <w:color w:val="000000"/>
                <w:sz w:val="18"/>
                <w:szCs w:val="18"/>
                <w:lang w:eastAsia="en-CA"/>
              </w:rPr>
              <w:br/>
              <w:t>- discharged on clopidogrel</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-not discharged on CP</w:t>
            </w:r>
          </w:p>
        </w:tc>
        <w:tc>
          <w:tcPr>
            <w:tcW w:w="1275" w:type="dxa"/>
            <w:tcBorders>
              <w:top w:val="nil"/>
              <w:left w:val="nil"/>
              <w:bottom w:val="single" w:sz="4" w:space="0" w:color="808080"/>
              <w:right w:val="nil"/>
            </w:tcBorders>
            <w:shd w:val="clear" w:color="auto" w:fill="FFFFFF"/>
            <w:vAlign w:val="center"/>
            <w:hideMark/>
          </w:tcPr>
          <w:p w14:paraId="71FF14D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315</w:t>
            </w:r>
            <w:r w:rsidRPr="005C4B89">
              <w:rPr>
                <w:rFonts w:ascii="Calibri" w:eastAsia="Times New Roman" w:hAnsi="Calibri" w:cs="Times New Roman"/>
                <w:color w:val="000000"/>
                <w:sz w:val="18"/>
                <w:szCs w:val="18"/>
                <w:lang w:eastAsia="en-CA"/>
              </w:rPr>
              <w:br/>
              <w:t>(PPI: 72;  No PPI: 342)</w:t>
            </w:r>
          </w:p>
        </w:tc>
        <w:tc>
          <w:tcPr>
            <w:tcW w:w="1276" w:type="dxa"/>
            <w:tcBorders>
              <w:top w:val="nil"/>
              <w:left w:val="nil"/>
              <w:bottom w:val="single" w:sz="4" w:space="0" w:color="808080"/>
              <w:right w:val="nil"/>
            </w:tcBorders>
            <w:shd w:val="clear" w:color="auto" w:fill="FFFFFF"/>
            <w:vAlign w:val="center"/>
            <w:hideMark/>
          </w:tcPr>
          <w:p w14:paraId="61CF2DD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62(1)</w:t>
            </w:r>
            <w:r w:rsidRPr="005C4B89">
              <w:rPr>
                <w:rFonts w:ascii="Calibri" w:eastAsia="Times New Roman" w:hAnsi="Calibri" w:cs="Times New Roman"/>
                <w:color w:val="000000"/>
                <w:sz w:val="18"/>
                <w:szCs w:val="18"/>
                <w:lang w:eastAsia="en-CA"/>
              </w:rPr>
              <w:br/>
              <w:t>no PPI: 62 (1)</w:t>
            </w:r>
          </w:p>
        </w:tc>
        <w:tc>
          <w:tcPr>
            <w:tcW w:w="1134" w:type="dxa"/>
            <w:tcBorders>
              <w:top w:val="nil"/>
              <w:left w:val="nil"/>
              <w:bottom w:val="single" w:sz="4" w:space="0" w:color="808080"/>
              <w:right w:val="nil"/>
            </w:tcBorders>
            <w:shd w:val="clear" w:color="auto" w:fill="FFFFFF"/>
            <w:vAlign w:val="center"/>
            <w:hideMark/>
          </w:tcPr>
          <w:p w14:paraId="641F1BC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c>
          <w:tcPr>
            <w:tcW w:w="1134" w:type="dxa"/>
            <w:tcBorders>
              <w:top w:val="nil"/>
              <w:left w:val="nil"/>
              <w:bottom w:val="single" w:sz="4" w:space="0" w:color="808080"/>
              <w:right w:val="nil"/>
            </w:tcBorders>
            <w:shd w:val="clear" w:color="auto" w:fill="FFFFFF"/>
            <w:vAlign w:val="center"/>
            <w:hideMark/>
          </w:tcPr>
          <w:p w14:paraId="1879666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23475603"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75437A51" w14:textId="1257793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{"citationItems":[{"id":"ITEM-1","itemData":{"DOI":"10.1161/CIRCINTERVENTIONS.110.958884","author":[{"dropping-particle":"","family":"Harjai","given":"Kishore J","non-dropping-particle":"","parse-names":false,"suffix":""},{"dropping-particle":"","family":"Shenoy","given":"Chetan","non-dropping-particle":"","parse-names":false,"suffix":""},{"dropping-particle":"","family":"Orshaw","given":"Pam","non-dropping-particle":"","parse-names":false,"suffix":""},{"dropping-particle":"","family":"Usmani","given":"Samer","non-dropping-particle":"","parse-names":false,"suffix":""},{"dropping-particle":"","family":"Boura","given":"Judy","non-dropping-particle":"","parse-names":false,"suffix":""},{"dropping-particle":"","family":"Mehta","given":"Rajendra H","non-dropping-particle":"","parse-names":false,"suffix":""}],"container-title":"Circ Cardiovasc Interv.","id":"ITEM-1","issued":{"date-parts":[["2011"]]},"note":"NULL","page":"162-170","title":"Clinical Outcomes in Patients With the Concomitant Use of Clopidogrel and Proton Pump Inhibitors After Percutaneous An Analysis From the Guthrie Health Off-Label Stent ( GHOST ) Investigators","type":"article-journal","volume":"4"},"uris":["http://www.mendeley.com/documents/?uuid=851875d6-b9ec-4a99-ab04-5b5c42d34418"]}],"mendeley":{"formattedCitation":"(Harjai et al. 2011)","plainTextFormattedCitation":"(Harjai et al. 2011)","previouslyFormattedCitation":"(Harjai et al. 2011)"},"properties":{"noteIndex":0},"schema":"https://github.com/citation-style-language/schema/raw/master/csl-citation.json"}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(Harjai et al. 2011)</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(USA)</w:t>
            </w:r>
          </w:p>
        </w:tc>
        <w:tc>
          <w:tcPr>
            <w:tcW w:w="1667" w:type="dxa"/>
            <w:tcBorders>
              <w:top w:val="nil"/>
              <w:left w:val="nil"/>
              <w:bottom w:val="single" w:sz="4" w:space="0" w:color="808080"/>
              <w:right w:val="nil"/>
            </w:tcBorders>
            <w:shd w:val="clear" w:color="auto" w:fill="FFFFFF"/>
            <w:vAlign w:val="center"/>
            <w:hideMark/>
          </w:tcPr>
          <w:p w14:paraId="38B8664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(registry, hospitals)</w:t>
            </w:r>
          </w:p>
        </w:tc>
        <w:tc>
          <w:tcPr>
            <w:tcW w:w="1241" w:type="dxa"/>
            <w:tcBorders>
              <w:top w:val="nil"/>
              <w:left w:val="nil"/>
              <w:bottom w:val="single" w:sz="4" w:space="0" w:color="808080"/>
              <w:right w:val="nil"/>
            </w:tcBorders>
            <w:shd w:val="clear" w:color="auto" w:fill="FFFFFF"/>
            <w:vAlign w:val="center"/>
            <w:hideMark/>
          </w:tcPr>
          <w:p w14:paraId="15382DD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Guthrie PCI registry</w:t>
            </w:r>
          </w:p>
        </w:tc>
        <w:tc>
          <w:tcPr>
            <w:tcW w:w="993" w:type="dxa"/>
            <w:tcBorders>
              <w:top w:val="nil"/>
              <w:left w:val="nil"/>
              <w:bottom w:val="single" w:sz="4" w:space="0" w:color="808080"/>
              <w:right w:val="nil"/>
            </w:tcBorders>
            <w:shd w:val="clear" w:color="auto" w:fill="FFFFFF"/>
            <w:vAlign w:val="center"/>
            <w:hideMark/>
          </w:tcPr>
          <w:p w14:paraId="2742B97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CAD with OCI</w:t>
            </w:r>
          </w:p>
        </w:tc>
        <w:tc>
          <w:tcPr>
            <w:tcW w:w="4003" w:type="dxa"/>
            <w:tcBorders>
              <w:top w:val="nil"/>
              <w:left w:val="nil"/>
              <w:bottom w:val="single" w:sz="4" w:space="0" w:color="808080"/>
              <w:right w:val="nil"/>
            </w:tcBorders>
            <w:shd w:val="clear" w:color="auto" w:fill="FFFFFF"/>
            <w:vAlign w:val="center"/>
            <w:hideMark/>
          </w:tcPr>
          <w:p w14:paraId="45D0E9F5" w14:textId="7DC6A0BC"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-underwent PCI</w:t>
            </w:r>
            <w:r w:rsidRPr="005C4B89">
              <w:rPr>
                <w:rFonts w:ascii="Calibri" w:eastAsia="Times New Roman" w:hAnsi="Calibri" w:cs="Times New Roman"/>
                <w:color w:val="000000"/>
                <w:sz w:val="18"/>
                <w:szCs w:val="18"/>
                <w:lang w:eastAsia="en-CA"/>
              </w:rPr>
              <w:br/>
              <w:t>-stable or unstable CAD</w:t>
            </w:r>
            <w:r w:rsidRPr="005C4B89">
              <w:rPr>
                <w:rFonts w:ascii="Calibri" w:eastAsia="Times New Roman" w:hAnsi="Calibri" w:cs="Times New Roman"/>
                <w:color w:val="000000"/>
                <w:sz w:val="18"/>
                <w:szCs w:val="18"/>
                <w:lang w:eastAsia="en-CA"/>
              </w:rPr>
              <w:br/>
              <w:t>-discharged alive without MI, TVR or stroke</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-enrolled in an RCT on AP treatment</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lastRenderedPageBreak/>
              <w:t>-incomplete/lack of discharge data on PPI use</w:t>
            </w:r>
            <w:r w:rsidRPr="005C4B89">
              <w:rPr>
                <w:rFonts w:ascii="Calibri" w:eastAsia="Times New Roman" w:hAnsi="Calibri" w:cs="Times New Roman"/>
                <w:color w:val="000000"/>
                <w:sz w:val="18"/>
                <w:szCs w:val="18"/>
                <w:lang w:eastAsia="en-CA"/>
              </w:rPr>
              <w:br/>
              <w:t>- did not complete 6 month follow-up</w:t>
            </w:r>
          </w:p>
        </w:tc>
        <w:tc>
          <w:tcPr>
            <w:tcW w:w="1275" w:type="dxa"/>
            <w:tcBorders>
              <w:top w:val="nil"/>
              <w:left w:val="nil"/>
              <w:bottom w:val="single" w:sz="4" w:space="0" w:color="808080"/>
              <w:right w:val="nil"/>
            </w:tcBorders>
            <w:shd w:val="clear" w:color="auto" w:fill="FFFFFF"/>
            <w:vAlign w:val="center"/>
            <w:hideMark/>
          </w:tcPr>
          <w:p w14:paraId="7AAC47E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 xml:space="preserve">2651 </w:t>
            </w:r>
            <w:r w:rsidRPr="005C4B89">
              <w:rPr>
                <w:rFonts w:ascii="Calibri" w:eastAsia="Times New Roman" w:hAnsi="Calibri" w:cs="Times New Roman"/>
                <w:color w:val="000000"/>
                <w:sz w:val="18"/>
                <w:szCs w:val="18"/>
                <w:lang w:eastAsia="en-CA"/>
              </w:rPr>
              <w:br/>
              <w:t>(PPI: 751; no PPI: 1902)</w:t>
            </w:r>
          </w:p>
        </w:tc>
        <w:tc>
          <w:tcPr>
            <w:tcW w:w="1276" w:type="dxa"/>
            <w:tcBorders>
              <w:top w:val="nil"/>
              <w:left w:val="nil"/>
              <w:bottom w:val="single" w:sz="4" w:space="0" w:color="808080"/>
              <w:right w:val="nil"/>
            </w:tcBorders>
            <w:shd w:val="clear" w:color="auto" w:fill="FFFFFF"/>
            <w:vAlign w:val="center"/>
            <w:hideMark/>
          </w:tcPr>
          <w:p w14:paraId="3E4F31F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64(12)</w:t>
            </w:r>
            <w:r w:rsidRPr="005C4B89">
              <w:rPr>
                <w:rFonts w:ascii="Calibri" w:eastAsia="Times New Roman" w:hAnsi="Calibri" w:cs="Times New Roman"/>
                <w:color w:val="000000"/>
                <w:sz w:val="18"/>
                <w:szCs w:val="18"/>
                <w:lang w:eastAsia="en-CA"/>
              </w:rPr>
              <w:br/>
              <w:t>no PPI: 66 (11)</w:t>
            </w:r>
          </w:p>
        </w:tc>
        <w:tc>
          <w:tcPr>
            <w:tcW w:w="1134" w:type="dxa"/>
            <w:tcBorders>
              <w:top w:val="nil"/>
              <w:left w:val="nil"/>
              <w:bottom w:val="single" w:sz="4" w:space="0" w:color="808080"/>
              <w:right w:val="nil"/>
            </w:tcBorders>
            <w:shd w:val="clear" w:color="auto" w:fill="FFFFFF"/>
            <w:vAlign w:val="center"/>
            <w:hideMark/>
          </w:tcPr>
          <w:p w14:paraId="7F3CFB3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72</w:t>
            </w:r>
            <w:r w:rsidRPr="005C4B89">
              <w:rPr>
                <w:rFonts w:ascii="Calibri" w:eastAsia="Times New Roman" w:hAnsi="Calibri" w:cs="Times New Roman"/>
                <w:color w:val="000000"/>
                <w:sz w:val="18"/>
                <w:szCs w:val="18"/>
                <w:lang w:eastAsia="en-CA"/>
              </w:rPr>
              <w:br/>
              <w:t>no PPI: 62</w:t>
            </w:r>
          </w:p>
        </w:tc>
        <w:tc>
          <w:tcPr>
            <w:tcW w:w="1134" w:type="dxa"/>
            <w:tcBorders>
              <w:top w:val="nil"/>
              <w:left w:val="nil"/>
              <w:bottom w:val="single" w:sz="4" w:space="0" w:color="808080"/>
              <w:right w:val="nil"/>
            </w:tcBorders>
            <w:shd w:val="clear" w:color="auto" w:fill="FFFFFF"/>
            <w:vAlign w:val="center"/>
            <w:hideMark/>
          </w:tcPr>
          <w:p w14:paraId="617D698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99% Caucasian</w:t>
            </w:r>
          </w:p>
        </w:tc>
      </w:tr>
      <w:tr w:rsidR="009462F4" w:rsidRPr="005C4B89" w14:paraId="2930B85E" w14:textId="77777777" w:rsidTr="002B686E">
        <w:trPr>
          <w:trHeight w:val="231"/>
        </w:trPr>
        <w:tc>
          <w:tcPr>
            <w:tcW w:w="1310" w:type="dxa"/>
            <w:tcBorders>
              <w:top w:val="nil"/>
              <w:left w:val="nil"/>
              <w:bottom w:val="single" w:sz="4" w:space="0" w:color="808080"/>
              <w:right w:val="nil"/>
            </w:tcBorders>
            <w:shd w:val="clear" w:color="auto" w:fill="FFFFFF"/>
            <w:vAlign w:val="center"/>
            <w:hideMark/>
          </w:tcPr>
          <w:p w14:paraId="0B6EEDE9" w14:textId="4F9E1216"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{"citationItems":[{"id":"ITEM-1","itemData":{"ISBN":"0098-7484","ISSN":"1538-3598","abstract":"Context Prior mechanistic studies reported that omeprazole decreases the platelet inhibitory effects of clopidogrel, yet the clinical significance of these findings is not clear. Objective To assess outcomes of patients taking clopidogrel with or without a proton pump inhibitor (PPI) after hospitalization for acute coronary syndrome (ACS). Design, Setting, and Patients Retrospective cohort study of 8205 patients with ACS taking clopidogrel after discharge from 127 Veterans Affairs hospitals between October 1, 2003, and January 31, 2006. Vital status information was available for all patients through September 30, 2006. Main Outcome Measures All-cause mortality or rehospitalization for ACS. Results Of 8205 patients taking clopidogrel after discharge, 63.9% (n = 5244) were prescribed PPI at discharge, during follow-up, or both and 36.1 % (n=2961) were not prescribed PPI. Death or rehospitalization for ACS occurred in 20.8% (n = 615) of patients taking clopidogrel without PPI and 29.8% (n = 1561) of patients taking clopidogrel plus PPI. In multivariable analyses, use of clopidogrel plus PPI was associated with an increased risk of death or rehospitalization for ACS compared with use of clopidogrel without PPI (adjusted odds ratio [AOR], 1.25; 95% confidence interval [CI], 1.11-1.41). Among patients taking clopidogrel after hospital discharge and prescribed PPI at any point during follow-up (n = 5244), periods of use of clopidogrel plus PPI (compared with periods of use of clopidogrel without PPI) were associated with a higher risk of death or rehospitalization for ACS (adjusted hazard ratio, 1.27; 95% CI, 1.10-1.46). In analyses of secondary outcomes, patients taking clopidogrel plus PPI had a higher risk of hospitalizations for recurrent ACS compared with patients taking clopidogrel without PPI (14.6% vs 6.9%; AOR. 1.86 [95% CI, 1.57-2.20]) and revascularization procedures (15.5% vs 11.9%; AOR, 1.49 [95% CI, 1.30-1.71]), but not for all-cause mortality (19.9% vs 16.6%; AOR, 0.91 [95% CI, 0.80-1,05]). The association between use of clopidogrel plus PPI and increased risk of adverse outcomes also was consistent using a nested case-control study design (AOR, 1.32; 95% CI, 1.14-1.54). In addition, use of PPI without clopidogrel was not associated with death or rehospitalization for ACS among patients not taking clopidogrel after hospital discharge (n = 6450) (AOR, 0,98; 95% CI, 0.85-1.13). Conclusion Concomitant use of clopidogrel and PPI after hospital disch…","author":[{"dropping-particle":"","family":"Ho","given":"P Michael","non-dropping-particle":"","parse-names":false,"suffix":""},{"dropping-particle":"","family":"Maddox","given":"Thomas M","non-dropping-particle":"","parse-names":false,"suffix":""},{"dropping-particle":"","family":"Wang","given":"Li","non-dropping-particle":"","parse-names":false,"suffix":""},{"dropping-particle":"","family":"Fihn","given":"Stephan D","non-dropping-particle":"","parse-names":false,"suffix":""},{"dropping-particle":"","family":"Jesse","given":"Robert L","non-dropping-particle":"","parse-names":false,"suffix":""},{"dropping-particle":"","family":"Peterson","given":"Eric D","non-dropping-particle":"","parse-names":false,"suffix":""},{"dropping-particle":"","family":"Rumsfeld","given":"John S","non-dropping-particle":"","parse-names":false,"suffix":""}],"container-title":"JAMA - Journal of the American Medical Association","id":"ITEM-1","issue":"9","issued":{"date-parts":[["2009"]]},"note":"807\n\nFrom Duplicate 2 (Risk of adverse outcomes associated with concomitant use of clopidogrel and proton pump inhibitors following acute coronary syndrome. - Ho, P Michael; Maddox, Thomas M; Wang, Li; Fihn, Stephan D; Jesse, Robert L; Peterson, Eric D; Rumsfeld, John S)\n\nComment in: Z Gastroenterol. 2010 Mar;48(3):420-3; PMID: 20195945, Comment in: Rev Cardiovasc Med. 2009 Summer;10(3):179-80; PMID: 19898300, Comment in: JAMA. 2009 Jul 1;302(1):30; author reply 31; PMID: 19567432, Comment in: JAMA. 2009 Jul 1;302(1):30-1; author reply 31; PMID: 19567431, Comment in: JAMA. 2009 Jul 1;302(1):29; author reply 31; PMID: 19567430, Comment in: JAMA. 2009 Jul 1;302(1):29-30; author reply 31; PMID: 19567429","page":"937-944","publisher":"American Medical Association (515 North State Street, Chicago IL 60654, United States)","publisher-place":"P. M. Ho, Department of Cardiology (111B), 1055 Clermont St, Denver, CO 80220. E-mail: michael.ho@va.gov","title":"Risk of adverse outcomes associated with concomitant use of clopidogrel and proton pump inhibitors following acute coronary syndrome.","type":"article-journal","volume":"301"},"uris":["http://www.mendeley.com/documents/?uuid=039e5c04-35e0-4fe1-8ddd-027c3c9739d9"]}],"mendeley":{"formattedCitation":"(Ho et al. 2009)","plainTextFormattedCitation":"(Ho et al. 2009)","previouslyFormattedCitation":"(Ho et al. 2009)"},"properties":{"noteIndex":0},"schema":"https://github.com/citation-style-language/schema/raw/master/csl-citation.json"}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(Ho et al. 2009)</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(USA)</w:t>
            </w:r>
          </w:p>
        </w:tc>
        <w:tc>
          <w:tcPr>
            <w:tcW w:w="1667" w:type="dxa"/>
            <w:tcBorders>
              <w:top w:val="nil"/>
              <w:left w:val="nil"/>
              <w:bottom w:val="single" w:sz="4" w:space="0" w:color="808080"/>
              <w:right w:val="nil"/>
            </w:tcBorders>
            <w:shd w:val="clear" w:color="auto" w:fill="FFFFFF"/>
            <w:vAlign w:val="center"/>
            <w:hideMark/>
          </w:tcPr>
          <w:p w14:paraId="39A9BC8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(records of patients/charts, hospitals (127 VHA centers))</w:t>
            </w:r>
          </w:p>
        </w:tc>
        <w:tc>
          <w:tcPr>
            <w:tcW w:w="1241" w:type="dxa"/>
            <w:tcBorders>
              <w:top w:val="nil"/>
              <w:left w:val="nil"/>
              <w:bottom w:val="single" w:sz="4" w:space="0" w:color="808080"/>
              <w:right w:val="nil"/>
            </w:tcBorders>
            <w:shd w:val="clear" w:color="auto" w:fill="FFFFFF"/>
            <w:vAlign w:val="center"/>
            <w:hideMark/>
          </w:tcPr>
          <w:p w14:paraId="3FB1E89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Veterans Health Administration  </w:t>
            </w:r>
          </w:p>
        </w:tc>
        <w:tc>
          <w:tcPr>
            <w:tcW w:w="993" w:type="dxa"/>
            <w:tcBorders>
              <w:top w:val="nil"/>
              <w:left w:val="nil"/>
              <w:bottom w:val="single" w:sz="4" w:space="0" w:color="808080"/>
              <w:right w:val="nil"/>
            </w:tcBorders>
            <w:shd w:val="clear" w:color="auto" w:fill="FFFFFF"/>
            <w:vAlign w:val="center"/>
            <w:hideMark/>
          </w:tcPr>
          <w:p w14:paraId="2735FF5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ACS</w:t>
            </w:r>
          </w:p>
        </w:tc>
        <w:tc>
          <w:tcPr>
            <w:tcW w:w="4003" w:type="dxa"/>
            <w:tcBorders>
              <w:top w:val="nil"/>
              <w:left w:val="nil"/>
              <w:bottom w:val="single" w:sz="4" w:space="0" w:color="808080"/>
              <w:right w:val="nil"/>
            </w:tcBorders>
            <w:shd w:val="clear" w:color="auto" w:fill="FFFFFF"/>
            <w:vAlign w:val="center"/>
            <w:hideMark/>
          </w:tcPr>
          <w:p w14:paraId="5D9195CE" w14:textId="4897ACA2"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discharged with MI or unstable angina between Oct 2003 - Jan 2006</w:t>
            </w:r>
            <w:r w:rsidRPr="005C4B89">
              <w:rPr>
                <w:rFonts w:ascii="Calibri" w:eastAsia="Times New Roman" w:hAnsi="Calibri" w:cs="Times New Roman"/>
                <w:color w:val="000000"/>
                <w:sz w:val="18"/>
                <w:szCs w:val="18"/>
                <w:lang w:eastAsia="en-CA"/>
              </w:rPr>
              <w:br/>
              <w:t>- prescribed clop</w:t>
            </w:r>
            <w:r w:rsidR="00DE19B3">
              <w:rPr>
                <w:rFonts w:ascii="Calibri" w:eastAsia="Times New Roman" w:hAnsi="Calibri" w:cs="Times New Roman"/>
                <w:color w:val="000000"/>
                <w:sz w:val="18"/>
                <w:szCs w:val="18"/>
                <w:lang w:eastAsia="en-CA"/>
              </w:rPr>
              <w:t>idogrel at discharge</w:t>
            </w:r>
          </w:p>
        </w:tc>
        <w:tc>
          <w:tcPr>
            <w:tcW w:w="1275" w:type="dxa"/>
            <w:tcBorders>
              <w:top w:val="nil"/>
              <w:left w:val="nil"/>
              <w:bottom w:val="single" w:sz="4" w:space="0" w:color="808080"/>
              <w:right w:val="nil"/>
            </w:tcBorders>
            <w:shd w:val="clear" w:color="auto" w:fill="FFFFFF"/>
            <w:vAlign w:val="center"/>
            <w:hideMark/>
          </w:tcPr>
          <w:p w14:paraId="352CDA9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8205</w:t>
            </w:r>
            <w:r w:rsidRPr="005C4B89">
              <w:rPr>
                <w:rFonts w:ascii="Calibri" w:eastAsia="Times New Roman" w:hAnsi="Calibri" w:cs="Times New Roman"/>
                <w:color w:val="000000"/>
                <w:sz w:val="18"/>
                <w:szCs w:val="18"/>
                <w:lang w:eastAsia="en-CA"/>
              </w:rPr>
              <w:br/>
              <w:t>(PPI: 5,244; No PPI: 2,961)</w:t>
            </w:r>
          </w:p>
        </w:tc>
        <w:tc>
          <w:tcPr>
            <w:tcW w:w="1276" w:type="dxa"/>
            <w:tcBorders>
              <w:top w:val="nil"/>
              <w:left w:val="nil"/>
              <w:bottom w:val="single" w:sz="4" w:space="0" w:color="808080"/>
              <w:right w:val="nil"/>
            </w:tcBorders>
            <w:shd w:val="clear" w:color="auto" w:fill="FFFFFF"/>
            <w:vAlign w:val="center"/>
            <w:hideMark/>
          </w:tcPr>
          <w:p w14:paraId="14CA11F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68 (11)</w:t>
            </w:r>
            <w:r w:rsidRPr="005C4B89">
              <w:rPr>
                <w:rFonts w:ascii="Calibri" w:eastAsia="Times New Roman" w:hAnsi="Calibri" w:cs="Times New Roman"/>
                <w:color w:val="000000"/>
                <w:sz w:val="18"/>
                <w:szCs w:val="18"/>
                <w:lang w:eastAsia="en-CA"/>
              </w:rPr>
              <w:br/>
              <w:t>no PPI: 66 (12)</w:t>
            </w:r>
          </w:p>
        </w:tc>
        <w:tc>
          <w:tcPr>
            <w:tcW w:w="1134" w:type="dxa"/>
            <w:tcBorders>
              <w:top w:val="nil"/>
              <w:left w:val="nil"/>
              <w:bottom w:val="single" w:sz="4" w:space="0" w:color="808080"/>
              <w:right w:val="nil"/>
            </w:tcBorders>
            <w:shd w:val="clear" w:color="auto" w:fill="FFFFFF"/>
            <w:vAlign w:val="center"/>
            <w:hideMark/>
          </w:tcPr>
          <w:p w14:paraId="2720256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99 (veterans)</w:t>
            </w:r>
          </w:p>
        </w:tc>
        <w:tc>
          <w:tcPr>
            <w:tcW w:w="1134" w:type="dxa"/>
            <w:tcBorders>
              <w:top w:val="nil"/>
              <w:left w:val="nil"/>
              <w:bottom w:val="single" w:sz="4" w:space="0" w:color="808080"/>
              <w:right w:val="nil"/>
            </w:tcBorders>
            <w:shd w:val="clear" w:color="auto" w:fill="FFFFFF"/>
            <w:vAlign w:val="center"/>
            <w:hideMark/>
          </w:tcPr>
          <w:p w14:paraId="1747666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42FC9643"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1E0686AD" w14:textId="4994B98F"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DOI":"10.1016/S0016-5085(10)62300-1","ISSN":"0016-5085","author":[{"dropping-particle":"","family":"Hokimoto","given":"Seiji","non-dropping-particle":"","parse-names":false,"suffix":""},{"dropping-particle":"","family":"Ogawa","given":"Hisao","non-dropping-particle":"","parse-names":false,"suffix":""}],"container-title":"Gastroenterology","id":"ITEM-1","issue":"5","issued":{"date-parts":[["2010"]]},"note":"NULL","page":"S-498","publisher":"AGA","title":"Is it Safe to use a Proton Pump Inhibitor With Clopidogrel? A Comparison of Clopidogrel With or Without Rabeprazole in Japan","type":"article-journal","volume":"138"},"uris":["http://www.mendeley.com/documents/?uuid=ccb94450-c0f8-49bf-9596-bf15dfe7e156"]}],"mendeley":{"formattedCitation":"(Hokimoto and Ogawa 2010)","plainTextFormattedCitation":"(Hokimoto and Ogawa 2010)","previouslyFormattedCitation":"(Hokimoto and Ogawa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00D325C7" w:rsidRPr="00D325C7">
              <w:rPr>
                <w:rFonts w:ascii="Calibri" w:eastAsia="Times New Roman" w:hAnsi="Calibri" w:cs="Times New Roman"/>
                <w:noProof/>
                <w:color w:val="000000"/>
                <w:sz w:val="18"/>
                <w:szCs w:val="18"/>
                <w:lang w:eastAsia="en-CA"/>
              </w:rPr>
              <w:t>(Hokimoto and Ogawa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(Japan)</w:t>
            </w:r>
          </w:p>
          <w:p w14:paraId="7B6967C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[abstract]</w:t>
            </w:r>
          </w:p>
        </w:tc>
        <w:tc>
          <w:tcPr>
            <w:tcW w:w="1667" w:type="dxa"/>
            <w:tcBorders>
              <w:top w:val="nil"/>
              <w:left w:val="nil"/>
              <w:bottom w:val="single" w:sz="4" w:space="0" w:color="808080"/>
              <w:right w:val="nil"/>
            </w:tcBorders>
            <w:shd w:val="clear" w:color="auto" w:fill="FFFFFF"/>
            <w:vAlign w:val="center"/>
            <w:hideMark/>
          </w:tcPr>
          <w:p w14:paraId="15BFEBD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Prospective  cohort</w:t>
            </w:r>
            <w:r w:rsidRPr="005C4B89">
              <w:rPr>
                <w:rFonts w:ascii="Calibri" w:eastAsia="Times New Roman" w:hAnsi="Calibri" w:cs="Times New Roman"/>
                <w:color w:val="FF0000"/>
                <w:sz w:val="18"/>
                <w:szCs w:val="18"/>
                <w:lang w:eastAsia="en-CA"/>
              </w:rPr>
              <w:br/>
            </w:r>
            <w:r w:rsidRPr="005C4B89">
              <w:rPr>
                <w:rFonts w:ascii="Calibri" w:eastAsia="Times New Roman" w:hAnsi="Calibri" w:cs="Times New Roman"/>
                <w:color w:val="000000"/>
                <w:sz w:val="18"/>
                <w:szCs w:val="18"/>
                <w:lang w:eastAsia="en-CA"/>
              </w:rPr>
              <w:t>(Hospital)</w:t>
            </w:r>
          </w:p>
        </w:tc>
        <w:tc>
          <w:tcPr>
            <w:tcW w:w="1241" w:type="dxa"/>
            <w:tcBorders>
              <w:top w:val="nil"/>
              <w:left w:val="nil"/>
              <w:bottom w:val="single" w:sz="4" w:space="0" w:color="808080"/>
              <w:right w:val="nil"/>
            </w:tcBorders>
            <w:shd w:val="clear" w:color="auto" w:fill="FFFFFF"/>
            <w:vAlign w:val="center"/>
            <w:hideMark/>
          </w:tcPr>
          <w:p w14:paraId="7EC7F60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FFFFFF"/>
            <w:vAlign w:val="center"/>
            <w:hideMark/>
          </w:tcPr>
          <w:p w14:paraId="5835DFE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4003" w:type="dxa"/>
            <w:tcBorders>
              <w:top w:val="nil"/>
              <w:left w:val="nil"/>
              <w:bottom w:val="single" w:sz="4" w:space="0" w:color="808080"/>
              <w:right w:val="nil"/>
            </w:tcBorders>
            <w:shd w:val="clear" w:color="auto" w:fill="FFFFFF"/>
            <w:vAlign w:val="center"/>
            <w:hideMark/>
          </w:tcPr>
          <w:p w14:paraId="25DB82DA" w14:textId="368A7495"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on aspirin 100 mg/day and clopidogrel 75 mg/day and treated wi</w:t>
            </w:r>
            <w:r w:rsidR="00DE19B3">
              <w:rPr>
                <w:rFonts w:ascii="Calibri" w:eastAsia="Times New Roman" w:hAnsi="Calibri" w:cs="Times New Roman"/>
                <w:color w:val="000000"/>
                <w:sz w:val="18"/>
                <w:szCs w:val="18"/>
                <w:lang w:eastAsia="en-CA"/>
              </w:rPr>
              <w:t>th either rabeprazole or no PPI</w:t>
            </w:r>
          </w:p>
        </w:tc>
        <w:tc>
          <w:tcPr>
            <w:tcW w:w="1275" w:type="dxa"/>
            <w:tcBorders>
              <w:top w:val="nil"/>
              <w:left w:val="nil"/>
              <w:bottom w:val="single" w:sz="4" w:space="0" w:color="808080"/>
              <w:right w:val="nil"/>
            </w:tcBorders>
            <w:shd w:val="clear" w:color="auto" w:fill="FFFFFF"/>
            <w:vAlign w:val="center"/>
            <w:hideMark/>
          </w:tcPr>
          <w:p w14:paraId="7137A82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170 </w:t>
            </w:r>
            <w:r w:rsidRPr="005C4B89">
              <w:rPr>
                <w:rFonts w:ascii="Calibri" w:eastAsia="Times New Roman" w:hAnsi="Calibri" w:cs="Times New Roman"/>
                <w:color w:val="000000"/>
                <w:sz w:val="18"/>
                <w:szCs w:val="18"/>
                <w:lang w:eastAsia="en-CA"/>
              </w:rPr>
              <w:br/>
              <w:t>(PPI (rabeprazole): 37; no PPI: 133)</w:t>
            </w:r>
          </w:p>
        </w:tc>
        <w:tc>
          <w:tcPr>
            <w:tcW w:w="1276" w:type="dxa"/>
            <w:tcBorders>
              <w:top w:val="nil"/>
              <w:left w:val="nil"/>
              <w:bottom w:val="single" w:sz="4" w:space="0" w:color="808080"/>
              <w:right w:val="nil"/>
            </w:tcBorders>
            <w:shd w:val="clear" w:color="auto" w:fill="FFFFFF"/>
            <w:vAlign w:val="center"/>
            <w:hideMark/>
          </w:tcPr>
          <w:p w14:paraId="7F3BD56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NR</w:t>
            </w:r>
          </w:p>
        </w:tc>
        <w:tc>
          <w:tcPr>
            <w:tcW w:w="1134" w:type="dxa"/>
            <w:tcBorders>
              <w:top w:val="nil"/>
              <w:left w:val="nil"/>
              <w:bottom w:val="single" w:sz="4" w:space="0" w:color="808080"/>
              <w:right w:val="nil"/>
            </w:tcBorders>
            <w:shd w:val="clear" w:color="auto" w:fill="FFFFFF"/>
            <w:vAlign w:val="center"/>
            <w:hideMark/>
          </w:tcPr>
          <w:p w14:paraId="3576075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c>
          <w:tcPr>
            <w:tcW w:w="1134" w:type="dxa"/>
            <w:tcBorders>
              <w:top w:val="nil"/>
              <w:left w:val="nil"/>
              <w:bottom w:val="single" w:sz="4" w:space="0" w:color="808080"/>
              <w:right w:val="nil"/>
            </w:tcBorders>
            <w:shd w:val="clear" w:color="auto" w:fill="FFFFFF"/>
            <w:vAlign w:val="center"/>
            <w:hideMark/>
          </w:tcPr>
          <w:p w14:paraId="0C0550E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094711A1"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2E50B506" w14:textId="09492969"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{"citationItems":[{"id":"ITEM-1","itemData":{"ISBN":"0002-9149","ISSN":"1879-1913","abstract":"Recent studies have suggested that proton pump inhibitors (PPIs) might reduce the inhibitory effect of clopidogrel on platelet aggregation, possibly through inhibition of the hepatic cytochrome P450 2C19 (CYP2C19) isoenzyme. The prevalence of CYP2C19 loss-of-function alleles is much greater among East Asians than among other populations. Thus, potential drug interactions might be more apparent. Therefore, we conducted a nationwide, population-based study using the Taiwan National Health Insurance database. We identified 3,278 patients (mean age 65.9 +/- 11.9 years, 71.9% men) with coronary artery disease who had taken clopidogrel after percutaneous coronary intervention from the 1 million sampling cohort data set since January 1, 2002. Of the 3,278 patients, 572 had received concomitant PPIs for underlying gastrointestinal disease and 2,706 had not used PPIs. To the end of 2007, 1,410 patients had been rehospitalized, 970 patients had undergone revascularization, and 499 patients had died. According to the Kaplan-Meier analysis, the incidence of rehospitalization (p = 0.001) and mortality (p &lt;0.001) was significantly greater for the patients with concomitant PPI use than for those without concomitant PPI use. However, the incidence of revascularization was similar in the 2 groups. Multivariate analyses showed that concomitant PPI use was associated with an increased risk of rehospitalization (hazard ratio 1.23, 95% confidence interval 1.07 to 1.41, p = 0.003) and mortality (hazard ratio 1.65, 95% confidence interval 1.35 to 2.01, p &lt;0.001). In conclusion, the concomitant use of clopidogrel and PPIs should be done with care to avoid adverse outcome in East Asians patients who have undergone percutaneous coronary intervention.","author":[{"dropping-particle":"","family":"Huang","given":"Chin-Chou","non-dropping-particle":"","parse-names":false,"suffix":""},{"dropping-particle":"","family":"Chen","given":"Yu-Chun","non-dropping-particle":"","parse-names":false,"suffix":""},{"dropping-particle":"","family":"Leu","given":"Hsin-Bang","non-dropping-particle":"","parse-names":false,"suffix":""},{"dropping-particle":"","family":"Chen","given":"Tzeng-Ji","non-dropping-particle":"","parse-names":false,"suffix":""},{"dropping-particle":"","family":"Lin","given":"Shing-Jong","non-dropping-particle":"","parse-names":false,"suffix":""},{"dropping-particle":"","family":"Chan","given":"Wan-Leong","non-dropping-particle":"","parse-names":false,"suffix":""},{"dropping-particle":"","family":"Chen","given":"Jaw-Wen","non-dropping-particle":"","parse-names":false,"suffix":""}],"container-title":"American Journal of Cardiology","id":"ITEM-1","issue":"12","issued":{"date-parts":[["2010"]]},"note":"710","page":"1705-1709","publisher":"Elsevier Inc. (360 Park Avenue South, New York NY 10010, United States)","publisher-place":"United States","title":"Risk of adverse outcomes in Taiwan associated with concomitant use of clopidogrel and proton pump inhibitors in patients who received percutaneous coronary intervention.","type":"article-journal","volume":"105"},"uris":["http://www.mendeley.com/documents/?uuid=b930c991-eb86-49ad-bd4a-4c88a2feb5be"]}],"mendeley":{"formattedCitation":"(Huang et al. 2010)","plainTextFormattedCitation":"(Huang et al. 2010)","previouslyFormattedCitation":"(Huang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(Huang et al.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(Taiwan)</w:t>
            </w:r>
          </w:p>
        </w:tc>
        <w:tc>
          <w:tcPr>
            <w:tcW w:w="1667" w:type="dxa"/>
            <w:tcBorders>
              <w:top w:val="nil"/>
              <w:left w:val="nil"/>
              <w:bottom w:val="single" w:sz="4" w:space="0" w:color="808080"/>
              <w:right w:val="nil"/>
            </w:tcBorders>
            <w:shd w:val="clear" w:color="auto" w:fill="FFFFFF"/>
            <w:vAlign w:val="center"/>
            <w:hideMark/>
          </w:tcPr>
          <w:p w14:paraId="693D7B8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analysis)</w:t>
            </w:r>
          </w:p>
        </w:tc>
        <w:tc>
          <w:tcPr>
            <w:tcW w:w="1241" w:type="dxa"/>
            <w:tcBorders>
              <w:top w:val="nil"/>
              <w:left w:val="nil"/>
              <w:bottom w:val="single" w:sz="4" w:space="0" w:color="808080"/>
              <w:right w:val="nil"/>
            </w:tcBorders>
            <w:shd w:val="clear" w:color="auto" w:fill="FFFFFF"/>
            <w:vAlign w:val="center"/>
            <w:hideMark/>
          </w:tcPr>
          <w:p w14:paraId="76B997E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National Health Insurance database (Taiwan)</w:t>
            </w:r>
          </w:p>
        </w:tc>
        <w:tc>
          <w:tcPr>
            <w:tcW w:w="993" w:type="dxa"/>
            <w:tcBorders>
              <w:top w:val="nil"/>
              <w:left w:val="nil"/>
              <w:bottom w:val="single" w:sz="4" w:space="0" w:color="808080"/>
              <w:right w:val="nil"/>
            </w:tcBorders>
            <w:shd w:val="clear" w:color="auto" w:fill="FFFFFF"/>
            <w:vAlign w:val="center"/>
            <w:hideMark/>
          </w:tcPr>
          <w:p w14:paraId="490658C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PCI</w:t>
            </w:r>
          </w:p>
        </w:tc>
        <w:tc>
          <w:tcPr>
            <w:tcW w:w="4003" w:type="dxa"/>
            <w:tcBorders>
              <w:top w:val="nil"/>
              <w:left w:val="nil"/>
              <w:bottom w:val="single" w:sz="4" w:space="0" w:color="808080"/>
              <w:right w:val="nil"/>
            </w:tcBorders>
            <w:shd w:val="clear" w:color="auto" w:fill="FFFFFF"/>
            <w:vAlign w:val="center"/>
            <w:hideMark/>
          </w:tcPr>
          <w:p w14:paraId="1388C9E6" w14:textId="3A110F2E" w:rsidR="009462F4" w:rsidRPr="005C4B89" w:rsidRDefault="009462F4" w:rsidP="002B686E">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underwent PCI  aft</w:t>
            </w:r>
            <w:r w:rsidR="002B686E">
              <w:rPr>
                <w:rFonts w:ascii="Calibri" w:eastAsia="Times New Roman" w:hAnsi="Calibri" w:cs="Times New Roman"/>
                <w:color w:val="000000"/>
                <w:sz w:val="18"/>
                <w:szCs w:val="18"/>
                <w:lang w:eastAsia="en-CA"/>
              </w:rPr>
              <w:t>er Jan 1, 2002</w:t>
            </w:r>
            <w:r w:rsidR="002B686E">
              <w:rPr>
                <w:rFonts w:ascii="Calibri" w:eastAsia="Times New Roman" w:hAnsi="Calibri" w:cs="Times New Roman"/>
                <w:color w:val="000000"/>
                <w:sz w:val="18"/>
                <w:szCs w:val="18"/>
                <w:lang w:eastAsia="en-CA"/>
              </w:rPr>
              <w:br/>
              <w:t>- on clopidogrel</w:t>
            </w:r>
          </w:p>
        </w:tc>
        <w:tc>
          <w:tcPr>
            <w:tcW w:w="1275" w:type="dxa"/>
            <w:tcBorders>
              <w:top w:val="nil"/>
              <w:left w:val="nil"/>
              <w:bottom w:val="single" w:sz="4" w:space="0" w:color="808080"/>
              <w:right w:val="nil"/>
            </w:tcBorders>
            <w:shd w:val="clear" w:color="auto" w:fill="FFFFFF"/>
            <w:vAlign w:val="center"/>
            <w:hideMark/>
          </w:tcPr>
          <w:p w14:paraId="01B63CD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3,278</w:t>
            </w:r>
            <w:r w:rsidRPr="005C4B89">
              <w:rPr>
                <w:rFonts w:ascii="Calibri" w:eastAsia="Times New Roman" w:hAnsi="Calibri" w:cs="Times New Roman"/>
                <w:color w:val="000000"/>
                <w:sz w:val="18"/>
                <w:szCs w:val="18"/>
                <w:lang w:eastAsia="en-CA"/>
              </w:rPr>
              <w:br/>
              <w:t>(PPI: 572; No PPI: 2,706)</w:t>
            </w:r>
          </w:p>
        </w:tc>
        <w:tc>
          <w:tcPr>
            <w:tcW w:w="1276" w:type="dxa"/>
            <w:tcBorders>
              <w:top w:val="nil"/>
              <w:left w:val="nil"/>
              <w:bottom w:val="single" w:sz="4" w:space="0" w:color="808080"/>
              <w:right w:val="nil"/>
            </w:tcBorders>
            <w:shd w:val="clear" w:color="auto" w:fill="FFFFFF"/>
            <w:vAlign w:val="center"/>
            <w:hideMark/>
          </w:tcPr>
          <w:p w14:paraId="4748FE7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69(11)</w:t>
            </w:r>
            <w:r w:rsidRPr="005C4B89">
              <w:rPr>
                <w:rFonts w:ascii="Calibri" w:eastAsia="Times New Roman" w:hAnsi="Calibri" w:cs="Times New Roman"/>
                <w:color w:val="000000"/>
                <w:sz w:val="18"/>
                <w:szCs w:val="18"/>
                <w:lang w:eastAsia="en-CA"/>
              </w:rPr>
              <w:br/>
              <w:t>no PPI: 65 (12)</w:t>
            </w:r>
          </w:p>
        </w:tc>
        <w:tc>
          <w:tcPr>
            <w:tcW w:w="1134" w:type="dxa"/>
            <w:tcBorders>
              <w:top w:val="nil"/>
              <w:left w:val="nil"/>
              <w:bottom w:val="single" w:sz="4" w:space="0" w:color="808080"/>
              <w:right w:val="nil"/>
            </w:tcBorders>
            <w:shd w:val="clear" w:color="auto" w:fill="FFFFFF"/>
            <w:vAlign w:val="center"/>
            <w:hideMark/>
          </w:tcPr>
          <w:p w14:paraId="5656E67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72</w:t>
            </w:r>
          </w:p>
        </w:tc>
        <w:tc>
          <w:tcPr>
            <w:tcW w:w="1134" w:type="dxa"/>
            <w:tcBorders>
              <w:top w:val="nil"/>
              <w:left w:val="nil"/>
              <w:bottom w:val="single" w:sz="4" w:space="0" w:color="808080"/>
              <w:right w:val="nil"/>
            </w:tcBorders>
            <w:shd w:val="clear" w:color="auto" w:fill="FFFFFF"/>
            <w:vAlign w:val="center"/>
            <w:hideMark/>
          </w:tcPr>
          <w:p w14:paraId="5ED4156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Asian</w:t>
            </w:r>
          </w:p>
        </w:tc>
      </w:tr>
      <w:tr w:rsidR="009462F4" w:rsidRPr="005C4B89" w14:paraId="10309DA7"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190F5E32" w14:textId="58EA7481"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{"citationItems":[{"id":"ITEM-1","itemData":{"ISSN":"1952-4005","abstract":"BACKGROUND: Dual antiplatelet therapy (aspirin plus clopidogrel) is recommended in patients undergoing percutaneous coronary intervention (PCI). Treatment with proton pump inhibitors (PPIs) decreases bleeding rate. Alarming reports have been made that PPIs may decrease the antiplatelet activity of clopidogrel. We sought to determine whether levels of interleukin-6 (IL-6) and transforming growth factor-beta1 (TGF-beta1) might help distinguish individuals at risk for adverse events., METHODS: Thirty-eight patients on aspirin and clopidogrel were enrolled and divided into two groups: group 1 [patients receiving omeprazole (n = 18)] and group 2 [patients not receiving omeprazole (n = 20)]. Patients underwent PCI and were scheduled for twelve-month clinical follow-up. The major, adverse cardiac and cerebrovascular events (MACCE) include death, re-hospitalization for acute coronary syndromes, and stroke., RESULTS: Median concentrations of IL-6 were higher in group 1 at 4.7 pg/mL, in comparison with group 2, 1.65 pg/mL (p = 0.003). Median concentrations of TGF-beta1 were similar in both groups (p = 0.5). Patients in group 1 had a significantly higher leukocyte count [103/mm3] (median 7.5 vs 6.5; p = 0.04). There were no deaths during follow-up. The incidence of myocardial infarction was higher in group 1 (33.4% vs 5.0%; p = 0.03). MACCE at twelve months were more frequent in group 1 (55.6% vs 20.0%; p = 0.02). The cut-off value to predict MACCEs for IL-6 was &gt; 3.6 pg/mL (sensitivity 64%, specificity 88%, positive predictive value 75%, negative predictive value 81%)., INTERPRETATION: We show here that concomitant omeprazole use is associated with an increased inflammatory reaction. Drug interactions may reduce the anti-inflammatory effect of clopidogrel. This mechanism maybe responsible for an increased risk of non-fatal, cardiovascular events, following stent placement.","author":[{"dropping-particle":"","family":"Hudzik","given":"Bartosz","non-dropping-particle":"","parse-names":false,"suffix":""},{"dropping-particle":"","family":"Szkodzinski","given":"Janusz","non-dropping-particle":"","parse-names":false,"suffix":""},{"dropping-particle":"","family":"Danikiewicz","given":"Aleksander","non-dropping-particle":"","parse-names":false,"suffix":""},{"dropping-particle":"","family":"Wilczek","given":"Krzysztof","non-dropping-particle":"","parse-names":false,"suffix":""},{"dropping-particle":"","family":"Romanowski","given":"Wojciech","non-dropping-particle":"","parse-names":false,"suffix":""},{"dropping-particle":"","family":"Lekston","given":"Andrzej","non-dropping-particle":"","parse-names":false,"suffix":""},{"dropping-particle":"","family":"Polonski","given":"Lech","non-dropping-particle":"","parse-names":false,"suffix":""},{"dropping-particle":"","family":"Zubelewicz-Szkodzinska","given":"Barbara","non-dropping-particle":"","parse-names":false,"suffix":""}],"container-title":"European cytokine network","id":"ITEM-1","issue":"4","issued":{"date-parts":[["2010"]]},"note":"709","page":"257-263","publisher":"Hudzik,Bartosz. 3rd Department of Cardiology, Silesian Center for Heart Disease, Medical University of Silesia, Zabrze, Poland. bartekh@mp.pl","publisher-place":"France","title":"Effect of omeprazole on the concentration of interleukin-6 and transforming growth factor-beta1 in patients receiving dual antiplatelet therapy after percutaneous coronary intervention.","type":"article-journal","volume":"21"},"uris":["http://www.mendeley.com/documents/?uuid=ce45dd8f-bf01-452e-bf64-468df4605515"]}],"mendeley":{"formattedCitation":"(Hudzik et al. 2010)","plainTextFormattedCitation":"(Hudzik et al. 2010)","previouslyFormattedCitation":"(Hudzik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(Hudzik et al.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(Poland)</w:t>
            </w:r>
          </w:p>
        </w:tc>
        <w:tc>
          <w:tcPr>
            <w:tcW w:w="1667" w:type="dxa"/>
            <w:tcBorders>
              <w:top w:val="nil"/>
              <w:left w:val="nil"/>
              <w:bottom w:val="single" w:sz="4" w:space="0" w:color="808080"/>
              <w:right w:val="nil"/>
            </w:tcBorders>
            <w:shd w:val="clear" w:color="auto" w:fill="FFFFFF"/>
            <w:vAlign w:val="center"/>
            <w:hideMark/>
          </w:tcPr>
          <w:p w14:paraId="7D9D752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Prospective cohort</w:t>
            </w:r>
            <w:r w:rsidRPr="005C4B89">
              <w:rPr>
                <w:rFonts w:ascii="Calibri" w:eastAsia="Times New Roman" w:hAnsi="Calibri" w:cs="Times New Roman"/>
                <w:color w:val="000000"/>
                <w:sz w:val="18"/>
                <w:szCs w:val="18"/>
                <w:lang w:eastAsia="en-CA"/>
              </w:rPr>
              <w:br/>
              <w:t>(Hospitals)</w:t>
            </w:r>
          </w:p>
        </w:tc>
        <w:tc>
          <w:tcPr>
            <w:tcW w:w="1241" w:type="dxa"/>
            <w:tcBorders>
              <w:top w:val="nil"/>
              <w:left w:val="nil"/>
              <w:bottom w:val="single" w:sz="4" w:space="0" w:color="808080"/>
              <w:right w:val="nil"/>
            </w:tcBorders>
            <w:shd w:val="clear" w:color="auto" w:fill="FFFFFF"/>
            <w:vAlign w:val="center"/>
            <w:hideMark/>
          </w:tcPr>
          <w:p w14:paraId="1CA48D4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FFFFFF"/>
            <w:vAlign w:val="center"/>
            <w:hideMark/>
          </w:tcPr>
          <w:p w14:paraId="6FCD698F" w14:textId="77777777" w:rsidR="009462F4" w:rsidRPr="005C4B89" w:rsidRDefault="009462F4">
            <w:pPr>
              <w:spacing w:after="0" w:line="240" w:lineRule="auto"/>
              <w:rPr>
                <w:rFonts w:ascii="Calibri" w:eastAsia="Times New Roman" w:hAnsi="Calibri" w:cs="Times New Roman"/>
                <w:sz w:val="18"/>
                <w:szCs w:val="18"/>
                <w:lang w:eastAsia="en-CA"/>
              </w:rPr>
            </w:pPr>
            <w:r w:rsidRPr="005C4B89">
              <w:rPr>
                <w:rFonts w:ascii="Calibri" w:eastAsia="Times New Roman" w:hAnsi="Calibri" w:cs="Times New Roman"/>
                <w:sz w:val="18"/>
                <w:szCs w:val="18"/>
                <w:lang w:eastAsia="en-CA"/>
              </w:rPr>
              <w:t>Stent</w:t>
            </w:r>
          </w:p>
        </w:tc>
        <w:tc>
          <w:tcPr>
            <w:tcW w:w="4003" w:type="dxa"/>
            <w:tcBorders>
              <w:top w:val="nil"/>
              <w:left w:val="nil"/>
              <w:bottom w:val="single" w:sz="4" w:space="0" w:color="808080"/>
              <w:right w:val="nil"/>
            </w:tcBorders>
            <w:shd w:val="clear" w:color="auto" w:fill="FFFFFF"/>
            <w:vAlign w:val="center"/>
            <w:hideMark/>
          </w:tcPr>
          <w:p w14:paraId="365781B2" w14:textId="3B8023D7" w:rsidR="009462F4" w:rsidRPr="005C4B89" w:rsidRDefault="009462F4" w:rsidP="002B686E">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with prior stent implantation, and underwent coronary angiography between Jan 2006 - July 2008</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xml:space="preserve">- co-existing autoimmune disorders, acute infectious diseases, chronic inflammatory diseases, renal failure </w:t>
            </w:r>
            <w:r w:rsidRPr="005C4B89">
              <w:rPr>
                <w:rFonts w:ascii="Calibri" w:eastAsia="Times New Roman" w:hAnsi="Calibri" w:cs="Times New Roman"/>
                <w:color w:val="000000"/>
                <w:sz w:val="18"/>
                <w:szCs w:val="18"/>
                <w:lang w:eastAsia="en-CA"/>
              </w:rPr>
              <w:br/>
              <w:t>-  known malignant diseases, decompensated  diabetes mellitus, hepatitis</w:t>
            </w:r>
            <w:r w:rsidRPr="005C4B89">
              <w:rPr>
                <w:rFonts w:ascii="Calibri" w:eastAsia="Times New Roman" w:hAnsi="Calibri" w:cs="Times New Roman"/>
                <w:color w:val="000000"/>
                <w:sz w:val="18"/>
                <w:szCs w:val="18"/>
                <w:lang w:eastAsia="en-CA"/>
              </w:rPr>
              <w:br/>
              <w:t>- severe trauma or burns during the 12 months prior to coronary angiography</w:t>
            </w:r>
            <w:r w:rsidRPr="005C4B89">
              <w:rPr>
                <w:rFonts w:ascii="Calibri" w:eastAsia="Times New Roman" w:hAnsi="Calibri" w:cs="Times New Roman"/>
                <w:color w:val="000000"/>
                <w:sz w:val="18"/>
                <w:szCs w:val="18"/>
                <w:lang w:eastAsia="en-CA"/>
              </w:rPr>
              <w:br/>
              <w:t>- ischemic or hemorrhagic stroke during the 12 months prior to coronary angiography</w:t>
            </w:r>
            <w:r w:rsidRPr="005C4B89">
              <w:rPr>
                <w:rFonts w:ascii="Calibri" w:eastAsia="Times New Roman" w:hAnsi="Calibri" w:cs="Times New Roman"/>
                <w:color w:val="000000"/>
                <w:sz w:val="18"/>
                <w:szCs w:val="18"/>
                <w:lang w:eastAsia="en-CA"/>
              </w:rPr>
              <w:br/>
              <w:t>- glucocorticoids and/or androgen therapy</w:t>
            </w:r>
            <w:r w:rsidRPr="005C4B89">
              <w:rPr>
                <w:rFonts w:ascii="Calibri" w:eastAsia="Times New Roman" w:hAnsi="Calibri" w:cs="Times New Roman"/>
                <w:color w:val="000000"/>
                <w:sz w:val="18"/>
                <w:szCs w:val="18"/>
                <w:lang w:eastAsia="en-CA"/>
              </w:rPr>
              <w:br/>
              <w:t>- psychiatric  disorders</w:t>
            </w:r>
            <w:r w:rsidRPr="005C4B89">
              <w:rPr>
                <w:rFonts w:ascii="Calibri" w:eastAsia="Times New Roman" w:hAnsi="Calibri" w:cs="Times New Roman"/>
                <w:color w:val="000000"/>
                <w:sz w:val="18"/>
                <w:szCs w:val="18"/>
                <w:lang w:eastAsia="en-CA"/>
              </w:rPr>
              <w:br/>
              <w:t>- lack of patient consent to participate</w:t>
            </w:r>
          </w:p>
        </w:tc>
        <w:tc>
          <w:tcPr>
            <w:tcW w:w="1275" w:type="dxa"/>
            <w:tcBorders>
              <w:top w:val="nil"/>
              <w:left w:val="nil"/>
              <w:bottom w:val="single" w:sz="4" w:space="0" w:color="808080"/>
              <w:right w:val="nil"/>
            </w:tcBorders>
            <w:shd w:val="clear" w:color="auto" w:fill="FFFFFF"/>
            <w:vAlign w:val="center"/>
            <w:hideMark/>
          </w:tcPr>
          <w:p w14:paraId="56174F1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38</w:t>
            </w:r>
            <w:r w:rsidRPr="005C4B89">
              <w:rPr>
                <w:rFonts w:ascii="Calibri" w:eastAsia="Times New Roman" w:hAnsi="Calibri" w:cs="Times New Roman"/>
                <w:color w:val="000000"/>
                <w:sz w:val="18"/>
                <w:szCs w:val="18"/>
                <w:lang w:eastAsia="en-CA"/>
              </w:rPr>
              <w:br/>
              <w:t>(PPI (omeprazole): 18; No PPI: 20)</w:t>
            </w:r>
          </w:p>
        </w:tc>
        <w:tc>
          <w:tcPr>
            <w:tcW w:w="1276" w:type="dxa"/>
            <w:tcBorders>
              <w:top w:val="nil"/>
              <w:left w:val="nil"/>
              <w:bottom w:val="single" w:sz="4" w:space="0" w:color="808080"/>
              <w:right w:val="nil"/>
            </w:tcBorders>
            <w:shd w:val="clear" w:color="auto" w:fill="FFFFFF"/>
            <w:vAlign w:val="center"/>
            <w:hideMark/>
          </w:tcPr>
          <w:p w14:paraId="574340B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63(9)</w:t>
            </w:r>
            <w:r w:rsidRPr="005C4B89">
              <w:rPr>
                <w:rFonts w:ascii="Calibri" w:eastAsia="Times New Roman" w:hAnsi="Calibri" w:cs="Times New Roman"/>
                <w:color w:val="000000"/>
                <w:sz w:val="18"/>
                <w:szCs w:val="18"/>
                <w:lang w:eastAsia="en-CA"/>
              </w:rPr>
              <w:br/>
              <w:t>no PPI: 61 (12)</w:t>
            </w:r>
          </w:p>
        </w:tc>
        <w:tc>
          <w:tcPr>
            <w:tcW w:w="1134" w:type="dxa"/>
            <w:tcBorders>
              <w:top w:val="nil"/>
              <w:left w:val="nil"/>
              <w:bottom w:val="single" w:sz="4" w:space="0" w:color="808080"/>
              <w:right w:val="nil"/>
            </w:tcBorders>
            <w:shd w:val="clear" w:color="auto" w:fill="FFFFFF"/>
            <w:noWrap/>
            <w:vAlign w:val="center"/>
            <w:hideMark/>
          </w:tcPr>
          <w:p w14:paraId="4A1667E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83</w:t>
            </w:r>
            <w:r w:rsidRPr="005C4B89">
              <w:rPr>
                <w:rFonts w:ascii="Calibri" w:eastAsia="Times New Roman" w:hAnsi="Calibri" w:cs="Times New Roman"/>
                <w:color w:val="000000"/>
                <w:sz w:val="18"/>
                <w:szCs w:val="18"/>
                <w:lang w:eastAsia="en-CA"/>
              </w:rPr>
              <w:br/>
              <w:t>no PPI: 65</w:t>
            </w:r>
          </w:p>
        </w:tc>
        <w:tc>
          <w:tcPr>
            <w:tcW w:w="1134" w:type="dxa"/>
            <w:tcBorders>
              <w:top w:val="nil"/>
              <w:left w:val="nil"/>
              <w:bottom w:val="single" w:sz="4" w:space="0" w:color="808080"/>
              <w:right w:val="nil"/>
            </w:tcBorders>
            <w:shd w:val="clear" w:color="auto" w:fill="FFFFFF"/>
            <w:vAlign w:val="center"/>
            <w:hideMark/>
          </w:tcPr>
          <w:p w14:paraId="589CBDF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1913B23C"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4A686AE7" w14:textId="61B6565F"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fldChar w:fldCharType="begin" w:fldLock="1"/>
            </w:r>
            <w:r w:rsidR="00D325C7">
              <w:rPr>
                <w:rFonts w:ascii="Calibri" w:eastAsia="Times New Roman" w:hAnsi="Calibri" w:cs="Times New Roman"/>
                <w:color w:val="000000"/>
                <w:sz w:val="18"/>
                <w:szCs w:val="18"/>
                <w:lang w:eastAsia="en-CA"/>
              </w:rPr>
              <w:instrText>ADDIN CSL_CITATION {"citationItems":[{"id":"ITEM-1","itemData":{"ISBN":"0820-3946","ISSN":"1488-2329","abstract":"BACKGROUND: Most proton pump inhibitors inhibit the bioactivation of clopidogrel to its active metabolite. The clinical significance of this drug interaction is unknown., METHODS: We conducted a population-based nested case-control study among patients aged 66 years or older who commenced clopidogrel between Apr. 1, 2002, and Dec. 31, 2007, following hospital discharge after treatment of acute myocardial infarction. The cases in our study were those readmitted with acute myocardial infarction within 90 days after discharge. We performed a secondary analysis considering events within 1 year. Event-free controls (at a ratio of 3:1) were matched to cases on age, percutaneous coronary intervention and a validated risk score. We categorized exposure to proton pump inhibitors before the index date as current (within 30 days), previous (31-90 days) or remote (91-180 days)., RESULTS: Among 13 636 patients prescribed clopidogrel following acute myocardial infarction, we identified 734 cases readmitted with myocardial infarction and 2057 controls. After extensive multivariable adjustment, current use of proton pump inhibitors was associated with an increased risk of reinfarction (adjusted odds ratio [OR] 1.27, 95% confidence interval [CI] 1.03-1.57). We found no association with more distant exposure to proton pump inhibitors or in multiple sensitivity analyses. In a stratified analysis, pantoprazole, which does not inhibit cytochrome P450 2C19, had no association with readmission for myocardial infarction (adjusted OR 1.02, 95% CI 0.70-1.47)., INTERPRETATION: Among patients receiving clopidogrel following acute myocardial infarction, concomitant therapy with proton pump inhibitors other than pantoprazole was associated with a loss of the beneficial effects of clopidogrel and an increased risk of reinfarction.","author":[{"dropping-particle":"","family":"Juurlink","given":"David N","non-dropping-particle":"","parse-names":false,"suffix":""},{"dropping-particle":"","family":"Gomes","given":"Tara","non-dropping-particle":"","parse-names":false,"suffix":""},{"dropping-particle":"","family":"Ko","given":"Dennis T","non-dropping-particle":"","parse-names":false,"suffix":""},{"dropping-particle":"","family":"Szmitko","given":"Paul E","non-dropping-particle":"","parse-names":false,"suffix":""},{"dropping-particle":"","family":"Austin","given":"Peter C","non-dropping-particle":"","parse-names":false,"suffix":""},{"dropping-particle":"V","family":"Tu","given":"Jack","non-dropping-particle":"","parse-names":false,"suffix":""},{"dropping-particle":"","family":"Henry","given":"David A","non-dropping-particle":"","parse-names":false,"suffix":""},{"dropping-particle":"","family":"Kopp","given":"Alex","non-dropping-particle":"","parse-names":false,"suffix":""},{"dropping-particle":"","family":"Mamdani","given":"Muhammad M","non-dropping-particle":"","parse-names":false,"suffix":""}],"container-title":"CMAJ","id":"ITEM-1","issue":"7","issued":{"date-parts":[["2009"]]},"note":"800\n\nFrom Duplicate 1 (A population-based study of the drug interaction between proton pump inhibitors and clopidogrel. - Juurlink, David N; Gomes, Tara; Ko, Dennis T; Szmitko, Paul E; Austin, Peter C; Tu, Jack V; Henry, David A; Kopp, Alex; Mamdani, Muhammad M)\n\nComment in: CMAJ. 2009 Mar 31;180(7):699-700; PMID: 19332744, Comment in: CMAJ. 2009 Jun 9;180(12):1228; author reply 1229; PMID: 19506285, Comment in: CMAJ. 2009 Jun 9;180(12):1228-9; author reply 1229; PMID: 19506284, Comment in: Praxis (Bern 1994). 2010 Oct 20;99(21):1300-1; PMID: 20960402, Comment in: Evid Based Med. 2009 Oct;14(5):154; PMID: 19794029, Comment in: Ann Intern Med. 2009 Aug 18;151(4):JC2-13; PMID: 19687487","page":"713-718","publisher":"Juurlink,David N. Department of Medicine, Sunnybrook Health Sciences Centre and University of Toronto, 2075 Bayview Ave., Toronto, Ontario. dnj@ices.on.ca","publisher-place":"D. N. Juurlink, G Wing 106, Sunnybrook Health Sciences Centre, 2075 Bayview Ave., Toronto, ON M4N 3M5. E-mail: dnj@ices.on.ca","title":"A population-based study of the drug interaction between proton pump inhibitors and clopidogrel.","type":"article-journal","volume":"180"},"uris":["http://www.mendeley.com/documents/?uuid=6d7c211b-549c-4489-8f12-75f1348ee7b3"]}],"mendeley":{"formattedCitation":"(Juurlink et al. 2009)","plainTextFormattedCitation":"(Juurlink et al. 2009)","previouslyFormattedCitation":"(Juurlink et al. 2009)"},"properties":{"noteIndex":0},"schema":"https://github.com/citation-style-language/schema/raw/master/csl-citation.json"}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(Juurlink et al. 2009)</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(Canada)</w:t>
            </w:r>
          </w:p>
        </w:tc>
        <w:tc>
          <w:tcPr>
            <w:tcW w:w="1667" w:type="dxa"/>
            <w:tcBorders>
              <w:top w:val="nil"/>
              <w:left w:val="nil"/>
              <w:bottom w:val="single" w:sz="4" w:space="0" w:color="808080"/>
              <w:right w:val="nil"/>
            </w:tcBorders>
            <w:shd w:val="clear" w:color="auto" w:fill="FFFFFF"/>
            <w:vAlign w:val="center"/>
            <w:hideMark/>
          </w:tcPr>
          <w:p w14:paraId="22DA078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Nested case-control</w:t>
            </w:r>
            <w:r w:rsidRPr="005C4B89">
              <w:rPr>
                <w:rFonts w:ascii="Calibri" w:eastAsia="Times New Roman" w:hAnsi="Calibri" w:cs="Times New Roman"/>
                <w:color w:val="000000"/>
                <w:sz w:val="18"/>
                <w:szCs w:val="18"/>
                <w:lang w:eastAsia="en-CA"/>
              </w:rPr>
              <w:br/>
              <w:t>(database analysis, hospitals)</w:t>
            </w:r>
          </w:p>
        </w:tc>
        <w:tc>
          <w:tcPr>
            <w:tcW w:w="1241" w:type="dxa"/>
            <w:tcBorders>
              <w:top w:val="nil"/>
              <w:left w:val="nil"/>
              <w:bottom w:val="single" w:sz="4" w:space="0" w:color="808080"/>
              <w:right w:val="nil"/>
            </w:tcBorders>
            <w:shd w:val="clear" w:color="auto" w:fill="FFFFFF"/>
            <w:vAlign w:val="center"/>
            <w:hideMark/>
          </w:tcPr>
          <w:p w14:paraId="2160415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Ontario Public Drug Program, Canadian Institute for Health Information Discharge</w:t>
            </w:r>
            <w:r w:rsidRPr="005C4B89">
              <w:rPr>
                <w:rFonts w:ascii="Calibri" w:eastAsia="Times New Roman" w:hAnsi="Calibri" w:cs="Times New Roman"/>
                <w:color w:val="000000"/>
                <w:sz w:val="18"/>
                <w:szCs w:val="18"/>
                <w:lang w:eastAsia="en-CA"/>
              </w:rPr>
              <w:br/>
              <w:t>Abstract Database,  Ontario Health Insurance Plan database, Registered Persons Database</w:t>
            </w:r>
          </w:p>
        </w:tc>
        <w:tc>
          <w:tcPr>
            <w:tcW w:w="993" w:type="dxa"/>
            <w:tcBorders>
              <w:top w:val="nil"/>
              <w:left w:val="nil"/>
              <w:bottom w:val="single" w:sz="4" w:space="0" w:color="808080"/>
              <w:right w:val="nil"/>
            </w:tcBorders>
            <w:shd w:val="clear" w:color="auto" w:fill="FFFFFF"/>
            <w:vAlign w:val="center"/>
            <w:hideMark/>
          </w:tcPr>
          <w:p w14:paraId="04B7FC1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MI</w:t>
            </w:r>
          </w:p>
        </w:tc>
        <w:tc>
          <w:tcPr>
            <w:tcW w:w="4003" w:type="dxa"/>
            <w:tcBorders>
              <w:top w:val="nil"/>
              <w:left w:val="nil"/>
              <w:bottom w:val="single" w:sz="4" w:space="0" w:color="808080"/>
              <w:right w:val="nil"/>
            </w:tcBorders>
            <w:shd w:val="clear" w:color="auto" w:fill="FFFFFF"/>
            <w:vAlign w:val="center"/>
            <w:hideMark/>
          </w:tcPr>
          <w:p w14:paraId="214E51B3" w14:textId="3DEBB790" w:rsidR="009462F4" w:rsidRPr="005C4B89" w:rsidRDefault="009462F4" w:rsidP="002B686E">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Cohort</w:t>
            </w:r>
            <w:r w:rsidRPr="005C4B89">
              <w:rPr>
                <w:rFonts w:ascii="Calibri" w:eastAsia="Times New Roman" w:hAnsi="Calibri" w:cs="Times New Roman"/>
                <w:color w:val="000000"/>
                <w:sz w:val="18"/>
                <w:szCs w:val="18"/>
                <w:lang w:eastAsia="en-CA"/>
              </w:rPr>
              <w:br/>
              <w:t xml:space="preserve">- ≥66 years </w:t>
            </w:r>
            <w:r w:rsidRPr="005C4B89">
              <w:rPr>
                <w:rFonts w:ascii="Calibri" w:eastAsia="Times New Roman" w:hAnsi="Calibri" w:cs="Times New Roman"/>
                <w:color w:val="000000"/>
                <w:sz w:val="18"/>
                <w:szCs w:val="18"/>
                <w:lang w:eastAsia="en-CA"/>
              </w:rPr>
              <w:br/>
              <w:t xml:space="preserve">-discharged for MI between Apr 2002 - Dec 2007 </w:t>
            </w:r>
            <w:r w:rsidRPr="005C4B89">
              <w:rPr>
                <w:rFonts w:ascii="Calibri" w:eastAsia="Times New Roman" w:hAnsi="Calibri" w:cs="Times New Roman"/>
                <w:color w:val="000000"/>
                <w:sz w:val="18"/>
                <w:szCs w:val="18"/>
                <w:lang w:eastAsia="en-CA"/>
              </w:rPr>
              <w:br/>
              <w:t>- universal access to health care and drug coverage</w:t>
            </w:r>
            <w:r w:rsidRPr="005C4B89">
              <w:rPr>
                <w:rFonts w:ascii="Calibri" w:eastAsia="Times New Roman" w:hAnsi="Calibri" w:cs="Times New Roman"/>
                <w:color w:val="000000"/>
                <w:sz w:val="18"/>
                <w:szCs w:val="18"/>
                <w:lang w:eastAsia="en-CA"/>
              </w:rPr>
              <w:br/>
              <w:t xml:space="preserve">- filled clopidogrel prescription within 3 days of discharge </w:t>
            </w:r>
            <w:r w:rsidRPr="005C4B89">
              <w:rPr>
                <w:rFonts w:ascii="Calibri" w:eastAsia="Times New Roman" w:hAnsi="Calibri" w:cs="Times New Roman"/>
                <w:color w:val="000000"/>
                <w:sz w:val="18"/>
                <w:szCs w:val="18"/>
                <w:lang w:eastAsia="en-CA"/>
              </w:rPr>
              <w:br/>
              <w:t>Cases</w:t>
            </w:r>
            <w:r w:rsidRPr="005C4B89">
              <w:rPr>
                <w:rFonts w:ascii="Calibri" w:eastAsia="Times New Roman" w:hAnsi="Calibri" w:cs="Times New Roman"/>
                <w:color w:val="000000"/>
                <w:sz w:val="18"/>
                <w:szCs w:val="18"/>
                <w:lang w:eastAsia="en-CA"/>
              </w:rPr>
              <w:br/>
              <w:t>- readmitted for MI within 90 days of discharge (readmission is index date)</w:t>
            </w:r>
            <w:r w:rsidRPr="005C4B89">
              <w:rPr>
                <w:rFonts w:ascii="Calibri" w:eastAsia="Times New Roman" w:hAnsi="Calibri" w:cs="Times New Roman"/>
                <w:color w:val="000000"/>
                <w:sz w:val="18"/>
                <w:szCs w:val="18"/>
                <w:lang w:eastAsia="en-CA"/>
              </w:rPr>
              <w:br/>
              <w:t>Controls</w:t>
            </w:r>
            <w:r w:rsidRPr="005C4B89">
              <w:rPr>
                <w:rFonts w:ascii="Calibri" w:eastAsia="Times New Roman" w:hAnsi="Calibri" w:cs="Times New Roman"/>
                <w:color w:val="000000"/>
                <w:sz w:val="18"/>
                <w:szCs w:val="18"/>
                <w:lang w:eastAsia="en-CA"/>
              </w:rPr>
              <w:br/>
              <w:t>- 3 controls per case</w:t>
            </w:r>
            <w:r w:rsidRPr="005C4B89">
              <w:rPr>
                <w:rFonts w:ascii="Calibri" w:eastAsia="Times New Roman" w:hAnsi="Calibri" w:cs="Times New Roman"/>
                <w:color w:val="000000"/>
                <w:sz w:val="18"/>
                <w:szCs w:val="18"/>
                <w:lang w:eastAsia="en-CA"/>
              </w:rPr>
              <w:br/>
              <w:t>- no MI before index date of case</w:t>
            </w:r>
            <w:r w:rsidRPr="005C4B89">
              <w:rPr>
                <w:rFonts w:ascii="Calibri" w:eastAsia="Times New Roman" w:hAnsi="Calibri" w:cs="Times New Roman"/>
                <w:color w:val="000000"/>
                <w:sz w:val="18"/>
                <w:szCs w:val="18"/>
                <w:lang w:eastAsia="en-CA"/>
              </w:rPr>
              <w:br/>
              <w:t>- matched by age (+/- 3 years), in-hospital PCI, date of hospital discharge, date of hospital discharge (+/- 5 days), predicted probability of short term mortality</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-received clopidogrel, ticlopidine or dipyridamole in the year before admission</w:t>
            </w:r>
            <w:r w:rsidRPr="005C4B89">
              <w:rPr>
                <w:rFonts w:ascii="Calibri" w:eastAsia="Times New Roman" w:hAnsi="Calibri" w:cs="Times New Roman"/>
                <w:color w:val="000000"/>
                <w:sz w:val="18"/>
                <w:szCs w:val="18"/>
                <w:lang w:eastAsia="en-CA"/>
              </w:rPr>
              <w:br/>
              <w:t xml:space="preserve">- in long term care facilities </w:t>
            </w:r>
            <w:r w:rsidRPr="005C4B89">
              <w:rPr>
                <w:rFonts w:ascii="Calibri" w:eastAsia="Times New Roman" w:hAnsi="Calibri" w:cs="Times New Roman"/>
                <w:color w:val="000000"/>
                <w:sz w:val="18"/>
                <w:szCs w:val="18"/>
                <w:lang w:eastAsia="en-CA"/>
              </w:rPr>
              <w:br/>
              <w:t>- received PPI within 90 days before or after the index date to eradicate H pylori</w:t>
            </w:r>
          </w:p>
        </w:tc>
        <w:tc>
          <w:tcPr>
            <w:tcW w:w="1275" w:type="dxa"/>
            <w:tcBorders>
              <w:top w:val="nil"/>
              <w:left w:val="nil"/>
              <w:bottom w:val="single" w:sz="4" w:space="0" w:color="808080"/>
              <w:right w:val="nil"/>
            </w:tcBorders>
            <w:shd w:val="clear" w:color="auto" w:fill="FFFFFF"/>
            <w:vAlign w:val="center"/>
            <w:hideMark/>
          </w:tcPr>
          <w:p w14:paraId="54A10FF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(Cases: 734; Controls: 2057)</w:t>
            </w:r>
          </w:p>
        </w:tc>
        <w:tc>
          <w:tcPr>
            <w:tcW w:w="1276" w:type="dxa"/>
            <w:tcBorders>
              <w:top w:val="nil"/>
              <w:left w:val="nil"/>
              <w:bottom w:val="single" w:sz="4" w:space="0" w:color="808080"/>
              <w:right w:val="nil"/>
            </w:tcBorders>
            <w:shd w:val="clear" w:color="auto" w:fill="FFFFFF"/>
            <w:vAlign w:val="center"/>
            <w:hideMark/>
          </w:tcPr>
          <w:p w14:paraId="41EEBC6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77 (median)</w:t>
            </w:r>
          </w:p>
        </w:tc>
        <w:tc>
          <w:tcPr>
            <w:tcW w:w="1134" w:type="dxa"/>
            <w:tcBorders>
              <w:top w:val="nil"/>
              <w:left w:val="nil"/>
              <w:bottom w:val="single" w:sz="4" w:space="0" w:color="808080"/>
              <w:right w:val="nil"/>
            </w:tcBorders>
            <w:shd w:val="clear" w:color="auto" w:fill="FFFFFF"/>
            <w:vAlign w:val="center"/>
            <w:hideMark/>
          </w:tcPr>
          <w:p w14:paraId="7EBE289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Cases: 52</w:t>
            </w:r>
            <w:r w:rsidRPr="005C4B89">
              <w:rPr>
                <w:rFonts w:ascii="Calibri" w:eastAsia="Times New Roman" w:hAnsi="Calibri" w:cs="Times New Roman"/>
                <w:color w:val="000000"/>
                <w:sz w:val="18"/>
                <w:szCs w:val="18"/>
                <w:lang w:eastAsia="en-CA"/>
              </w:rPr>
              <w:br/>
              <w:t>Controls: 55</w:t>
            </w:r>
          </w:p>
        </w:tc>
        <w:tc>
          <w:tcPr>
            <w:tcW w:w="1134" w:type="dxa"/>
            <w:tcBorders>
              <w:top w:val="nil"/>
              <w:left w:val="nil"/>
              <w:bottom w:val="single" w:sz="4" w:space="0" w:color="808080"/>
              <w:right w:val="nil"/>
            </w:tcBorders>
            <w:shd w:val="clear" w:color="auto" w:fill="FFFFFF"/>
            <w:vAlign w:val="center"/>
            <w:hideMark/>
          </w:tcPr>
          <w:p w14:paraId="6028D22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3FB5F0B8" w14:textId="77777777" w:rsidTr="00DE19B3">
        <w:trPr>
          <w:trHeight w:val="372"/>
        </w:trPr>
        <w:tc>
          <w:tcPr>
            <w:tcW w:w="1310" w:type="dxa"/>
            <w:tcBorders>
              <w:top w:val="nil"/>
              <w:left w:val="nil"/>
              <w:bottom w:val="single" w:sz="4" w:space="0" w:color="808080"/>
              <w:right w:val="nil"/>
            </w:tcBorders>
            <w:shd w:val="clear" w:color="auto" w:fill="FFFFFF"/>
            <w:vAlign w:val="center"/>
            <w:hideMark/>
          </w:tcPr>
          <w:p w14:paraId="4B0DA4C4" w14:textId="438E806B"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{"citationItems":[{"id":"ITEM-1","itemData":{"ISSN":"1524-4628","abstract":"BACKGROUND AND PURPOSE: evidence suggests that some proton pump inhibitors can attenuate the antiplatelet effect of clopidogrel. The significance of this potential drug interaction in patients with cerebrovascular disease is unknown., METHODS: we conducted a nested case-control study of all Ontario residents aged &gt; 66 years newly treated with clopidogrel after a stroke between April 1, 2002, and September 30, 2008. In the primary analysis, case patients were those readmitted for stroke, and a secondary analysis examined all-cause mortality. For each case, up to 4 event-free control subjects were matched on age, gender, and outcome type (stroke or transient ischemic attack). Exposure to proton pump inhibitors was categorized as current (within 60 days), previous (61 to 180 days), or remote (181 to 365 days)., RESULTS: among 2765 patients entering the cohort, we identified 118 cases readmitted for stroke and 472 control subjects. After multivariable adjustment, current use of proton pump inhibitors was not associated with a significantly increased risk of recurrent stroke (adjusted odds ratio, 1.05; 95% CI, 0.60 to 1.82) or death (adjusted odds ratio, 1.84; 95% CI, 0.88 to 3.89)., CONCLUSIONS: as a class, proton pump inhibitors are not associated with an increased risk of recurrent stroke or death among older patients treated with clopidogrel after stroke.","author":[{"dropping-particle":"","family":"Juurlink","given":"David N","non-dropping-particle":"","parse-names":false,"suffix":""},{"dropping-particle":"","family":"Gomes","given":"Tara","non-dropping-particle":"","parse-names":false,"suffix":""},{"dropping-particle":"","family":"Mamdani","given":"Muhammad M","non-dropping-particle":"","parse-names":false,"suffix":""},{"dropping-particle":"","family":"Gladstone","given":"David J","non-dropping-particle":"","parse-names":false,"suffix":""},{"dropping-particle":"","family":"Kapral","given":"Moira K","non-dropping-particle":"","parse-names":false,"suffix":""}],"container-title":"Stroke; a journal of cerebral circulation","id":"ITEM-1","issue":"1","issued":{"date-parts":[["2011"]]},"note":"591","page":"128-132","publisher":"Juurlink,David N. Sunnybrook Research Institute, Toronto, Ontario, Canada. dnj@ices.on.ca","publisher-place":"United States","title":"The safety of proton pump inhibitors and clopidogrel in patients after stroke.","type":"article-journal","volume":"42"},"uris":["http://www.mendeley.com/documents/?uuid=040bdc27-b73b-440d-af55-30cd5842296b"]}],"mendeley":{"formattedCitation":"(Juurlink et al. 2011)","plainTextFormattedCitation":"(Juurlink et al. 2011)","previouslyFormattedCitation":"(Juurlink et al. 2011)"},"properties":{"noteIndex":0},"schema":"https://github.com/citation-style-language/schema/raw/master/csl-citation.json"}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(Juurlink et al. 2011)</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(Canada)</w:t>
            </w:r>
          </w:p>
        </w:tc>
        <w:tc>
          <w:tcPr>
            <w:tcW w:w="1667" w:type="dxa"/>
            <w:tcBorders>
              <w:top w:val="nil"/>
              <w:left w:val="nil"/>
              <w:bottom w:val="single" w:sz="4" w:space="0" w:color="808080"/>
              <w:right w:val="nil"/>
            </w:tcBorders>
            <w:shd w:val="clear" w:color="auto" w:fill="FFFFFF"/>
            <w:vAlign w:val="center"/>
            <w:hideMark/>
          </w:tcPr>
          <w:p w14:paraId="6576DBB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Nested case-control</w:t>
            </w:r>
            <w:r w:rsidRPr="005C4B89">
              <w:rPr>
                <w:rFonts w:ascii="Calibri" w:eastAsia="Times New Roman" w:hAnsi="Calibri" w:cs="Times New Roman"/>
                <w:color w:val="000000"/>
                <w:sz w:val="18"/>
                <w:szCs w:val="18"/>
                <w:lang w:eastAsia="en-CA"/>
              </w:rPr>
              <w:br/>
              <w:t>(database analysis, hospitals)</w:t>
            </w:r>
          </w:p>
        </w:tc>
        <w:tc>
          <w:tcPr>
            <w:tcW w:w="1241" w:type="dxa"/>
            <w:tcBorders>
              <w:top w:val="nil"/>
              <w:left w:val="nil"/>
              <w:bottom w:val="single" w:sz="4" w:space="0" w:color="808080"/>
              <w:right w:val="nil"/>
            </w:tcBorders>
            <w:shd w:val="clear" w:color="auto" w:fill="FFFFFF"/>
            <w:vAlign w:val="center"/>
            <w:hideMark/>
          </w:tcPr>
          <w:p w14:paraId="1BD8575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Canadian Institute for Health Information Discharge Abstract Database , Ontario Public Drug Program Benefit Program, Ontario Health  Insurance </w:t>
            </w:r>
            <w:r w:rsidRPr="005C4B89">
              <w:rPr>
                <w:rFonts w:ascii="Calibri" w:eastAsia="Times New Roman" w:hAnsi="Calibri" w:cs="Times New Roman"/>
                <w:color w:val="000000"/>
                <w:sz w:val="18"/>
                <w:szCs w:val="18"/>
                <w:lang w:eastAsia="en-CA"/>
              </w:rPr>
              <w:lastRenderedPageBreak/>
              <w:t>Plan, Registered Persons Database</w:t>
            </w:r>
          </w:p>
        </w:tc>
        <w:tc>
          <w:tcPr>
            <w:tcW w:w="993" w:type="dxa"/>
            <w:tcBorders>
              <w:top w:val="nil"/>
              <w:left w:val="nil"/>
              <w:bottom w:val="single" w:sz="4" w:space="0" w:color="808080"/>
              <w:right w:val="nil"/>
            </w:tcBorders>
            <w:shd w:val="clear" w:color="auto" w:fill="FFFFFF"/>
            <w:vAlign w:val="center"/>
            <w:hideMark/>
          </w:tcPr>
          <w:p w14:paraId="559ABC1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Stroke</w:t>
            </w:r>
          </w:p>
        </w:tc>
        <w:tc>
          <w:tcPr>
            <w:tcW w:w="4003" w:type="dxa"/>
            <w:tcBorders>
              <w:top w:val="nil"/>
              <w:left w:val="nil"/>
              <w:bottom w:val="single" w:sz="4" w:space="0" w:color="808080"/>
              <w:right w:val="nil"/>
            </w:tcBorders>
            <w:shd w:val="clear" w:color="auto" w:fill="FFFFFF"/>
            <w:vAlign w:val="center"/>
            <w:hideMark/>
          </w:tcPr>
          <w:p w14:paraId="2C2E3C8F" w14:textId="71084B65"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Cohort</w:t>
            </w:r>
            <w:r w:rsidRPr="005C4B89">
              <w:rPr>
                <w:rFonts w:ascii="Calibri" w:eastAsia="Times New Roman" w:hAnsi="Calibri" w:cs="Times New Roman"/>
                <w:color w:val="000000"/>
                <w:sz w:val="18"/>
                <w:szCs w:val="18"/>
                <w:lang w:eastAsia="en-CA"/>
              </w:rPr>
              <w:br/>
              <w:t>- ≥66 years in Ontario</w:t>
            </w:r>
            <w:r w:rsidRPr="005C4B89">
              <w:rPr>
                <w:rFonts w:ascii="Calibri" w:eastAsia="Times New Roman" w:hAnsi="Calibri" w:cs="Times New Roman"/>
                <w:color w:val="000000"/>
                <w:sz w:val="18"/>
                <w:szCs w:val="18"/>
                <w:lang w:eastAsia="en-CA"/>
              </w:rPr>
              <w:br/>
              <w:t>- discharged after stroke between April 2002-Sept 2008</w:t>
            </w:r>
            <w:r w:rsidRPr="005C4B89">
              <w:rPr>
                <w:rFonts w:ascii="Calibri" w:eastAsia="Times New Roman" w:hAnsi="Calibri" w:cs="Times New Roman"/>
                <w:color w:val="000000"/>
                <w:sz w:val="18"/>
                <w:szCs w:val="18"/>
                <w:lang w:eastAsia="en-CA"/>
              </w:rPr>
              <w:br/>
              <w:t>- filled prescription for clopidogrel within 30 days of discharge after stroke</w:t>
            </w:r>
            <w:r w:rsidRPr="005C4B89">
              <w:rPr>
                <w:rFonts w:ascii="Calibri" w:eastAsia="Times New Roman" w:hAnsi="Calibri" w:cs="Times New Roman"/>
                <w:color w:val="000000"/>
                <w:sz w:val="18"/>
                <w:szCs w:val="18"/>
                <w:lang w:eastAsia="en-CA"/>
              </w:rPr>
              <w:br/>
              <w:t>Cases</w:t>
            </w:r>
            <w:r w:rsidRPr="005C4B89">
              <w:rPr>
                <w:rFonts w:ascii="Calibri" w:eastAsia="Times New Roman" w:hAnsi="Calibri" w:cs="Times New Roman"/>
                <w:color w:val="000000"/>
                <w:sz w:val="18"/>
                <w:szCs w:val="18"/>
                <w:lang w:eastAsia="en-CA"/>
              </w:rPr>
              <w:br/>
              <w:t>-experienced outcome of interest within 180 days of discharge after stroke</w:t>
            </w:r>
            <w:r w:rsidRPr="005C4B89">
              <w:rPr>
                <w:rFonts w:ascii="Calibri" w:eastAsia="Times New Roman" w:hAnsi="Calibri" w:cs="Times New Roman"/>
                <w:color w:val="000000"/>
                <w:sz w:val="18"/>
                <w:szCs w:val="18"/>
                <w:lang w:eastAsia="en-CA"/>
              </w:rPr>
              <w:br/>
              <w:t>Controls</w:t>
            </w:r>
            <w:r w:rsidRPr="005C4B89">
              <w:rPr>
                <w:rFonts w:ascii="Calibri" w:eastAsia="Times New Roman" w:hAnsi="Calibri" w:cs="Times New Roman"/>
                <w:color w:val="000000"/>
                <w:sz w:val="18"/>
                <w:szCs w:val="18"/>
                <w:lang w:eastAsia="en-CA"/>
              </w:rPr>
              <w:br/>
              <w:t>- sampled randomly with replacement from cohort</w:t>
            </w:r>
            <w:r w:rsidRPr="005C4B89">
              <w:rPr>
                <w:rFonts w:ascii="Calibri" w:eastAsia="Times New Roman" w:hAnsi="Calibri" w:cs="Times New Roman"/>
                <w:color w:val="000000"/>
                <w:sz w:val="18"/>
                <w:szCs w:val="18"/>
                <w:lang w:eastAsia="en-CA"/>
              </w:rPr>
              <w:br/>
              <w:t>- event free but at risk on the index date</w:t>
            </w:r>
            <w:r w:rsidRPr="005C4B89">
              <w:rPr>
                <w:rFonts w:ascii="Calibri" w:eastAsia="Times New Roman" w:hAnsi="Calibri" w:cs="Times New Roman"/>
                <w:color w:val="000000"/>
                <w:sz w:val="18"/>
                <w:szCs w:val="18"/>
                <w:lang w:eastAsia="en-CA"/>
              </w:rPr>
              <w:br/>
              <w:t>- matched on age (+/- 1 year), gender, and outcome</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lastRenderedPageBreak/>
              <w:t>Received clopidogrel in year prior to hospitalization or ticlopidine or dipyridamole in the 90 days before hospitalization</w:t>
            </w:r>
            <w:r w:rsidRPr="005C4B89">
              <w:rPr>
                <w:rFonts w:ascii="Calibri" w:eastAsia="Times New Roman" w:hAnsi="Calibri" w:cs="Times New Roman"/>
                <w:color w:val="000000"/>
                <w:sz w:val="18"/>
                <w:szCs w:val="18"/>
                <w:lang w:eastAsia="en-CA"/>
              </w:rPr>
              <w:br/>
              <w:t>-patients in long term care facilities</w:t>
            </w:r>
            <w:r w:rsidRPr="005C4B89">
              <w:rPr>
                <w:rFonts w:ascii="Calibri" w:eastAsia="Times New Roman" w:hAnsi="Calibri" w:cs="Times New Roman"/>
                <w:color w:val="000000"/>
                <w:sz w:val="18"/>
                <w:szCs w:val="18"/>
                <w:lang w:eastAsia="en-CA"/>
              </w:rPr>
              <w:br/>
              <w:t>-those who received PPI products to eradicate Helicobacter pylori in the year preceding the index date or 90 days thereafter</w:t>
            </w:r>
            <w:r w:rsidRPr="005C4B89">
              <w:rPr>
                <w:rFonts w:ascii="Calibri" w:eastAsia="Times New Roman" w:hAnsi="Calibri" w:cs="Times New Roman"/>
                <w:color w:val="000000"/>
                <w:sz w:val="18"/>
                <w:szCs w:val="18"/>
                <w:lang w:eastAsia="en-CA"/>
              </w:rPr>
              <w:br/>
              <w:t>-patients who underwent carotid endarterectomy within 90 days after hospitalization</w:t>
            </w:r>
            <w:r w:rsidRPr="005C4B89">
              <w:rPr>
                <w:rFonts w:ascii="Calibri" w:eastAsia="Times New Roman" w:hAnsi="Calibri" w:cs="Times New Roman"/>
                <w:color w:val="000000"/>
                <w:sz w:val="18"/>
                <w:szCs w:val="18"/>
                <w:lang w:eastAsia="en-CA"/>
              </w:rPr>
              <w:br/>
              <w:t>-patients readmitted for stroke between cohort entry and first CP prescription</w:t>
            </w:r>
          </w:p>
        </w:tc>
        <w:tc>
          <w:tcPr>
            <w:tcW w:w="1275" w:type="dxa"/>
            <w:tcBorders>
              <w:top w:val="nil"/>
              <w:left w:val="nil"/>
              <w:bottom w:val="single" w:sz="4" w:space="0" w:color="808080"/>
              <w:right w:val="nil"/>
            </w:tcBorders>
            <w:shd w:val="clear" w:color="auto" w:fill="FFFFFF"/>
            <w:vAlign w:val="center"/>
            <w:hideMark/>
          </w:tcPr>
          <w:p w14:paraId="04D6060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(Cases: 118; Controls: 472)</w:t>
            </w:r>
          </w:p>
        </w:tc>
        <w:tc>
          <w:tcPr>
            <w:tcW w:w="1276" w:type="dxa"/>
            <w:tcBorders>
              <w:top w:val="nil"/>
              <w:left w:val="nil"/>
              <w:bottom w:val="single" w:sz="4" w:space="0" w:color="808080"/>
              <w:right w:val="nil"/>
            </w:tcBorders>
            <w:shd w:val="clear" w:color="auto" w:fill="FFFFFF"/>
            <w:vAlign w:val="center"/>
            <w:hideMark/>
          </w:tcPr>
          <w:p w14:paraId="21B115DA" w14:textId="77777777" w:rsidR="009462F4" w:rsidRPr="005C4B89" w:rsidRDefault="009462F4">
            <w:pPr>
              <w:spacing w:after="0" w:line="240" w:lineRule="auto"/>
              <w:rPr>
                <w:rFonts w:ascii="Calibri" w:eastAsia="Times New Roman" w:hAnsi="Calibri" w:cs="Times New Roman"/>
                <w:sz w:val="18"/>
                <w:szCs w:val="18"/>
                <w:lang w:eastAsia="en-CA"/>
              </w:rPr>
            </w:pPr>
            <w:r w:rsidRPr="005C4B89">
              <w:rPr>
                <w:rFonts w:ascii="Calibri" w:eastAsia="Times New Roman" w:hAnsi="Calibri" w:cs="Times New Roman"/>
                <w:sz w:val="18"/>
                <w:szCs w:val="18"/>
                <w:lang w:eastAsia="en-CA"/>
              </w:rPr>
              <w:t>77 (median)</w:t>
            </w:r>
          </w:p>
        </w:tc>
        <w:tc>
          <w:tcPr>
            <w:tcW w:w="1134" w:type="dxa"/>
            <w:tcBorders>
              <w:top w:val="nil"/>
              <w:left w:val="nil"/>
              <w:bottom w:val="single" w:sz="4" w:space="0" w:color="808080"/>
              <w:right w:val="nil"/>
            </w:tcBorders>
            <w:shd w:val="clear" w:color="auto" w:fill="FFFFFF"/>
            <w:vAlign w:val="center"/>
            <w:hideMark/>
          </w:tcPr>
          <w:p w14:paraId="21A01C9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Cases: 42</w:t>
            </w:r>
            <w:r w:rsidRPr="005C4B89">
              <w:rPr>
                <w:rFonts w:ascii="Calibri" w:eastAsia="Times New Roman" w:hAnsi="Calibri" w:cs="Times New Roman"/>
                <w:color w:val="000000"/>
                <w:sz w:val="18"/>
                <w:szCs w:val="18"/>
                <w:lang w:eastAsia="en-CA"/>
              </w:rPr>
              <w:br/>
              <w:t>Controls: 42</w:t>
            </w:r>
          </w:p>
        </w:tc>
        <w:tc>
          <w:tcPr>
            <w:tcW w:w="1134" w:type="dxa"/>
            <w:tcBorders>
              <w:top w:val="nil"/>
              <w:left w:val="nil"/>
              <w:bottom w:val="single" w:sz="4" w:space="0" w:color="808080"/>
              <w:right w:val="nil"/>
            </w:tcBorders>
            <w:shd w:val="clear" w:color="auto" w:fill="FFFFFF"/>
            <w:vAlign w:val="center"/>
            <w:hideMark/>
          </w:tcPr>
          <w:p w14:paraId="1675C93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66CDEA4F"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1B56D921" w14:textId="167B1A66"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{"citationItems":[{"id":"ITEM-1","itemData":{"ISBN":"1053-8569","abstract":"Background: Concomitant use of proton pump inhibitor (PPI) is recommended to reduce the gastrointestinal bleeding events in high risk patients received anti-platelet therapy. In recent years, some or all PPIs might decrease the platelet inhibitory effects of antiplatelet drugs there has been controversy about the impact of clinical outcomes. Case-based design accounted for confounding between patients such as the genetic and functional variability in the hepatic CYP P450 isoenzymes. Objectives: To investigate the association between use of PPI and risk of recurrent MI in patients receiving dual anti-platelet therapy (DAPT) consisting aspirin and clopidogrel. Methods: We conducted a population-based casecrossover study using the Korean Health Insurance Review and Assessment Service database in patients aged 30 to 99 years old, received DAPT from January 1, 2008 to December 31, 2010 after hospitalization for acute myocardial infarction (AMI). We identified recurrent MI cases as principal and subsidiary diagnosis of hospitalization or emergency department visit including AMI (I21) and subsidiary MI (I22). For each case, PPI use in 14 day period prior to the first recurrent date for MI was compared with PPI use in four earlier 14 day control period. Conditional logistic regression was used to calculate odds ratio (OR) and 95% confidence interval (CI), adjusting for concomitant medications that could affect recurrent MI. Results: We identified 43,822 AMI patients received DAPT consisting aspirin and clopidogrel. Among the AMI patients 3,583 cases were found. After adjustment, use of PPI was associated with an increased the risk of recurrent MI (adjusted OR 1.35, 95%CI, 1.05-1.75). In a stratified analysis, all PPIs except pantoprazole increased the risk of recurrent MI (1.56, 95%CI, 1.16-2.10). However, the aORs of recurrent MI for omeprazole, pantoprazole, lansoprazole, and esomeprazole were not statistically significant. Conclusions: The study result suggests careful monitorings are needed when concomitant use of PPI in AMI patients receiving DAPT particularly within 14 days after initiation.","author":[{"dropping-particle":"","family":"Kim","given":"MS","non-dropping-particle":"","parse-names":false,"suffix":""},{"dropping-particle":"","family":"Shin","given":"JY","non-dropping-particle":"","parse-names":false,"suffix":""},{"dropping-particle":"","family":"Jung","given":"SY","non-dropping-particle":"","parse-names":false,"suffix":""},{"dropping-particle":"","family":"Song","given":"HJ","non-dropping-particle":"","parse-names":false,"suffix":""},{"dropping-particle":"","family":"Park","given":"BJ","non-dropping-particle":"","parse-names":false,"suffix":""}],"collection-title":"30th International Conference on Pharmacoepidemiology and Therapeutic Risk Management Taipei Taiwan (Republic of China). Conference Start: 20141024 Conference End: 20141027","container-title":"Pharmacoepidemiology and Drug Safety","id":"ITEM-1","issued":{"date-parts":[["2014"]]},"note":"151cant find","page":"456-457","publisher":"John Wiley and Sons Ltd","publisher-place":"Y.-J. Kim, Department of Preventive Medicine, Seoul National University, College of Medicine, Seoul, South Korea","title":"Impact of concomitant use of proton pump inhibitors and dual antiplatelet therapy on recurrent myocardial infarction: A population-based case cross-over study","type":"article","volume":"23"},"uris":["http://www.mendeley.com/documents/?uuid=81f94e2e-b884-4201-965e-547ad0b8b3f4"]}],"mendeley":{"formattedCitation":"(Kim et al. 2014)","plainTextFormattedCitation":"(Kim et al. 2014)","previouslyFormattedCitation":"(Kim et al. 2014)"},"properties":{"noteIndex":0},"schema":"https://github.com/citation-style-language/schema/raw/master/csl-citation.json"}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(Kim et al. 2014)</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(Korea)</w:t>
            </w:r>
          </w:p>
          <w:p w14:paraId="6DD47BA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[abstract]</w:t>
            </w:r>
          </w:p>
        </w:tc>
        <w:tc>
          <w:tcPr>
            <w:tcW w:w="1667" w:type="dxa"/>
            <w:tcBorders>
              <w:top w:val="nil"/>
              <w:left w:val="nil"/>
              <w:bottom w:val="single" w:sz="4" w:space="0" w:color="808080"/>
              <w:right w:val="nil"/>
            </w:tcBorders>
            <w:shd w:val="clear" w:color="auto" w:fill="FFFFFF"/>
            <w:vAlign w:val="center"/>
            <w:hideMark/>
          </w:tcPr>
          <w:p w14:paraId="0B98F6D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Case crossover</w:t>
            </w:r>
            <w:r w:rsidRPr="005C4B89">
              <w:rPr>
                <w:rFonts w:ascii="Calibri" w:eastAsia="Times New Roman" w:hAnsi="Calibri" w:cs="Times New Roman"/>
                <w:color w:val="000000"/>
                <w:sz w:val="18"/>
                <w:szCs w:val="18"/>
                <w:lang w:eastAsia="en-CA"/>
              </w:rPr>
              <w:br/>
              <w:t xml:space="preserve">(database analysis, hospitals) </w:t>
            </w:r>
          </w:p>
        </w:tc>
        <w:tc>
          <w:tcPr>
            <w:tcW w:w="1241" w:type="dxa"/>
            <w:tcBorders>
              <w:top w:val="nil"/>
              <w:left w:val="nil"/>
              <w:bottom w:val="single" w:sz="4" w:space="0" w:color="808080"/>
              <w:right w:val="nil"/>
            </w:tcBorders>
            <w:shd w:val="clear" w:color="auto" w:fill="FFFFFF"/>
            <w:vAlign w:val="center"/>
            <w:hideMark/>
          </w:tcPr>
          <w:p w14:paraId="06422DB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Korean Health Insurance Review and Assessment Service database</w:t>
            </w:r>
          </w:p>
        </w:tc>
        <w:tc>
          <w:tcPr>
            <w:tcW w:w="993" w:type="dxa"/>
            <w:tcBorders>
              <w:top w:val="nil"/>
              <w:left w:val="nil"/>
              <w:bottom w:val="single" w:sz="4" w:space="0" w:color="808080"/>
              <w:right w:val="nil"/>
            </w:tcBorders>
            <w:shd w:val="clear" w:color="auto" w:fill="FFFFFF"/>
            <w:vAlign w:val="center"/>
            <w:hideMark/>
          </w:tcPr>
          <w:p w14:paraId="33E05AE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MI</w:t>
            </w:r>
          </w:p>
        </w:tc>
        <w:tc>
          <w:tcPr>
            <w:tcW w:w="4003" w:type="dxa"/>
            <w:tcBorders>
              <w:top w:val="nil"/>
              <w:left w:val="nil"/>
              <w:bottom w:val="single" w:sz="4" w:space="0" w:color="808080"/>
              <w:right w:val="nil"/>
            </w:tcBorders>
            <w:shd w:val="clear" w:color="auto" w:fill="FFFFFF"/>
            <w:vAlign w:val="center"/>
            <w:hideMark/>
          </w:tcPr>
          <w:p w14:paraId="410C7489" w14:textId="689795D0"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MI and received clopidogrel and aspirin between Jan 2008- Dec 2010 (after MI hospitalization)</w:t>
            </w:r>
            <w:r w:rsidRPr="005C4B89">
              <w:rPr>
                <w:rFonts w:ascii="Calibri" w:eastAsia="Times New Roman" w:hAnsi="Calibri" w:cs="Times New Roman"/>
                <w:color w:val="000000"/>
                <w:sz w:val="18"/>
                <w:szCs w:val="18"/>
                <w:lang w:eastAsia="en-CA"/>
              </w:rPr>
              <w:br/>
              <w:t>- 20-99 years</w:t>
            </w:r>
          </w:p>
        </w:tc>
        <w:tc>
          <w:tcPr>
            <w:tcW w:w="1275" w:type="dxa"/>
            <w:tcBorders>
              <w:top w:val="nil"/>
              <w:left w:val="nil"/>
              <w:bottom w:val="single" w:sz="4" w:space="0" w:color="808080"/>
              <w:right w:val="nil"/>
            </w:tcBorders>
            <w:shd w:val="clear" w:color="auto" w:fill="FFFFFF"/>
            <w:vAlign w:val="center"/>
            <w:hideMark/>
          </w:tcPr>
          <w:p w14:paraId="15DF881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43822</w:t>
            </w:r>
          </w:p>
        </w:tc>
        <w:tc>
          <w:tcPr>
            <w:tcW w:w="1276" w:type="dxa"/>
            <w:tcBorders>
              <w:top w:val="nil"/>
              <w:left w:val="nil"/>
              <w:bottom w:val="single" w:sz="4" w:space="0" w:color="808080"/>
              <w:right w:val="nil"/>
            </w:tcBorders>
            <w:shd w:val="clear" w:color="auto" w:fill="FFFFFF"/>
            <w:vAlign w:val="center"/>
            <w:hideMark/>
          </w:tcPr>
          <w:p w14:paraId="3B745F1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30-99 (range)</w:t>
            </w:r>
          </w:p>
        </w:tc>
        <w:tc>
          <w:tcPr>
            <w:tcW w:w="1134" w:type="dxa"/>
            <w:tcBorders>
              <w:top w:val="nil"/>
              <w:left w:val="nil"/>
              <w:bottom w:val="single" w:sz="4" w:space="0" w:color="808080"/>
              <w:right w:val="nil"/>
            </w:tcBorders>
            <w:shd w:val="clear" w:color="auto" w:fill="FFFFFF"/>
            <w:vAlign w:val="center"/>
            <w:hideMark/>
          </w:tcPr>
          <w:p w14:paraId="7A7046B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NR</w:t>
            </w:r>
          </w:p>
        </w:tc>
        <w:tc>
          <w:tcPr>
            <w:tcW w:w="1134" w:type="dxa"/>
            <w:tcBorders>
              <w:top w:val="nil"/>
              <w:left w:val="nil"/>
              <w:bottom w:val="single" w:sz="4" w:space="0" w:color="808080"/>
              <w:right w:val="nil"/>
            </w:tcBorders>
            <w:shd w:val="clear" w:color="auto" w:fill="FFFFFF"/>
            <w:vAlign w:val="center"/>
            <w:hideMark/>
          </w:tcPr>
          <w:p w14:paraId="40570E5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2A2CDB71"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19D2E1DF" w14:textId="1B959BBF"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{"citationItems":[{"id":"ITEM-1","itemData":{"ISBN":"0277-0008","ISSN":"1875-9114","abstract":"STUDY OBJECTIVE: To investigate the potential impact of proton pump inhibitors (PPIs) on the effectiveness of clopidogrel in preventing recurrent ischemic events after percutaneous coronary intervention (PCI) with stent placement., DESIGN: Population-based, retrospective cohort study., DATA SOURCE: National medical and pharmacy benefit claims database comprising approximately 19 million members., PATIENTS: A total of 16,690 patients who had undergone PCI with stent placement and who were highly adherent to clopidogrel therapy alone (9862 patients) or to clopidogrel with a PPI (6828 patients) between October 1, 2005, and September 30, 2006., MEASUREMENTS AND MAIN RESULTS: The primary end point was the occurrence of a major adverse cardiovascular event during the 12 months after stent placement. These events were defined as hospitalization for a cerebrovascular event (stroke or transient ischemic attack), an acute coronary syndrome (myocardial infarction or unstable angina), coronary revascularization (PCI or coronary artery bypass graft), or cardiovascular death. A composite event rate was compared between patients who received clopidogrel alone and those who received concomitant clopidogrel-PPI therapy. Baseline differences in covariates were adjusted by using Cox proportional hazards models. In the 9862 patients receiving clopidogrel alone, 1766 (17.9%) experienced a major adverse cardiovascular event compared with 1710 patients (25.0%) who received concomitant clopidogrel-PPI therapy (adjusted hazard ratio 1.51, 95% confidence interval 1.39-1.64, p&lt;0.0001). Similar associations of increased risk were observed for each PPI studied (omeprazole, esomeprazole, pantoprazole, and lansoprazole)., CONCLUSION: Concomitant use of a PPI and clopidogrel compared with clopidogrel alone was associated with a higher rate of major adverse cardiovascular events within 1 year after coronary stent placement.","author":[{"dropping-particle":"","family":"Kreutz","given":"Rolf P","non-dropping-particle":"","parse-names":false,"suffix":""},{"dropping-particle":"","family":"Stanek","given":"Eric J","non-dropping-particle":"","parse-names":false,"suffix":""},{"dropping-particle":"","family":"Aubert","given":"Ronald","non-dropping-particle":"","parse-names":false,"suffix":""},{"dropping-particle":"","family":"Yao","given":"Jianying","non-dropping-particle":"","parse-names":false,"suffix":""},{"dropping-particle":"","family":"Breall","given":"Jeffrey A","non-dropping-particle":"","parse-names":false,"suffix":""},{"dropping-particle":"","family":"Desta","given":"Zeruesenay","non-dropping-particle":"","parse-names":false,"suffix":""},{"dropping-particle":"","family":"Skaar","given":"Todd C","non-dropping-particle":"","parse-names":false,"suffix":""},{"dropping-particle":"","family":"Teagarden","given":"J Russell","non-dropping-particle":"","parse-names":false,"suffix":""},{"dropping-particle":"","family":"Frueh","given":"Felix W","non-dropping-particle":"","parse-names":false,"suffix":""},{"dropping-particle":"","family":"Epstein","given":"Robert S","non-dropping-particle":"","parse-names":false,"suffix":""},{"dropping-particle":"","family":"Flockhart","given":"David A","non-dropping-particle":"","parse-names":false,"suffix":""}],"container-title":"Pharmacotherapy","id":"ITEM-1","issue":"8","issued":{"date-parts":[["2010"]]},"note":"698","page":"787-796","publisher":"Pharmacotherapy Publications Inc. (750 Washington Street, Boston MA 02111, United States)","publisher-place":"J. R. Teagarden, Department of Medical and Analytical Affairs, Medco Health Solutions, Inc., Franklin Lakes, NJ, United States","title":"Impact of proton pump inhibitors on the effectiveness of clopidogrel after coronary stent placement: The clopidogrel Medco outcomes study","type":"article-journal","volume":"30"},"uris":["http://www.mendeley.com/documents/?uuid=970b230d-29aa-4b7b-b8c1-00f470adbdb6"]}],"mendeley":{"formattedCitation":"(Kreutz et al. 2010)","plainTextFormattedCitation":"(Kreutz et al. 2010)","previouslyFormattedCitation":"(Kreutz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(Kreutz et al.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w:t>
            </w:r>
          </w:p>
        </w:tc>
        <w:tc>
          <w:tcPr>
            <w:tcW w:w="1667" w:type="dxa"/>
            <w:tcBorders>
              <w:top w:val="nil"/>
              <w:left w:val="nil"/>
              <w:bottom w:val="single" w:sz="4" w:space="0" w:color="808080"/>
              <w:right w:val="nil"/>
            </w:tcBorders>
            <w:shd w:val="clear" w:color="auto" w:fill="FFFFFF"/>
            <w:vAlign w:val="center"/>
            <w:hideMark/>
          </w:tcPr>
          <w:p w14:paraId="4A2FE26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analysis)</w:t>
            </w:r>
          </w:p>
        </w:tc>
        <w:tc>
          <w:tcPr>
            <w:tcW w:w="1241" w:type="dxa"/>
            <w:tcBorders>
              <w:top w:val="nil"/>
              <w:left w:val="nil"/>
              <w:bottom w:val="single" w:sz="4" w:space="0" w:color="808080"/>
              <w:right w:val="nil"/>
            </w:tcBorders>
            <w:shd w:val="clear" w:color="auto" w:fill="FFFFFF"/>
            <w:vAlign w:val="center"/>
            <w:hideMark/>
          </w:tcPr>
          <w:p w14:paraId="2A0C903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Medco Health Solutions </w:t>
            </w:r>
          </w:p>
        </w:tc>
        <w:tc>
          <w:tcPr>
            <w:tcW w:w="993" w:type="dxa"/>
            <w:tcBorders>
              <w:top w:val="nil"/>
              <w:left w:val="nil"/>
              <w:bottom w:val="single" w:sz="4" w:space="0" w:color="808080"/>
              <w:right w:val="nil"/>
            </w:tcBorders>
            <w:shd w:val="clear" w:color="auto" w:fill="FFFFFF"/>
            <w:vAlign w:val="center"/>
            <w:hideMark/>
          </w:tcPr>
          <w:p w14:paraId="3F0438F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PCI with stent</w:t>
            </w:r>
          </w:p>
        </w:tc>
        <w:tc>
          <w:tcPr>
            <w:tcW w:w="4003" w:type="dxa"/>
            <w:tcBorders>
              <w:top w:val="nil"/>
              <w:left w:val="nil"/>
              <w:bottom w:val="single" w:sz="4" w:space="0" w:color="808080"/>
              <w:right w:val="nil"/>
            </w:tcBorders>
            <w:shd w:val="clear" w:color="auto" w:fill="FFFFFF"/>
            <w:vAlign w:val="center"/>
            <w:hideMark/>
          </w:tcPr>
          <w:p w14:paraId="2009FFB3" w14:textId="5C198EE8"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≥18 years</w:t>
            </w:r>
            <w:r w:rsidRPr="005C4B89">
              <w:rPr>
                <w:rFonts w:ascii="Calibri" w:eastAsia="Times New Roman" w:hAnsi="Calibri" w:cs="Times New Roman"/>
                <w:color w:val="000000"/>
                <w:sz w:val="18"/>
                <w:szCs w:val="18"/>
                <w:lang w:eastAsia="en-CA"/>
              </w:rPr>
              <w:br/>
              <w:t>- PCI with coronary stent between Oct 2005-Sept 2006</w:t>
            </w:r>
            <w:r w:rsidRPr="005C4B89">
              <w:rPr>
                <w:rFonts w:ascii="Calibri" w:eastAsia="Times New Roman" w:hAnsi="Calibri" w:cs="Times New Roman"/>
                <w:color w:val="000000"/>
                <w:sz w:val="18"/>
                <w:szCs w:val="18"/>
                <w:lang w:eastAsia="en-CA"/>
              </w:rPr>
              <w:br/>
              <w:t>- continuous eligibility data 6 months prior t</w:t>
            </w:r>
            <w:r w:rsidR="00DE19B3">
              <w:rPr>
                <w:rFonts w:ascii="Calibri" w:eastAsia="Times New Roman" w:hAnsi="Calibri" w:cs="Times New Roman"/>
                <w:color w:val="000000"/>
                <w:sz w:val="18"/>
                <w:szCs w:val="18"/>
                <w:lang w:eastAsia="en-CA"/>
              </w:rPr>
              <w:t>o index PCI and 12 months after</w:t>
            </w:r>
          </w:p>
        </w:tc>
        <w:tc>
          <w:tcPr>
            <w:tcW w:w="1275" w:type="dxa"/>
            <w:tcBorders>
              <w:top w:val="nil"/>
              <w:left w:val="nil"/>
              <w:bottom w:val="single" w:sz="4" w:space="0" w:color="808080"/>
              <w:right w:val="nil"/>
            </w:tcBorders>
            <w:shd w:val="clear" w:color="auto" w:fill="FFFFFF"/>
            <w:vAlign w:val="center"/>
            <w:hideMark/>
          </w:tcPr>
          <w:p w14:paraId="3AA330B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16,690 </w:t>
            </w:r>
            <w:r w:rsidRPr="005C4B89">
              <w:rPr>
                <w:rFonts w:ascii="Calibri" w:eastAsia="Times New Roman" w:hAnsi="Calibri" w:cs="Times New Roman"/>
                <w:color w:val="000000"/>
                <w:sz w:val="18"/>
                <w:szCs w:val="18"/>
                <w:lang w:eastAsia="en-CA"/>
              </w:rPr>
              <w:br/>
              <w:t>(PPI: 6,828; No PPI 9,682)</w:t>
            </w:r>
          </w:p>
        </w:tc>
        <w:tc>
          <w:tcPr>
            <w:tcW w:w="1276" w:type="dxa"/>
            <w:tcBorders>
              <w:top w:val="nil"/>
              <w:left w:val="nil"/>
              <w:bottom w:val="single" w:sz="4" w:space="0" w:color="808080"/>
              <w:right w:val="nil"/>
            </w:tcBorders>
            <w:shd w:val="clear" w:color="auto" w:fill="FFFFFF"/>
            <w:vAlign w:val="center"/>
            <w:hideMark/>
          </w:tcPr>
          <w:p w14:paraId="218FFF1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68 (10)</w:t>
            </w:r>
            <w:r w:rsidRPr="005C4B89">
              <w:rPr>
                <w:rFonts w:ascii="Calibri" w:eastAsia="Times New Roman" w:hAnsi="Calibri" w:cs="Times New Roman"/>
                <w:color w:val="000000"/>
                <w:sz w:val="18"/>
                <w:szCs w:val="18"/>
                <w:lang w:eastAsia="en-CA"/>
              </w:rPr>
              <w:br/>
              <w:t>no PPI: 65 (11)</w:t>
            </w:r>
          </w:p>
        </w:tc>
        <w:tc>
          <w:tcPr>
            <w:tcW w:w="1134" w:type="dxa"/>
            <w:tcBorders>
              <w:top w:val="nil"/>
              <w:left w:val="nil"/>
              <w:bottom w:val="single" w:sz="4" w:space="0" w:color="808080"/>
              <w:right w:val="nil"/>
            </w:tcBorders>
            <w:shd w:val="clear" w:color="auto" w:fill="FFFFFF"/>
            <w:vAlign w:val="center"/>
            <w:hideMark/>
          </w:tcPr>
          <w:p w14:paraId="2C3B15A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62</w:t>
            </w:r>
            <w:r w:rsidRPr="005C4B89">
              <w:rPr>
                <w:rFonts w:ascii="Calibri" w:eastAsia="Times New Roman" w:hAnsi="Calibri" w:cs="Times New Roman"/>
                <w:color w:val="000000"/>
                <w:sz w:val="18"/>
                <w:szCs w:val="18"/>
                <w:lang w:eastAsia="en-CA"/>
              </w:rPr>
              <w:br/>
              <w:t>no PPI: 74</w:t>
            </w:r>
          </w:p>
        </w:tc>
        <w:tc>
          <w:tcPr>
            <w:tcW w:w="1134" w:type="dxa"/>
            <w:tcBorders>
              <w:top w:val="nil"/>
              <w:left w:val="nil"/>
              <w:bottom w:val="single" w:sz="4" w:space="0" w:color="808080"/>
              <w:right w:val="nil"/>
            </w:tcBorders>
            <w:shd w:val="clear" w:color="auto" w:fill="FFFFFF"/>
            <w:vAlign w:val="center"/>
            <w:hideMark/>
          </w:tcPr>
          <w:p w14:paraId="71BAE69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239E3E9C" w14:textId="77777777" w:rsidTr="00DE19B3">
        <w:trPr>
          <w:trHeight w:val="89"/>
        </w:trPr>
        <w:tc>
          <w:tcPr>
            <w:tcW w:w="1310" w:type="dxa"/>
            <w:tcBorders>
              <w:top w:val="nil"/>
              <w:left w:val="nil"/>
              <w:bottom w:val="single" w:sz="4" w:space="0" w:color="808080"/>
              <w:right w:val="nil"/>
            </w:tcBorders>
            <w:shd w:val="clear" w:color="auto" w:fill="FFFFFF"/>
            <w:vAlign w:val="center"/>
            <w:hideMark/>
          </w:tcPr>
          <w:p w14:paraId="00C8A680" w14:textId="5E137AE9"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{"citationItems":[{"id":"ITEM-1","itemData":{"ISSN":"1473-4877","abstract":"OBJECTIVE: To examine the effect of concomitant use of clopidogrel and PPIs in a national sample of elderly Medicare beneficiaries (age &gt;65 years)., METHODS: A nested case-control design was employed. A cohort of Medicare beneficiaries who initiated clopidogrel and did not have any gap of &gt;30 days between clopidogrel fills between July 1, 2006 and December 31, 2008 was identified from a 5% national sample of Medicare claims data. Within this cohort, cases (beneficiaries who experienced any major cardiovascular event [MCE] [acute myocardial infarction, stroke, coronary artery bypass graft, or percutaneous coronary intervention] or all-cause mortality) and controls (beneficiaries who did not experience any MCE or all-cause mortality) were identified from inpatient and outpatient claims. Cases and controls were matched on age and the time to first clopidogrel fill. Conditional logistic regression was performed on the matched sample to evaluate the association between concomitant use of clopidogrel and PPIs and adverse health outcomes (MCEs and all-cause mortality)., RESULTS: A total of 43,159 clopidogrel users were identified. Among them, 15,415 (35.7%) received clopidogrel and a PPI concomitantly at any time during the study period, 3502 (8.1%) experienced a MCE, 7306 (17.1%) died, and a total of 9908 (22.8%) experienced the primary composite outcome (any MCE or all-cause mortality) during follow-up. The odds ratio (OR) for the primary composite outcome was 1.26 (95% confidence interval [CI]: 1.18-1.35). Secondary analyses indicated that elderly patients using clopidogrel and a PPI concomitantly were more likely to experience all-cause mortality (OR: 1.40; 95% CI: 1.29-1.53) as compared to those receiving clopidogrel only, but not MCEs (OR: 1.06; 95% CI: 0.95-1.18)., CONCLUSIONS: Concomitant use of clopidogrel and PPIs was associated with a slightly increased risk of all-cause mortality but not MCEs.","author":[{"dropping-particle":"","family":"Mahabaleshwarkar","given":"Rohan K","non-dropping-particle":"","parse-names":false,"suffix":""},{"dropping-particle":"","family":"Yang","given":"Yi","non-dropping-particle":"","parse-names":false,"suffix":""},{"dropping-particle":"V","family":"Datar","given":"Manasi","non-dropping-particle":"","parse-names":false,"suffix":""},{"dropping-particle":"","family":"Bentley","given":"John P","non-dropping-particle":"","parse-names":false,"suffix":""},{"dropping-particle":"","family":"Strum","given":"Matthew W","non-dropping-particle":"","parse-names":false,"suffix":""},{"dropping-particle":"","family":"Banahan","given":"Benjamin F","non-dropping-particle":"","parse-names":false,"suffix":""},{"dropping-particle":"","family":"Null","given":"Kyle D","non-dropping-particle":"","parse-names":false,"suffix":""}],"container-title":"Current medical research and opinion","id":"ITEM-1","issue":"4","issued":{"date-parts":[["2013"]]},"note":"284","page":"315-323","publisher":"Mahabaleshwarkar,Rohan K. The University of Mississippi, MS 38677, USA.","publisher-place":"England","title":"Risk of adverse cardiovascular outcomes and all-cause mortality associated with concomitant use of clopidogrel and proton pump inhibitors in elderly patients.","type":"article-journal","volume":"29"},"uris":["http://www.mendeley.com/documents/?uuid=c52b1f37-4718-493d-8061-e7e55155b183"]}],"mendeley":{"formattedCitation":"(Mahabaleshwarkar et al. 2013)","plainTextFormattedCitation":"(Mahabaleshwarkar et al. 2013)","previouslyFormattedCitation":"(Mahabaleshwarkar et al. 2013)"},"properties":{"noteIndex":0},"schema":"https://github.com/citation-style-language/schema/raw/master/csl-citation.json"}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(Mahabaleshwarkar et al. 2013)</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(USA)</w:t>
            </w:r>
          </w:p>
        </w:tc>
        <w:tc>
          <w:tcPr>
            <w:tcW w:w="1667" w:type="dxa"/>
            <w:tcBorders>
              <w:top w:val="nil"/>
              <w:left w:val="nil"/>
              <w:bottom w:val="single" w:sz="4" w:space="0" w:color="808080"/>
              <w:right w:val="nil"/>
            </w:tcBorders>
            <w:shd w:val="clear" w:color="auto" w:fill="FFFFFF"/>
            <w:vAlign w:val="center"/>
            <w:hideMark/>
          </w:tcPr>
          <w:p w14:paraId="2CA8336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Nested case-control</w:t>
            </w:r>
            <w:r w:rsidRPr="005C4B89">
              <w:rPr>
                <w:rFonts w:ascii="Calibri" w:eastAsia="Times New Roman" w:hAnsi="Calibri" w:cs="Times New Roman"/>
                <w:color w:val="000000"/>
                <w:sz w:val="18"/>
                <w:szCs w:val="18"/>
                <w:lang w:eastAsia="en-CA"/>
              </w:rPr>
              <w:br/>
              <w:t>(database)</w:t>
            </w:r>
          </w:p>
        </w:tc>
        <w:tc>
          <w:tcPr>
            <w:tcW w:w="1241" w:type="dxa"/>
            <w:tcBorders>
              <w:top w:val="nil"/>
              <w:left w:val="nil"/>
              <w:bottom w:val="single" w:sz="4" w:space="0" w:color="808080"/>
              <w:right w:val="nil"/>
            </w:tcBorders>
            <w:shd w:val="clear" w:color="auto" w:fill="FFFFFF"/>
            <w:vAlign w:val="center"/>
            <w:hideMark/>
          </w:tcPr>
          <w:p w14:paraId="4BC9958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Medicare </w:t>
            </w:r>
          </w:p>
        </w:tc>
        <w:tc>
          <w:tcPr>
            <w:tcW w:w="993" w:type="dxa"/>
            <w:tcBorders>
              <w:top w:val="nil"/>
              <w:left w:val="nil"/>
              <w:bottom w:val="single" w:sz="4" w:space="0" w:color="808080"/>
              <w:right w:val="nil"/>
            </w:tcBorders>
            <w:shd w:val="clear" w:color="auto" w:fill="FFFFFF"/>
            <w:vAlign w:val="center"/>
            <w:hideMark/>
          </w:tcPr>
          <w:p w14:paraId="0F7ADCA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Elderly clopidogrel users</w:t>
            </w:r>
          </w:p>
        </w:tc>
        <w:tc>
          <w:tcPr>
            <w:tcW w:w="4003" w:type="dxa"/>
            <w:tcBorders>
              <w:top w:val="nil"/>
              <w:left w:val="nil"/>
              <w:bottom w:val="single" w:sz="4" w:space="0" w:color="808080"/>
              <w:right w:val="nil"/>
            </w:tcBorders>
            <w:shd w:val="clear" w:color="auto" w:fill="FFFFFF"/>
            <w:vAlign w:val="center"/>
            <w:hideMark/>
          </w:tcPr>
          <w:p w14:paraId="776F20FE" w14:textId="4A79D17F"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Cohort of clopidogrel users:</w:t>
            </w:r>
            <w:r w:rsidRPr="005C4B89">
              <w:rPr>
                <w:rFonts w:ascii="Calibri" w:eastAsia="Times New Roman" w:hAnsi="Calibri" w:cs="Times New Roman"/>
                <w:color w:val="000000"/>
                <w:sz w:val="18"/>
                <w:szCs w:val="18"/>
                <w:lang w:eastAsia="en-CA"/>
              </w:rPr>
              <w:br/>
              <w:t xml:space="preserve">- 65 years of age as of January 1, 2006 </w:t>
            </w:r>
            <w:r w:rsidRPr="005C4B89">
              <w:rPr>
                <w:rFonts w:ascii="Calibri" w:eastAsia="Times New Roman" w:hAnsi="Calibri" w:cs="Times New Roman"/>
                <w:color w:val="000000"/>
                <w:sz w:val="18"/>
                <w:szCs w:val="18"/>
                <w:lang w:eastAsia="en-CA"/>
              </w:rPr>
              <w:br/>
              <w:t>- continuous Medicare part A coverage and at least 1 month of Part B coverage from January 1, 2006 to December 31, 2008 or until death</w:t>
            </w:r>
            <w:r w:rsidRPr="005C4B89">
              <w:rPr>
                <w:rFonts w:ascii="Calibri" w:eastAsia="Times New Roman" w:hAnsi="Calibri" w:cs="Times New Roman"/>
                <w:color w:val="000000"/>
                <w:sz w:val="18"/>
                <w:szCs w:val="18"/>
                <w:lang w:eastAsia="en-CA"/>
              </w:rPr>
              <w:br/>
              <w:t xml:space="preserve">- initiated clopidogrel therapy and did not have any gap of 30 days or more between clopidogrel fills between July 1, 2006 and December 31, 2008, </w:t>
            </w:r>
            <w:r w:rsidRPr="005C4B89">
              <w:rPr>
                <w:rFonts w:ascii="Calibri" w:eastAsia="Times New Roman" w:hAnsi="Calibri" w:cs="Times New Roman"/>
                <w:color w:val="000000"/>
                <w:sz w:val="18"/>
                <w:szCs w:val="18"/>
                <w:lang w:eastAsia="en-CA"/>
              </w:rPr>
              <w:br/>
              <w:t xml:space="preserve">- no clopidogrel claims in the 6 months prior to start of study </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br/>
              <w:t>Cases</w:t>
            </w:r>
            <w:r w:rsidRPr="005C4B89">
              <w:rPr>
                <w:rFonts w:ascii="Calibri" w:eastAsia="Times New Roman" w:hAnsi="Calibri" w:cs="Times New Roman"/>
                <w:color w:val="000000"/>
                <w:sz w:val="18"/>
                <w:szCs w:val="18"/>
                <w:lang w:eastAsia="en-CA"/>
              </w:rPr>
              <w:br/>
              <w:t xml:space="preserve">- had an index event: (AMI, stroke, receiving CABG </w:t>
            </w:r>
            <w:r w:rsidRPr="005C4B89">
              <w:rPr>
                <w:rFonts w:ascii="Calibri" w:eastAsia="Times New Roman" w:hAnsi="Calibri" w:cs="Times New Roman"/>
                <w:color w:val="000000"/>
                <w:sz w:val="18"/>
                <w:szCs w:val="18"/>
                <w:lang w:eastAsia="en-CA"/>
              </w:rPr>
              <w:lastRenderedPageBreak/>
              <w:t xml:space="preserve">surgery, or PCI) or death,  between date of first prescription claim for clopidogrel and Dec 2008; </w:t>
            </w:r>
            <w:r w:rsidRPr="005C4B89">
              <w:rPr>
                <w:rFonts w:ascii="Calibri" w:eastAsia="Times New Roman" w:hAnsi="Calibri" w:cs="Times New Roman"/>
                <w:color w:val="000000"/>
                <w:sz w:val="18"/>
                <w:szCs w:val="18"/>
                <w:lang w:eastAsia="en-CA"/>
              </w:rPr>
              <w:br/>
              <w:t>Controls</w:t>
            </w:r>
            <w:r w:rsidRPr="005C4B89">
              <w:rPr>
                <w:rFonts w:ascii="Calibri" w:eastAsia="Times New Roman" w:hAnsi="Calibri" w:cs="Times New Roman"/>
                <w:color w:val="000000"/>
                <w:sz w:val="18"/>
                <w:szCs w:val="18"/>
                <w:lang w:eastAsia="en-CA"/>
              </w:rPr>
              <w:br/>
              <w:t>- did not experience an index event</w:t>
            </w:r>
            <w:r w:rsidRPr="005C4B89">
              <w:rPr>
                <w:rFonts w:ascii="Calibri" w:eastAsia="Times New Roman" w:hAnsi="Calibri" w:cs="Times New Roman"/>
                <w:color w:val="000000"/>
                <w:sz w:val="18"/>
                <w:szCs w:val="18"/>
                <w:lang w:eastAsia="en-CA"/>
              </w:rPr>
              <w:br/>
              <w:t>- matched by age (+/- 5 years) and time to cohort entry (+/-7 days);</w:t>
            </w:r>
          </w:p>
        </w:tc>
        <w:tc>
          <w:tcPr>
            <w:tcW w:w="1275" w:type="dxa"/>
            <w:tcBorders>
              <w:top w:val="nil"/>
              <w:left w:val="nil"/>
              <w:bottom w:val="single" w:sz="4" w:space="0" w:color="808080"/>
              <w:right w:val="nil"/>
            </w:tcBorders>
            <w:shd w:val="clear" w:color="auto" w:fill="FFFFFF"/>
            <w:vAlign w:val="center"/>
            <w:hideMark/>
          </w:tcPr>
          <w:p w14:paraId="7D51B0E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(Cases: 9,908; Controls: 9,908)</w:t>
            </w:r>
          </w:p>
        </w:tc>
        <w:tc>
          <w:tcPr>
            <w:tcW w:w="1276" w:type="dxa"/>
            <w:tcBorders>
              <w:top w:val="nil"/>
              <w:left w:val="nil"/>
              <w:bottom w:val="single" w:sz="4" w:space="0" w:color="808080"/>
              <w:right w:val="nil"/>
            </w:tcBorders>
            <w:shd w:val="clear" w:color="auto" w:fill="FFFFFF"/>
            <w:vAlign w:val="center"/>
            <w:hideMark/>
          </w:tcPr>
          <w:p w14:paraId="41FD494B" w14:textId="77777777" w:rsidR="009462F4" w:rsidRPr="005C4B89" w:rsidRDefault="009462F4">
            <w:pPr>
              <w:spacing w:after="0" w:line="240" w:lineRule="auto"/>
              <w:rPr>
                <w:rFonts w:ascii="Calibri" w:eastAsia="Times New Roman" w:hAnsi="Calibri" w:cs="Times New Roman"/>
                <w:sz w:val="18"/>
                <w:szCs w:val="18"/>
                <w:lang w:eastAsia="en-CA"/>
              </w:rPr>
            </w:pPr>
            <w:r w:rsidRPr="005C4B89">
              <w:rPr>
                <w:rFonts w:ascii="Calibri" w:eastAsia="Times New Roman" w:hAnsi="Calibri" w:cs="Times New Roman"/>
                <w:sz w:val="18"/>
                <w:szCs w:val="18"/>
                <w:lang w:eastAsia="en-CA"/>
              </w:rPr>
              <w:t>All patients: 77 (7)</w:t>
            </w:r>
            <w:r w:rsidRPr="005C4B89">
              <w:rPr>
                <w:rFonts w:ascii="Calibri" w:eastAsia="Times New Roman" w:hAnsi="Calibri" w:cs="Times New Roman"/>
                <w:sz w:val="18"/>
                <w:szCs w:val="18"/>
                <w:lang w:eastAsia="en-CA"/>
              </w:rPr>
              <w:br/>
              <w:t>Cases: 79 (8)</w:t>
            </w:r>
            <w:r w:rsidRPr="005C4B89">
              <w:rPr>
                <w:rFonts w:ascii="Calibri" w:eastAsia="Times New Roman" w:hAnsi="Calibri" w:cs="Times New Roman"/>
                <w:sz w:val="18"/>
                <w:szCs w:val="18"/>
                <w:lang w:eastAsia="en-CA"/>
              </w:rPr>
              <w:br/>
              <w:t>Controls: 79 (8)</w:t>
            </w:r>
          </w:p>
        </w:tc>
        <w:tc>
          <w:tcPr>
            <w:tcW w:w="1134" w:type="dxa"/>
            <w:tcBorders>
              <w:top w:val="nil"/>
              <w:left w:val="nil"/>
              <w:bottom w:val="single" w:sz="4" w:space="0" w:color="808080"/>
              <w:right w:val="nil"/>
            </w:tcBorders>
            <w:shd w:val="clear" w:color="auto" w:fill="FFFFFF"/>
            <w:vAlign w:val="center"/>
            <w:hideMark/>
          </w:tcPr>
          <w:p w14:paraId="2CF189F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38</w:t>
            </w:r>
          </w:p>
        </w:tc>
        <w:tc>
          <w:tcPr>
            <w:tcW w:w="1134" w:type="dxa"/>
            <w:tcBorders>
              <w:top w:val="nil"/>
              <w:left w:val="nil"/>
              <w:bottom w:val="single" w:sz="4" w:space="0" w:color="808080"/>
              <w:right w:val="nil"/>
            </w:tcBorders>
            <w:shd w:val="clear" w:color="auto" w:fill="FFFFFF"/>
            <w:vAlign w:val="center"/>
            <w:hideMark/>
          </w:tcPr>
          <w:p w14:paraId="494628F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Caucasian, African American, Other</w:t>
            </w:r>
            <w:r w:rsidRPr="005C4B89">
              <w:rPr>
                <w:rFonts w:ascii="Calibri" w:eastAsia="Times New Roman" w:hAnsi="Calibri" w:cs="Times New Roman"/>
                <w:color w:val="000000"/>
                <w:sz w:val="18"/>
                <w:szCs w:val="18"/>
                <w:lang w:eastAsia="en-CA"/>
              </w:rPr>
              <w:br/>
              <w:t>(85%  Caucasian)</w:t>
            </w:r>
          </w:p>
        </w:tc>
      </w:tr>
      <w:tr w:rsidR="009462F4" w:rsidRPr="005C4B89" w14:paraId="7AFC71E0"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23F25E04" w14:textId="3DFBF92E"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{"citationItems":[{"id":"ITEM-1","itemData":{"ISBN":"0160-2446","ISSN":"1533-4023","abstract":"BACKGROUND: Among patients receiving clopidogrel for coronary artery disease, concomitant therapy with proton pump inhibitors (PPIs) has been associated with an increased risk for recurrent coronary events., PATIENTS AND METHODS: Factores de Riesgo y ENfermedad Arterial (FRENA) is an ongoing, multicenter, observational registry of consecutive outpatients with coronary artery disease, cerebrovascular disease, or peripheral artery disease. We retrospectively examined the influence of concomitant use of PPIs on outcome in patients receiving clopidogrel., RESULTS: As of March 2009, 1222 patients were using clopidogrel: 595 had coronary artery disease, 329 cerebrovascular disease, and 298 had peripheral artery disease. Of these, 519 (42%) were concomitantly using PPIs. Over a mean follow-up of 15 months, 131 patients (11%) had 139 subsequent ischemic events: myocardial infarction 44, ischemic stroke 40, and critical limb ischemia 55. Seventeen of them (13%) died within 15 days of the subsequent event. PPI users had a higher incidence of myocardial infarction (rate ratio, 2.5; 95% confidence interval [CI], 1.3-4.8), ischemic stroke (rate ratio, 1.9; 95% CI, 1.03-3.7), and a nonsignificantly higher rate of critical limb ischemia (rate ratio, 1.6; 95% CI, 0.95-2.8) than nonusers. On multivariate analysis, concomitant use of clopidogrel and PPIs was independently associated with an increased risk for subsequent ischemic events both in the whole series of patients (hazard ratio, 1.8; 95% CI, 1.1-2.7) and in those with cerebrovascular disease or peripheral artery disease (hazard ratio, 1.5; 95% CI, 1.01-2.4)., CONCLUSIONS: In patients with established arterial disease, concomitant use of PPIs and clopidogrel was associated with a nearly doubling of the incidence of subsequent myocardial infarction or ischemic stroke. This higher incidence persisted after multivariate adjustment.","author":[{"dropping-particle":"","family":"Munoz-Torrero","given":"Juan Francisco Sanchez","non-dropping-particle":"","parse-names":false,"suffix":""},{"dropping-particle":"","family":"Escudero","given":"Domingo","non-dropping-particle":"","parse-names":false,"suffix":""},{"dropping-particle":"","family":"Suarez","given":"Carmen","non-dropping-particle":"","parse-names":false,"suffix":""},{"dropping-particle":"","family":"Sanclemente","given":"Carmen","non-dropping-particle":"","parse-names":false,"suffix":""},{"dropping-particle":"","family":"Pascual","given":"Ma Teresa","non-dropping-particle":"","parse-names":false,"suffix":""},{"dropping-particle":"","family":"Zamorano","given":"Jose","non-dropping-particle":"","parse-names":false,"suffix":""},{"dropping-particle":"","family":"Trujillo-Santos","given":"Javier","non-dropping-particle":"","parse-names":false,"suffix":""},{"dropping-particle":"","family":"Monreal","given":"Manuel","non-dropping-particle":"","parse-names":false,"suffix":""}],"container-title":"Journal of Cardiovascular Pharmacology","id":"ITEM-1","issue":"1","issued":{"date-parts":[["2011"]]},"note":"552","page":"13-19","publisher":"Munoz-Torrero,Juan Francisco Sanchez. Department of Internal Medicine, Hospital San Pedro de Alcantara, Caceres, Spain.","publisher-place":"United States","title":"Concomitant use of proton pump inhibitors and clopidogrel in patients with coronary, cerebrovascular, or peripheral artery disease in the factores de Riesgo y ENfermedad Arterial (FRENA) registry.","type":"article-journal","volume":"57"},"uris":["http://www.mendeley.com/documents/?uuid=7ccdd93e-d639-4d86-832e-ce5da21047ba"]}],"mendeley":{"formattedCitation":"(Munoz-Torrero et al. 2011)","plainTextFormattedCitation":"(Munoz-Torrero et al. 2011)","previouslyFormattedCitation":"(Munoz-Torrero et al. 2011)"},"properties":{"noteIndex":0},"schema":"https://github.com/citation-style-language/schema/raw/master/csl-citation.json"}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(Munoz-Torrero et al. 2011)</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(Spain)</w:t>
            </w:r>
          </w:p>
        </w:tc>
        <w:tc>
          <w:tcPr>
            <w:tcW w:w="1667" w:type="dxa"/>
            <w:tcBorders>
              <w:top w:val="nil"/>
              <w:left w:val="nil"/>
              <w:bottom w:val="single" w:sz="4" w:space="0" w:color="808080"/>
              <w:right w:val="nil"/>
            </w:tcBorders>
            <w:shd w:val="clear" w:color="auto" w:fill="FFFFFF"/>
            <w:vAlign w:val="center"/>
            <w:hideMark/>
          </w:tcPr>
          <w:p w14:paraId="240D810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(hospital registries (14 centers))</w:t>
            </w:r>
          </w:p>
        </w:tc>
        <w:tc>
          <w:tcPr>
            <w:tcW w:w="1241" w:type="dxa"/>
            <w:tcBorders>
              <w:top w:val="nil"/>
              <w:left w:val="nil"/>
              <w:bottom w:val="single" w:sz="4" w:space="0" w:color="808080"/>
              <w:right w:val="nil"/>
            </w:tcBorders>
            <w:shd w:val="clear" w:color="auto" w:fill="FFFFFF"/>
            <w:vAlign w:val="center"/>
            <w:hideMark/>
          </w:tcPr>
          <w:p w14:paraId="351B4DD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Factores de Riesgo y ENfermedad Arterial (FRENA), Registry for CAD, CVD and PAD.</w:t>
            </w:r>
          </w:p>
        </w:tc>
        <w:tc>
          <w:tcPr>
            <w:tcW w:w="993" w:type="dxa"/>
            <w:tcBorders>
              <w:top w:val="nil"/>
              <w:left w:val="nil"/>
              <w:bottom w:val="single" w:sz="4" w:space="0" w:color="808080"/>
              <w:right w:val="nil"/>
            </w:tcBorders>
            <w:shd w:val="clear" w:color="auto" w:fill="FFFFFF"/>
            <w:vAlign w:val="center"/>
            <w:hideMark/>
          </w:tcPr>
          <w:p w14:paraId="7385432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CAD, cerebrovascular or PAD</w:t>
            </w:r>
          </w:p>
        </w:tc>
        <w:tc>
          <w:tcPr>
            <w:tcW w:w="4003" w:type="dxa"/>
            <w:tcBorders>
              <w:top w:val="nil"/>
              <w:left w:val="nil"/>
              <w:bottom w:val="single" w:sz="4" w:space="0" w:color="808080"/>
              <w:right w:val="nil"/>
            </w:tcBorders>
            <w:shd w:val="clear" w:color="auto" w:fill="FFFFFF"/>
            <w:vAlign w:val="center"/>
            <w:hideMark/>
          </w:tcPr>
          <w:p w14:paraId="5A6F505E" w14:textId="4A8DFD1A"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Inclusion: </w:t>
            </w:r>
            <w:r w:rsidRPr="005C4B89">
              <w:rPr>
                <w:rFonts w:ascii="Calibri" w:eastAsia="Times New Roman" w:hAnsi="Calibri" w:cs="Times New Roman"/>
                <w:color w:val="000000"/>
                <w:sz w:val="18"/>
                <w:szCs w:val="18"/>
                <w:lang w:eastAsia="en-CA"/>
              </w:rPr>
              <w:br/>
              <w:t xml:space="preserve">- outpatients with symptomatic artery disease with at least one episode of CAD, CVD or PAD. </w:t>
            </w:r>
            <w:r w:rsidRPr="005C4B89">
              <w:rPr>
                <w:rFonts w:ascii="Calibri" w:eastAsia="Times New Roman" w:hAnsi="Calibri" w:cs="Times New Roman"/>
                <w:color w:val="000000"/>
                <w:sz w:val="18"/>
                <w:szCs w:val="18"/>
                <w:lang w:eastAsia="en-CA"/>
              </w:rPr>
              <w:br/>
              <w:t>- receiving clopidogrel at baseline</w:t>
            </w:r>
            <w:r w:rsidRPr="005C4B89">
              <w:rPr>
                <w:rFonts w:ascii="Calibri" w:eastAsia="Times New Roman" w:hAnsi="Calibri" w:cs="Times New Roman"/>
                <w:color w:val="000000"/>
                <w:sz w:val="18"/>
                <w:szCs w:val="18"/>
                <w:lang w:eastAsia="en-CA"/>
              </w:rPr>
              <w:br/>
            </w:r>
            <w:r w:rsidR="00DE19B3">
              <w:rPr>
                <w:rFonts w:ascii="Calibri" w:eastAsia="Times New Roman" w:hAnsi="Calibri" w:cs="Times New Roman"/>
                <w:color w:val="000000"/>
                <w:sz w:val="18"/>
                <w:szCs w:val="18"/>
                <w:lang w:eastAsia="en-CA"/>
              </w:rPr>
              <w:t>-oral consent to be in registry</w:t>
            </w:r>
          </w:p>
        </w:tc>
        <w:tc>
          <w:tcPr>
            <w:tcW w:w="1275" w:type="dxa"/>
            <w:tcBorders>
              <w:top w:val="nil"/>
              <w:left w:val="nil"/>
              <w:bottom w:val="single" w:sz="4" w:space="0" w:color="808080"/>
              <w:right w:val="nil"/>
            </w:tcBorders>
            <w:shd w:val="clear" w:color="auto" w:fill="FFFFFF"/>
            <w:vAlign w:val="center"/>
            <w:hideMark/>
          </w:tcPr>
          <w:p w14:paraId="7B6B0E5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1,222</w:t>
            </w:r>
            <w:r w:rsidRPr="005C4B89">
              <w:rPr>
                <w:rFonts w:ascii="Calibri" w:eastAsia="Times New Roman" w:hAnsi="Calibri" w:cs="Times New Roman"/>
                <w:color w:val="000000"/>
                <w:sz w:val="18"/>
                <w:szCs w:val="18"/>
                <w:lang w:eastAsia="en-CA"/>
              </w:rPr>
              <w:br/>
              <w:t>(PPI: 519; No PPI: 703)</w:t>
            </w:r>
          </w:p>
        </w:tc>
        <w:tc>
          <w:tcPr>
            <w:tcW w:w="1276" w:type="dxa"/>
            <w:tcBorders>
              <w:top w:val="nil"/>
              <w:left w:val="nil"/>
              <w:bottom w:val="single" w:sz="4" w:space="0" w:color="808080"/>
              <w:right w:val="nil"/>
            </w:tcBorders>
            <w:shd w:val="clear" w:color="auto" w:fill="FFFFFF"/>
            <w:vAlign w:val="center"/>
            <w:hideMark/>
          </w:tcPr>
          <w:p w14:paraId="551345C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68 (11)</w:t>
            </w:r>
            <w:r w:rsidRPr="005C4B89">
              <w:rPr>
                <w:rFonts w:ascii="Calibri" w:eastAsia="Times New Roman" w:hAnsi="Calibri" w:cs="Times New Roman"/>
                <w:color w:val="000000"/>
                <w:sz w:val="18"/>
                <w:szCs w:val="18"/>
                <w:lang w:eastAsia="en-CA"/>
              </w:rPr>
              <w:br/>
              <w:t xml:space="preserve">no PPI: 64 (12) </w:t>
            </w:r>
          </w:p>
        </w:tc>
        <w:tc>
          <w:tcPr>
            <w:tcW w:w="1134" w:type="dxa"/>
            <w:tcBorders>
              <w:top w:val="nil"/>
              <w:left w:val="nil"/>
              <w:bottom w:val="single" w:sz="4" w:space="0" w:color="808080"/>
              <w:right w:val="nil"/>
            </w:tcBorders>
            <w:shd w:val="clear" w:color="auto" w:fill="FFFFFF"/>
            <w:vAlign w:val="center"/>
            <w:hideMark/>
          </w:tcPr>
          <w:p w14:paraId="5F67BEA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75</w:t>
            </w:r>
            <w:r w:rsidRPr="005C4B89">
              <w:rPr>
                <w:rFonts w:ascii="Calibri" w:eastAsia="Times New Roman" w:hAnsi="Calibri" w:cs="Times New Roman"/>
                <w:color w:val="000000"/>
                <w:sz w:val="18"/>
                <w:szCs w:val="18"/>
                <w:lang w:eastAsia="en-CA"/>
              </w:rPr>
              <w:br/>
              <w:t>no PPI: 77</w:t>
            </w:r>
          </w:p>
        </w:tc>
        <w:tc>
          <w:tcPr>
            <w:tcW w:w="1134" w:type="dxa"/>
            <w:tcBorders>
              <w:top w:val="nil"/>
              <w:left w:val="nil"/>
              <w:bottom w:val="single" w:sz="4" w:space="0" w:color="808080"/>
              <w:right w:val="nil"/>
            </w:tcBorders>
            <w:shd w:val="clear" w:color="auto" w:fill="FFFFFF"/>
            <w:vAlign w:val="center"/>
            <w:hideMark/>
          </w:tcPr>
          <w:p w14:paraId="2A0ACA3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6BB6526E"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5EC47735" w14:textId="13C8D306"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{"citationItems":[{"id":"ITEM-1","itemData":{"ISSN":"1474-547X","abstract":"BACKGROUND: Proton-pump inhibitors (PPIs) are often prescribed in combination with thienopyridines. Conflicting data exist as to whether PPIs diminish the efficacy of clopidogrel. We assessed the association between PPI use, measures of platelet function, and clinical outcomes for patients treated with clopidogrel or prasugrel., METHODS: In the PRINCIPLE-TIMI 44 trial, the primary outcome was inhibition of platelet aggregation at 6 h assessed by light-transmission aggregometry. In the TRITON-TIMI 38 trial, the primary endpoint was the composite of cardiovascular death, myocardial infarction, or stroke. In both studies, PPI use was at physician's discretion. We used a multivariable Cox model with propensity score to assess the association of PPI use with clinical outcomes., FINDINGS: In the PRINCIPLE-TIMI 44 trial, 201 patients undergoing elective percutaneous coronary intervention were randomly assigned to prasugrel (n=102) or high-dose clopidogrel (n=99). Mean inhibition of platelet aggregation was significantly lower for patients on a PPI than for those not on a PPI at 6 h after a 600 mg clopidogrel loading dose (23.2+/-19.5% vs 35.2+/-20.9%, p=0.02), whereas a more modest difference was seen with and without a PPI after a 60 mg loading dose of prasugrel (69.6+/-13.5% vs 76.7+/-12.4%, p=0.054). In the TRITON-TIMI 38 trial, 13,608 patients with an acute coronary syndrome were randomly assigned to prasugrel (n=6813) or clopidogrel (n=6795). In this study, 33% (n=4529) of patients were on a PPI at randomisation. No association existed between PPI use and risk of the primary endpoint for patients treated with clopidogrel (adjusted hazard ratio [HR] 0.94, 95% CI 0.80-1.11) or prasugrel (1.00, 0.84-1.20)., INTERPRETATION: The current findings do not support the need to avoid concomitant use of PPIs, when clinically indicated, in patients receiving clopidogrel or prasugrel., FUNDING: Daiichi Sankyo Company Limited and Eli Lilly and Company sponsored the trials. This analysis had no funding.","author":[{"dropping-particle":"","family":"O'Donoghue","given":"Michelle L","non-dropping-particle":"","parse-names":false,"suffix":""},{"dropping-particle":"","family":"Braunwald","given":"Eugene","non-dropping-particle":"","parse-names":false,"suffix":""},{"dropping-particle":"","family":"Antman","given":"Elliott M","non-dropping-particle":"","parse-names":false,"suffix":""},{"dropping-particle":"","family":"Murphy","given":"Sabina A","non-dropping-particle":"","parse-names":false,"suffix":""},{"dropping-particle":"","family":"Bates","given":"Eric R","non-dropping-particle":"","parse-names":false,"suffix":""},{"dropping-particle":"","family":"Rozenman","given":"Yoseph","non-dropping-particle":"","parse-names":false,"suffix":""},{"dropping-particle":"","family":"Michelson","given":"Alan D","non-dropping-particle":"","parse-names":false,"suffix":""},{"dropping-particle":"","family":"Hautvast","given":"Raymond W","non-dropping-particle":"","parse-names":false,"suffix":""},{"dropping-particle":"","family":"Lee","given":"Peter N","non-dropping-particle":"Ver","parse-names":false,"suffix":""},{"dropping-particle":"","family":"Close","given":"Sandra L","non-dropping-particle":"","parse-names":false,"suffix":""},{"dropping-particle":"","family":"Shen","given":"Lei","non-dropping-particle":"","parse-names":false,"suffix":""},{"dropping-particle":"","family":"Mega","given":"Jessica L","non-dropping-particle":"","parse-names":false,"suffix":""},{"dropping-particle":"","family":"Sabatine","given":"Marc S","non-dropping-particle":"","parse-names":false,"suffix":""},{"dropping-particle":"","family":"Wiviott","given":"Stephen D","non-dropping-particle":"","parse-names":false,"suffix":""}],"container-title":"Lancet","id":"ITEM-1","issue":"9694","issued":{"date-parts":[["2009"]]},"note":"From Duplicate 1 (Pharmacodynamic effect and clinical efficacy of clopidogrel and prasugrel with or without a proton-pump inhibitor: an analysis of two randomised trials. - O'Donoghue, Michelle L; Braunwald, Eugene; Antman, Elliott M; Murphy, Sabina A; Bates, Eric R; Rozenman, Yoseph; Michelson, Alan D; Hautvast, Raymond W; Ver Lee, Peter N; Close, Sandra L; Shen, Lei; Mega, Jessica L; Sabatine, Marc S; Wiviott, Stephen D)\n\nComment in: Lancet. 2010 Jan 2;375(9708):28; author reply 28-9; PMID: 20109858, Comment in: Lancet. 2009 Sep 19;374(9694):952-4; PMID: 19726077, Comment in: Lancet. 2010 Jan 2;375(9708):27-8; author reply 28-9; PMID: 20109855\n\nFrom Duplicate 2 (Pharmacodynamic effect and clinical efficacy of clopidogrel and prasugrel with or without a proton-pump inhibitor: an analysis of two randomised trials. - O'Donoghue, Michelle L; Braunwald, Eugene; Antman, Elliott M; Murphy, Sabina A; Bates, Eric R; Rozenman, Yoseph; Michelson, Alan D; Hautvast, Raymond W; Ver Lee, Peter N; Close, Sandra L; Shen, Lei; Mega, Jessica L; Sabatine, Marc S; Wiviott, Stephen D)\n\nComment in: Lancet. 2009 Sep 19;374(9694):952-4; PMID: 19726077, Comment in: Lancet. 2010 Jan 2;375(9708):27-8; author reply 28-9; PMID: 20109855, Comment in: Lancet. 2010 Jan 2;375(9708):28; author reply 28-9; PMID: 20109858","page":"989-997","publisher":"O'Donoghue,Michelle L. TIMI Study Group, Brigham and Women's Hospital, Boston, MA 02115, USA. modonoghue@partners.org","publisher-place":"England","title":"Pharmacodynamic effect and clinical efficacy of clopidogrel and prasugrel with or without a proton-pump inhibitor: an analysis of two randomised trials.","type":"article-journal","volume":"374"},"uris":["http://www.mendeley.com/documents/?uuid=4c8ff788-289a-4c43-b36e-2a2df4412ead"]}],"mendeley":{"formattedCitation":"(O’Donoghue et al. 2009)","plainTextFormattedCitation":"(O’Donoghue et al. 2009)","previouslyFormattedCitation":"(O’Donoghue et al. 2009)"},"properties":{"noteIndex":0},"schema":"https://github.com/citation-style-language/schema/raw/master/csl-citation.json"}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(O’Donoghue et al. 2009)</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(30 countries)</w:t>
            </w:r>
          </w:p>
        </w:tc>
        <w:tc>
          <w:tcPr>
            <w:tcW w:w="1667" w:type="dxa"/>
            <w:tcBorders>
              <w:top w:val="nil"/>
              <w:left w:val="nil"/>
              <w:bottom w:val="single" w:sz="4" w:space="0" w:color="808080"/>
              <w:right w:val="nil"/>
            </w:tcBorders>
            <w:shd w:val="clear" w:color="auto" w:fill="FFFFFF"/>
            <w:vAlign w:val="center"/>
            <w:hideMark/>
          </w:tcPr>
          <w:p w14:paraId="321E140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Post-hoc analyses of RCT</w:t>
            </w:r>
            <w:r w:rsidRPr="005C4B89">
              <w:rPr>
                <w:rFonts w:ascii="Calibri" w:eastAsia="Times New Roman" w:hAnsi="Calibri" w:cs="Times New Roman"/>
                <w:color w:val="000000"/>
                <w:sz w:val="18"/>
                <w:szCs w:val="18"/>
                <w:lang w:eastAsia="en-CA"/>
              </w:rPr>
              <w:br/>
              <w:t>(hospitals)</w:t>
            </w:r>
          </w:p>
        </w:tc>
        <w:tc>
          <w:tcPr>
            <w:tcW w:w="1241" w:type="dxa"/>
            <w:tcBorders>
              <w:top w:val="nil"/>
              <w:left w:val="nil"/>
              <w:bottom w:val="single" w:sz="4" w:space="0" w:color="808080"/>
              <w:right w:val="nil"/>
            </w:tcBorders>
            <w:shd w:val="clear" w:color="auto" w:fill="FFFFFF"/>
            <w:vAlign w:val="center"/>
            <w:hideMark/>
          </w:tcPr>
          <w:p w14:paraId="46F3405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TRITON-Timi 38 trial (post-hoc)</w:t>
            </w:r>
          </w:p>
        </w:tc>
        <w:tc>
          <w:tcPr>
            <w:tcW w:w="993" w:type="dxa"/>
            <w:tcBorders>
              <w:top w:val="nil"/>
              <w:left w:val="nil"/>
              <w:bottom w:val="single" w:sz="4" w:space="0" w:color="808080"/>
              <w:right w:val="nil"/>
            </w:tcBorders>
            <w:shd w:val="clear" w:color="auto" w:fill="FFFFFF"/>
            <w:vAlign w:val="center"/>
            <w:hideMark/>
          </w:tcPr>
          <w:p w14:paraId="7CF7FD6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ACS with PCI</w:t>
            </w:r>
          </w:p>
        </w:tc>
        <w:tc>
          <w:tcPr>
            <w:tcW w:w="4003" w:type="dxa"/>
            <w:tcBorders>
              <w:top w:val="nil"/>
              <w:left w:val="nil"/>
              <w:bottom w:val="single" w:sz="4" w:space="0" w:color="808080"/>
              <w:right w:val="nil"/>
            </w:tcBorders>
            <w:shd w:val="clear" w:color="auto" w:fill="FFFFFF"/>
            <w:vAlign w:val="center"/>
            <w:hideMark/>
          </w:tcPr>
          <w:p w14:paraId="50C05FC8" w14:textId="2BEC7143"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ACS patients undergoing planned PCI</w:t>
            </w:r>
            <w:r w:rsidRPr="005C4B89">
              <w:rPr>
                <w:rFonts w:ascii="Calibri" w:eastAsia="Times New Roman" w:hAnsi="Calibri" w:cs="Times New Roman"/>
                <w:color w:val="000000"/>
                <w:sz w:val="18"/>
                <w:szCs w:val="18"/>
                <w:lang w:eastAsia="en-CA"/>
              </w:rPr>
              <w:br/>
              <w:t>- randomized to either prasugrel or clopidogrel</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high risk of bleeding</w:t>
            </w:r>
            <w:r w:rsidRPr="005C4B89">
              <w:rPr>
                <w:rFonts w:ascii="Calibri" w:eastAsia="Times New Roman" w:hAnsi="Calibri" w:cs="Times New Roman"/>
                <w:color w:val="000000"/>
                <w:sz w:val="18"/>
                <w:szCs w:val="18"/>
                <w:lang w:eastAsia="en-CA"/>
              </w:rPr>
              <w:br/>
              <w:t>- history of anemia, thrombocytopenia, pathological intracranial findings</w:t>
            </w:r>
            <w:r w:rsidRPr="005C4B89">
              <w:rPr>
                <w:rFonts w:ascii="Calibri" w:eastAsia="Times New Roman" w:hAnsi="Calibri" w:cs="Times New Roman"/>
                <w:color w:val="000000"/>
                <w:sz w:val="18"/>
                <w:szCs w:val="18"/>
                <w:lang w:eastAsia="en-CA"/>
              </w:rPr>
              <w:br/>
              <w:t>- use of thienopyridine within 5 days before randomization</w:t>
            </w:r>
          </w:p>
        </w:tc>
        <w:tc>
          <w:tcPr>
            <w:tcW w:w="1275" w:type="dxa"/>
            <w:tcBorders>
              <w:top w:val="nil"/>
              <w:left w:val="nil"/>
              <w:bottom w:val="single" w:sz="4" w:space="0" w:color="808080"/>
              <w:right w:val="nil"/>
            </w:tcBorders>
            <w:shd w:val="clear" w:color="auto" w:fill="FFFFFF"/>
            <w:vAlign w:val="center"/>
            <w:hideMark/>
          </w:tcPr>
          <w:p w14:paraId="7F276B1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4,529; No PPI: 9,079)</w:t>
            </w:r>
          </w:p>
        </w:tc>
        <w:tc>
          <w:tcPr>
            <w:tcW w:w="1276" w:type="dxa"/>
            <w:tcBorders>
              <w:top w:val="nil"/>
              <w:left w:val="nil"/>
              <w:bottom w:val="single" w:sz="4" w:space="0" w:color="808080"/>
              <w:right w:val="nil"/>
            </w:tcBorders>
            <w:shd w:val="clear" w:color="auto" w:fill="FFFFFF"/>
            <w:vAlign w:val="center"/>
            <w:hideMark/>
          </w:tcPr>
          <w:p w14:paraId="2643959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62</w:t>
            </w:r>
            <w:r w:rsidRPr="005C4B89">
              <w:rPr>
                <w:rFonts w:ascii="Calibri" w:eastAsia="Times New Roman" w:hAnsi="Calibri" w:cs="Times New Roman"/>
                <w:color w:val="000000"/>
                <w:sz w:val="18"/>
                <w:szCs w:val="18"/>
                <w:lang w:eastAsia="en-CA"/>
              </w:rPr>
              <w:br/>
              <w:t>no PPI: 61</w:t>
            </w:r>
          </w:p>
        </w:tc>
        <w:tc>
          <w:tcPr>
            <w:tcW w:w="1134" w:type="dxa"/>
            <w:tcBorders>
              <w:top w:val="nil"/>
              <w:left w:val="nil"/>
              <w:bottom w:val="single" w:sz="4" w:space="0" w:color="808080"/>
              <w:right w:val="nil"/>
            </w:tcBorders>
            <w:shd w:val="clear" w:color="auto" w:fill="FFFFFF"/>
            <w:vAlign w:val="center"/>
            <w:hideMark/>
          </w:tcPr>
          <w:p w14:paraId="09CD914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CP users:</w:t>
            </w:r>
            <w:r w:rsidRPr="005C4B89">
              <w:rPr>
                <w:rFonts w:ascii="Calibri" w:eastAsia="Times New Roman" w:hAnsi="Calibri" w:cs="Times New Roman"/>
                <w:color w:val="000000"/>
                <w:sz w:val="18"/>
                <w:szCs w:val="18"/>
                <w:lang w:eastAsia="en-CA"/>
              </w:rPr>
              <w:br/>
              <w:t>PPI: 70</w:t>
            </w:r>
            <w:r w:rsidRPr="005C4B89">
              <w:rPr>
                <w:rFonts w:ascii="Calibri" w:eastAsia="Times New Roman" w:hAnsi="Calibri" w:cs="Times New Roman"/>
                <w:color w:val="000000"/>
                <w:sz w:val="18"/>
                <w:szCs w:val="18"/>
                <w:lang w:eastAsia="en-CA"/>
              </w:rPr>
              <w:br/>
              <w:t>no PPI: 75</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br/>
              <w:t>Prasugrel users:</w:t>
            </w:r>
            <w:r w:rsidRPr="005C4B89">
              <w:rPr>
                <w:rFonts w:ascii="Calibri" w:eastAsia="Times New Roman" w:hAnsi="Calibri" w:cs="Times New Roman"/>
                <w:color w:val="000000"/>
                <w:sz w:val="18"/>
                <w:szCs w:val="18"/>
                <w:lang w:eastAsia="en-CA"/>
              </w:rPr>
              <w:br/>
              <w:t>PPI: 73</w:t>
            </w:r>
            <w:r w:rsidRPr="005C4B89">
              <w:rPr>
                <w:rFonts w:ascii="Calibri" w:eastAsia="Times New Roman" w:hAnsi="Calibri" w:cs="Times New Roman"/>
                <w:color w:val="000000"/>
                <w:sz w:val="18"/>
                <w:szCs w:val="18"/>
                <w:lang w:eastAsia="en-CA"/>
              </w:rPr>
              <w:br/>
              <w:t>no PPI 76;</w:t>
            </w:r>
          </w:p>
        </w:tc>
        <w:tc>
          <w:tcPr>
            <w:tcW w:w="1134" w:type="dxa"/>
            <w:tcBorders>
              <w:top w:val="nil"/>
              <w:left w:val="nil"/>
              <w:bottom w:val="single" w:sz="4" w:space="0" w:color="808080"/>
              <w:right w:val="nil"/>
            </w:tcBorders>
            <w:shd w:val="clear" w:color="auto" w:fill="FFFFFF"/>
            <w:vAlign w:val="center"/>
            <w:hideMark/>
          </w:tcPr>
          <w:p w14:paraId="2E4A193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32C8F1AA"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047B717F" w14:textId="42380F21"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{"citationItems":[{"id":"ITEM-1","itemData":{"ISBN":"1558-2027","ISSN":"1558-2035","abstract":"OBJECTIVES: We sought to compare the 1-year risk of re-hospitalization for acute coronary syndrome (ACS) between patients taking clopidogrel with proton pump inhibitors (PPIs) vs. clopidogrel without PPIs. MATERIALS AND METHODS: We conducted a retrospective cohort study among 3896 patients with ACS, at low risk for gastrointestinal bleeding, discharged from all hospitals of the Emilia-Romagna region of Italy during the period January-August 2008. Patients' consumption of clopidogrel and PPIs at hospital discharge and follow-up was based on pharmacy refill data. Of these 3896 patients, 90% (n=3519) were prescribed PPIs at hospital discharge and/or at some time during follow-up. RESULTS: At 1-year follow-up, hospitalization for ACS occurred in 15% of patients taking clopidogrel with PPIs vs. 3.4% of those taking clopidogrel without PPIs (P&lt;0.001). No difference in terms of all-cause mortality could be detected between the two groups. At multivariate regression analysis with PPI use as a time-varying covariate, periods of use of clopidogrel with PPIs were associated, at 1-year follow-up, with a significantly higher risk of hospitalization for ACS (hazard ratio 1.29, P=0.025). Notably, this event occurred mostly in patients who underwent revascularization during the index hospitalization (n=3045, hazard ratio 1.52, P=0.004). No significant effect of PPI prescription could be observed in terms of 1-year all-cause mortality and revascularization. CONCLUSION: This study suggests the hypothesis that a concomitant use of clopidogrel and PPIs in patients with ACS, at low risk for gastrointestinal bleeding, having mostly undergone coronary revascularization, is associated with an approximately 30% higher risk of nonfatal hospitalization for ACS. © 2012 Italian Federation of Cardiology.","author":[{"dropping-particle":"","family":"Ortolani","given":"Paolo","non-dropping-particle":"","parse-names":false,"suffix":""},{"dropping-particle":"","family":"Marino","given":"Massimiliano","non-dropping-particle":"","parse-names":false,"suffix":""},{"dropping-particle":"","family":"Marzocchi","given":"Antonio","non-dropping-particle":"","parse-names":false,"suffix":""},{"dropping-particle":"","family":"Palma","given":"Rossana","non-dropping-particle":"De","parse-names":false,"suffix":""},{"dropping-particle":"","family":"Branzi","given":"Angelo","non-dropping-particle":"","parse-names":false,"suffix":""}],"container-title":"Journal of cardiovascular medicine (Hagerstown, Md.)","id":"ITEM-1","issue":"12","issued":{"date-parts":[["2012"]]},"note":"422","page":"783-789","publisher":"Lippincott Williams and Wilkins (530 Walnut Street,P O Box 327, Philadelphia PA 19106-3621, United States)","publisher-place":"United States","title":"One-year clinical outcome in patients with acute coronary syndrome treated with concomitant use of clopidogrel and proton pump inhibitors: results from a regional cohort study.","type":"article-journal","volume":"13"},"uris":["http://www.mendeley.com/documents/?uuid=f8cd4866-4ce1-47a3-b04c-561100c103ee"]}],"mendeley":{"formattedCitation":"(Ortolani et al. 2012)","plainTextFormattedCitation":"(Ortolani et al. 2012)","previouslyFormattedCitation":"(Ortolani et al. 2012)"},"properties":{"noteIndex":0},"schema":"https://github.com/citation-style-language/schema/raw/master/csl-citation.json"}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(Ortolani et al. 2012)</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(Italy)</w:t>
            </w:r>
          </w:p>
        </w:tc>
        <w:tc>
          <w:tcPr>
            <w:tcW w:w="1667" w:type="dxa"/>
            <w:tcBorders>
              <w:top w:val="nil"/>
              <w:left w:val="nil"/>
              <w:bottom w:val="single" w:sz="4" w:space="0" w:color="808080"/>
              <w:right w:val="nil"/>
            </w:tcBorders>
            <w:shd w:val="clear" w:color="auto" w:fill="FFFFFF"/>
            <w:vAlign w:val="center"/>
            <w:hideMark/>
          </w:tcPr>
          <w:p w14:paraId="0EBDB76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analyses)</w:t>
            </w:r>
          </w:p>
        </w:tc>
        <w:tc>
          <w:tcPr>
            <w:tcW w:w="1241" w:type="dxa"/>
            <w:tcBorders>
              <w:top w:val="nil"/>
              <w:left w:val="nil"/>
              <w:bottom w:val="single" w:sz="4" w:space="0" w:color="808080"/>
              <w:right w:val="nil"/>
            </w:tcBorders>
            <w:shd w:val="clear" w:color="auto" w:fill="FFFFFF"/>
            <w:vAlign w:val="center"/>
            <w:hideMark/>
          </w:tcPr>
          <w:p w14:paraId="1F30DE7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FFFFFF"/>
            <w:vAlign w:val="center"/>
            <w:hideMark/>
          </w:tcPr>
          <w:p w14:paraId="30D2D64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ACS</w:t>
            </w:r>
          </w:p>
        </w:tc>
        <w:tc>
          <w:tcPr>
            <w:tcW w:w="4003" w:type="dxa"/>
            <w:tcBorders>
              <w:top w:val="nil"/>
              <w:left w:val="nil"/>
              <w:bottom w:val="single" w:sz="4" w:space="0" w:color="808080"/>
              <w:right w:val="nil"/>
            </w:tcBorders>
            <w:shd w:val="clear" w:color="auto" w:fill="FFFFFF"/>
            <w:vAlign w:val="center"/>
            <w:hideMark/>
          </w:tcPr>
          <w:p w14:paraId="2373C008" w14:textId="7F34E970"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primary discharge of ACS diagnosis from private and public hospitals between Jan 2008 - Aug 2008</w:t>
            </w:r>
            <w:r w:rsidRPr="005C4B89">
              <w:rPr>
                <w:rFonts w:ascii="Calibri" w:eastAsia="Times New Roman" w:hAnsi="Calibri" w:cs="Times New Roman"/>
                <w:color w:val="000000"/>
                <w:sz w:val="18"/>
                <w:szCs w:val="18"/>
                <w:lang w:eastAsia="en-CA"/>
              </w:rPr>
              <w:br/>
              <w:t>- filled prescription for clopidogrel within 30 days after discharge</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hospitalization more than 180 days</w:t>
            </w:r>
            <w:r w:rsidRPr="005C4B89">
              <w:rPr>
                <w:rFonts w:ascii="Calibri" w:eastAsia="Times New Roman" w:hAnsi="Calibri" w:cs="Times New Roman"/>
                <w:color w:val="000000"/>
                <w:sz w:val="18"/>
                <w:szCs w:val="18"/>
                <w:lang w:eastAsia="en-CA"/>
              </w:rPr>
              <w:br/>
              <w:t>- residence outside Emilia-Romagna region</w:t>
            </w:r>
            <w:r w:rsidRPr="005C4B89">
              <w:rPr>
                <w:rFonts w:ascii="Calibri" w:eastAsia="Times New Roman" w:hAnsi="Calibri" w:cs="Times New Roman"/>
                <w:color w:val="000000"/>
                <w:sz w:val="18"/>
                <w:szCs w:val="18"/>
                <w:lang w:eastAsia="en-CA"/>
              </w:rPr>
              <w:br/>
              <w:t>- prior diagnosis that increases hemorrhagic risk</w:t>
            </w:r>
          </w:p>
        </w:tc>
        <w:tc>
          <w:tcPr>
            <w:tcW w:w="1275" w:type="dxa"/>
            <w:tcBorders>
              <w:top w:val="nil"/>
              <w:left w:val="nil"/>
              <w:bottom w:val="single" w:sz="4" w:space="0" w:color="808080"/>
              <w:right w:val="nil"/>
            </w:tcBorders>
            <w:shd w:val="clear" w:color="auto" w:fill="FFFFFF"/>
            <w:vAlign w:val="center"/>
            <w:hideMark/>
          </w:tcPr>
          <w:p w14:paraId="2A9AC30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3,896</w:t>
            </w:r>
            <w:r w:rsidRPr="005C4B89">
              <w:rPr>
                <w:rFonts w:ascii="Calibri" w:eastAsia="Times New Roman" w:hAnsi="Calibri" w:cs="Times New Roman"/>
                <w:color w:val="000000"/>
                <w:sz w:val="18"/>
                <w:szCs w:val="18"/>
                <w:lang w:eastAsia="en-CA"/>
              </w:rPr>
              <w:br/>
              <w:t>(PPI: 3,519; No PPI: 377)</w:t>
            </w:r>
          </w:p>
        </w:tc>
        <w:tc>
          <w:tcPr>
            <w:tcW w:w="1276" w:type="dxa"/>
            <w:tcBorders>
              <w:top w:val="nil"/>
              <w:left w:val="nil"/>
              <w:bottom w:val="single" w:sz="4" w:space="0" w:color="808080"/>
              <w:right w:val="nil"/>
            </w:tcBorders>
            <w:shd w:val="clear" w:color="auto" w:fill="FFFFFF"/>
            <w:vAlign w:val="center"/>
            <w:hideMark/>
          </w:tcPr>
          <w:p w14:paraId="0E37DDE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69(12); no PPI: 63 (12)</w:t>
            </w:r>
          </w:p>
        </w:tc>
        <w:tc>
          <w:tcPr>
            <w:tcW w:w="1134" w:type="dxa"/>
            <w:tcBorders>
              <w:top w:val="nil"/>
              <w:left w:val="nil"/>
              <w:bottom w:val="single" w:sz="4" w:space="0" w:color="808080"/>
              <w:right w:val="nil"/>
            </w:tcBorders>
            <w:shd w:val="clear" w:color="auto" w:fill="FFFFFF"/>
            <w:noWrap/>
            <w:vAlign w:val="center"/>
            <w:hideMark/>
          </w:tcPr>
          <w:p w14:paraId="10478C0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69</w:t>
            </w:r>
            <w:r w:rsidRPr="005C4B89">
              <w:rPr>
                <w:rFonts w:ascii="Calibri" w:eastAsia="Times New Roman" w:hAnsi="Calibri" w:cs="Times New Roman"/>
                <w:color w:val="000000"/>
                <w:sz w:val="18"/>
                <w:szCs w:val="18"/>
                <w:lang w:eastAsia="en-CA"/>
              </w:rPr>
              <w:br/>
              <w:t>no PPI: 77</w:t>
            </w:r>
          </w:p>
        </w:tc>
        <w:tc>
          <w:tcPr>
            <w:tcW w:w="1134" w:type="dxa"/>
            <w:tcBorders>
              <w:top w:val="nil"/>
              <w:left w:val="nil"/>
              <w:bottom w:val="single" w:sz="4" w:space="0" w:color="808080"/>
              <w:right w:val="nil"/>
            </w:tcBorders>
            <w:shd w:val="clear" w:color="auto" w:fill="FFFFFF"/>
            <w:vAlign w:val="center"/>
            <w:hideMark/>
          </w:tcPr>
          <w:p w14:paraId="23D4B8F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1A465E61" w14:textId="77777777" w:rsidTr="002B686E">
        <w:trPr>
          <w:trHeight w:val="372"/>
        </w:trPr>
        <w:tc>
          <w:tcPr>
            <w:tcW w:w="1310" w:type="dxa"/>
            <w:tcBorders>
              <w:top w:val="nil"/>
              <w:left w:val="nil"/>
              <w:bottom w:val="single" w:sz="4" w:space="0" w:color="808080"/>
              <w:right w:val="nil"/>
            </w:tcBorders>
            <w:shd w:val="clear" w:color="auto" w:fill="FFFFFF"/>
            <w:vAlign w:val="center"/>
            <w:hideMark/>
          </w:tcPr>
          <w:p w14:paraId="765C1A11" w14:textId="42BE5F1A"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{"citationItems":[{"id":"ITEM-1","itemData":{"ISSN":"1524-4539","abstract":"BACKGROUND: Recent studies have raised concerns about the reduced efficacy of clopidogrel when used concurrently with proton pump inhibitors (PPIs), but those studies may have overestimated the risk., METHODS AND RESULTS: We studied the potential for increased risk of adverse cardiovascular events among users of clopidogrel with versus without concurrent use of PPIs in 3 large cohorts of patients &gt; or =65 years of age, treated between 2001 and 2005. All patients had undergone percutaneous coronary intervention or had been hospitalized for acute coronary syndrome in Pennsylvania, New Jersey, or British Columbia, and subsequently had initiated treatment with clopidogrel. We recorded myocardial infarction hospitalization, death, and revascularization among PPI users and nonusers. We assessed our primary end point of myocardial infarction hospitalization or death using cohort-specific and pooled regression analyses. We entered 18 565 clopidogrel users into our analysis. On a pooled basis, 2.6% of those who also initiated a PPI versus 2.1% of PPI nonusers had a myocardial infarction hospitalization; 1.5% versus 0.9% died; and 3.4% versus 3.1% underwent revascularization. The propensity score-adjusted rate ratio for the primary end point of myocardial infarction or death was 1.22 (95% confidence interval, 0.99 to 1.51); for death, 1.20 (95% confidence interval, 0.84 to 1.70); and for revascularization, 0.97 (95% confidence interval, 0.79 to 1.21). Matched analyses generally yielded similar results., CONCLUSIONS: Although point estimates indicated a slightly increased risk of myocardial infarction hospitalization or death in older patients initiating both clopidogrel and a PPI, we did not observe conclusive evidence of a clopidogrel-PPI interaction of major clinical relevance. Our data suggest that if this effect exists, it is unlikely to exceed a 20% risk increase.","author":[{"dropping-particle":"","family":"Rassen","given":"Jeremy A","non-dropping-particle":"","parse-names":false,"suffix":""},{"dropping-particle":"","family":"Choudhry","given":"Niteesh K","non-dropping-particle":"","parse-names":false,"suffix":""},{"dropping-particle":"","family":"Avorn","given":"Jerry","non-dropping-particle":"","parse-names":false,"suffix":""},{"dropping-particle":"","family":"Schneeweiss","given":"Sebastian","non-dropping-particle":"","parse-names":false,"suffix":""}],"container-title":"Circulation","id":"ITEM-1","issue":"23","issued":{"date-parts":[["2009"]]},"note":"778\n\nComment in: Circulation. 2010 Aug 3;122(5):e414; author reply e415; PMID: 20679578, Comment in: Circulation. 2009 Dec 8;120(23):2310-2; PMID: 19933929","page":"2322-2329","publisher":"Rassen,Jeremy A. Division of Pharmacoepidemiology and Pharmacoeconomics, Department of Medicine, Brigham and Women's Hospital, Harvard Medical School, 1620 Tremont Street, Boston, MA 02120, USA. jrassen@post.harvard.edu","publisher-place":"United States","title":"Cardiovascular outcomes and mortality in patients using clopidogrel with proton pump inhibitors after percutaneous coronary intervention or acute coronary syndrome.","type":"article-journal","volume":"120"},"uris":["http://www.mendeley.com/documents/?uuid=66bafee7-d23b-45d4-87f1-6a8c9d566f9c"]}],"mendeley":{"formattedCitation":"(Rassen et al. 2009)","plainTextFormattedCitation":"(Rassen et al. 2009)","previouslyFormattedCitation":"(Rassen et al. 2009)"},"properties":{"noteIndex":0},"schema":"https://github.com/citation-style-language/schema/raw/master/csl-citation.json"}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(Rassen et al. 2009)</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(USA and Canada)</w:t>
            </w:r>
          </w:p>
        </w:tc>
        <w:tc>
          <w:tcPr>
            <w:tcW w:w="1667" w:type="dxa"/>
            <w:tcBorders>
              <w:top w:val="nil"/>
              <w:left w:val="nil"/>
              <w:bottom w:val="single" w:sz="4" w:space="0" w:color="808080"/>
              <w:right w:val="nil"/>
            </w:tcBorders>
            <w:shd w:val="clear" w:color="auto" w:fill="FFFFFF"/>
            <w:vAlign w:val="center"/>
            <w:hideMark/>
          </w:tcPr>
          <w:p w14:paraId="4660FED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analysis, hospitals)</w:t>
            </w:r>
          </w:p>
        </w:tc>
        <w:tc>
          <w:tcPr>
            <w:tcW w:w="1241" w:type="dxa"/>
            <w:tcBorders>
              <w:top w:val="nil"/>
              <w:left w:val="nil"/>
              <w:bottom w:val="single" w:sz="4" w:space="0" w:color="808080"/>
              <w:right w:val="nil"/>
            </w:tcBorders>
            <w:shd w:val="clear" w:color="auto" w:fill="FFFFFF"/>
            <w:vAlign w:val="center"/>
            <w:hideMark/>
          </w:tcPr>
          <w:p w14:paraId="121CE03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PHARMNET (British Columbia), Pharmaceutical Assistance Contract for </w:t>
            </w:r>
            <w:r w:rsidRPr="005C4B89">
              <w:rPr>
                <w:rFonts w:ascii="Calibri" w:eastAsia="Times New Roman" w:hAnsi="Calibri" w:cs="Times New Roman"/>
                <w:color w:val="000000"/>
                <w:sz w:val="18"/>
                <w:szCs w:val="18"/>
                <w:lang w:eastAsia="en-CA"/>
              </w:rPr>
              <w:lastRenderedPageBreak/>
              <w:t>the Elderly (Pennsylvania), Pharmaceutical Assistance to the Aged and Disabled (New Jersey)</w:t>
            </w:r>
          </w:p>
        </w:tc>
        <w:tc>
          <w:tcPr>
            <w:tcW w:w="993" w:type="dxa"/>
            <w:tcBorders>
              <w:top w:val="nil"/>
              <w:left w:val="nil"/>
              <w:bottom w:val="single" w:sz="4" w:space="0" w:color="808080"/>
              <w:right w:val="nil"/>
            </w:tcBorders>
            <w:shd w:val="clear" w:color="auto" w:fill="FFFFFF"/>
            <w:vAlign w:val="center"/>
            <w:hideMark/>
          </w:tcPr>
          <w:p w14:paraId="78D23F3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ACS or PCI</w:t>
            </w:r>
          </w:p>
        </w:tc>
        <w:tc>
          <w:tcPr>
            <w:tcW w:w="4003" w:type="dxa"/>
            <w:tcBorders>
              <w:top w:val="nil"/>
              <w:left w:val="nil"/>
              <w:bottom w:val="single" w:sz="4" w:space="0" w:color="808080"/>
              <w:right w:val="nil"/>
            </w:tcBorders>
            <w:shd w:val="clear" w:color="auto" w:fill="FFFFFF"/>
            <w:vAlign w:val="center"/>
            <w:hideMark/>
          </w:tcPr>
          <w:p w14:paraId="34D1469A" w14:textId="3B63D025"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≥65 years</w:t>
            </w:r>
            <w:r w:rsidRPr="005C4B89">
              <w:rPr>
                <w:rFonts w:ascii="Calibri" w:eastAsia="Times New Roman" w:hAnsi="Calibri" w:cs="Times New Roman"/>
                <w:color w:val="000000"/>
                <w:sz w:val="18"/>
                <w:szCs w:val="18"/>
                <w:lang w:eastAsia="en-CA"/>
              </w:rPr>
              <w:br/>
              <w:t xml:space="preserve">-underwent PCI or hospitalized for ACS (AMI or unstable angina) in British Columbia, Pennsylvania or New Jersey between Jan 2001-Dec 2005, </w:t>
            </w:r>
            <w:r w:rsidRPr="005C4B89">
              <w:rPr>
                <w:rFonts w:ascii="Calibri" w:eastAsia="Times New Roman" w:hAnsi="Calibri" w:cs="Times New Roman"/>
                <w:color w:val="000000"/>
                <w:sz w:val="18"/>
                <w:szCs w:val="18"/>
                <w:lang w:eastAsia="en-CA"/>
              </w:rPr>
              <w:br/>
              <w:t>- hospitalization was between 3-180 days</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lastRenderedPageBreak/>
              <w:t>- initiated clopidogrel within 7 days of index date</w:t>
            </w:r>
            <w:r w:rsidRPr="005C4B89">
              <w:rPr>
                <w:rFonts w:ascii="Calibri" w:eastAsia="Times New Roman" w:hAnsi="Calibri" w:cs="Times New Roman"/>
                <w:color w:val="000000"/>
                <w:sz w:val="18"/>
                <w:szCs w:val="18"/>
                <w:lang w:eastAsia="en-CA"/>
              </w:rPr>
              <w:br/>
              <w:t xml:space="preserve">- no clopidogrel use in 180 days before index, </w:t>
            </w:r>
            <w:r w:rsidRPr="005C4B89">
              <w:rPr>
                <w:rFonts w:ascii="Calibri" w:eastAsia="Times New Roman" w:hAnsi="Calibri" w:cs="Times New Roman"/>
                <w:color w:val="000000"/>
                <w:sz w:val="18"/>
                <w:szCs w:val="18"/>
                <w:lang w:eastAsia="en-CA"/>
              </w:rPr>
              <w:br/>
              <w:t>- at least 1 medical service and filled at least 1 prescription in each of the two 6 months periods preceding the index event.</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br/>
            </w:r>
          </w:p>
        </w:tc>
        <w:tc>
          <w:tcPr>
            <w:tcW w:w="1275" w:type="dxa"/>
            <w:tcBorders>
              <w:top w:val="nil"/>
              <w:left w:val="nil"/>
              <w:bottom w:val="single" w:sz="4" w:space="0" w:color="808080"/>
              <w:right w:val="nil"/>
            </w:tcBorders>
            <w:shd w:val="clear" w:color="auto" w:fill="FFFFFF"/>
            <w:vAlign w:val="center"/>
            <w:hideMark/>
          </w:tcPr>
          <w:p w14:paraId="5B8E5F6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BC: 10,391</w:t>
            </w:r>
            <w:r w:rsidRPr="005C4B89">
              <w:rPr>
                <w:rFonts w:ascii="Calibri" w:eastAsia="Times New Roman" w:hAnsi="Calibri" w:cs="Times New Roman"/>
                <w:color w:val="000000"/>
                <w:sz w:val="18"/>
                <w:szCs w:val="18"/>
                <w:lang w:eastAsia="en-CA"/>
              </w:rPr>
              <w:br/>
              <w:t>(PPI: 1,353; No PPI: 9,038)</w:t>
            </w:r>
            <w:r w:rsidRPr="005C4B89">
              <w:rPr>
                <w:rFonts w:ascii="Calibri" w:eastAsia="Times New Roman" w:hAnsi="Calibri" w:cs="Times New Roman"/>
                <w:color w:val="000000"/>
                <w:sz w:val="18"/>
                <w:szCs w:val="18"/>
                <w:lang w:eastAsia="en-CA"/>
              </w:rPr>
              <w:br/>
              <w:t>PA 4,176</w:t>
            </w:r>
            <w:r w:rsidRPr="005C4B89">
              <w:rPr>
                <w:rFonts w:ascii="Calibri" w:eastAsia="Times New Roman" w:hAnsi="Calibri" w:cs="Times New Roman"/>
                <w:color w:val="000000"/>
                <w:sz w:val="18"/>
                <w:szCs w:val="18"/>
                <w:lang w:eastAsia="en-CA"/>
              </w:rPr>
              <w:br/>
              <w:t>(PPI: 1,352; No PPI: 2,824)</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lastRenderedPageBreak/>
              <w:t>NJ 3,998</w:t>
            </w:r>
            <w:r w:rsidRPr="005C4B89">
              <w:rPr>
                <w:rFonts w:ascii="Calibri" w:eastAsia="Times New Roman" w:hAnsi="Calibri" w:cs="Times New Roman"/>
                <w:color w:val="000000"/>
                <w:sz w:val="18"/>
                <w:szCs w:val="18"/>
                <w:lang w:eastAsia="en-CA"/>
              </w:rPr>
              <w:br/>
              <w:t>(PPI: 1,291; No PPI: 2,707)</w:t>
            </w:r>
          </w:p>
        </w:tc>
        <w:tc>
          <w:tcPr>
            <w:tcW w:w="1276" w:type="dxa"/>
            <w:tcBorders>
              <w:top w:val="nil"/>
              <w:left w:val="nil"/>
              <w:bottom w:val="single" w:sz="4" w:space="0" w:color="808080"/>
              <w:right w:val="nil"/>
            </w:tcBorders>
            <w:shd w:val="clear" w:color="auto" w:fill="FFFFFF"/>
            <w:vAlign w:val="center"/>
            <w:hideMark/>
          </w:tcPr>
          <w:p w14:paraId="7FEDF97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BC cohort</w:t>
            </w:r>
            <w:r w:rsidRPr="005C4B89">
              <w:rPr>
                <w:rFonts w:ascii="Calibri" w:eastAsia="Times New Roman" w:hAnsi="Calibri" w:cs="Times New Roman"/>
                <w:color w:val="000000"/>
                <w:sz w:val="18"/>
                <w:szCs w:val="18"/>
                <w:lang w:eastAsia="en-CA"/>
              </w:rPr>
              <w:br/>
              <w:t>PPI: 76 (7)</w:t>
            </w:r>
            <w:r w:rsidRPr="005C4B89">
              <w:rPr>
                <w:rFonts w:ascii="Calibri" w:eastAsia="Times New Roman" w:hAnsi="Calibri" w:cs="Times New Roman"/>
                <w:color w:val="000000"/>
                <w:sz w:val="18"/>
                <w:szCs w:val="18"/>
                <w:lang w:eastAsia="en-CA"/>
              </w:rPr>
              <w:br/>
              <w:t>no PPI: 74 (6)</w:t>
            </w:r>
            <w:r w:rsidRPr="005C4B89">
              <w:rPr>
                <w:rFonts w:ascii="Calibri" w:eastAsia="Times New Roman" w:hAnsi="Calibri" w:cs="Times New Roman"/>
                <w:color w:val="000000"/>
                <w:sz w:val="18"/>
                <w:szCs w:val="18"/>
                <w:lang w:eastAsia="en-CA"/>
              </w:rPr>
              <w:br/>
              <w:t>PA cohort</w:t>
            </w:r>
            <w:r w:rsidRPr="005C4B89">
              <w:rPr>
                <w:rFonts w:ascii="Calibri" w:eastAsia="Times New Roman" w:hAnsi="Calibri" w:cs="Times New Roman"/>
                <w:color w:val="000000"/>
                <w:sz w:val="18"/>
                <w:szCs w:val="18"/>
                <w:lang w:eastAsia="en-CA"/>
              </w:rPr>
              <w:br/>
              <w:t>PPI: 79 (7)</w:t>
            </w:r>
            <w:r w:rsidRPr="005C4B89">
              <w:rPr>
                <w:rFonts w:ascii="Calibri" w:eastAsia="Times New Roman" w:hAnsi="Calibri" w:cs="Times New Roman"/>
                <w:color w:val="000000"/>
                <w:sz w:val="18"/>
                <w:szCs w:val="18"/>
                <w:lang w:eastAsia="en-CA"/>
              </w:rPr>
              <w:br/>
              <w:t>no PPI: 78 (7)</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lastRenderedPageBreak/>
              <w:t>NJ cohort</w:t>
            </w:r>
            <w:r w:rsidRPr="005C4B89">
              <w:rPr>
                <w:rFonts w:ascii="Calibri" w:eastAsia="Times New Roman" w:hAnsi="Calibri" w:cs="Times New Roman"/>
                <w:color w:val="000000"/>
                <w:sz w:val="18"/>
                <w:szCs w:val="18"/>
                <w:lang w:eastAsia="en-CA"/>
              </w:rPr>
              <w:br/>
              <w:t>PPI: 78 (7)</w:t>
            </w:r>
            <w:r w:rsidRPr="005C4B89">
              <w:rPr>
                <w:rFonts w:ascii="Calibri" w:eastAsia="Times New Roman" w:hAnsi="Calibri" w:cs="Times New Roman"/>
                <w:color w:val="000000"/>
                <w:sz w:val="18"/>
                <w:szCs w:val="18"/>
                <w:lang w:eastAsia="en-CA"/>
              </w:rPr>
              <w:br/>
              <w:t>no PPI: 78 (7)</w:t>
            </w:r>
          </w:p>
        </w:tc>
        <w:tc>
          <w:tcPr>
            <w:tcW w:w="1134" w:type="dxa"/>
            <w:tcBorders>
              <w:top w:val="nil"/>
              <w:left w:val="nil"/>
              <w:bottom w:val="single" w:sz="4" w:space="0" w:color="808080"/>
              <w:right w:val="nil"/>
            </w:tcBorders>
            <w:shd w:val="clear" w:color="auto" w:fill="FFFFFF"/>
            <w:vAlign w:val="center"/>
            <w:hideMark/>
          </w:tcPr>
          <w:p w14:paraId="6788DD7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BC cohort</w:t>
            </w:r>
            <w:r w:rsidRPr="005C4B89">
              <w:rPr>
                <w:rFonts w:ascii="Calibri" w:eastAsia="Times New Roman" w:hAnsi="Calibri" w:cs="Times New Roman"/>
                <w:color w:val="000000"/>
                <w:sz w:val="18"/>
                <w:szCs w:val="18"/>
                <w:lang w:eastAsia="en-CA"/>
              </w:rPr>
              <w:br/>
              <w:t>PPI: 54</w:t>
            </w:r>
            <w:r w:rsidRPr="005C4B89">
              <w:rPr>
                <w:rFonts w:ascii="Calibri" w:eastAsia="Times New Roman" w:hAnsi="Calibri" w:cs="Times New Roman"/>
                <w:color w:val="000000"/>
                <w:sz w:val="18"/>
                <w:szCs w:val="18"/>
                <w:lang w:eastAsia="en-CA"/>
              </w:rPr>
              <w:br/>
              <w:t>no PPI: 64</w:t>
            </w:r>
            <w:r w:rsidRPr="005C4B89">
              <w:rPr>
                <w:rFonts w:ascii="Calibri" w:eastAsia="Times New Roman" w:hAnsi="Calibri" w:cs="Times New Roman"/>
                <w:color w:val="000000"/>
                <w:sz w:val="18"/>
                <w:szCs w:val="18"/>
                <w:lang w:eastAsia="en-CA"/>
              </w:rPr>
              <w:br/>
              <w:t>PA cohort</w:t>
            </w:r>
            <w:r w:rsidRPr="005C4B89">
              <w:rPr>
                <w:rFonts w:ascii="Calibri" w:eastAsia="Times New Roman" w:hAnsi="Calibri" w:cs="Times New Roman"/>
                <w:color w:val="000000"/>
                <w:sz w:val="18"/>
                <w:szCs w:val="18"/>
                <w:lang w:eastAsia="en-CA"/>
              </w:rPr>
              <w:br/>
              <w:t>PPI:  22</w:t>
            </w:r>
            <w:r w:rsidRPr="005C4B89">
              <w:rPr>
                <w:rFonts w:ascii="Calibri" w:eastAsia="Times New Roman" w:hAnsi="Calibri" w:cs="Times New Roman"/>
                <w:color w:val="000000"/>
                <w:sz w:val="18"/>
                <w:szCs w:val="18"/>
                <w:lang w:eastAsia="en-CA"/>
              </w:rPr>
              <w:br/>
              <w:t>no PPI: 27</w:t>
            </w:r>
            <w:r w:rsidRPr="005C4B89">
              <w:rPr>
                <w:rFonts w:ascii="Calibri" w:eastAsia="Times New Roman" w:hAnsi="Calibri" w:cs="Times New Roman"/>
                <w:color w:val="000000"/>
                <w:sz w:val="18"/>
                <w:szCs w:val="18"/>
                <w:lang w:eastAsia="en-CA"/>
              </w:rPr>
              <w:br/>
            </w:r>
            <w:r w:rsidRPr="005C4B89">
              <w:rPr>
                <w:rFonts w:ascii="Calibri" w:eastAsia="Times New Roman" w:hAnsi="Calibri" w:cs="Times New Roman"/>
                <w:color w:val="000000"/>
                <w:sz w:val="18"/>
                <w:szCs w:val="18"/>
                <w:lang w:eastAsia="en-CA"/>
              </w:rPr>
              <w:lastRenderedPageBreak/>
              <w:t>NJ cohort</w:t>
            </w:r>
            <w:r w:rsidRPr="005C4B89">
              <w:rPr>
                <w:rFonts w:ascii="Calibri" w:eastAsia="Times New Roman" w:hAnsi="Calibri" w:cs="Times New Roman"/>
                <w:color w:val="000000"/>
                <w:sz w:val="18"/>
                <w:szCs w:val="18"/>
                <w:lang w:eastAsia="en-CA"/>
              </w:rPr>
              <w:br/>
              <w:t>PPI: 31</w:t>
            </w:r>
            <w:r w:rsidRPr="005C4B89">
              <w:rPr>
                <w:rFonts w:ascii="Calibri" w:eastAsia="Times New Roman" w:hAnsi="Calibri" w:cs="Times New Roman"/>
                <w:color w:val="000000"/>
                <w:sz w:val="18"/>
                <w:szCs w:val="18"/>
                <w:lang w:eastAsia="en-CA"/>
              </w:rPr>
              <w:br/>
              <w:t>no PPI: 36</w:t>
            </w:r>
          </w:p>
        </w:tc>
        <w:tc>
          <w:tcPr>
            <w:tcW w:w="1134" w:type="dxa"/>
            <w:tcBorders>
              <w:top w:val="nil"/>
              <w:left w:val="nil"/>
              <w:bottom w:val="single" w:sz="4" w:space="0" w:color="808080"/>
              <w:right w:val="nil"/>
            </w:tcBorders>
            <w:shd w:val="clear" w:color="auto" w:fill="FFFFFF"/>
            <w:vAlign w:val="center"/>
            <w:hideMark/>
          </w:tcPr>
          <w:p w14:paraId="08A4185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Caucasian, Other</w:t>
            </w:r>
            <w:r w:rsidRPr="005C4B89">
              <w:rPr>
                <w:rFonts w:ascii="Calibri" w:eastAsia="Times New Roman" w:hAnsi="Calibri" w:cs="Times New Roman"/>
                <w:color w:val="000000"/>
                <w:sz w:val="18"/>
                <w:szCs w:val="18"/>
                <w:lang w:eastAsia="en-CA"/>
              </w:rPr>
              <w:br/>
              <w:t xml:space="preserve">(US cohort: Caucasians and others; BC cohort: </w:t>
            </w:r>
            <w:r w:rsidRPr="005C4B89">
              <w:rPr>
                <w:rFonts w:ascii="Calibri" w:eastAsia="Times New Roman" w:hAnsi="Calibri" w:cs="Times New Roman"/>
                <w:color w:val="000000"/>
                <w:sz w:val="18"/>
                <w:szCs w:val="18"/>
                <w:lang w:eastAsia="en-CA"/>
              </w:rPr>
              <w:lastRenderedPageBreak/>
              <w:t>not reported)</w:t>
            </w:r>
          </w:p>
        </w:tc>
      </w:tr>
      <w:tr w:rsidR="009462F4" w:rsidRPr="005C4B89" w14:paraId="4649F65F"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7A01FF92" w14:textId="47CC3A30"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fldChar w:fldCharType="begin" w:fldLock="1"/>
            </w:r>
            <w:r w:rsidR="00D325C7">
              <w:rPr>
                <w:rFonts w:ascii="Calibri" w:eastAsia="Times New Roman" w:hAnsi="Calibri" w:cs="Times New Roman"/>
                <w:color w:val="000000"/>
                <w:sz w:val="18"/>
                <w:szCs w:val="18"/>
                <w:lang w:eastAsia="en-CA"/>
              </w:rPr>
              <w:instrText>ADDIN CSL_CITATION {"citationItems":[{"id":"ITEM-1","itemData":{"ISBN":"0003-4819","ISSN":"1539-3704","abstract":"Background: Proton-pump inhibitors (PPIs) and clopidogrel are frequently coprescribed, although the benefits and harms of their concurrent use are unclear. Objective: To examine the association between concurrent use of PPIs and clopidogrel and the risks for hospitalizations for gastroduodenal bleeding and serious cardiovascular disease. Design: Retrospective cohort study using automated data to identify patients who received clopidogrel between 1999 through 2005 after hospitalization for coronary heart disease. Setting: Tennessee Medicaid program. Patients: 20 596 patients (including 7593 concurrent users of clopidogrel and PPIs) hospitalized for myocardial infarction, coronary artery revascularization, or unstable angina pectoris. Measurements: Baseline and follow-up drug use was assessed from automated records of dispensed prescriptions. Primary outcomes were hospitalizations for gastroduodenal bleeding and serious cardiovascular disease (fatal or nonfatal myocardial infarction or sudden cardiac death, stroke, or other cardiovascular death). Results: Pantoprazole and omeprazole accounted for 62% and 9% of concurrent PPI use, respectively. Adjusted incidence of hospitalization for gastroduodenal bleeding in concurrent PPI users was 50% lower than that in nonusers (hazard ratio, 0.50 [95% CI, 0.39 to 0.65]). For patients at highest risk for bleeding, PPI use was associated with an absolute reduction of 28.5 (CI, 11.7 to 36.9) hospitalizations for gastroduodenal bleeding per 1000 person-years. The hazard ratio associated with concurrent PPI use for risk for serious cardiovascular disease was 0.99 (CI, 0.82 to 1.19) for the entire cohort and 1.01 (CI, 0.76 to 1.34) for the subgroup of patients who had percutaneous coronary interventions with stenting during the qualifying hospitalization. Limitations: Unmeasured confounding and misclassification of exposure (no information on adherence or over-the-counter use of drugs) and end points (not confirmed by medical record review) were possible. Because many patients entered the cohort from hospitals with relatively few cohort members, the analysis relied on the assumption that after adjustment for observed covariates, PPI users from one such hospital could be compared with nonusers from a different hospital. Conclusion: In patients with serious coronary heart disease treated with clopidogrel, concurrent PPI use was associated with reduced incidence of hospitalizations for gastroduodenal bleeding. The correspon…","author":[{"dropping-particle":"","family":"Ray","given":"Wayne A","non-dropping-particle":"","parse-names":false,"suffix":""},{"dropping-particle":"","family":"Murray","given":"Katherine T","non-dropping-particle":"","parse-names":false,"suffix":""},{"dropping-particle":"","family":"Griffin","given":"Marie R","non-dropping-particle":"","parse-names":false,"suffix":""},{"dropping-particle":"","family":"Chung","given":"Cecilia P","non-dropping-particle":"","parse-names":false,"suffix":""},{"dropping-particle":"","family":"Smalley","given":"Walter E","non-dropping-particle":"","parse-names":false,"suffix":""},{"dropping-particle":"","family":"Hall","given":"Kathi","non-dropping-particle":"","parse-names":false,"suffix":""},{"dropping-particle":"","family":"Daugherty","given":"James R","non-dropping-particle":"","parse-names":false,"suffix":""},{"dropping-particle":"","family":"Kaltenbach","given":"Lisa A","non-dropping-particle":"","parse-names":false,"suffix":""},{"dropping-particle":"","family":"Stein","given":"C Michael","non-dropping-particle":"","parse-names":false,"suffix":""}],"container-title":"Annals of Internal Medicine","id":"ITEM-1","issue":"6","issued":{"date-parts":[["2010"]]},"note":"676\nFrom Duplicate 2 (Outcomes with concurrent use of clopidogrel and proton-pump inhibitors: a cohort study. - Ray, Wayne A; Murray, Katherine T; Griffin, Marie R; Chung, Cecilia P; Smalley, Walter E; Hall, Kathi; Daugherty, James R; Kaltenbach, Lisa A; Stein, C Michael)\n\nComment in: Ann Intern Med. 2010 Mar 16;152(6):393-5; PMID: 20231571","page":"337-345","publisher":"American College of Physicians (190 N. Indenpence Mall West, Philadelphia PA 19106-1572, United States)","publisher-place":"W. A. Ray, Vanderbilt University School of Medicine, Department of Preventive Medicine, 1500 21st Avenue, 2600 Village at Vanderbilt, Nashville, TN 37212, United States. E-mail: Wayne.Ray@vanderbilt.edu","title":"Outcomes with concurrent use of clopidogrel and proton-pump inhibitors: A cohort study","type":"article-journal","volume":"152"},"uris":["http://www.mendeley.com/documents/?uuid=3e366836-7ecc-4761-9369-57207ff5de1e"]}],"mendeley":{"formattedCitation":"(Ray et al. 2010)","plainTextFormattedCitation":"(Ray et al. 2010)","previouslyFormattedCitation":"(Ray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(Ray et al.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t xml:space="preserve"> </w:t>
            </w:r>
            <w:r w:rsidRPr="005C4B89">
              <w:rPr>
                <w:rFonts w:ascii="Calibri" w:eastAsia="Times New Roman" w:hAnsi="Calibri" w:cs="Times New Roman"/>
                <w:color w:val="000000"/>
                <w:sz w:val="18"/>
                <w:szCs w:val="18"/>
                <w:lang w:eastAsia="en-CA"/>
              </w:rPr>
              <w:br/>
              <w:t>(US)</w:t>
            </w:r>
          </w:p>
        </w:tc>
        <w:tc>
          <w:tcPr>
            <w:tcW w:w="1667" w:type="dxa"/>
            <w:tcBorders>
              <w:top w:val="nil"/>
              <w:left w:val="nil"/>
              <w:bottom w:val="single" w:sz="4" w:space="0" w:color="808080"/>
              <w:right w:val="nil"/>
            </w:tcBorders>
            <w:shd w:val="clear" w:color="auto" w:fill="FFFFFF"/>
            <w:vAlign w:val="center"/>
            <w:hideMark/>
          </w:tcPr>
          <w:p w14:paraId="39B66F0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analysis, hospitals ( multiple centers))</w:t>
            </w:r>
          </w:p>
        </w:tc>
        <w:tc>
          <w:tcPr>
            <w:tcW w:w="1241" w:type="dxa"/>
            <w:tcBorders>
              <w:top w:val="nil"/>
              <w:left w:val="nil"/>
              <w:bottom w:val="single" w:sz="4" w:space="0" w:color="808080"/>
              <w:right w:val="nil"/>
            </w:tcBorders>
            <w:shd w:val="clear" w:color="auto" w:fill="FFFFFF"/>
            <w:vAlign w:val="center"/>
            <w:hideMark/>
          </w:tcPr>
          <w:p w14:paraId="26CE94C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Tennessee Medicaid program</w:t>
            </w:r>
          </w:p>
        </w:tc>
        <w:tc>
          <w:tcPr>
            <w:tcW w:w="993" w:type="dxa"/>
            <w:tcBorders>
              <w:top w:val="nil"/>
              <w:left w:val="nil"/>
              <w:bottom w:val="single" w:sz="4" w:space="0" w:color="808080"/>
              <w:right w:val="nil"/>
            </w:tcBorders>
            <w:shd w:val="clear" w:color="auto" w:fill="FFFFFF"/>
            <w:vAlign w:val="center"/>
            <w:hideMark/>
          </w:tcPr>
          <w:p w14:paraId="5E2F187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ACS</w:t>
            </w:r>
          </w:p>
        </w:tc>
        <w:tc>
          <w:tcPr>
            <w:tcW w:w="4003" w:type="dxa"/>
            <w:tcBorders>
              <w:top w:val="nil"/>
              <w:left w:val="nil"/>
              <w:bottom w:val="single" w:sz="4" w:space="0" w:color="808080"/>
              <w:right w:val="nil"/>
            </w:tcBorders>
            <w:shd w:val="clear" w:color="auto" w:fill="FFFFFF"/>
            <w:vAlign w:val="center"/>
            <w:hideMark/>
          </w:tcPr>
          <w:p w14:paraId="4FCB976D" w14:textId="4191BF3A"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hospitalized for AMI, coronary artery revascularization, or unstable angina</w:t>
            </w:r>
            <w:r w:rsidRPr="005C4B89">
              <w:rPr>
                <w:rFonts w:ascii="Calibri" w:eastAsia="Times New Roman" w:hAnsi="Calibri" w:cs="Times New Roman"/>
                <w:color w:val="000000"/>
                <w:sz w:val="18"/>
                <w:szCs w:val="18"/>
                <w:lang w:eastAsia="en-CA"/>
              </w:rPr>
              <w:br/>
              <w:t>- prescribed clopidogrel between Jan 1999-Dec 2005</w:t>
            </w:r>
            <w:r w:rsidRPr="005C4B89">
              <w:rPr>
                <w:rFonts w:ascii="Calibri" w:eastAsia="Times New Roman" w:hAnsi="Calibri" w:cs="Times New Roman"/>
                <w:color w:val="000000"/>
                <w:sz w:val="18"/>
                <w:szCs w:val="18"/>
                <w:lang w:eastAsia="en-CA"/>
              </w:rPr>
              <w:br/>
              <w:t>- enrolled in Medicaid</w:t>
            </w:r>
            <w:r w:rsidRPr="005C4B89">
              <w:rPr>
                <w:rFonts w:ascii="Calibri" w:eastAsia="Times New Roman" w:hAnsi="Calibri" w:cs="Times New Roman"/>
                <w:color w:val="000000"/>
                <w:sz w:val="18"/>
                <w:szCs w:val="18"/>
                <w:lang w:eastAsia="en-CA"/>
              </w:rPr>
              <w:br/>
              <w:t>-  ≥30 years</w:t>
            </w:r>
            <w:r w:rsidRPr="005C4B89">
              <w:rPr>
                <w:rFonts w:ascii="Calibri" w:eastAsia="Times New Roman" w:hAnsi="Calibri" w:cs="Times New Roman"/>
                <w:color w:val="000000"/>
                <w:sz w:val="18"/>
                <w:szCs w:val="18"/>
                <w:lang w:eastAsia="en-CA"/>
              </w:rPr>
              <w:br/>
              <w:t>- on clopidogrel for at least 1 day during study period</w:t>
            </w:r>
            <w:r w:rsidRPr="005C4B89">
              <w:rPr>
                <w:rFonts w:ascii="Calibri" w:eastAsia="Times New Roman" w:hAnsi="Calibri" w:cs="Times New Roman"/>
                <w:color w:val="000000"/>
                <w:sz w:val="18"/>
                <w:szCs w:val="18"/>
                <w:lang w:eastAsia="en-CA"/>
              </w:rPr>
              <w:br/>
              <w:t>- 1 year or more Medicaid enrolment prior to index hospitalization</w:t>
            </w:r>
            <w:r w:rsidRPr="005C4B89">
              <w:rPr>
                <w:rFonts w:ascii="Calibri" w:eastAsia="Times New Roman" w:hAnsi="Calibri" w:cs="Times New Roman"/>
                <w:color w:val="000000"/>
                <w:sz w:val="18"/>
                <w:szCs w:val="18"/>
                <w:lang w:eastAsia="en-CA"/>
              </w:rPr>
              <w:br/>
              <w:t>- available data to classify patients</w:t>
            </w:r>
            <w:r w:rsidRPr="005C4B89">
              <w:rPr>
                <w:rFonts w:ascii="Calibri" w:eastAsia="Times New Roman" w:hAnsi="Calibri" w:cs="Times New Roman"/>
                <w:color w:val="000000"/>
                <w:sz w:val="18"/>
                <w:szCs w:val="18"/>
                <w:lang w:eastAsia="en-CA"/>
              </w:rPr>
              <w:br/>
              <w:t>- evidence of regular medical care during the 1 year preceding index hospitalization, defined as at least 1 prescription or outpatient visit</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diagnosed cocaine use, alcohol abuse, cancer, HIV, renal, hepatic or respiratory failure, organ transplant, liver cirrhosis, esophageal varices, bariatric or other surgery resulting in gastrojejunal anastomosis</w:t>
            </w:r>
            <w:r w:rsidRPr="005C4B89">
              <w:rPr>
                <w:rFonts w:ascii="Calibri" w:eastAsia="Times New Roman" w:hAnsi="Calibri" w:cs="Times New Roman"/>
                <w:color w:val="000000"/>
                <w:sz w:val="18"/>
                <w:szCs w:val="18"/>
                <w:lang w:eastAsia="en-CA"/>
              </w:rPr>
              <w:br/>
              <w:t>- nursing home residents</w:t>
            </w:r>
          </w:p>
        </w:tc>
        <w:tc>
          <w:tcPr>
            <w:tcW w:w="1275" w:type="dxa"/>
            <w:tcBorders>
              <w:top w:val="nil"/>
              <w:left w:val="nil"/>
              <w:bottom w:val="single" w:sz="4" w:space="0" w:color="808080"/>
              <w:right w:val="nil"/>
            </w:tcBorders>
            <w:shd w:val="clear" w:color="auto" w:fill="FFFFFF"/>
            <w:vAlign w:val="center"/>
            <w:hideMark/>
          </w:tcPr>
          <w:p w14:paraId="507D21E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20,596</w:t>
            </w:r>
            <w:r w:rsidRPr="005C4B89">
              <w:rPr>
                <w:rFonts w:ascii="Calibri" w:eastAsia="Times New Roman" w:hAnsi="Calibri" w:cs="Times New Roman"/>
                <w:color w:val="000000"/>
                <w:sz w:val="18"/>
                <w:szCs w:val="18"/>
                <w:lang w:eastAsia="en-CA"/>
              </w:rPr>
              <w:br/>
              <w:t>(PPI: 7,593; No PPI: 13,003)</w:t>
            </w:r>
          </w:p>
        </w:tc>
        <w:tc>
          <w:tcPr>
            <w:tcW w:w="1276" w:type="dxa"/>
            <w:tcBorders>
              <w:top w:val="nil"/>
              <w:left w:val="nil"/>
              <w:bottom w:val="single" w:sz="4" w:space="0" w:color="808080"/>
              <w:right w:val="nil"/>
            </w:tcBorders>
            <w:shd w:val="clear" w:color="auto" w:fill="FFFFFF"/>
            <w:vAlign w:val="center"/>
            <w:hideMark/>
          </w:tcPr>
          <w:p w14:paraId="6B89F3E1" w14:textId="77777777" w:rsidR="009462F4" w:rsidRPr="005C4B89" w:rsidRDefault="009462F4">
            <w:pPr>
              <w:spacing w:after="0" w:line="240" w:lineRule="auto"/>
              <w:rPr>
                <w:rFonts w:ascii="Calibri" w:eastAsia="Times New Roman" w:hAnsi="Calibri" w:cs="Times New Roman"/>
                <w:sz w:val="18"/>
                <w:szCs w:val="18"/>
                <w:lang w:eastAsia="en-CA"/>
              </w:rPr>
            </w:pPr>
            <w:r w:rsidRPr="005C4B89">
              <w:rPr>
                <w:rFonts w:ascii="Calibri" w:eastAsia="Times New Roman" w:hAnsi="Calibri" w:cs="Times New Roman"/>
                <w:sz w:val="18"/>
                <w:szCs w:val="18"/>
                <w:lang w:eastAsia="en-CA"/>
              </w:rPr>
              <w:t>PPI: 61 (11)</w:t>
            </w:r>
            <w:r w:rsidRPr="005C4B89">
              <w:rPr>
                <w:rFonts w:ascii="Calibri" w:eastAsia="Times New Roman" w:hAnsi="Calibri" w:cs="Times New Roman"/>
                <w:sz w:val="18"/>
                <w:szCs w:val="18"/>
                <w:lang w:eastAsia="en-CA"/>
              </w:rPr>
              <w:br/>
              <w:t>no PPI: 60 (11)</w:t>
            </w:r>
          </w:p>
        </w:tc>
        <w:tc>
          <w:tcPr>
            <w:tcW w:w="1134" w:type="dxa"/>
            <w:tcBorders>
              <w:top w:val="nil"/>
              <w:left w:val="nil"/>
              <w:bottom w:val="single" w:sz="4" w:space="0" w:color="808080"/>
              <w:right w:val="nil"/>
            </w:tcBorders>
            <w:shd w:val="clear" w:color="auto" w:fill="FFFFFF"/>
            <w:vAlign w:val="center"/>
            <w:hideMark/>
          </w:tcPr>
          <w:p w14:paraId="265DE69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46</w:t>
            </w:r>
            <w:r w:rsidRPr="005C4B89">
              <w:rPr>
                <w:rFonts w:ascii="Calibri" w:eastAsia="Times New Roman" w:hAnsi="Calibri" w:cs="Times New Roman"/>
                <w:color w:val="000000"/>
                <w:sz w:val="18"/>
                <w:szCs w:val="18"/>
                <w:lang w:eastAsia="en-CA"/>
              </w:rPr>
              <w:br/>
              <w:t>no PPI: 53</w:t>
            </w:r>
          </w:p>
        </w:tc>
        <w:tc>
          <w:tcPr>
            <w:tcW w:w="1134" w:type="dxa"/>
            <w:tcBorders>
              <w:top w:val="nil"/>
              <w:left w:val="nil"/>
              <w:bottom w:val="single" w:sz="4" w:space="0" w:color="808080"/>
              <w:right w:val="nil"/>
            </w:tcBorders>
            <w:shd w:val="clear" w:color="auto" w:fill="FFFFFF"/>
            <w:vAlign w:val="center"/>
            <w:hideMark/>
          </w:tcPr>
          <w:p w14:paraId="7B63FF6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Caucasian, Other </w:t>
            </w:r>
            <w:r w:rsidRPr="005C4B89">
              <w:rPr>
                <w:rFonts w:ascii="Calibri" w:eastAsia="Times New Roman" w:hAnsi="Calibri" w:cs="Times New Roman"/>
                <w:color w:val="000000"/>
                <w:sz w:val="18"/>
                <w:szCs w:val="18"/>
                <w:lang w:eastAsia="en-CA"/>
              </w:rPr>
              <w:br/>
              <w:t>(78% Caucasian)</w:t>
            </w:r>
          </w:p>
        </w:tc>
      </w:tr>
      <w:tr w:rsidR="009462F4" w:rsidRPr="005C4B89" w14:paraId="2D08851F"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6263880B" w14:textId="4DA8438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{"citationItems":[{"id":"ITEM-1","itemData":{"ISSN":"1473-5830","abstract":"OBJECTIVE: A pharmacodynamic interaction between clopidogrel and proton pump inhibitors (PPIs) has been suggested, leading to reduced clopidogrel-induced platelet inhibitory effects. However, data from clinical studies are conflicting. The aim of this study was to evaluate the safety of long-term clopidogrel and PPI therapy., METHODS: A total of 1328 consecutive patients (age 63+/-11 years; 81% male) undergoing drug-eluting stent implantation and 1-year follow-up were included. All patients were treated with a standard aspirin and clopidogrel treatment regimen for 12 months. The concomitant PPI therapy for the same duration was at the discretion of the clinical cardiologist. PPI therapy included lansoprazole (30 mg/day), pantoprazole (20 mg/day), or omeprazole (20 mg/day). At 1-year follow-up, major adverse cardiac events (MACE), defined as death, myocardial infarction (MI), acute coronary syndrome leading to hospitalization and nonfatal stroke, were recorded. All cause death, any stent thrombosis (ST), and bleeding (Thrombolysis in MI major and minor) were also assessed., RESULTS: Lansoprazole, pantoprazole, and omeprazole were administered to 855, 178, and 125 patients, whereas 170 were not prescribed any PPI therapy. Among patients treated with PPIs, those on pantoprazole had more often prior MI, multivessel coronary artery disease, and chronic kidney disease, whereas earlier peptic ulcer was more frequent among patients treated with omeprazole. The incidence of 1-year MACE was not statistically different between patients in the PPI and no-PPI groups (7.5 vs. 5.0%; P=0.26). Similarly, 1-year rates of all cause death, ST, and Thrombolysis in MI major and minor bleedings did not significantly differ. After statistical adjustment for potential confounders, the concomitant use of clopidogrel and PPIs was not associated with the risk of 1-year MACE [odds ratio (OR) 1.54, P=0.38], death (OR: 0.97, P=0.961), and ST (OR: 1.01, P=0.998). No differences across the three PPI types were found., CONCLUSION: The association of clopidogrel and PPIs after drug-eluting stent implantation, prescribed on clinical judgement, seems safe.","author":[{"dropping-particle":"","family":"Rossini","given":"Roberta","non-dropping-particle":"","parse-names":false,"suffix":""},{"dropping-particle":"","family":"Capodanno","given":"Davide","non-dropping-particle":"","parse-names":false,"suffix":""},{"dropping-particle":"","family":"Musumeci","given":"Giuseppe","non-dropping-particle":"","parse-names":false,"suffix":""},{"dropping-particle":"","family":"Lettieri","given":"Corrado","non-dropping-particle":"","parse-names":false,"suffix":""},{"dropping-particle":"","family":"Lortkipanidze","given":"Nikoloz","non-dropping-particle":"","parse-names":false,"suffix":""},{"dropping-particle":"","family":"Romano","given":"Michele","non-dropping-particle":"","parse-names":false,"suffix":""},{"dropping-particle":"","family":"Nijaradze","given":"Tamar","non-dropping-particle":"","parse-names":false,"suffix":""},{"dropping-particle":"","family":"Tarantini","given":"Giuseppe","non-dropping-particle":"","parse-names":false,"suffix":""},{"dropping-particle":"","family":"Cicorella","given":"Nicola","non-dropping-particle":"","parse-names":false,"suffix":""},{"dropping-particle":"","family":"Sirbu","given":"Vasile","non-dropping-particle":"","parse-names":false,"suffix":""},{"dropping-particle":"","family":"Guagliumi","given":"Giulio","non-dropping-particle":"","parse-names":false,"suffix":""},{"dropping-particle":"","family":"Rosiello","given":"Renato","non-dropping-particle":"","parse-names":false,"suffix":""},{"dropping-particle":"","family":"Valsecchi","given":"Orazio","non-dropping-particle":"","parse-names":false,"suffix":""},{"dropping-particle":"","family":"Gavazzi","given":"Antonello","non-dropping-particle":"","parse-names":false,"suffix":""}],"container-title":"Coronary artery disease","id":"ITEM-1","issue":"3","issued":{"date-parts":[["2011"]]},"note":"554","page":"199-205","publisher":"Rossini,Roberta. Cardiovascular Department, Ospedali Riuniti di Bergamo, Bergamo, Italy. roberta_rossini@yahoo.it","publisher-place":"England","title":"Safety of clopidogrel and proton pump inhibitors in patients undergoing drug-eluting stent implantation.","type":"article-journal","volume":"22"},"uris":["http://www.mendeley.com/documents/?uuid=cb1adf70-6288-4608-8463-e920f5ad4929"]}],"mendeley":{"formattedCitation":"(Rossini et al. 2011)","plainTextFormattedCitation":"(Rossini et al. 2011)","previouslyFormattedCitation":"(Rossini et al. 2011)"},"properties":{"noteIndex":0},"schema":"https://github.com/citation-style-language/schema/raw/master/csl-citation.json"}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(Rossini et al. 2011)</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(Italy)</w:t>
            </w:r>
          </w:p>
        </w:tc>
        <w:tc>
          <w:tcPr>
            <w:tcW w:w="1667" w:type="dxa"/>
            <w:tcBorders>
              <w:top w:val="nil"/>
              <w:left w:val="nil"/>
              <w:bottom w:val="single" w:sz="4" w:space="0" w:color="808080"/>
              <w:right w:val="nil"/>
            </w:tcBorders>
            <w:shd w:val="clear" w:color="auto" w:fill="FFFFFF"/>
            <w:vAlign w:val="center"/>
            <w:hideMark/>
          </w:tcPr>
          <w:p w14:paraId="1F66F1C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(Registry (2 centers))</w:t>
            </w:r>
          </w:p>
        </w:tc>
        <w:tc>
          <w:tcPr>
            <w:tcW w:w="1241" w:type="dxa"/>
            <w:tcBorders>
              <w:top w:val="nil"/>
              <w:left w:val="nil"/>
              <w:bottom w:val="single" w:sz="4" w:space="0" w:color="808080"/>
              <w:right w:val="nil"/>
            </w:tcBorders>
            <w:shd w:val="clear" w:color="auto" w:fill="FFFFFF"/>
            <w:vAlign w:val="center"/>
            <w:hideMark/>
          </w:tcPr>
          <w:p w14:paraId="4B571D3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FFFFFF"/>
            <w:vAlign w:val="center"/>
            <w:hideMark/>
          </w:tcPr>
          <w:p w14:paraId="6808955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PCI with DES</w:t>
            </w:r>
          </w:p>
        </w:tc>
        <w:tc>
          <w:tcPr>
            <w:tcW w:w="4003" w:type="dxa"/>
            <w:tcBorders>
              <w:top w:val="nil"/>
              <w:left w:val="nil"/>
              <w:bottom w:val="single" w:sz="4" w:space="0" w:color="808080"/>
              <w:right w:val="nil"/>
            </w:tcBorders>
            <w:shd w:val="clear" w:color="auto" w:fill="FFFFFF"/>
            <w:vAlign w:val="center"/>
            <w:hideMark/>
          </w:tcPr>
          <w:p w14:paraId="2C569DC0" w14:textId="1B93337C" w:rsidR="009462F4" w:rsidRPr="005C4B89" w:rsidRDefault="009462F4" w:rsidP="002B686E">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PCI with DES implantation at one of two institutes in Northern Italy</w:t>
            </w:r>
            <w:r w:rsidRPr="005C4B89">
              <w:rPr>
                <w:rFonts w:ascii="Calibri" w:eastAsia="Times New Roman" w:hAnsi="Calibri" w:cs="Times New Roman"/>
                <w:color w:val="000000"/>
                <w:sz w:val="18"/>
                <w:szCs w:val="18"/>
                <w:lang w:eastAsia="en-CA"/>
              </w:rPr>
              <w:br/>
              <w:t>- discharge on DAT (aspirin and clopidogrel)</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incomplete data</w:t>
            </w:r>
          </w:p>
        </w:tc>
        <w:tc>
          <w:tcPr>
            <w:tcW w:w="1275" w:type="dxa"/>
            <w:tcBorders>
              <w:top w:val="nil"/>
              <w:left w:val="nil"/>
              <w:bottom w:val="single" w:sz="4" w:space="0" w:color="808080"/>
              <w:right w:val="nil"/>
            </w:tcBorders>
            <w:shd w:val="clear" w:color="auto" w:fill="FFFFFF"/>
            <w:vAlign w:val="center"/>
            <w:hideMark/>
          </w:tcPr>
          <w:p w14:paraId="11EE927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1328 </w:t>
            </w:r>
            <w:r w:rsidRPr="005C4B89">
              <w:rPr>
                <w:rFonts w:ascii="Calibri" w:eastAsia="Times New Roman" w:hAnsi="Calibri" w:cs="Times New Roman"/>
                <w:color w:val="000000"/>
                <w:sz w:val="18"/>
                <w:szCs w:val="18"/>
                <w:lang w:eastAsia="en-CA"/>
              </w:rPr>
              <w:br/>
              <w:t>(PPI: 1,158; No PPI: 170)</w:t>
            </w:r>
          </w:p>
        </w:tc>
        <w:tc>
          <w:tcPr>
            <w:tcW w:w="1276" w:type="dxa"/>
            <w:tcBorders>
              <w:top w:val="nil"/>
              <w:left w:val="nil"/>
              <w:bottom w:val="single" w:sz="4" w:space="0" w:color="808080"/>
              <w:right w:val="nil"/>
            </w:tcBorders>
            <w:shd w:val="clear" w:color="auto" w:fill="FFFFFF"/>
            <w:vAlign w:val="center"/>
            <w:hideMark/>
          </w:tcPr>
          <w:p w14:paraId="087680A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64 (11)</w:t>
            </w:r>
            <w:r w:rsidRPr="005C4B89">
              <w:rPr>
                <w:rFonts w:ascii="Calibri" w:eastAsia="Times New Roman" w:hAnsi="Calibri" w:cs="Times New Roman"/>
                <w:color w:val="000000"/>
                <w:sz w:val="18"/>
                <w:szCs w:val="18"/>
                <w:lang w:eastAsia="en-CA"/>
              </w:rPr>
              <w:br/>
              <w:t>no PPI: 63 (11)</w:t>
            </w:r>
          </w:p>
        </w:tc>
        <w:tc>
          <w:tcPr>
            <w:tcW w:w="1134" w:type="dxa"/>
            <w:tcBorders>
              <w:top w:val="nil"/>
              <w:left w:val="nil"/>
              <w:bottom w:val="single" w:sz="4" w:space="0" w:color="808080"/>
              <w:right w:val="nil"/>
            </w:tcBorders>
            <w:shd w:val="clear" w:color="auto" w:fill="FFFFFF"/>
            <w:vAlign w:val="center"/>
            <w:hideMark/>
          </w:tcPr>
          <w:p w14:paraId="453360B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76</w:t>
            </w:r>
            <w:r w:rsidRPr="005C4B89">
              <w:rPr>
                <w:rFonts w:ascii="Calibri" w:eastAsia="Times New Roman" w:hAnsi="Calibri" w:cs="Times New Roman"/>
                <w:color w:val="000000"/>
                <w:sz w:val="18"/>
                <w:szCs w:val="18"/>
                <w:lang w:eastAsia="en-CA"/>
              </w:rPr>
              <w:br/>
              <w:t>no PPI: 81</w:t>
            </w:r>
          </w:p>
        </w:tc>
        <w:tc>
          <w:tcPr>
            <w:tcW w:w="1134" w:type="dxa"/>
            <w:tcBorders>
              <w:top w:val="nil"/>
              <w:left w:val="nil"/>
              <w:bottom w:val="single" w:sz="4" w:space="0" w:color="808080"/>
              <w:right w:val="nil"/>
            </w:tcBorders>
            <w:shd w:val="clear" w:color="auto" w:fill="FFFFFF"/>
            <w:vAlign w:val="center"/>
            <w:hideMark/>
          </w:tcPr>
          <w:p w14:paraId="5F1112B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3E952F12" w14:textId="77777777" w:rsidTr="005C4B89">
        <w:trPr>
          <w:trHeight w:val="1095"/>
        </w:trPr>
        <w:tc>
          <w:tcPr>
            <w:tcW w:w="1310" w:type="dxa"/>
            <w:tcBorders>
              <w:top w:val="nil"/>
              <w:left w:val="nil"/>
              <w:bottom w:val="single" w:sz="4" w:space="0" w:color="808080"/>
              <w:right w:val="nil"/>
            </w:tcBorders>
            <w:shd w:val="clear" w:color="auto" w:fill="FFFFFF"/>
            <w:noWrap/>
            <w:vAlign w:val="center"/>
            <w:hideMark/>
          </w:tcPr>
          <w:p w14:paraId="73FA5679" w14:textId="47ABB78E"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fldChar w:fldCharType="begin" w:fldLock="1"/>
            </w:r>
            <w:r w:rsidR="00D325C7">
              <w:rPr>
                <w:rFonts w:ascii="Calibri" w:eastAsia="Times New Roman" w:hAnsi="Calibri" w:cs="Times New Roman"/>
                <w:color w:val="000000"/>
                <w:sz w:val="18"/>
                <w:szCs w:val="18"/>
                <w:lang w:eastAsia="en-CA"/>
              </w:rPr>
              <w:instrText>ADDIN CSL_CITATION {"citationItems":[{"id":"ITEM-1","itemData":{"ISBN":"0340-6245","ISSN":"0340-6245","abstract":"Clopidogrel is a prodrug that is converted via the hepatic cytochrome P450 system into its active thiol metabolite. Evidence is accumulating that proton pump inhibitors (PPIs) inhibit this enzymatic pathway and may therefore attenuate the antiplatelet effect of clopidogrel. The objective of this study was to investigate whether patients on clopidogrel therapy after drug-eluting stent (DES) placement who also receive a PPI are at higher risk of stent thrombosis (ST). This is a retrospective analysis of patients who received dual antiplatelet treatment including clopidogrel after DES placement. Outcomes were compared according to PPI therapy. The primary endpoint was the incidence of definite ST at 30 days. Secondary endpoints were death, combined death or ST and myocardial infarction (MI). The study population included 3,338 patients and 698 patients (20.9%) received PPIs. Patients receiving a PPI had a higher risk profile at baseline. Multivariate analysis showed that PPI treatment was not independently associated with the occurrence of ST [adjusted HR 1.8 (95% CI: 0.7-4.7), p=0.23] or MI [adjusted HR 1.3 (0.8-2.3), p=0.11]. PPI treatment was significantly associated with death [adjusted HR 2.2 (1.1-4.3), p=0.02] and death or ST [adjusted HR 3.3(1.7-6.7), p=0.02]. Concomitant treatment with a PPI in patients receiving dual antiplatelet treatment after coronary stenting is not an independent predictor of ST. The higher mortality is probably due to confounding as patients on PPIs had a higher risk profile at baseline. © Schattauer 2010.","author":[{"dropping-particle":"","family":"Sarafoff","given":"Nikolaus","non-dropping-particle":"","parse-names":false,"suffix":""},{"dropping-particle":"","family":"Sibbing","given":"Dirk","non-dropping-particle":"","parse-names":false,"suffix":""},{"dropping-particle":"","family":"Sonntag","given":"Ulrich","non-dropping-particle":"","parse-names":false,"suffix":""},{"dropping-particle":"","family":"Ellert","given":"Julia","non-dropping-particle":"","parse-names":false,"suffix":""},{"dropping-particle":"","family":"Schulz","given":"Stefanie","non-dropping-particle":"","parse-names":false,"suffix":""},{"dropping-particle":"","family":"Byrne","given":"Robert A","non-dropping-particle":"","parse-names":false,"suffix":""},{"dropping-particle":"","family":"Mehilli","given":"Julinda","non-dropping-particle":"","parse-names":false,"suffix":""},{"dropping-particle":"","family":"Schomig","given":"Albert","non-dropping-particle":"","parse-names":false,"suffix":""},{"dropping-particle":"","family":"Kastrati","given":"Adnan","non-dropping-particle":"","parse-names":false,"suffix":""}],"container-title":"Thrombosis and haemostasis","id":"ITEM-1","issue":"3","issued":{"date-parts":[["2010"]]},"note":"673","page":"626-632","publisher":"Sarafoff,Nikolaus. Deutsches Herzzentrum Munchen, Klinik fur Herz und Kreislauferkrankungen Lazarettstr. 3680636 Munich, Germany. n.sarafoff@googlemail.com","publisher-place":"Germany","title":"Risk of drug-eluting stent thrombosis in patients receiving proton pump inhibitors.","type":"article-journal","volume":"104"},"uris":["http://www.mendeley.com/documents/?uuid=88a6b5cb-88ed-4628-8457-3d2a7997fa87"]}],"mendeley":{"formattedCitation":"(Sarafoff et al. 2010)","plainTextFormattedCitation":"(Sarafoff et al. 2010)","previouslyFormattedCitation":"(Sarafoff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(Sarafoff et al.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(Germany)</w:t>
            </w:r>
          </w:p>
        </w:tc>
        <w:tc>
          <w:tcPr>
            <w:tcW w:w="1667" w:type="dxa"/>
            <w:tcBorders>
              <w:top w:val="nil"/>
              <w:left w:val="nil"/>
              <w:bottom w:val="single" w:sz="4" w:space="0" w:color="808080"/>
              <w:right w:val="nil"/>
            </w:tcBorders>
            <w:shd w:val="clear" w:color="auto" w:fill="FFFFFF"/>
            <w:vAlign w:val="center"/>
            <w:hideMark/>
          </w:tcPr>
          <w:p w14:paraId="65D4650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(hospital)</w:t>
            </w:r>
          </w:p>
        </w:tc>
        <w:tc>
          <w:tcPr>
            <w:tcW w:w="1241" w:type="dxa"/>
            <w:tcBorders>
              <w:top w:val="nil"/>
              <w:left w:val="nil"/>
              <w:bottom w:val="single" w:sz="4" w:space="0" w:color="808080"/>
              <w:right w:val="nil"/>
            </w:tcBorders>
            <w:shd w:val="clear" w:color="auto" w:fill="FFFFFF"/>
            <w:noWrap/>
            <w:vAlign w:val="center"/>
            <w:hideMark/>
          </w:tcPr>
          <w:p w14:paraId="2034AE2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FFFFFF"/>
            <w:noWrap/>
            <w:vAlign w:val="center"/>
            <w:hideMark/>
          </w:tcPr>
          <w:p w14:paraId="200A34F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DES</w:t>
            </w:r>
          </w:p>
        </w:tc>
        <w:tc>
          <w:tcPr>
            <w:tcW w:w="4003" w:type="dxa"/>
            <w:tcBorders>
              <w:top w:val="nil"/>
              <w:left w:val="nil"/>
              <w:bottom w:val="single" w:sz="4" w:space="0" w:color="808080"/>
              <w:right w:val="nil"/>
            </w:tcBorders>
            <w:shd w:val="clear" w:color="auto" w:fill="FFFFFF"/>
            <w:vAlign w:val="center"/>
            <w:hideMark/>
          </w:tcPr>
          <w:p w14:paraId="429E8195" w14:textId="4D096AAD"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xml:space="preserve">- DES implantation between July 2002-Dec 2006 </w:t>
            </w:r>
            <w:r w:rsidRPr="005C4B89">
              <w:rPr>
                <w:rFonts w:ascii="Calibri" w:eastAsia="Times New Roman" w:hAnsi="Calibri" w:cs="Times New Roman"/>
                <w:color w:val="000000"/>
                <w:sz w:val="18"/>
                <w:szCs w:val="18"/>
                <w:lang w:eastAsia="en-CA"/>
              </w:rPr>
              <w:br/>
              <w:t xml:space="preserve">- received clopidogrel and Aspirin prior to DES </w:t>
            </w:r>
            <w:r w:rsidR="00DE19B3">
              <w:rPr>
                <w:rFonts w:ascii="Calibri" w:eastAsia="Times New Roman" w:hAnsi="Calibri" w:cs="Times New Roman"/>
                <w:color w:val="000000"/>
                <w:sz w:val="18"/>
                <w:szCs w:val="18"/>
                <w:lang w:eastAsia="en-CA"/>
              </w:rPr>
              <w:t>as well as for follow-up period</w:t>
            </w:r>
          </w:p>
        </w:tc>
        <w:tc>
          <w:tcPr>
            <w:tcW w:w="1275" w:type="dxa"/>
            <w:tcBorders>
              <w:top w:val="nil"/>
              <w:left w:val="nil"/>
              <w:bottom w:val="single" w:sz="4" w:space="0" w:color="808080"/>
              <w:right w:val="nil"/>
            </w:tcBorders>
            <w:shd w:val="clear" w:color="auto" w:fill="FFFFFF"/>
            <w:noWrap/>
            <w:vAlign w:val="center"/>
            <w:hideMark/>
          </w:tcPr>
          <w:p w14:paraId="55DDFE2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3,338 </w:t>
            </w:r>
            <w:r w:rsidRPr="005C4B89">
              <w:rPr>
                <w:rFonts w:ascii="Calibri" w:eastAsia="Times New Roman" w:hAnsi="Calibri" w:cs="Times New Roman"/>
                <w:color w:val="000000"/>
                <w:sz w:val="18"/>
                <w:szCs w:val="18"/>
                <w:lang w:eastAsia="en-CA"/>
              </w:rPr>
              <w:br/>
              <w:t>(PPI: 698; No PPI: 2,640)</w:t>
            </w:r>
          </w:p>
        </w:tc>
        <w:tc>
          <w:tcPr>
            <w:tcW w:w="1276" w:type="dxa"/>
            <w:tcBorders>
              <w:top w:val="nil"/>
              <w:left w:val="nil"/>
              <w:bottom w:val="single" w:sz="4" w:space="0" w:color="808080"/>
              <w:right w:val="nil"/>
            </w:tcBorders>
            <w:shd w:val="clear" w:color="auto" w:fill="FFFFFF"/>
            <w:noWrap/>
            <w:vAlign w:val="center"/>
            <w:hideMark/>
          </w:tcPr>
          <w:p w14:paraId="406C13E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PPI: 69 (11) </w:t>
            </w:r>
            <w:r w:rsidRPr="005C4B89">
              <w:rPr>
                <w:rFonts w:ascii="Calibri" w:eastAsia="Times New Roman" w:hAnsi="Calibri" w:cs="Times New Roman"/>
                <w:color w:val="000000"/>
                <w:sz w:val="18"/>
                <w:szCs w:val="18"/>
                <w:lang w:eastAsia="en-CA"/>
              </w:rPr>
              <w:br/>
              <w:t>no PPI: 66 (11)</w:t>
            </w:r>
          </w:p>
        </w:tc>
        <w:tc>
          <w:tcPr>
            <w:tcW w:w="1134" w:type="dxa"/>
            <w:tcBorders>
              <w:top w:val="nil"/>
              <w:left w:val="nil"/>
              <w:bottom w:val="single" w:sz="4" w:space="0" w:color="808080"/>
              <w:right w:val="nil"/>
            </w:tcBorders>
            <w:shd w:val="clear" w:color="auto" w:fill="FFFFFF"/>
            <w:noWrap/>
            <w:vAlign w:val="center"/>
            <w:hideMark/>
          </w:tcPr>
          <w:p w14:paraId="0D43864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70</w:t>
            </w:r>
            <w:r w:rsidRPr="005C4B89">
              <w:rPr>
                <w:rFonts w:ascii="Calibri" w:eastAsia="Times New Roman" w:hAnsi="Calibri" w:cs="Times New Roman"/>
                <w:color w:val="000000"/>
                <w:sz w:val="18"/>
                <w:szCs w:val="18"/>
                <w:lang w:eastAsia="en-CA"/>
              </w:rPr>
              <w:br/>
              <w:t>no PPI: 77</w:t>
            </w:r>
          </w:p>
        </w:tc>
        <w:tc>
          <w:tcPr>
            <w:tcW w:w="1134" w:type="dxa"/>
            <w:tcBorders>
              <w:top w:val="nil"/>
              <w:left w:val="nil"/>
              <w:bottom w:val="single" w:sz="4" w:space="0" w:color="808080"/>
              <w:right w:val="nil"/>
            </w:tcBorders>
            <w:shd w:val="clear" w:color="auto" w:fill="FFFFFF"/>
            <w:noWrap/>
            <w:vAlign w:val="center"/>
            <w:hideMark/>
          </w:tcPr>
          <w:p w14:paraId="72839FC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7448C581"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7B111A0C" w14:textId="33A0B97C"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{"citationItems":[{"id":"ITEM-1","itemData":{"ISBN":"0009-7322","ISSN":"1524-4539","abstract":"Background-Clopidogrel requires metabolic activation by cytochrome P450 2C19 (CYP2C19). Proton pump inhibitors (PPIs) that inhibit CYP2C19 are commonly coadministered with clopidogrel to reduce the risk of gastrointestinal bleeding. This analysis compares treatment outcomes for patients in the French Registry of Acute ST-Elevation and Non-ST-Elevation Myocardial Infarction (FAST-MI) who did or did not receive clopidogrel and/or PPIs. Methods and Results-The FAST-MI registry included 3670 patients (2744 clopidogrel- and PPI-naive patients) presenting with definite MI. Patients were categorized according to use of clopidogrel and/or PPI within 48 hours after hospital admission. PPI use was not associated with an increased risk for any of the main in-hospital events (in-hospital survival, reinfarction, stroke, bleeding, and transfusion). Likewise, PPI treatment was not an independent predictor of 1-year survival (hazard ratio, 0.97; 95% confidence interval [CI], 0.87 to 1.08; P=0.57) or 1-year MI, stroke, or death (hazard ratio, 0.98; 95% CI, 0.90 to 1.08; P=0.72). No differences were seen when the type of PPI or CYP2C19 genotype was taken into account. In the propensity-matched cohorts, the odds ratios for major in-hospital events in PPI versus no PPI were 0.29 (95% CI, 0.06 to 1.44) and 1.70 (95% CI, 0.10 to 30.3) for patients with 1 and 2 variant alleles, respectively. Similarly, the hazard ratio for 1-year events in hospital survivors was 0.68 (95% CI, 0.26 to 1.79) and 0.55 (95% CI, 0.06 to 5.30), respectively. Conclusion-PPI use was not associated with an increased risk of cardiovascular events or mortality in patients administered clopidogrel for recent MI, whatever the CYP2C19 genotype, although harm could not be formally excluded in patients with 2 loss-of-function alleles. © 2011 American Heart Association, Inc.","author":[{"dropping-particle":"","family":"Simon","given":"Tabassome","non-dropping-particle":"","parse-names":false,"suffix":""},{"dropping-particle":"","family":"Steg","given":"Philippe Gabriel","non-dropping-particle":"","parse-names":false,"suffix":""},{"dropping-particle":"","family":"Gilard","given":"Martine","non-dropping-particle":"","parse-names":false,"suffix":""},{"dropping-particle":"","family":"Blanchard","given":"Didier","non-dropping-particle":"","parse-names":false,"suffix":""},{"dropping-particle":"","family":"Bonello","given":"Laurent","non-dropping-particle":"","parse-names":false,"suffix":""},{"dropping-particle":"","family":"Hanssen","given":"Michel","non-dropping-particle":"","parse-names":false,"suffix":""},{"dropping-particle":"","family":"Lardoux","given":"Herve","non-dropping-particle":"","parse-names":false,"suffix":""},{"dropping-particle":"","family":"Coste","given":"Pierre","non-dropping-particle":"","parse-names":false,"suffix":""},{"dropping-particle":"","family":"Lefevre","given":"Thierry","non-dropping-particle":"","parse-names":false,"suffix":""},{"dropping-particle":"","family":"Drouet","given":"Elodie","non-dropping-particle":"","parse-names":false,"suffix":""},{"dropping-particle":"","family":"Mulak","given":"Genevieve","non-dropping-particle":"","parse-names":false,"suffix":""},{"dropping-particle":"","family":"Bataille","given":"Vincent","non-dropping-particle":"","parse-names":false,"suffix":""},{"dropping-particle":"","family":"Ferrieres","given":"Jean","non-dropping-particle":"","parse-names":false,"suffix":""},{"dropping-particle":"","family":"Verstuyft","given":"Celine","non-dropping-particle":"","parse-names":false,"suffix":""},{"dropping-particle":"","family":"Danchin","given":"Nicolas","non-dropping-particle":"","parse-names":false,"suffix":""}],"container-title":"Circulation","id":"ITEM-1","issue":"5","issued":{"date-parts":[["2011"]]},"note":"548\n\nFrom Duplicate 1 (Clinical events as a function of proton pump inhibitor use, clopidogrel use, and cytochrome P450 2C19 genotype in a large nationwide cohort of acute myocardial infarction: results from the French Registry of Acute ST-Elevation and Non-ST-Elevation Myocardial Infarction (FAST-MI) registry. - Simon, Tabassome; Steg, Philippe Gabriel; Gilard, Martine; Blanchard, Didier; Bonello, Laurent; Hanssen, Michel; Lardoux, Herve; Coste, Pierre; Lefevre, Thierry; Drouet, Elodie; Mulak, Genevieve; Bataille, Vincent; Ferrieres, Jean; Verstuyft, Celine; Danchin, Nicolas)\n\nComment in: Circulation. 2011 Sep 13;124(11):e297; PMID: 21911791, Comment in: Circulation. 2011 Feb 8;123(5):468-70; PMID: 21262991","page":"474-482","publisher":"Simon,Tabassome. Department of Pharmacology, Clinical Research Unit, APHP, St. Antoine Hospital, UMPC-Paris 06 University, 27 Rue Chaligny, Paris, France. tabassome.simon@sat.aphp.fr","publisher-place":"T. Simon, Department of Pharmacology, St. Antoine Hospital, Paris 06 University, 27 Rue Chaligny, 75012, Paris, France. E-mail: tabassome.simon@sat.aphp.fr","title":"Clinical events as a function of proton pump inhibitor use, clopidogrel use, and cytochrome P450 2C19 genotype in a large nationwide cohort of acute myocardial infarction: results from the French Registry of Acute ST-Elevation and Non-ST-Elevation Myocard","type":"article-journal","volume":"123"},"uris":["http://www.mendeley.com/documents/?uuid=512b8704-9b8f-4f71-afc3-3647a3c4953d"]}],"mendeley":{"formattedCitation":"(Simon et al. 2011)","plainTextFormattedCitation":"(Simon et al. 2011)","previouslyFormattedCitation":"(Simon et al. 2011)"},"properties":{"noteIndex":0},"schema":"https://github.com/citation-style-language/schema/raw/master/csl-citation.json"}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(Simon et al. 2011)</w:t>
            </w:r>
            <w:r w:rsidRPr="005C4B89">
              <w:rPr>
                <w:rFonts w:ascii="Calibri" w:eastAsia="Times New Roman" w:hAnsi="Calibri" w:cs="Times New Roman"/>
                <w:color w:val="000000"/>
                <w:sz w:val="18"/>
                <w:szCs w:val="18"/>
                <w:lang w:eastAsia="en-CA"/>
              </w:rPr>
              <w:fldChar w:fldCharType="end"/>
            </w:r>
          </w:p>
          <w:p w14:paraId="5A212AB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(France)</w:t>
            </w:r>
          </w:p>
        </w:tc>
        <w:tc>
          <w:tcPr>
            <w:tcW w:w="1667" w:type="dxa"/>
            <w:tcBorders>
              <w:top w:val="nil"/>
              <w:left w:val="nil"/>
              <w:bottom w:val="single" w:sz="4" w:space="0" w:color="808080"/>
              <w:right w:val="nil"/>
            </w:tcBorders>
            <w:shd w:val="clear" w:color="auto" w:fill="FFFFFF"/>
            <w:vAlign w:val="center"/>
            <w:hideMark/>
          </w:tcPr>
          <w:p w14:paraId="45702E6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(hospitals and private clinics with ICU (223 centers))</w:t>
            </w:r>
          </w:p>
        </w:tc>
        <w:tc>
          <w:tcPr>
            <w:tcW w:w="1241" w:type="dxa"/>
            <w:tcBorders>
              <w:top w:val="nil"/>
              <w:left w:val="nil"/>
              <w:bottom w:val="single" w:sz="4" w:space="0" w:color="808080"/>
              <w:right w:val="nil"/>
            </w:tcBorders>
            <w:shd w:val="clear" w:color="auto" w:fill="FFFFFF"/>
            <w:vAlign w:val="center"/>
            <w:hideMark/>
          </w:tcPr>
          <w:p w14:paraId="7BB11EA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French Registry of Acute ST-Elevation and Non–ST-Elevation Myocardial Infarction (FAST-MI) Registry</w:t>
            </w:r>
          </w:p>
        </w:tc>
        <w:tc>
          <w:tcPr>
            <w:tcW w:w="993" w:type="dxa"/>
            <w:tcBorders>
              <w:top w:val="nil"/>
              <w:left w:val="nil"/>
              <w:bottom w:val="single" w:sz="4" w:space="0" w:color="808080"/>
              <w:right w:val="nil"/>
            </w:tcBorders>
            <w:shd w:val="clear" w:color="auto" w:fill="FFFFFF"/>
            <w:vAlign w:val="center"/>
            <w:hideMark/>
          </w:tcPr>
          <w:p w14:paraId="54F1C27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MI</w:t>
            </w:r>
          </w:p>
        </w:tc>
        <w:tc>
          <w:tcPr>
            <w:tcW w:w="4003" w:type="dxa"/>
            <w:tcBorders>
              <w:top w:val="nil"/>
              <w:left w:val="nil"/>
              <w:bottom w:val="single" w:sz="4" w:space="0" w:color="808080"/>
              <w:right w:val="nil"/>
            </w:tcBorders>
            <w:shd w:val="clear" w:color="auto" w:fill="FFFFFF"/>
            <w:vAlign w:val="center"/>
            <w:hideMark/>
          </w:tcPr>
          <w:p w14:paraId="59BE01F5" w14:textId="657E939C"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- 18+ years</w:t>
            </w:r>
            <w:r w:rsidRPr="005C4B89">
              <w:rPr>
                <w:rFonts w:ascii="Calibri" w:eastAsia="Times New Roman" w:hAnsi="Calibri" w:cs="Times New Roman"/>
                <w:color w:val="000000"/>
                <w:sz w:val="18"/>
                <w:szCs w:val="18"/>
                <w:lang w:eastAsia="en-CA"/>
              </w:rPr>
              <w:br/>
              <w:t>- admitted to ICU with definite MI</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diagnosed with iatrogenic MI (invalidated for an alternative diagnosis)</w:t>
            </w:r>
            <w:r w:rsidRPr="005C4B89">
              <w:rPr>
                <w:rFonts w:ascii="Calibri" w:eastAsia="Times New Roman" w:hAnsi="Calibri" w:cs="Times New Roman"/>
                <w:color w:val="000000"/>
                <w:sz w:val="18"/>
                <w:szCs w:val="18"/>
                <w:lang w:eastAsia="en-CA"/>
              </w:rPr>
              <w:br/>
              <w:t>- unstable angina with no elevation of cardiac necrosis</w:t>
            </w:r>
          </w:p>
        </w:tc>
        <w:tc>
          <w:tcPr>
            <w:tcW w:w="1275" w:type="dxa"/>
            <w:tcBorders>
              <w:top w:val="nil"/>
              <w:left w:val="nil"/>
              <w:bottom w:val="single" w:sz="4" w:space="0" w:color="808080"/>
              <w:right w:val="nil"/>
            </w:tcBorders>
            <w:shd w:val="clear" w:color="auto" w:fill="FFFFFF"/>
            <w:vAlign w:val="center"/>
            <w:hideMark/>
          </w:tcPr>
          <w:p w14:paraId="695DECB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2,744</w:t>
            </w:r>
            <w:r w:rsidRPr="005C4B89">
              <w:rPr>
                <w:rFonts w:ascii="Calibri" w:eastAsia="Times New Roman" w:hAnsi="Calibri" w:cs="Times New Roman"/>
                <w:color w:val="000000"/>
                <w:sz w:val="18"/>
                <w:szCs w:val="18"/>
                <w:lang w:eastAsia="en-CA"/>
              </w:rPr>
              <w:br/>
              <w:t>(PPI: 1611; No PPI: 1,133)</w:t>
            </w:r>
          </w:p>
        </w:tc>
        <w:tc>
          <w:tcPr>
            <w:tcW w:w="1276" w:type="dxa"/>
            <w:tcBorders>
              <w:top w:val="nil"/>
              <w:left w:val="nil"/>
              <w:bottom w:val="single" w:sz="4" w:space="0" w:color="808080"/>
              <w:right w:val="nil"/>
            </w:tcBorders>
            <w:shd w:val="clear" w:color="auto" w:fill="FFFFFF"/>
            <w:vAlign w:val="center"/>
            <w:hideMark/>
          </w:tcPr>
          <w:p w14:paraId="534F2B1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PS matched cohorts:</w:t>
            </w:r>
            <w:r w:rsidRPr="005C4B89">
              <w:rPr>
                <w:rFonts w:ascii="Calibri" w:eastAsia="Times New Roman" w:hAnsi="Calibri" w:cs="Times New Roman"/>
                <w:color w:val="000000"/>
                <w:sz w:val="18"/>
                <w:szCs w:val="18"/>
                <w:lang w:eastAsia="en-CA"/>
              </w:rPr>
              <w:br/>
              <w:t>PPI: 65 (12)</w:t>
            </w:r>
            <w:r w:rsidRPr="005C4B89">
              <w:rPr>
                <w:rFonts w:ascii="Calibri" w:eastAsia="Times New Roman" w:hAnsi="Calibri" w:cs="Times New Roman"/>
                <w:color w:val="000000"/>
                <w:sz w:val="18"/>
                <w:szCs w:val="18"/>
                <w:lang w:eastAsia="en-CA"/>
              </w:rPr>
              <w:br/>
              <w:t>no PPI: 66 (13)</w:t>
            </w:r>
          </w:p>
        </w:tc>
        <w:tc>
          <w:tcPr>
            <w:tcW w:w="1134" w:type="dxa"/>
            <w:tcBorders>
              <w:top w:val="nil"/>
              <w:left w:val="nil"/>
              <w:bottom w:val="single" w:sz="4" w:space="0" w:color="808080"/>
              <w:right w:val="nil"/>
            </w:tcBorders>
            <w:shd w:val="clear" w:color="auto" w:fill="FFFFFF"/>
            <w:vAlign w:val="center"/>
            <w:hideMark/>
          </w:tcPr>
          <w:p w14:paraId="1F348F1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27 - 42% between groups</w:t>
            </w:r>
          </w:p>
        </w:tc>
        <w:tc>
          <w:tcPr>
            <w:tcW w:w="1134" w:type="dxa"/>
            <w:tcBorders>
              <w:top w:val="nil"/>
              <w:left w:val="nil"/>
              <w:bottom w:val="single" w:sz="4" w:space="0" w:color="808080"/>
              <w:right w:val="nil"/>
            </w:tcBorders>
            <w:shd w:val="clear" w:color="auto" w:fill="FFFFFF"/>
            <w:vAlign w:val="center"/>
            <w:hideMark/>
          </w:tcPr>
          <w:p w14:paraId="3E62EDC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45D2589A"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19221627" w14:textId="19C77FB6"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{"citationItems":[{"id":"ITEM-1","itemData":{"ISBN":"0003-9926","ISSN":"1538-3679","abstract":"Background: Recent pharmacodynamic and retrospective clinical analyses have suggested that proton pump inhibitors (PPIs) may modify the antiplatelet effects of clopidogrel bisulfate. Methods: We conducted a retrospective cohort study of persons enrolled in a multistate health insurance plan with commercial and Medicare clients to evaluate adverse clinical outcomes in patients using clopidogrel plus a PPI compared with clopidogrel alone. Patients who were discharged from the hospital after myocardial infarction (MI) or coronary stent placement and treated with clopidogrel plus a PPI (n = 1033) were matched 1:1 (using propensity scoring) with patients with similar cardiovascular risk factors treated with clopidogrel alone. Rehospitalizations for MI or coronary stent placement were evaluated for up to 360 days. A subanalysis was conducted to study the impact of pantoprazole sodium, the most used PPI. Results: Patients who received clopidogrel plus a PPI had a 93% higher risk of rehospitalization for MI (adjusted hazard ratio, 1.93; 95% confidence interval, 1.05-3.54; P = .03) and a 64% higher risk of rehospitalization for MI or coronary stent placement (1.64; 1.16-2.32; P = .005) than did patients receiving clopidogrel alone. Increased risk of rehospitalization for MI or coronary stent placement was also observed for the subgroup of patients receiving clopidogrel plus pantoprazole (adjusted hazard ratio, 1.91; 95% confidence interval, 1.19-3.06; P = .008). Conclusions: Patients who received clopidogrel plus a PPI had a significantly higher risk of rehospitalization for MI or coronary stent placement than did patients receiving clopidogrel alone. Prospective clinical trials and laboratory analyses of biochemical interactions are warranted to further evaluate the potential impact of PPIs on the efficacy of clopidogrel. ©2010 American Medical Association. All rights reserved.","author":[{"dropping-particle":"","family":"Stockl","given":"Karen M","non-dropping-particle":"","parse-names":false,"suffix":""},{"dropping-particle":"","family":"Le","given":"Lisa","non-dropping-particle":"","parse-names":false,"suffix":""},{"dropping-particle":"","family":"Zakharyan","given":"Armen","non-dropping-particle":"","parse-names":false,"suffix":""},{"dropping-particle":"","family":"Harada","given":"Ann S M","non-dropping-particle":"","parse-names":false,"suffix":""},{"dropping-particle":"","family":"Solow","given":"Brian K","non-dropping-particle":"","parse-names":false,"suffix":""},{"dropping-particle":"","family":"Addiego","given":"Joseph E","non-dropping-particle":"","parse-names":false,"suffix":""},{"dropping-particle":"","family":"Ramsey","given":"Scott","non-dropping-particle":"","parse-names":false,"suffix":""}],"container-title":"Archives of internal medicine","id":"ITEM-1","issue":"8","issued":{"date-parts":[["2010"]]},"note":"666\n\nFrom Duplicate 2 (Risk of rehospitalization for patients using clopidogrel with a proton pump inhibitor. - Stockl, Karen M; Le, Lisa; Zakharyan, Armen; Harada, Ann S M; Solow, Brian K; Addiego, Joseph E; Ramsey, Scott)\n\nComment in: Arch Intern Med. 2010 Sep 27;170(17):1604-5; PMID: 20876414, Comment in: Arch Intern Med. 2010 Sep 13;170(16):1507-8; author reply 1508; PMID: 20837843","page":"704-710","publisher":"American Medical Association (515 North State Street, Chicago IL 60654, United States)","publisher-place":"United States","title":"Risk of rehospitalization for patients using clopidogrel with a proton pump inhibitor.","type":"article-journal","volume":"170"},"uris":["http://www.mendeley.com/documents/?uuid=2438d66b-1636-4c67-ad86-05d62e654e74"]}],"mendeley":{"formattedCitation":"(Stockl et al. 2010)","plainTextFormattedCitation":"(Stockl et al. 2010)","previouslyFormattedCitation":"(Stockl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(Stockl et al.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w:t>
            </w:r>
          </w:p>
        </w:tc>
        <w:tc>
          <w:tcPr>
            <w:tcW w:w="1667" w:type="dxa"/>
            <w:tcBorders>
              <w:top w:val="nil"/>
              <w:left w:val="nil"/>
              <w:bottom w:val="single" w:sz="4" w:space="0" w:color="808080"/>
              <w:right w:val="nil"/>
            </w:tcBorders>
            <w:shd w:val="clear" w:color="auto" w:fill="FFFFFF"/>
            <w:vAlign w:val="center"/>
            <w:hideMark/>
          </w:tcPr>
          <w:p w14:paraId="4BB88C3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analysis)</w:t>
            </w:r>
          </w:p>
        </w:tc>
        <w:tc>
          <w:tcPr>
            <w:tcW w:w="1241" w:type="dxa"/>
            <w:tcBorders>
              <w:top w:val="nil"/>
              <w:left w:val="nil"/>
              <w:bottom w:val="single" w:sz="4" w:space="0" w:color="808080"/>
              <w:right w:val="nil"/>
            </w:tcBorders>
            <w:shd w:val="clear" w:color="auto" w:fill="FFFFFF"/>
            <w:vAlign w:val="center"/>
            <w:hideMark/>
          </w:tcPr>
          <w:p w14:paraId="01E70C3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(Insurance claims database (pharmacy and  medical claims), hospital data , from Western US)</w:t>
            </w:r>
          </w:p>
        </w:tc>
        <w:tc>
          <w:tcPr>
            <w:tcW w:w="993" w:type="dxa"/>
            <w:tcBorders>
              <w:top w:val="nil"/>
              <w:left w:val="nil"/>
              <w:bottom w:val="single" w:sz="4" w:space="0" w:color="808080"/>
              <w:right w:val="nil"/>
            </w:tcBorders>
            <w:shd w:val="clear" w:color="auto" w:fill="FFFFFF"/>
            <w:vAlign w:val="center"/>
            <w:hideMark/>
          </w:tcPr>
          <w:p w14:paraId="17CC80B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MI or stent</w:t>
            </w:r>
          </w:p>
        </w:tc>
        <w:tc>
          <w:tcPr>
            <w:tcW w:w="4003" w:type="dxa"/>
            <w:tcBorders>
              <w:top w:val="nil"/>
              <w:left w:val="nil"/>
              <w:bottom w:val="single" w:sz="4" w:space="0" w:color="808080"/>
              <w:right w:val="nil"/>
            </w:tcBorders>
            <w:shd w:val="clear" w:color="auto" w:fill="FFFFFF"/>
            <w:vAlign w:val="center"/>
            <w:hideMark/>
          </w:tcPr>
          <w:p w14:paraId="1B727AB9" w14:textId="7D4E57F8"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- 18-84 years</w:t>
            </w:r>
            <w:r w:rsidRPr="005C4B89">
              <w:rPr>
                <w:rFonts w:ascii="Calibri" w:eastAsia="Times New Roman" w:hAnsi="Calibri" w:cs="Times New Roman"/>
                <w:color w:val="000000"/>
                <w:sz w:val="18"/>
                <w:szCs w:val="18"/>
                <w:lang w:eastAsia="en-CA"/>
              </w:rPr>
              <w:br/>
              <w:t>- filled prescription for clopidogrel between Jan 2004-Dec 2006</w:t>
            </w:r>
            <w:r w:rsidRPr="005C4B89">
              <w:rPr>
                <w:rFonts w:ascii="Calibri" w:eastAsia="Times New Roman" w:hAnsi="Calibri" w:cs="Times New Roman"/>
                <w:color w:val="000000"/>
                <w:sz w:val="18"/>
                <w:szCs w:val="18"/>
                <w:lang w:eastAsia="en-CA"/>
              </w:rPr>
              <w:br/>
              <w:t>- inpatient hospitalization with primary code for acute MI or coronary stent placement within 30 days before identification</w:t>
            </w:r>
            <w:r w:rsidRPr="005C4B89">
              <w:rPr>
                <w:rFonts w:ascii="Calibri" w:eastAsia="Times New Roman" w:hAnsi="Calibri" w:cs="Times New Roman"/>
                <w:color w:val="000000"/>
                <w:sz w:val="18"/>
                <w:szCs w:val="18"/>
                <w:lang w:eastAsia="en-CA"/>
              </w:rPr>
              <w:br/>
              <w:t>- continuous enrollment in the health plan during the 180 days before the index date</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clopidogrel prescription filled in the 180 days before index date</w:t>
            </w:r>
            <w:r w:rsidRPr="005C4B89">
              <w:rPr>
                <w:rFonts w:ascii="Calibri" w:eastAsia="Times New Roman" w:hAnsi="Calibri" w:cs="Times New Roman"/>
                <w:color w:val="000000"/>
                <w:sz w:val="18"/>
                <w:szCs w:val="18"/>
                <w:lang w:eastAsia="en-CA"/>
              </w:rPr>
              <w:br/>
              <w:t>- diagnosis of renal disease, renal failure, liver failure, abnormal secretion of gastrin, GERD, helicobacter pylori, or gastric ulcers</w:t>
            </w:r>
          </w:p>
        </w:tc>
        <w:tc>
          <w:tcPr>
            <w:tcW w:w="1275" w:type="dxa"/>
            <w:tcBorders>
              <w:top w:val="nil"/>
              <w:left w:val="nil"/>
              <w:bottom w:val="single" w:sz="4" w:space="0" w:color="808080"/>
              <w:right w:val="nil"/>
            </w:tcBorders>
            <w:shd w:val="clear" w:color="auto" w:fill="FFFFFF"/>
            <w:vAlign w:val="center"/>
            <w:hideMark/>
          </w:tcPr>
          <w:p w14:paraId="11DAC2F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7,049 </w:t>
            </w:r>
            <w:r w:rsidRPr="005C4B89">
              <w:rPr>
                <w:rFonts w:ascii="Calibri" w:eastAsia="Times New Roman" w:hAnsi="Calibri" w:cs="Times New Roman"/>
                <w:color w:val="000000"/>
                <w:sz w:val="18"/>
                <w:szCs w:val="18"/>
                <w:lang w:eastAsia="en-CA"/>
              </w:rPr>
              <w:br/>
              <w:t xml:space="preserve">(PPI: 1,041; No PPI: 6,008) </w:t>
            </w:r>
            <w:r w:rsidRPr="005C4B89">
              <w:rPr>
                <w:rFonts w:ascii="Calibri" w:eastAsia="Times New Roman" w:hAnsi="Calibri" w:cs="Times New Roman"/>
                <w:color w:val="000000"/>
                <w:sz w:val="18"/>
                <w:szCs w:val="18"/>
                <w:lang w:eastAsia="en-CA"/>
              </w:rPr>
              <w:br/>
              <w:t>PS matched: 1,033 in each group.</w:t>
            </w:r>
          </w:p>
        </w:tc>
        <w:tc>
          <w:tcPr>
            <w:tcW w:w="1276" w:type="dxa"/>
            <w:tcBorders>
              <w:top w:val="nil"/>
              <w:left w:val="nil"/>
              <w:bottom w:val="single" w:sz="4" w:space="0" w:color="808080"/>
              <w:right w:val="nil"/>
            </w:tcBorders>
            <w:shd w:val="clear" w:color="auto" w:fill="FFFFFF"/>
            <w:vAlign w:val="center"/>
            <w:hideMark/>
          </w:tcPr>
          <w:p w14:paraId="1075E9E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69 (11)</w:t>
            </w:r>
            <w:r w:rsidRPr="005C4B89">
              <w:rPr>
                <w:rFonts w:ascii="Calibri" w:eastAsia="Times New Roman" w:hAnsi="Calibri" w:cs="Times New Roman"/>
                <w:color w:val="000000"/>
                <w:sz w:val="18"/>
                <w:szCs w:val="18"/>
                <w:lang w:eastAsia="en-CA"/>
              </w:rPr>
              <w:br/>
              <w:t>no PPI: 69 (11) (matched cohorts)</w:t>
            </w:r>
          </w:p>
        </w:tc>
        <w:tc>
          <w:tcPr>
            <w:tcW w:w="1134" w:type="dxa"/>
            <w:tcBorders>
              <w:top w:val="nil"/>
              <w:left w:val="nil"/>
              <w:bottom w:val="single" w:sz="4" w:space="0" w:color="808080"/>
              <w:right w:val="nil"/>
            </w:tcBorders>
            <w:shd w:val="clear" w:color="auto" w:fill="FFFFFF"/>
            <w:vAlign w:val="center"/>
            <w:hideMark/>
          </w:tcPr>
          <w:p w14:paraId="169A0B0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56</w:t>
            </w:r>
          </w:p>
        </w:tc>
        <w:tc>
          <w:tcPr>
            <w:tcW w:w="1134" w:type="dxa"/>
            <w:tcBorders>
              <w:top w:val="nil"/>
              <w:left w:val="nil"/>
              <w:bottom w:val="single" w:sz="4" w:space="0" w:color="808080"/>
              <w:right w:val="nil"/>
            </w:tcBorders>
            <w:shd w:val="clear" w:color="auto" w:fill="FFFFFF"/>
            <w:vAlign w:val="center"/>
            <w:hideMark/>
          </w:tcPr>
          <w:p w14:paraId="2EA6889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46C03F96" w14:textId="77777777" w:rsidTr="002B686E">
        <w:trPr>
          <w:trHeight w:val="818"/>
        </w:trPr>
        <w:tc>
          <w:tcPr>
            <w:tcW w:w="1310" w:type="dxa"/>
            <w:tcBorders>
              <w:top w:val="nil"/>
              <w:left w:val="nil"/>
              <w:bottom w:val="single" w:sz="4" w:space="0" w:color="808080"/>
              <w:right w:val="nil"/>
            </w:tcBorders>
            <w:shd w:val="clear" w:color="auto" w:fill="FFFFFF"/>
            <w:vAlign w:val="center"/>
            <w:hideMark/>
          </w:tcPr>
          <w:p w14:paraId="66B75360" w14:textId="29BFDC0D" w:rsidR="009462F4" w:rsidRPr="005C4B89" w:rsidRDefault="009462F4">
            <w:pPr>
              <w:spacing w:after="0" w:line="240" w:lineRule="auto"/>
              <w:rPr>
                <w:rFonts w:ascii="Calibri" w:eastAsia="Times New Roman" w:hAnsi="Calibri" w:cs="Times New Roman"/>
                <w:color w:val="000000"/>
                <w:sz w:val="18"/>
                <w:szCs w:val="18"/>
                <w:lang w:val="fr-CA"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val="fr-CA" w:eastAsia="en-CA"/>
              </w:rPr>
              <w:instrText>ADDIN CSL_CITATION {"citationItems":[{"id":"ITEM-1","itemData":{"author":[{"dropping-particle":"","family":"Sweeny","given":"JM","non-dropping-particle":"","parse-names":false,"suffix":""},{"dropping-particle":"","family":"Kini","given":"A","non-dropping-particle":"","parse-names":false,"suffix":""},{"dropping-particle":"","family":"Muntner","given":"P","non-dropping-particle":"","parse-names":false,"suffix":""},{"dropping-particle":"","family":"Jakkula","given":"M","non-dropping-particle":"","parse-names":false,"suffix":""},{"dropping-particle":"","family":"Farkouh","given":"M","non-dropping-particle":"","parse-names":false,"suffix":""},{"dropping-particle":"","family":"Sharma","given":"S","non-dropping-particle":"","parse-names":false,"suffix":""}],"container-title":"Circulation2","id":"ITEM-1","issued":{"date-parts":[["2009"]]},"note":"NULL","page":"S936","title":"Mortality associated with proton pump inhibitors following percuta- neous coronary interventions with drug eluting stents","type":"article-journal","volume":"120"},"uris":["http://www.mendeley.com/documents/?uuid=08f6c959-a7ec-44ac-8544-121c73ac549a"]}],"mendeley":{"formattedCitation":"(Sweeny et al. 2009)","plainTextFormattedCitation":"(Sweeny et al. 2009)","previouslyFormattedCitation":"(Sweeny et al. 2009)"},"properties":{"noteIndex":0},"schema":"https://github.com/citation-style-language/schema/raw/master/csl-citation.json"}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val="fr-CA" w:eastAsia="en-CA"/>
              </w:rPr>
              <w:t>(Sweeny et al. 2009)</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val="fr-CA" w:eastAsia="en-CA"/>
              </w:rPr>
              <w:t xml:space="preserve"> (USA)</w:t>
            </w:r>
          </w:p>
          <w:p w14:paraId="220682F6" w14:textId="77777777" w:rsidR="009462F4" w:rsidRPr="005C4B89" w:rsidRDefault="009462F4">
            <w:pPr>
              <w:spacing w:after="0" w:line="240" w:lineRule="auto"/>
              <w:rPr>
                <w:rFonts w:ascii="Calibri" w:eastAsia="Times New Roman" w:hAnsi="Calibri" w:cs="Times New Roman"/>
                <w:color w:val="000000"/>
                <w:sz w:val="18"/>
                <w:szCs w:val="18"/>
                <w:lang w:val="fr-CA" w:eastAsia="en-CA"/>
              </w:rPr>
            </w:pPr>
            <w:r w:rsidRPr="005C4B89">
              <w:rPr>
                <w:rFonts w:ascii="Calibri" w:eastAsia="Times New Roman" w:hAnsi="Calibri" w:cs="Times New Roman"/>
                <w:color w:val="000000"/>
                <w:sz w:val="18"/>
                <w:szCs w:val="18"/>
                <w:lang w:val="fr-CA" w:eastAsia="en-CA"/>
              </w:rPr>
              <w:t>[abstract]</w:t>
            </w:r>
          </w:p>
        </w:tc>
        <w:tc>
          <w:tcPr>
            <w:tcW w:w="1667" w:type="dxa"/>
            <w:tcBorders>
              <w:top w:val="nil"/>
              <w:left w:val="nil"/>
              <w:bottom w:val="single" w:sz="4" w:space="0" w:color="808080"/>
              <w:right w:val="nil"/>
            </w:tcBorders>
            <w:shd w:val="clear" w:color="auto" w:fill="FFFFFF"/>
            <w:vAlign w:val="center"/>
            <w:hideMark/>
          </w:tcPr>
          <w:p w14:paraId="6EDADF3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 xml:space="preserve">(database analysis, hospitals) </w:t>
            </w:r>
          </w:p>
        </w:tc>
        <w:tc>
          <w:tcPr>
            <w:tcW w:w="1241" w:type="dxa"/>
            <w:tcBorders>
              <w:top w:val="nil"/>
              <w:left w:val="nil"/>
              <w:bottom w:val="single" w:sz="4" w:space="0" w:color="808080"/>
              <w:right w:val="nil"/>
            </w:tcBorders>
            <w:shd w:val="clear" w:color="auto" w:fill="FFFFFF"/>
            <w:vAlign w:val="center"/>
            <w:hideMark/>
          </w:tcPr>
          <w:p w14:paraId="5DB26EF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 New York State Interventional database </w:t>
            </w:r>
          </w:p>
        </w:tc>
        <w:tc>
          <w:tcPr>
            <w:tcW w:w="993" w:type="dxa"/>
            <w:tcBorders>
              <w:top w:val="nil"/>
              <w:left w:val="nil"/>
              <w:bottom w:val="single" w:sz="4" w:space="0" w:color="808080"/>
              <w:right w:val="nil"/>
            </w:tcBorders>
            <w:shd w:val="clear" w:color="auto" w:fill="FFFFFF"/>
            <w:vAlign w:val="center"/>
            <w:hideMark/>
          </w:tcPr>
          <w:p w14:paraId="2157CAE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PCI with DES</w:t>
            </w:r>
          </w:p>
        </w:tc>
        <w:tc>
          <w:tcPr>
            <w:tcW w:w="4003" w:type="dxa"/>
            <w:tcBorders>
              <w:top w:val="nil"/>
              <w:left w:val="nil"/>
              <w:bottom w:val="single" w:sz="4" w:space="0" w:color="808080"/>
              <w:right w:val="nil"/>
            </w:tcBorders>
            <w:shd w:val="clear" w:color="auto" w:fill="FFFFFF"/>
            <w:vAlign w:val="center"/>
            <w:hideMark/>
          </w:tcPr>
          <w:p w14:paraId="400EE8B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underwent PCI with DES between Apr 2003-June 2007</w:t>
            </w:r>
          </w:p>
        </w:tc>
        <w:tc>
          <w:tcPr>
            <w:tcW w:w="1275" w:type="dxa"/>
            <w:tcBorders>
              <w:top w:val="nil"/>
              <w:left w:val="nil"/>
              <w:bottom w:val="single" w:sz="4" w:space="0" w:color="808080"/>
              <w:right w:val="nil"/>
            </w:tcBorders>
            <w:shd w:val="clear" w:color="auto" w:fill="FFFFFF"/>
            <w:vAlign w:val="center"/>
            <w:hideMark/>
          </w:tcPr>
          <w:p w14:paraId="1702793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8,311</w:t>
            </w:r>
            <w:r w:rsidRPr="005C4B89">
              <w:rPr>
                <w:rFonts w:ascii="Calibri" w:eastAsia="Times New Roman" w:hAnsi="Calibri" w:cs="Times New Roman"/>
                <w:color w:val="000000"/>
                <w:sz w:val="18"/>
                <w:szCs w:val="18"/>
                <w:lang w:eastAsia="en-CA"/>
              </w:rPr>
              <w:br/>
              <w:t>(PPI: 1,385; no PPI: 6,926)</w:t>
            </w:r>
          </w:p>
        </w:tc>
        <w:tc>
          <w:tcPr>
            <w:tcW w:w="1276" w:type="dxa"/>
            <w:tcBorders>
              <w:top w:val="nil"/>
              <w:left w:val="nil"/>
              <w:bottom w:val="single" w:sz="4" w:space="0" w:color="808080"/>
              <w:right w:val="nil"/>
            </w:tcBorders>
            <w:shd w:val="clear" w:color="auto" w:fill="FFFFFF"/>
            <w:vAlign w:val="center"/>
            <w:hideMark/>
          </w:tcPr>
          <w:p w14:paraId="54F015E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c>
          <w:tcPr>
            <w:tcW w:w="1134" w:type="dxa"/>
            <w:tcBorders>
              <w:top w:val="nil"/>
              <w:left w:val="nil"/>
              <w:bottom w:val="single" w:sz="4" w:space="0" w:color="808080"/>
              <w:right w:val="nil"/>
            </w:tcBorders>
            <w:shd w:val="clear" w:color="auto" w:fill="FFFFFF"/>
            <w:vAlign w:val="center"/>
            <w:hideMark/>
          </w:tcPr>
          <w:p w14:paraId="1986301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c>
          <w:tcPr>
            <w:tcW w:w="1134" w:type="dxa"/>
            <w:tcBorders>
              <w:top w:val="nil"/>
              <w:left w:val="nil"/>
              <w:bottom w:val="single" w:sz="4" w:space="0" w:color="808080"/>
              <w:right w:val="nil"/>
            </w:tcBorders>
            <w:shd w:val="clear" w:color="auto" w:fill="FFFFFF"/>
            <w:vAlign w:val="center"/>
            <w:hideMark/>
          </w:tcPr>
          <w:p w14:paraId="4BEFBA0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5145E773"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22CCABD2" w14:textId="63A10D15"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fldChar w:fldCharType="begin" w:fldLock="1"/>
            </w:r>
            <w:r w:rsidR="00D325C7">
              <w:rPr>
                <w:rFonts w:ascii="Calibri" w:eastAsia="Times New Roman" w:hAnsi="Calibri" w:cs="Times New Roman"/>
                <w:color w:val="000000"/>
                <w:sz w:val="18"/>
                <w:szCs w:val="18"/>
                <w:lang w:eastAsia="en-CA"/>
              </w:rPr>
              <w:instrText>ADDIN CSL_CITATION {"citationItems":[{"id":"ITEM-1","itemData":{"ISSN":"0340-6245","abstract":"The aim of the study was to evaluate the effect of the concomitant treatment with proton-pump inhibitors (PPIs) and clopidogrel on the incidence of stent thrombosis, acute coronary syndrome (ACS) and death in patients who underwent percutaneous coronary intervention (PCI) and stent implantation. In total, 1,210 patients under dual antiplatelet therapy, who underwent PCI and stent implantation, were included in a prospective registry from January 2003 until December 2006. The patients were divided retrospectively into those with or without long-term PPI treatment (for the duration of dual antiplatelet therapy). All-cause mortality, cardiovascular death, re-hospitalisation for re-ACS, stent thrombosis, as well as the combined endpoint all-cause death, re-ACS or stent thrombosis were evaluated over a mean follow-up period of 7.8 (+/- 3.63) months (range 1-12 months). Propensity score analysis was performed to reduce potential selection bias and exhibited no significant difference between the two study groups with respect to all-cause mortality, cardiovascular death, re-ACS, stent thrombosis and the combined endpoint. In pre-specified subgroup analyses performed in patients presenting with ACS and referred for acute PCI or for stable patients referred for elective PCI, receiving drug-eluting stents or bare metal stents, in diabetics or non-diabetics, in males or females, and in patients older than 75 years or &lt;75 years of age use of PPIs had no significant impact on clinical outcome. Our data suggest that a combined use of clopidogrel as part of dual antiplatelet therapy (DAPT) after coronary stenting and PPIs does not significantly influence the clinical outcome.","author":[{"dropping-particle":"","family":"Tentzeris","given":"Ioannis","non-dropping-particle":"","parse-names":false,"suffix":""},{"dropping-particle":"","family":"Jarai","given":"Rudolf","non-dropping-particle":"","parse-names":false,"suffix":""},{"dropping-particle":"","family":"Farhan","given":"Serdar","non-dropping-particle":"","parse-names":false,"suffix":""},{"dropping-particle":"","family":"Brozovic","given":"Ivan","non-dropping-particle":"","parse-names":false,"suffix":""},{"dropping-particle":"","family":"Smetana","given":"Peter","non-dropping-particle":"","parse-names":false,"suffix":""},{"dropping-particle":"","family":"Geppert","given":"Alexander","non-dropping-particle":"","parse-names":false,"suffix":""},{"dropping-particle":"","family":"Wojta","given":"Johann","non-dropping-particle":"","parse-names":false,"suffix":""},{"dropping-particle":"","family":"Siller-Matula","given":"Jolanta","non-dropping-particle":"","parse-names":false,"suffix":""},{"dropping-particle":"","family":"Huber","given":"Kurt","non-dropping-particle":"","parse-names":false,"suffix":""}],"container-title":"Thrombosis and haemostasis","id":"ITEM-1","issue":"6","issued":{"date-parts":[["2010"]]},"note":"662","page":"1211-1218","publisher":"Tentzeris,Ioannis. 3rd Medical Department with Cardiology and Emergency Medicine, Wilhelminen Hospital, Vienna, Austria. i_tentzeris@gmx.net","publisher-place":"Germany","title":"Impact of concomitant treatment with proton pump inhibitors and clopidogrel on clinical outcome in patients after coronary stent implantation.","type":"article-journal","volume":"104"},"uris":["http://www.mendeley.com/documents/?uuid=14134196-6918-489d-bc28-2679db5b8ab8"]}],"mendeley":{"formattedCitation":"(Tentzeris et al. 2010)","plainTextFormattedCitation":"(Tentzeris et al. 2010)","previouslyFormattedCitation":"(Tentzeris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(Tentzeris et al.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(Austria)</w:t>
            </w:r>
          </w:p>
        </w:tc>
        <w:tc>
          <w:tcPr>
            <w:tcW w:w="1667" w:type="dxa"/>
            <w:tcBorders>
              <w:top w:val="nil"/>
              <w:left w:val="nil"/>
              <w:bottom w:val="single" w:sz="4" w:space="0" w:color="808080"/>
              <w:right w:val="nil"/>
            </w:tcBorders>
            <w:shd w:val="clear" w:color="auto" w:fill="FFFFFF"/>
            <w:vAlign w:val="center"/>
            <w:hideMark/>
          </w:tcPr>
          <w:p w14:paraId="20E8530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(registry, hospital)</w:t>
            </w:r>
          </w:p>
        </w:tc>
        <w:tc>
          <w:tcPr>
            <w:tcW w:w="1241" w:type="dxa"/>
            <w:tcBorders>
              <w:top w:val="nil"/>
              <w:left w:val="nil"/>
              <w:bottom w:val="single" w:sz="4" w:space="0" w:color="808080"/>
              <w:right w:val="nil"/>
            </w:tcBorders>
            <w:shd w:val="clear" w:color="auto" w:fill="FFFFFF"/>
            <w:vAlign w:val="center"/>
            <w:hideMark/>
          </w:tcPr>
          <w:p w14:paraId="0BC544A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FFFFFF"/>
            <w:vAlign w:val="center"/>
            <w:hideMark/>
          </w:tcPr>
          <w:p w14:paraId="29E774B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PCI with stent</w:t>
            </w:r>
          </w:p>
        </w:tc>
        <w:tc>
          <w:tcPr>
            <w:tcW w:w="4003" w:type="dxa"/>
            <w:tcBorders>
              <w:top w:val="nil"/>
              <w:left w:val="nil"/>
              <w:bottom w:val="single" w:sz="4" w:space="0" w:color="808080"/>
              <w:right w:val="nil"/>
            </w:tcBorders>
            <w:shd w:val="clear" w:color="auto" w:fill="FFFFFF"/>
            <w:vAlign w:val="center"/>
            <w:hideMark/>
          </w:tcPr>
          <w:p w14:paraId="2F7647BC" w14:textId="1328D46E"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For registry inclusion</w:t>
            </w:r>
            <w:r w:rsidRPr="005C4B89">
              <w:rPr>
                <w:rFonts w:ascii="Calibri" w:eastAsia="Times New Roman" w:hAnsi="Calibri" w:cs="Times New Roman"/>
                <w:color w:val="000000"/>
                <w:sz w:val="18"/>
                <w:szCs w:val="18"/>
                <w:lang w:eastAsia="en-CA"/>
              </w:rPr>
              <w:br/>
              <w:t>- consecutive patients, successful PCI with stent implantation between Jan 2003 - Dec 2006</w:t>
            </w:r>
            <w:r w:rsidRPr="005C4B89">
              <w:rPr>
                <w:rFonts w:ascii="Calibri" w:eastAsia="Times New Roman" w:hAnsi="Calibri" w:cs="Times New Roman"/>
                <w:color w:val="000000"/>
                <w:sz w:val="18"/>
                <w:szCs w:val="18"/>
                <w:lang w:eastAsia="en-CA"/>
              </w:rPr>
              <w:br/>
              <w:t>-on</w:t>
            </w:r>
            <w:r w:rsidR="00DE19B3">
              <w:rPr>
                <w:rFonts w:ascii="Calibri" w:eastAsia="Times New Roman" w:hAnsi="Calibri" w:cs="Times New Roman"/>
                <w:color w:val="000000"/>
                <w:sz w:val="18"/>
                <w:szCs w:val="18"/>
                <w:lang w:eastAsia="en-CA"/>
              </w:rPr>
              <w:t xml:space="preserve"> DAPT (aspirin and clopidogrel)</w:t>
            </w:r>
          </w:p>
        </w:tc>
        <w:tc>
          <w:tcPr>
            <w:tcW w:w="1275" w:type="dxa"/>
            <w:tcBorders>
              <w:top w:val="nil"/>
              <w:left w:val="nil"/>
              <w:bottom w:val="single" w:sz="4" w:space="0" w:color="808080"/>
              <w:right w:val="nil"/>
            </w:tcBorders>
            <w:shd w:val="clear" w:color="auto" w:fill="FFFFFF"/>
            <w:vAlign w:val="center"/>
            <w:hideMark/>
          </w:tcPr>
          <w:p w14:paraId="67AABF4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1,210 </w:t>
            </w:r>
            <w:r w:rsidRPr="005C4B89">
              <w:rPr>
                <w:rFonts w:ascii="Calibri" w:eastAsia="Times New Roman" w:hAnsi="Calibri" w:cs="Times New Roman"/>
                <w:color w:val="000000"/>
                <w:sz w:val="18"/>
                <w:szCs w:val="18"/>
                <w:lang w:eastAsia="en-CA"/>
              </w:rPr>
              <w:br/>
              <w:t>(PPI: 691; No PPI: 519)</w:t>
            </w:r>
          </w:p>
        </w:tc>
        <w:tc>
          <w:tcPr>
            <w:tcW w:w="1276" w:type="dxa"/>
            <w:tcBorders>
              <w:top w:val="nil"/>
              <w:left w:val="nil"/>
              <w:bottom w:val="single" w:sz="4" w:space="0" w:color="808080"/>
              <w:right w:val="nil"/>
            </w:tcBorders>
            <w:shd w:val="clear" w:color="auto" w:fill="FFFFFF"/>
            <w:vAlign w:val="center"/>
            <w:hideMark/>
          </w:tcPr>
          <w:p w14:paraId="1C79DC2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64 (12)</w:t>
            </w:r>
            <w:r w:rsidRPr="005C4B89">
              <w:rPr>
                <w:rFonts w:ascii="Calibri" w:eastAsia="Times New Roman" w:hAnsi="Calibri" w:cs="Times New Roman"/>
                <w:color w:val="000000"/>
                <w:sz w:val="18"/>
                <w:szCs w:val="18"/>
                <w:lang w:eastAsia="en-CA"/>
              </w:rPr>
              <w:br/>
              <w:t>no PPI: 64 (12)</w:t>
            </w:r>
          </w:p>
        </w:tc>
        <w:tc>
          <w:tcPr>
            <w:tcW w:w="1134" w:type="dxa"/>
            <w:tcBorders>
              <w:top w:val="nil"/>
              <w:left w:val="nil"/>
              <w:bottom w:val="single" w:sz="4" w:space="0" w:color="808080"/>
              <w:right w:val="nil"/>
            </w:tcBorders>
            <w:shd w:val="clear" w:color="auto" w:fill="FFFFFF"/>
            <w:vAlign w:val="center"/>
            <w:hideMark/>
          </w:tcPr>
          <w:p w14:paraId="0A00266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65</w:t>
            </w:r>
            <w:r w:rsidRPr="005C4B89">
              <w:rPr>
                <w:rFonts w:ascii="Calibri" w:eastAsia="Times New Roman" w:hAnsi="Calibri" w:cs="Times New Roman"/>
                <w:color w:val="000000"/>
                <w:sz w:val="18"/>
                <w:szCs w:val="18"/>
                <w:lang w:eastAsia="en-CA"/>
              </w:rPr>
              <w:br/>
              <w:t>no PPI: 73</w:t>
            </w:r>
          </w:p>
        </w:tc>
        <w:tc>
          <w:tcPr>
            <w:tcW w:w="1134" w:type="dxa"/>
            <w:tcBorders>
              <w:top w:val="nil"/>
              <w:left w:val="nil"/>
              <w:bottom w:val="single" w:sz="4" w:space="0" w:color="808080"/>
              <w:right w:val="nil"/>
            </w:tcBorders>
            <w:shd w:val="clear" w:color="auto" w:fill="FFFFFF"/>
            <w:vAlign w:val="center"/>
            <w:hideMark/>
          </w:tcPr>
          <w:p w14:paraId="42CD190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1D3D8F7A"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756A5E94" w14:textId="271C3333"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DOI":"10.1002/clc.20978","author":[{"dropping-particle":"","family":"Ulhaq","given":"Inam","non-dropping-particle":"","parse-names":false,"suffix":""},{"dropping-particle":"","family":"Sood","given":"Ruchit","non-dropping-particle":"","parse-names":false,"suffix":""},{"dropping-particle":"","family":"Hegade","given":"Vinod","non-dropping-particle":"","parse-names":false,"suffix":""},{"dropping-particle":"","family":"Moreea","given":"Sulleman","non-dropping-particle":"","parse-names":false,"suffix":""},{"dropping-particle":"","family":"Bulugahapitiya","given":"Sudantha","non-dropping-particle":"","parse-names":false,"suffix":""}],"container-title":"Clinical cardiology","id":"ITEM-1","issue":"11","issued":{"date-parts":[["2011"]]},"note":"NULL","page":"721","title":"Response to Clopidogrel With Proton Pump Inhibitors: Safe or Not? -Letter to the Editor","type":"article-journal","volume":"34"},"uris":["http://www.mendeley.com/documents/?uuid=6213be15-af23-4dd5-8360-df7368992afa"]}],"mendeley":{"formattedCitation":"(Ulhaq et al. 2011)","plainTextFormattedCitation":"(Ulhaq et al. 2011)","previouslyFormattedCitation":"(Ulhaq et al. 2011)"},"properties":{"noteIndex":0},"schema":"https://github.com/citation-style-language/schema/raw/master/csl-citation.json"}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(Ulhaq et al. 2011)</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(UK)</w:t>
            </w:r>
          </w:p>
        </w:tc>
        <w:tc>
          <w:tcPr>
            <w:tcW w:w="1667" w:type="dxa"/>
            <w:tcBorders>
              <w:top w:val="nil"/>
              <w:left w:val="nil"/>
              <w:bottom w:val="single" w:sz="4" w:space="0" w:color="808080"/>
              <w:right w:val="nil"/>
            </w:tcBorders>
            <w:shd w:val="clear" w:color="auto" w:fill="FFFFFF"/>
            <w:vAlign w:val="center"/>
            <w:hideMark/>
          </w:tcPr>
          <w:p w14:paraId="0CBB468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-letter to the editor</w:t>
            </w:r>
            <w:r w:rsidRPr="005C4B89">
              <w:rPr>
                <w:rFonts w:ascii="Calibri" w:eastAsia="Times New Roman" w:hAnsi="Calibri" w:cs="Times New Roman"/>
                <w:color w:val="000000"/>
                <w:sz w:val="18"/>
                <w:szCs w:val="18"/>
                <w:lang w:eastAsia="en-CA"/>
              </w:rPr>
              <w:br/>
              <w:t>(hospital -1 center)</w:t>
            </w:r>
          </w:p>
        </w:tc>
        <w:tc>
          <w:tcPr>
            <w:tcW w:w="1241" w:type="dxa"/>
            <w:tcBorders>
              <w:top w:val="nil"/>
              <w:left w:val="nil"/>
              <w:bottom w:val="single" w:sz="4" w:space="0" w:color="808080"/>
              <w:right w:val="nil"/>
            </w:tcBorders>
            <w:shd w:val="clear" w:color="auto" w:fill="FFFFFF"/>
            <w:vAlign w:val="center"/>
            <w:hideMark/>
          </w:tcPr>
          <w:p w14:paraId="078E99E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FFFFFF"/>
            <w:vAlign w:val="center"/>
            <w:hideMark/>
          </w:tcPr>
          <w:p w14:paraId="04B3882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MI</w:t>
            </w:r>
          </w:p>
        </w:tc>
        <w:tc>
          <w:tcPr>
            <w:tcW w:w="4003" w:type="dxa"/>
            <w:tcBorders>
              <w:top w:val="nil"/>
              <w:left w:val="nil"/>
              <w:bottom w:val="single" w:sz="4" w:space="0" w:color="808080"/>
              <w:right w:val="nil"/>
            </w:tcBorders>
            <w:shd w:val="clear" w:color="auto" w:fill="FFFFFF"/>
            <w:vAlign w:val="center"/>
            <w:hideMark/>
          </w:tcPr>
          <w:p w14:paraId="767B8B25" w14:textId="770C7F3E" w:rsidR="009462F4" w:rsidRPr="005C4B89" w:rsidRDefault="00DE19B3" w:rsidP="00DE19B3">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Inclusion:</w:t>
            </w:r>
            <w:r>
              <w:rPr>
                <w:rFonts w:ascii="Calibri" w:eastAsia="Times New Roman" w:hAnsi="Calibri" w:cs="Times New Roman"/>
                <w:color w:val="000000"/>
                <w:sz w:val="18"/>
                <w:szCs w:val="18"/>
                <w:lang w:eastAsia="en-CA"/>
              </w:rPr>
              <w:br/>
              <w:t>ACS on DAPT</w:t>
            </w:r>
          </w:p>
        </w:tc>
        <w:tc>
          <w:tcPr>
            <w:tcW w:w="1275" w:type="dxa"/>
            <w:tcBorders>
              <w:top w:val="nil"/>
              <w:left w:val="nil"/>
              <w:bottom w:val="single" w:sz="4" w:space="0" w:color="808080"/>
              <w:right w:val="nil"/>
            </w:tcBorders>
            <w:shd w:val="clear" w:color="auto" w:fill="FFFFFF"/>
            <w:vAlign w:val="center"/>
            <w:hideMark/>
          </w:tcPr>
          <w:p w14:paraId="7C960D1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184</w:t>
            </w:r>
            <w:r w:rsidRPr="005C4B89">
              <w:rPr>
                <w:rFonts w:ascii="Calibri" w:eastAsia="Times New Roman" w:hAnsi="Calibri" w:cs="Times New Roman"/>
                <w:color w:val="000000"/>
                <w:sz w:val="18"/>
                <w:szCs w:val="18"/>
                <w:lang w:eastAsia="en-CA"/>
              </w:rPr>
              <w:br/>
              <w:t>(PPI: 96; no PPI:88)</w:t>
            </w:r>
          </w:p>
        </w:tc>
        <w:tc>
          <w:tcPr>
            <w:tcW w:w="1276" w:type="dxa"/>
            <w:tcBorders>
              <w:top w:val="nil"/>
              <w:left w:val="nil"/>
              <w:bottom w:val="single" w:sz="4" w:space="0" w:color="808080"/>
              <w:right w:val="nil"/>
            </w:tcBorders>
            <w:shd w:val="clear" w:color="auto" w:fill="FFFFFF"/>
            <w:vAlign w:val="center"/>
            <w:hideMark/>
          </w:tcPr>
          <w:p w14:paraId="2382095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67</w:t>
            </w:r>
          </w:p>
        </w:tc>
        <w:tc>
          <w:tcPr>
            <w:tcW w:w="1134" w:type="dxa"/>
            <w:tcBorders>
              <w:top w:val="nil"/>
              <w:left w:val="nil"/>
              <w:bottom w:val="single" w:sz="4" w:space="0" w:color="808080"/>
              <w:right w:val="nil"/>
            </w:tcBorders>
            <w:shd w:val="clear" w:color="auto" w:fill="FFFFFF"/>
            <w:vAlign w:val="center"/>
            <w:hideMark/>
          </w:tcPr>
          <w:p w14:paraId="4EAD5FE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66</w:t>
            </w:r>
          </w:p>
        </w:tc>
        <w:tc>
          <w:tcPr>
            <w:tcW w:w="1134" w:type="dxa"/>
            <w:tcBorders>
              <w:top w:val="nil"/>
              <w:left w:val="nil"/>
              <w:bottom w:val="single" w:sz="4" w:space="0" w:color="808080"/>
              <w:right w:val="nil"/>
            </w:tcBorders>
            <w:shd w:val="clear" w:color="auto" w:fill="FFFFFF"/>
            <w:vAlign w:val="center"/>
            <w:hideMark/>
          </w:tcPr>
          <w:p w14:paraId="6C448F6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Caucasian, Asian</w:t>
            </w:r>
          </w:p>
        </w:tc>
      </w:tr>
      <w:tr w:rsidR="009462F4" w:rsidRPr="005C4B89" w14:paraId="0DE05460"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02B9EF34" w14:textId="6EA19C3A"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{"citationItems":[{"id":"ITEM-1","itemData":{"ISBN":"0269-2813","ISSN":"1365-2036","abstract":"BACKGROUND: The association between myocardial infarction (MI) and co-administration of proton pump inhibitors (PPIs) and clopidogrel remains controversial., AIM: To quantify the association between concomitant use of PPIs and clopidogrel and occurrence of recurrent MI., METHODS: We conducted a case-control study within a cohort of acute MI patients in PHARMO Record Linkage System (1999-2008). The cases were patients readmitted for MI. PPI exposure was categorized as current (3-1 days before MI), past (30-3 days before MI), or no use (&gt;30 days before MI). We used conditional logistic regression analyses., RESULTS: Among 23 655 patients hospitalized following MI, we identified 1247 patients readmitted for MI. Among clopidogrel users, current PPI use was associated with an increased risk of recurrent MI (OR: 1.62, 95% CI: 1.15-2.27) when compared with no PPI use, but not when compared with past PPI use (OR: 0.95, 95% CI: 0.38-2.41). Among clopidogrel non-users, current PPI use was associated with an increased risk of recurrent MI (OR: 1.38, 95% CI: 1.18-1.61) when compared with no PPI use., CONCLUSIONS: The apparent association between recurrent MI and use of PPIs with clopidogrel depends on the design, and is affected by confounding by indication. The association is not present when (un)measured confounding is addressed by design.Copyright © 2010 Blackwell Publishing Ltd.","author":[{"dropping-particle":"","family":"Valkhoff","given":"V E","non-dropping-particle":"","parse-names":false,"suffix":""},{"dropping-particle":"","family":"'t Jong","given":"G W","non-dropping-particle":"","parse-names":false,"suffix":""},{"dropping-particle":"","family":"Soest","given":"E M","non-dropping-particle":"Van","parse-names":false,"suffix":""},{"dropping-particle":"","family":"Kuipers","given":"E J","non-dropping-particle":"","parse-names":false,"suffix":""},{"dropping-particle":"","family":"Sturkenboom","given":"M C J M","non-dropping-particle":"","parse-names":false,"suffix":""}],"container-title":"Alimentary pharmacology &amp; therapeutics","id":"ITEM-1","issue":"1","issued":{"date-parts":[["2011"]]},"note":"NULL","page":"77-88","publisher":"Blackwell Publishing Ltd (9600 Garsington Road, Oxford OX4 2XG, United Kingdom)","publisher-place":"England","title":"Risk of recurrent myocardial infarction with the concomitant use of clopidogrel and proton pump inhibitors.","type":"article-journal","volume":"33"},"uris":["http://www.mendeley.com/documents/?uuid=9cdc9a9f-8bb6-4c06-a39a-f950907df585"]}],"mendeley":{"formattedCitation":"(Valkhoff et al. 2011)","plainTextFormattedCitation":"(Valkhoff et al. 2011)","previouslyFormattedCitation":"(Valkhoff et al. 2011)"},"properties":{"noteIndex":0},"schema":"https://github.com/citation-style-language/schema/raw/master/csl-citation.json"}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(Valkhoff et al. 2011)</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(Netherlands)</w:t>
            </w:r>
          </w:p>
        </w:tc>
        <w:tc>
          <w:tcPr>
            <w:tcW w:w="1667" w:type="dxa"/>
            <w:tcBorders>
              <w:top w:val="nil"/>
              <w:left w:val="nil"/>
              <w:bottom w:val="single" w:sz="4" w:space="0" w:color="808080"/>
              <w:right w:val="nil"/>
            </w:tcBorders>
            <w:shd w:val="clear" w:color="auto" w:fill="FFFFFF"/>
            <w:vAlign w:val="center"/>
            <w:hideMark/>
          </w:tcPr>
          <w:p w14:paraId="321A5DE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Nested case-control</w:t>
            </w:r>
            <w:r w:rsidRPr="005C4B89">
              <w:rPr>
                <w:rFonts w:ascii="Calibri" w:eastAsia="Times New Roman" w:hAnsi="Calibri" w:cs="Times New Roman"/>
                <w:color w:val="000000"/>
                <w:sz w:val="18"/>
                <w:szCs w:val="18"/>
                <w:lang w:eastAsia="en-CA"/>
              </w:rPr>
              <w:br/>
              <w:t>(database analysis)</w:t>
            </w:r>
          </w:p>
        </w:tc>
        <w:tc>
          <w:tcPr>
            <w:tcW w:w="1241" w:type="dxa"/>
            <w:tcBorders>
              <w:top w:val="nil"/>
              <w:left w:val="nil"/>
              <w:bottom w:val="single" w:sz="4" w:space="0" w:color="808080"/>
              <w:right w:val="nil"/>
            </w:tcBorders>
            <w:shd w:val="clear" w:color="auto" w:fill="FFFFFF"/>
            <w:vAlign w:val="center"/>
            <w:hideMark/>
          </w:tcPr>
          <w:p w14:paraId="38905F3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PHARMO Record Linkage System (Netherlands)</w:t>
            </w:r>
          </w:p>
        </w:tc>
        <w:tc>
          <w:tcPr>
            <w:tcW w:w="993" w:type="dxa"/>
            <w:tcBorders>
              <w:top w:val="nil"/>
              <w:left w:val="nil"/>
              <w:bottom w:val="single" w:sz="4" w:space="0" w:color="808080"/>
              <w:right w:val="nil"/>
            </w:tcBorders>
            <w:shd w:val="clear" w:color="auto" w:fill="FFFFFF"/>
            <w:vAlign w:val="center"/>
            <w:hideMark/>
          </w:tcPr>
          <w:p w14:paraId="15A2006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MI</w:t>
            </w:r>
          </w:p>
        </w:tc>
        <w:tc>
          <w:tcPr>
            <w:tcW w:w="4003" w:type="dxa"/>
            <w:tcBorders>
              <w:top w:val="nil"/>
              <w:left w:val="nil"/>
              <w:bottom w:val="single" w:sz="4" w:space="0" w:color="808080"/>
              <w:right w:val="nil"/>
            </w:tcBorders>
            <w:shd w:val="clear" w:color="auto" w:fill="FFFFFF"/>
            <w:vAlign w:val="center"/>
            <w:hideMark/>
          </w:tcPr>
          <w:p w14:paraId="02F70C99" w14:textId="67AA03AE"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Cohort: patients admitted for AMI between Jan 1999- Dec 2008 (primary diagnosis)</w:t>
            </w:r>
            <w:r w:rsidRPr="005C4B89">
              <w:rPr>
                <w:rFonts w:ascii="Calibri" w:eastAsia="Times New Roman" w:hAnsi="Calibri" w:cs="Times New Roman"/>
                <w:color w:val="000000"/>
                <w:sz w:val="18"/>
                <w:szCs w:val="18"/>
                <w:lang w:eastAsia="en-CA"/>
              </w:rPr>
              <w:br/>
              <w:t xml:space="preserve">-required to have had one prescription filled at least 1 year preceding the date of cohort entry </w:t>
            </w:r>
            <w:r w:rsidRPr="005C4B89">
              <w:rPr>
                <w:rFonts w:ascii="Calibri" w:eastAsia="Times New Roman" w:hAnsi="Calibri" w:cs="Times New Roman"/>
                <w:color w:val="000000"/>
                <w:sz w:val="18"/>
                <w:szCs w:val="18"/>
                <w:lang w:eastAsia="en-CA"/>
              </w:rPr>
              <w:br/>
              <w:t>Cases</w:t>
            </w:r>
            <w:r w:rsidRPr="005C4B89">
              <w:rPr>
                <w:rFonts w:ascii="Calibri" w:eastAsia="Times New Roman" w:hAnsi="Calibri" w:cs="Times New Roman"/>
                <w:color w:val="000000"/>
                <w:sz w:val="18"/>
                <w:szCs w:val="18"/>
                <w:lang w:eastAsia="en-CA"/>
              </w:rPr>
              <w:br/>
              <w:t xml:space="preserve">- recurrent MI (primary diagnosis) with  30 day period between discharge from baseline MI and recurrent MI </w:t>
            </w:r>
            <w:r w:rsidRPr="005C4B89">
              <w:rPr>
                <w:rFonts w:ascii="Calibri" w:eastAsia="Times New Roman" w:hAnsi="Calibri" w:cs="Times New Roman"/>
                <w:color w:val="000000"/>
                <w:sz w:val="18"/>
                <w:szCs w:val="18"/>
                <w:lang w:eastAsia="en-CA"/>
              </w:rPr>
              <w:br/>
              <w:t>Controls</w:t>
            </w:r>
            <w:r w:rsidRPr="005C4B89">
              <w:rPr>
                <w:rFonts w:ascii="Calibri" w:eastAsia="Times New Roman" w:hAnsi="Calibri" w:cs="Times New Roman"/>
                <w:color w:val="000000"/>
                <w:sz w:val="18"/>
                <w:szCs w:val="18"/>
                <w:lang w:eastAsia="en-CA"/>
              </w:rPr>
              <w:br/>
              <w:t>- randomly selected from cohort, matched on gender, age and risk of recurrent MI, and calendar time;</w:t>
            </w:r>
          </w:p>
        </w:tc>
        <w:tc>
          <w:tcPr>
            <w:tcW w:w="1275" w:type="dxa"/>
            <w:tcBorders>
              <w:top w:val="nil"/>
              <w:left w:val="nil"/>
              <w:bottom w:val="single" w:sz="4" w:space="0" w:color="808080"/>
              <w:right w:val="nil"/>
            </w:tcBorders>
            <w:shd w:val="clear" w:color="auto" w:fill="FFFFFF"/>
            <w:vAlign w:val="center"/>
            <w:hideMark/>
          </w:tcPr>
          <w:p w14:paraId="5AAB097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(Cases: 616; Controls 126,817)</w:t>
            </w:r>
          </w:p>
        </w:tc>
        <w:tc>
          <w:tcPr>
            <w:tcW w:w="1276" w:type="dxa"/>
            <w:tcBorders>
              <w:top w:val="nil"/>
              <w:left w:val="nil"/>
              <w:bottom w:val="single" w:sz="4" w:space="0" w:color="808080"/>
              <w:right w:val="nil"/>
            </w:tcBorders>
            <w:shd w:val="clear" w:color="auto" w:fill="FFFFFF"/>
            <w:vAlign w:val="center"/>
            <w:hideMark/>
          </w:tcPr>
          <w:p w14:paraId="6E9824A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65 (13)</w:t>
            </w:r>
          </w:p>
        </w:tc>
        <w:tc>
          <w:tcPr>
            <w:tcW w:w="1134" w:type="dxa"/>
            <w:tcBorders>
              <w:top w:val="nil"/>
              <w:left w:val="nil"/>
              <w:bottom w:val="single" w:sz="4" w:space="0" w:color="808080"/>
              <w:right w:val="nil"/>
            </w:tcBorders>
            <w:shd w:val="clear" w:color="auto" w:fill="FFFFFF"/>
            <w:vAlign w:val="center"/>
            <w:hideMark/>
          </w:tcPr>
          <w:p w14:paraId="5DC3118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67</w:t>
            </w:r>
          </w:p>
        </w:tc>
        <w:tc>
          <w:tcPr>
            <w:tcW w:w="1134" w:type="dxa"/>
            <w:tcBorders>
              <w:top w:val="nil"/>
              <w:left w:val="nil"/>
              <w:bottom w:val="single" w:sz="4" w:space="0" w:color="808080"/>
              <w:right w:val="nil"/>
            </w:tcBorders>
            <w:shd w:val="clear" w:color="auto" w:fill="FFFFFF"/>
            <w:vAlign w:val="center"/>
            <w:hideMark/>
          </w:tcPr>
          <w:p w14:paraId="1F835F0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680ABB1E"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089C9CE4" w14:textId="79247EDC"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{"citationItems":[{"id":"ITEM-1","itemData":{"ISBN":"0002-9270","ISSN":"1572-0241","abstract":"Objectives: Recent studies have raised concerns on the clinical effectiveness of clopidogrel when taken in combination with proton pump inhibitors (PPIs), demonstrating an increase in the occurrence of cardiovascular events. In this study, the association between the co-administration of a PPI and clopidogrel and the occurrence of cardiovascular and gastrointestinal (GI) events in a large cohort in the Netherlands was investigated. Methods: A retrospective study was conducted using data from 4 million individuals. New clopidogrel users were identified between January 2006 and December 2007 and followed over time. The Kaplan-Meier method and cyclo-oxygenase proportional hazard regression analysis were used to calculate the risk of cardiovascular and GI outcomes in clopidogrel patients with or without PPI use. Results: A total of 18,139 new clopidogrel users were identified; 5,734 subjects (32%) used PPIs concurrently. Patients on PPIs were significantly older, used more co-medications and suffered from more comorbidities. Use of clopidogrel and PPIs was associated with an increased risk of myocardial infarction (hazard ratio (HR) 1.93, 95% confidence interval (CI) 1.40-2.65), unstable angina pectoris (HR 1.79, 95% CI 1.60-2.03), and the composite endpoint (HR 1.75, 95% CI 1.58-1.94) compared with clopidogrel users without PPIs. PPI users also had an increased risk of GI events compared with non-PPI users (HR 4.76, 95% CI 1.18-19.17). Conclusions: New clopidogrel users on PPIs are at an increased risk of cardiovascular and GI complications compared with those who are not using a PPI. The inferior cardiovascular profile of clopidogrel users on PPIs and the occurrence of channeling bias may be important factors underlying this observation. © 2010 by the American College of Gastroenterology.","author":[{"dropping-particle":"","family":"Boxel","given":"Ofke S","non-dropping-particle":"van","parse-names":false,"suffix":""},{"dropping-particle":"","family":"Oijen","given":"Martijn G H","non-dropping-particle":"van","parse-names":false,"suffix":""},{"dropping-particle":"","family":"Hagenaars","given":"Matthijs P","non-dropping-particle":"","parse-names":false,"suffix":""},{"dropping-particle":"","family":"Smout","given":"A J P M","non-dropping-particle":"","parse-names":false,"suffix":""},{"dropping-particle":"","family":"Siersema","given":"Peter D","non-dropping-particle":"","parse-names":false,"suffix":""}],"collection-title":"[Erratum appears in Am J Gastroenterol. 2010 Nov;105(11):2516]","container-title":"The American journal of gastroenterology","id":"ITEM-1","issue":"11","issued":{"date-parts":[["2010"]]},"note":"655\n\nFrom Duplicate 2 (Cardiovascular and gastrointestinal outcomes in clopidogrel users on proton pump inhibitors: results of a large Dutch cohort study. - van Boxel, Ofke S; van Oijen, Martijn G H; Hagenaars, Matthijs P; Smout, A J P M; Siersema, Peter D)\n\nComment in: Am J Gastroenterol. 2010 Nov;105(11):2438-9; PMID: 21048683","page":"2430-2436","publisher":"Nature Publishing Group (Houndmills, Basingstoke, Hampshire RG21 6XS, United Kingdom)","publisher-place":"United States","title":"Cardiovascular and gastrointestinal outcomes in clopidogrel users on proton pump inhibitors: Results of a large dutch cohort study","type":"article-journal","volume":"105"},"uris":["http://www.mendeley.com/documents/?uuid=581eb207-96ea-4fd1-a6a0-30c088a7d559"]}],"mendeley":{"formattedCitation":"(van Boxel et al. 2010)","plainTextFormattedCitation":"(van Boxel et al. 2010)","previouslyFormattedCitation":"(van Boxel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(van Boxel et al.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(Netherlands)</w:t>
            </w:r>
          </w:p>
        </w:tc>
        <w:tc>
          <w:tcPr>
            <w:tcW w:w="1667" w:type="dxa"/>
            <w:tcBorders>
              <w:top w:val="nil"/>
              <w:left w:val="nil"/>
              <w:bottom w:val="single" w:sz="4" w:space="0" w:color="808080"/>
              <w:right w:val="nil"/>
            </w:tcBorders>
            <w:shd w:val="clear" w:color="auto" w:fill="FFFFFF"/>
            <w:vAlign w:val="center"/>
            <w:hideMark/>
          </w:tcPr>
          <w:p w14:paraId="7B3B8A8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analysis)</w:t>
            </w:r>
          </w:p>
        </w:tc>
        <w:tc>
          <w:tcPr>
            <w:tcW w:w="1241" w:type="dxa"/>
            <w:tcBorders>
              <w:top w:val="nil"/>
              <w:left w:val="nil"/>
              <w:bottom w:val="single" w:sz="4" w:space="0" w:color="808080"/>
              <w:right w:val="nil"/>
            </w:tcBorders>
            <w:shd w:val="clear" w:color="auto" w:fill="FFFFFF"/>
            <w:vAlign w:val="center"/>
            <w:hideMark/>
          </w:tcPr>
          <w:p w14:paraId="363E439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Two Dutch health insurance databases</w:t>
            </w:r>
          </w:p>
        </w:tc>
        <w:tc>
          <w:tcPr>
            <w:tcW w:w="993" w:type="dxa"/>
            <w:tcBorders>
              <w:top w:val="nil"/>
              <w:left w:val="nil"/>
              <w:bottom w:val="single" w:sz="4" w:space="0" w:color="808080"/>
              <w:right w:val="nil"/>
            </w:tcBorders>
            <w:shd w:val="clear" w:color="auto" w:fill="FFFFFF"/>
            <w:vAlign w:val="center"/>
            <w:hideMark/>
          </w:tcPr>
          <w:p w14:paraId="0DB4F7DE" w14:textId="77777777" w:rsidR="009462F4" w:rsidRPr="005C4B89" w:rsidRDefault="009462F4">
            <w:pPr>
              <w:spacing w:after="0" w:line="240" w:lineRule="auto"/>
              <w:rPr>
                <w:rFonts w:ascii="Calibri" w:eastAsia="Times New Roman" w:hAnsi="Calibri" w:cs="Times New Roman"/>
                <w:sz w:val="18"/>
                <w:szCs w:val="18"/>
                <w:lang w:eastAsia="en-CA"/>
              </w:rPr>
            </w:pPr>
            <w:r w:rsidRPr="005C4B89">
              <w:rPr>
                <w:rFonts w:ascii="Calibri" w:eastAsia="Times New Roman" w:hAnsi="Calibri" w:cs="Times New Roman"/>
                <w:sz w:val="18"/>
                <w:szCs w:val="18"/>
                <w:lang w:eastAsia="en-CA"/>
              </w:rPr>
              <w:t>New clopidogrel users</w:t>
            </w:r>
          </w:p>
        </w:tc>
        <w:tc>
          <w:tcPr>
            <w:tcW w:w="4003" w:type="dxa"/>
            <w:tcBorders>
              <w:top w:val="nil"/>
              <w:left w:val="nil"/>
              <w:bottom w:val="single" w:sz="4" w:space="0" w:color="808080"/>
              <w:right w:val="nil"/>
            </w:tcBorders>
            <w:shd w:val="clear" w:color="auto" w:fill="FFFFFF"/>
            <w:vAlign w:val="center"/>
            <w:hideMark/>
          </w:tcPr>
          <w:p w14:paraId="7295AF9A" w14:textId="005C06D4" w:rsidR="009462F4" w:rsidRPr="005C4B89" w:rsidRDefault="009462F4" w:rsidP="00DE19B3">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insured,  ≥18 years</w:t>
            </w:r>
            <w:r w:rsidRPr="005C4B89">
              <w:rPr>
                <w:rFonts w:ascii="Calibri" w:eastAsia="Times New Roman" w:hAnsi="Calibri" w:cs="Times New Roman"/>
                <w:color w:val="000000"/>
                <w:sz w:val="18"/>
                <w:szCs w:val="18"/>
                <w:lang w:eastAsia="en-CA"/>
              </w:rPr>
              <w:br/>
              <w:t>- registered for at least  1 year in database</w:t>
            </w:r>
            <w:r w:rsidRPr="005C4B89">
              <w:rPr>
                <w:rFonts w:ascii="Calibri" w:eastAsia="Times New Roman" w:hAnsi="Calibri" w:cs="Times New Roman"/>
                <w:color w:val="000000"/>
                <w:sz w:val="18"/>
                <w:szCs w:val="18"/>
                <w:lang w:eastAsia="en-CA"/>
              </w:rPr>
              <w:br/>
              <w:t>- at least 1 prescription for clopidogrel between Jan 2006-Dec 2007</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xml:space="preserve">-  use of clopidogrel in the 180 days before the index clopidogrel prescription date </w:t>
            </w:r>
          </w:p>
        </w:tc>
        <w:tc>
          <w:tcPr>
            <w:tcW w:w="1275" w:type="dxa"/>
            <w:tcBorders>
              <w:top w:val="nil"/>
              <w:left w:val="nil"/>
              <w:bottom w:val="single" w:sz="4" w:space="0" w:color="808080"/>
              <w:right w:val="nil"/>
            </w:tcBorders>
            <w:shd w:val="clear" w:color="auto" w:fill="FFFFFF"/>
            <w:vAlign w:val="center"/>
            <w:hideMark/>
          </w:tcPr>
          <w:p w14:paraId="737E8A5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18,139 </w:t>
            </w:r>
            <w:r w:rsidRPr="005C4B89">
              <w:rPr>
                <w:rFonts w:ascii="Calibri" w:eastAsia="Times New Roman" w:hAnsi="Calibri" w:cs="Times New Roman"/>
                <w:color w:val="000000"/>
                <w:sz w:val="18"/>
                <w:szCs w:val="18"/>
                <w:lang w:eastAsia="en-CA"/>
              </w:rPr>
              <w:br/>
              <w:t>(PPI: 5,734; No PPI: 12,405)</w:t>
            </w:r>
          </w:p>
        </w:tc>
        <w:tc>
          <w:tcPr>
            <w:tcW w:w="1276" w:type="dxa"/>
            <w:tcBorders>
              <w:top w:val="nil"/>
              <w:left w:val="nil"/>
              <w:bottom w:val="single" w:sz="4" w:space="0" w:color="808080"/>
              <w:right w:val="nil"/>
            </w:tcBorders>
            <w:shd w:val="clear" w:color="auto" w:fill="FFFFFF"/>
            <w:vAlign w:val="center"/>
            <w:hideMark/>
          </w:tcPr>
          <w:p w14:paraId="588F603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69 (12)</w:t>
            </w:r>
            <w:r w:rsidRPr="005C4B89">
              <w:rPr>
                <w:rFonts w:ascii="Calibri" w:eastAsia="Times New Roman" w:hAnsi="Calibri" w:cs="Times New Roman"/>
                <w:color w:val="000000"/>
                <w:sz w:val="18"/>
                <w:szCs w:val="18"/>
                <w:lang w:eastAsia="en-CA"/>
              </w:rPr>
              <w:br/>
              <w:t>no PPI: 66 (12)</w:t>
            </w:r>
          </w:p>
        </w:tc>
        <w:tc>
          <w:tcPr>
            <w:tcW w:w="1134" w:type="dxa"/>
            <w:tcBorders>
              <w:top w:val="nil"/>
              <w:left w:val="nil"/>
              <w:bottom w:val="single" w:sz="4" w:space="0" w:color="808080"/>
              <w:right w:val="nil"/>
            </w:tcBorders>
            <w:shd w:val="clear" w:color="auto" w:fill="FFFFFF"/>
            <w:vAlign w:val="center"/>
            <w:hideMark/>
          </w:tcPr>
          <w:p w14:paraId="0F6AE1A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59</w:t>
            </w:r>
            <w:r w:rsidRPr="005C4B89">
              <w:rPr>
                <w:rFonts w:ascii="Calibri" w:eastAsia="Times New Roman" w:hAnsi="Calibri" w:cs="Times New Roman"/>
                <w:color w:val="000000"/>
                <w:sz w:val="18"/>
                <w:szCs w:val="18"/>
                <w:lang w:eastAsia="en-CA"/>
              </w:rPr>
              <w:br/>
              <w:t>no PPI: 67</w:t>
            </w:r>
          </w:p>
        </w:tc>
        <w:tc>
          <w:tcPr>
            <w:tcW w:w="1134" w:type="dxa"/>
            <w:tcBorders>
              <w:top w:val="nil"/>
              <w:left w:val="nil"/>
              <w:bottom w:val="single" w:sz="4" w:space="0" w:color="808080"/>
              <w:right w:val="nil"/>
            </w:tcBorders>
            <w:shd w:val="clear" w:color="auto" w:fill="FFFFFF"/>
            <w:vAlign w:val="center"/>
            <w:hideMark/>
          </w:tcPr>
          <w:p w14:paraId="125F2B3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0F190F11"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3DE03E30" w14:textId="7357E929"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Segoe UI Symbol" w:eastAsia="Times New Roman" w:hAnsi="Segoe UI Symbol" w:cs="Times New Roman"/>
                <w:color w:val="000000"/>
                <w:sz w:val="18"/>
                <w:szCs w:val="18"/>
                <w:lang w:eastAsia="en-CA"/>
              </w:rPr>
              <w:fldChar w:fldCharType="begin" w:fldLock="1"/>
            </w:r>
            <w:r w:rsidR="00D325C7">
              <w:rPr>
                <w:rFonts w:ascii="Segoe UI Symbol" w:eastAsia="Times New Roman" w:hAnsi="Segoe UI Symbol" w:cs="Times New Roman"/>
                <w:color w:val="000000"/>
                <w:sz w:val="18"/>
                <w:szCs w:val="18"/>
                <w:lang w:eastAsia="en-CA"/>
              </w:rPr>
              <w:instrText>ADDIN CSL_CITATION {"citationItems":[{"id":"ITEM-1","itemData":{"ISSN":"2050-6511","abstract":"BACKGROUND: It is unclear whether concomitant use of clopidogrel and proton-pump inhibitors (PPIs) increases the risk of recurrence of cardiovascular disease or death in patients at high risk of upper gastrointestinal (GI) bleeding., METHODS: Based on the Swedish Patient Register, a cohort of cardiovascular disease (including acute myocardial infarction, stroke and angina, from 2006 to 2008) was selected from a population with any diagnosis of upper GI bleeding. Data on drug prescription was retrieved from the Prescribed Drug Register. Patients entered into the cohort after their first discharge for cardiovascular disease and were followed up to death, recurrence of cardiovascular disease, or 90 days. A Cox regression model was conducted and hazard ratios (HRs) with 95% confidence intervals (CIs) were estimated to evaluate the risks among users of different drug prescriptions., RESULTS: Patients who were current users of only PPIs (HR 2.02, 95% CI 1.19-3.44), only clopidogrel (HR 1.14, 95% CI 0.53-2.45) and nonusers of both (HR 2.36, 95% CI 1.39-4.00) were at a higher risk of death compared with patients with a concomitant use. Results were similar among 1779 patients who had any history of upper GI bleeding (HR 2.05, 95% CI 1.18-3.54; HR 1.25, 95% CI 0.57-2.72; HR 2.30, 95% CI 1.33-3.98, respectively)., CONCLUSION: Among patients at high risk of upper GI bleeding, those with a concomitant use of PPIs and clopidogrel were at a decreased risk of mortality, and possibly also a decreased risk of recurrence of cardiovascular disease.","author":[{"dropping-particle":"","family":"Wang","given":"Qing","non-dropping-particle":"","parse-names":false,"suffix":""},{"dropping-particle":"","family":"Ljung","given":"Rickard","non-dropping-particle":"","parse-names":false,"suffix":""},{"dropping-particle":"","family":"Lagergren","given":"Jesper","non-dropping-particle":"","parse-names":false,"suffix":""},{"dropping-particle":"","family":"Lu","given":"Yunxia","non-dropping-particle":"","parse-names":false,"suffix":""}],"container-title":"BMC pharmacology &amp; toxicology","id":"ITEM-1","issued":{"date-parts":[["2014"]]},"note":"85","page":"22","publisher":"Lu,Yunxia. Department of Molecular Medicine and Surgery, Karolinska Institutet, SE-171 76 Stockholm, Sweden. yunxia.lu@ki.se.","publisher-place":"England","title":"Prognosis of concomitant users of clopidogrel and proton-pump inhibitors in a high-risk population for upper gastrointestinal bleeding.","type":"article-journal","volume":"15"},"uris":["http://www.mendeley.com/documents/?uuid=7a752c7f-f948-4778-9d80-5ca778582776"]}],"mendeley":{"formattedCitation":"(Wang et al. 2014)","plainTextFormattedCitation":"(Wang et al. 2014)","previouslyFormattedCitation":"(Wang et al. 2014)"},"properties":{"noteIndex":0},"schema":"https://github.com/citation-style-language/schema/raw/master/csl-citation.json"}</w:instrText>
            </w:r>
            <w:r w:rsidRPr="005C4B89">
              <w:rPr>
                <w:rFonts w:ascii="Segoe UI Symbol" w:eastAsia="Times New Roman" w:hAnsi="Segoe UI Symbol" w:cs="Times New Roman"/>
                <w:color w:val="000000"/>
                <w:sz w:val="18"/>
                <w:szCs w:val="18"/>
                <w:lang w:eastAsia="en-CA"/>
              </w:rPr>
              <w:fldChar w:fldCharType="separate"/>
            </w:r>
            <w:r w:rsidRPr="005C4B89">
              <w:rPr>
                <w:rFonts w:ascii="Segoe UI Symbol" w:eastAsia="Times New Roman" w:hAnsi="Segoe UI Symbol" w:cs="Times New Roman"/>
                <w:noProof/>
                <w:color w:val="000000"/>
                <w:sz w:val="18"/>
                <w:szCs w:val="18"/>
                <w:lang w:eastAsia="en-CA"/>
              </w:rPr>
              <w:t>(Wang et al. 2014)</w:t>
            </w:r>
            <w:r w:rsidRPr="005C4B89">
              <w:rPr>
                <w:rFonts w:ascii="Segoe UI Symbol" w:eastAsia="Times New Roman" w:hAnsi="Segoe UI Symbol"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(Sweden)</w:t>
            </w:r>
          </w:p>
        </w:tc>
        <w:tc>
          <w:tcPr>
            <w:tcW w:w="1667" w:type="dxa"/>
            <w:tcBorders>
              <w:top w:val="nil"/>
              <w:left w:val="nil"/>
              <w:bottom w:val="single" w:sz="4" w:space="0" w:color="808080"/>
              <w:right w:val="nil"/>
            </w:tcBorders>
            <w:shd w:val="clear" w:color="auto" w:fill="FFFFFF"/>
            <w:vAlign w:val="center"/>
            <w:hideMark/>
          </w:tcPr>
          <w:p w14:paraId="5EBE8DE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(Population based database)</w:t>
            </w:r>
          </w:p>
        </w:tc>
        <w:tc>
          <w:tcPr>
            <w:tcW w:w="1241" w:type="dxa"/>
            <w:tcBorders>
              <w:top w:val="nil"/>
              <w:left w:val="nil"/>
              <w:bottom w:val="single" w:sz="4" w:space="0" w:color="808080"/>
              <w:right w:val="nil"/>
            </w:tcBorders>
            <w:shd w:val="clear" w:color="auto" w:fill="FFFFFF"/>
            <w:vAlign w:val="center"/>
            <w:hideMark/>
          </w:tcPr>
          <w:p w14:paraId="4F56C84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Swedish Patient Register and Swedish Prescribed Drug Register (SPDR)</w:t>
            </w:r>
          </w:p>
        </w:tc>
        <w:tc>
          <w:tcPr>
            <w:tcW w:w="993" w:type="dxa"/>
            <w:tcBorders>
              <w:top w:val="nil"/>
              <w:left w:val="nil"/>
              <w:bottom w:val="single" w:sz="4" w:space="0" w:color="808080"/>
              <w:right w:val="nil"/>
            </w:tcBorders>
            <w:shd w:val="clear" w:color="auto" w:fill="FFFFFF"/>
            <w:vAlign w:val="center"/>
            <w:hideMark/>
          </w:tcPr>
          <w:p w14:paraId="4F4E6B8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CVD and high risk for UGIB</w:t>
            </w:r>
          </w:p>
        </w:tc>
        <w:tc>
          <w:tcPr>
            <w:tcW w:w="4003" w:type="dxa"/>
            <w:tcBorders>
              <w:top w:val="nil"/>
              <w:left w:val="nil"/>
              <w:bottom w:val="single" w:sz="4" w:space="0" w:color="808080"/>
              <w:right w:val="nil"/>
            </w:tcBorders>
            <w:shd w:val="clear" w:color="auto" w:fill="FFFFFF"/>
            <w:vAlign w:val="center"/>
            <w:hideMark/>
          </w:tcPr>
          <w:p w14:paraId="0E8070DE" w14:textId="0218F452" w:rsidR="009462F4" w:rsidRPr="005C4B89" w:rsidRDefault="009462F4" w:rsidP="002B686E">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high risk for UGIB</w:t>
            </w:r>
            <w:r w:rsidRPr="005C4B89">
              <w:rPr>
                <w:rFonts w:ascii="Calibri" w:eastAsia="Times New Roman" w:hAnsi="Calibri" w:cs="Times New Roman"/>
                <w:color w:val="000000"/>
                <w:sz w:val="18"/>
                <w:szCs w:val="18"/>
                <w:lang w:eastAsia="en-CA"/>
              </w:rPr>
              <w:br/>
              <w:t>- first hospitalization for CVD (AMI, stroke, angina) between 2006-2008</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prescription of aspirin</w:t>
            </w:r>
            <w:r w:rsidRPr="005C4B89">
              <w:rPr>
                <w:rFonts w:ascii="Calibri" w:eastAsia="Times New Roman" w:hAnsi="Calibri" w:cs="Times New Roman"/>
                <w:color w:val="000000"/>
                <w:sz w:val="18"/>
                <w:szCs w:val="18"/>
                <w:lang w:eastAsia="en-CA"/>
              </w:rPr>
              <w:br/>
              <w:t xml:space="preserve">- prior MI, stroke or angina within 1 year before </w:t>
            </w:r>
            <w:r w:rsidRPr="005C4B89">
              <w:rPr>
                <w:rFonts w:ascii="Calibri" w:eastAsia="Times New Roman" w:hAnsi="Calibri" w:cs="Times New Roman"/>
                <w:color w:val="000000"/>
                <w:sz w:val="18"/>
                <w:szCs w:val="18"/>
                <w:lang w:eastAsia="en-CA"/>
              </w:rPr>
              <w:lastRenderedPageBreak/>
              <w:t>entry other than index hospitalization</w:t>
            </w:r>
            <w:r w:rsidRPr="005C4B89">
              <w:rPr>
                <w:rFonts w:ascii="Calibri" w:eastAsia="Times New Roman" w:hAnsi="Calibri" w:cs="Times New Roman"/>
                <w:color w:val="000000"/>
                <w:sz w:val="18"/>
                <w:szCs w:val="18"/>
                <w:lang w:eastAsia="en-CA"/>
              </w:rPr>
              <w:br/>
              <w:t>- emigrated before January 1, 2006</w:t>
            </w:r>
            <w:r w:rsidRPr="005C4B89">
              <w:rPr>
                <w:rFonts w:ascii="Calibri" w:eastAsia="Times New Roman" w:hAnsi="Calibri" w:cs="Times New Roman"/>
                <w:color w:val="000000"/>
                <w:sz w:val="18"/>
                <w:szCs w:val="18"/>
                <w:lang w:eastAsia="en-CA"/>
              </w:rPr>
              <w:br/>
              <w:t>- cardiovascular rehospitalisation or had died less than 7 days after study entry</w:t>
            </w:r>
          </w:p>
        </w:tc>
        <w:tc>
          <w:tcPr>
            <w:tcW w:w="1275" w:type="dxa"/>
            <w:tcBorders>
              <w:top w:val="nil"/>
              <w:left w:val="nil"/>
              <w:bottom w:val="single" w:sz="4" w:space="0" w:color="808080"/>
              <w:right w:val="nil"/>
            </w:tcBorders>
            <w:shd w:val="clear" w:color="auto" w:fill="FFFFFF"/>
            <w:vAlign w:val="center"/>
            <w:hideMark/>
          </w:tcPr>
          <w:p w14:paraId="70769F0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t xml:space="preserve">2,285 (cohort) </w:t>
            </w:r>
          </w:p>
        </w:tc>
        <w:tc>
          <w:tcPr>
            <w:tcW w:w="1276" w:type="dxa"/>
            <w:tcBorders>
              <w:top w:val="nil"/>
              <w:left w:val="nil"/>
              <w:bottom w:val="single" w:sz="4" w:space="0" w:color="808080"/>
              <w:right w:val="nil"/>
            </w:tcBorders>
            <w:shd w:val="clear" w:color="auto" w:fill="FFFFFF"/>
            <w:vAlign w:val="center"/>
            <w:hideMark/>
          </w:tcPr>
          <w:p w14:paraId="11C0D4F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67% of sample &gt;75 years</w:t>
            </w:r>
          </w:p>
        </w:tc>
        <w:tc>
          <w:tcPr>
            <w:tcW w:w="1134" w:type="dxa"/>
            <w:tcBorders>
              <w:top w:val="nil"/>
              <w:left w:val="nil"/>
              <w:bottom w:val="single" w:sz="4" w:space="0" w:color="808080"/>
              <w:right w:val="nil"/>
            </w:tcBorders>
            <w:shd w:val="clear" w:color="auto" w:fill="FFFFFF"/>
            <w:vAlign w:val="center"/>
            <w:hideMark/>
          </w:tcPr>
          <w:p w14:paraId="2DB6214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56</w:t>
            </w:r>
          </w:p>
        </w:tc>
        <w:tc>
          <w:tcPr>
            <w:tcW w:w="1134" w:type="dxa"/>
            <w:tcBorders>
              <w:top w:val="nil"/>
              <w:left w:val="nil"/>
              <w:bottom w:val="single" w:sz="4" w:space="0" w:color="808080"/>
              <w:right w:val="nil"/>
            </w:tcBorders>
            <w:shd w:val="clear" w:color="auto" w:fill="FFFFFF"/>
            <w:vAlign w:val="center"/>
            <w:hideMark/>
          </w:tcPr>
          <w:p w14:paraId="3F287B9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Caucasian</w:t>
            </w:r>
          </w:p>
        </w:tc>
      </w:tr>
      <w:tr w:rsidR="009462F4" w:rsidRPr="005C4B89" w14:paraId="0521191C"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2F8B5F3E" w14:textId="3DA399C6"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{"citationItems":[{"id":"ITEM-1","itemData":{"DOI":"10.1161/CIRCINTERVENTIONS.114.001952","ISSN":"19417632","abstract":"Background—Certain proton pump inhibitors (PPIs) interfere with clopidogrel metabolism, potentially attenuating P2Y12 receptor inhibition. Previous observational and randomized trials report conflicting results regarding the clinical significance of this pharmacological interaction. We examined the interaction between concomitant administration of PPI and clopidogrel on platelet reactivity and clinical outcomes in the large-scale, prospective Assessment of Dual AntiPlatelet Therapy With Drug-Eluting Stents study. Methods and Results—On-treatment P2Y12 platelet reactivity testing was performed using the VerifyNow assay after clopidogrel loading and successful drug-eluting stent implantation at 11 sites in the United States and Germany. PPIs were prescribed at the discretion of treating physicians; patients were followed for 2 years. High platelet reactivity was defined as P2Y12 reactivity units &gt;208. Of 8582 enrolled patients, 2697 (31.4%) were taking a PPI at the time of coronary intervention. After adjustment for differences in baseline characteristics, PPI use was independently associated with high platelet reactivity (odds ratio, 1.38: 95% confidence interval, 1.25–1.52, P=0.0001). A total of 2162 (25.2%) patients were prescribed a PPI at hospital discharge. In a propensity-adjusted multivariable analysis, discharge PPI use was independently associated with increased risk for postdischarge major adverse cardiac events (cardiac death, myocardial infarction, or ischemia-driven target lesion revascularization) at 2-year follow-up (hazard ratio, 1.21; 95% confidence interval, 1.04–1.42, P=0.02). Conclusions—In patients treated with clopidogrel after successful drug-eluting stents implantation, the concomitant administration of PPI was associated with high platelet reactivity and a greater rate of adverse outcomes during long-term follow-up. Additional studies are warranted to determine the risk–benefit ratio of PPIs in patients with drug-eluting stents treated with clopidogrel. Clinical Trial Registration—URL: http://www.clinicaltrials.gov. Unique identifier: NCT00433966. (Circ Cardiovasc Interv. 2015;8:e001952. DOI: 10.1161/CIRCINTERVENTIONS.114.001952.)","author":[{"dropping-particle":"","family":"Weisz","given":"Giora","non-dropping-particle":"","parse-names":false,"suffix":""},{"dropping-particle":"","family":"Smilowitz","given":"Nathaniel R.","non-dropping-particle":"","parse-names":false,"suffix":""},{"dropping-particle":"","family":"Kirtane","given":"Ajay J.","non-dropping-particle":"","parse-names":false,"suffix":""},{"dropping-particle":"","family":"Rinaldi","given":"Michael J.","non-dropping-particle":"","parse-names":false,"suffix":""},{"dropping-particle":"","family":"Parvataneni","given":"Rupa","non-dropping-particle":"","parse-names":false,"suffix":""},{"dropping-particle":"","family":"Xu","given":"Ke","non-dropping-particle":"","parse-names":false,"suffix":""},{"dropping-particle":"","family":"Stuckey","given":"Thomas D.","non-dropping-particle":"","parse-names":false,"suffix":""},{"dropping-particle":"","family":"Maehara","given":"Akiko","non-dropping-particle":"","parse-names":false,"suffix":""},{"dropping-particle":"","family":"Witzenbichler","given":"Bernhard","non-dropping-particle":"","parse-names":false,"suffix":""},{"dropping-particle":"","family":"Neumann","given":"Franz Josef","non-dropping-particle":"","parse-names":false,"suffix":""},{"dropping-particle":"","family":"Metzger","given":"D. Christopher","non-dropping-particle":"","parse-names":false,"suffix":""},{"dropping-particle":"","family":"Henry","given":"Timothy D.","non-dropping-particle":"","parse-names":false,"suffix":""},{"dropping-particle":"","family":"Cox","given":"David A.","non-dropping-particle":"","parse-names":false,"suffix":""},{"dropping-particle":"","family":"Duffy","given":"Peter L.","non-dropping-particle":"","parse-names":false,"suffix":""},{"dropping-particle":"","family":"Brodie","given":"Bruce R.","non-dropping-particle":"","parse-names":false,"suffix":""},{"dropping-particle":"","family":"Mazzaferri","given":"Ernest L.","non-dropping-particle":"","parse-names":false,"suffix":""},{"dropping-particle":"","family":"Mehran","given":"Roxana","non-dropping-particle":"","parse-names":false,"suffix":""},{"dropping-particle":"","family":"Stone","given":"Gregg W.","non-dropping-particle":"","parse-names":false,"suffix":""}],"container-title":"Circulation: Cardiovascular Interventions","id":"ITEM-1","issue":"10","issued":{"date-parts":[["2015"]]},"note":"1267","page":"1-8","title":"Proton Pump Inhibitors, Platelet Reactivity, and Cardiovascular Outcomes after Drug-Eluting Stents in Clopidogrel-Treated Patients: The ADAPT-DES Study","type":"article-journal","volume":"8"},"uris":["http://www.mendeley.com/documents/?uuid=a31f64a0-3b68-4350-8593-baa0168b2818"]}],"mendeley":{"formattedCitation":"(Weisz et al. 2015)","plainTextFormattedCitation":"(Weisz et al. 2015)","previouslyFormattedCitation":"(Weisz et al. 2015)"},"properties":{"noteIndex":0},"schema":"https://github.com/citation-style-language/schema/raw/master/csl-citation.json"}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(Weisz et al. 2015)</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(US and Germany)</w:t>
            </w:r>
          </w:p>
        </w:tc>
        <w:tc>
          <w:tcPr>
            <w:tcW w:w="1667" w:type="dxa"/>
            <w:tcBorders>
              <w:top w:val="nil"/>
              <w:left w:val="nil"/>
              <w:bottom w:val="single" w:sz="4" w:space="0" w:color="808080"/>
              <w:right w:val="nil"/>
            </w:tcBorders>
            <w:shd w:val="clear" w:color="auto" w:fill="FFFFFF"/>
            <w:vAlign w:val="center"/>
            <w:hideMark/>
          </w:tcPr>
          <w:p w14:paraId="10D1A32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Prospective cohort</w:t>
            </w:r>
            <w:r w:rsidRPr="005C4B89">
              <w:rPr>
                <w:rFonts w:ascii="Calibri" w:eastAsia="Times New Roman" w:hAnsi="Calibri" w:cs="Times New Roman"/>
                <w:color w:val="000000"/>
                <w:sz w:val="18"/>
                <w:szCs w:val="18"/>
                <w:lang w:eastAsia="en-CA"/>
              </w:rPr>
              <w:br/>
              <w:t>(registries, hospitals -10-15 US and European centers)</w:t>
            </w:r>
          </w:p>
        </w:tc>
        <w:tc>
          <w:tcPr>
            <w:tcW w:w="1241" w:type="dxa"/>
            <w:tcBorders>
              <w:top w:val="nil"/>
              <w:left w:val="nil"/>
              <w:bottom w:val="single" w:sz="4" w:space="0" w:color="808080"/>
              <w:right w:val="nil"/>
            </w:tcBorders>
            <w:shd w:val="clear" w:color="auto" w:fill="FFFFFF"/>
            <w:vAlign w:val="center"/>
            <w:hideMark/>
          </w:tcPr>
          <w:p w14:paraId="556D73B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ADAPT-DES multicenter registry</w:t>
            </w:r>
          </w:p>
        </w:tc>
        <w:tc>
          <w:tcPr>
            <w:tcW w:w="993" w:type="dxa"/>
            <w:tcBorders>
              <w:top w:val="nil"/>
              <w:left w:val="nil"/>
              <w:bottom w:val="single" w:sz="4" w:space="0" w:color="808080"/>
              <w:right w:val="nil"/>
            </w:tcBorders>
            <w:shd w:val="clear" w:color="auto" w:fill="FFFFFF"/>
            <w:vAlign w:val="center"/>
            <w:hideMark/>
          </w:tcPr>
          <w:p w14:paraId="62FC740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CAD with DES</w:t>
            </w:r>
          </w:p>
        </w:tc>
        <w:tc>
          <w:tcPr>
            <w:tcW w:w="4003" w:type="dxa"/>
            <w:tcBorders>
              <w:top w:val="nil"/>
              <w:left w:val="nil"/>
              <w:bottom w:val="single" w:sz="4" w:space="0" w:color="808080"/>
              <w:right w:val="nil"/>
            </w:tcBorders>
            <w:shd w:val="clear" w:color="auto" w:fill="FFFFFF"/>
            <w:vAlign w:val="center"/>
            <w:hideMark/>
          </w:tcPr>
          <w:p w14:paraId="09FB9D11" w14:textId="126199C6" w:rsidR="009462F4" w:rsidRPr="005C4B89" w:rsidRDefault="009462F4" w:rsidP="002B686E">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all comers with CAD</w:t>
            </w:r>
            <w:r w:rsidRPr="005C4B89">
              <w:rPr>
                <w:rFonts w:ascii="Calibri" w:eastAsia="Times New Roman" w:hAnsi="Calibri" w:cs="Times New Roman"/>
                <w:color w:val="000000"/>
                <w:sz w:val="18"/>
                <w:szCs w:val="18"/>
                <w:lang w:eastAsia="en-CA"/>
              </w:rPr>
              <w:br/>
              <w:t>- treated with aspirin and clopidogrel</w:t>
            </w:r>
            <w:r w:rsidRPr="005C4B89">
              <w:rPr>
                <w:rFonts w:ascii="Calibri" w:eastAsia="Times New Roman" w:hAnsi="Calibri" w:cs="Times New Roman"/>
                <w:color w:val="000000"/>
                <w:sz w:val="18"/>
                <w:szCs w:val="18"/>
                <w:lang w:eastAsia="en-CA"/>
              </w:rPr>
              <w:br/>
              <w:t>- underwent placement of one or more DES</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major complication during the procedure or before platelet function testing - planned bypass surgery after stenting</w:t>
            </w:r>
            <w:r w:rsidRPr="005C4B89">
              <w:rPr>
                <w:rFonts w:ascii="Calibri" w:eastAsia="Times New Roman" w:hAnsi="Calibri" w:cs="Times New Roman"/>
                <w:color w:val="000000"/>
                <w:sz w:val="18"/>
                <w:szCs w:val="18"/>
                <w:lang w:eastAsia="en-CA"/>
              </w:rPr>
              <w:br/>
              <w:t>- significant anemia preventing accurate measurement of platelet reactivity</w:t>
            </w:r>
            <w:r w:rsidRPr="005C4B89">
              <w:rPr>
                <w:rFonts w:ascii="Calibri" w:eastAsia="Times New Roman" w:hAnsi="Calibri" w:cs="Times New Roman"/>
                <w:color w:val="000000"/>
                <w:sz w:val="18"/>
                <w:szCs w:val="18"/>
                <w:lang w:eastAsia="en-CA"/>
              </w:rPr>
              <w:br/>
              <w:t>- unable to take DAPT were excluded</w:t>
            </w:r>
          </w:p>
        </w:tc>
        <w:tc>
          <w:tcPr>
            <w:tcW w:w="1275" w:type="dxa"/>
            <w:tcBorders>
              <w:top w:val="nil"/>
              <w:left w:val="nil"/>
              <w:bottom w:val="single" w:sz="4" w:space="0" w:color="808080"/>
              <w:right w:val="nil"/>
            </w:tcBorders>
            <w:shd w:val="clear" w:color="auto" w:fill="FFFFFF"/>
            <w:vAlign w:val="center"/>
            <w:hideMark/>
          </w:tcPr>
          <w:p w14:paraId="14C53FF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8,582 </w:t>
            </w:r>
            <w:r w:rsidRPr="005C4B89">
              <w:rPr>
                <w:rFonts w:ascii="Calibri" w:eastAsia="Times New Roman" w:hAnsi="Calibri" w:cs="Times New Roman"/>
                <w:color w:val="000000"/>
                <w:sz w:val="18"/>
                <w:szCs w:val="18"/>
                <w:lang w:eastAsia="en-CA"/>
              </w:rPr>
              <w:br/>
              <w:t>(PPI: 2,697; No PPI 5,885)</w:t>
            </w:r>
          </w:p>
        </w:tc>
        <w:tc>
          <w:tcPr>
            <w:tcW w:w="1276" w:type="dxa"/>
            <w:tcBorders>
              <w:top w:val="nil"/>
              <w:left w:val="nil"/>
              <w:bottom w:val="single" w:sz="4" w:space="0" w:color="808080"/>
              <w:right w:val="nil"/>
            </w:tcBorders>
            <w:shd w:val="clear" w:color="auto" w:fill="FFFFFF"/>
            <w:vAlign w:val="center"/>
            <w:hideMark/>
          </w:tcPr>
          <w:p w14:paraId="6E338F5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64 (11)</w:t>
            </w:r>
            <w:r w:rsidRPr="005C4B89">
              <w:rPr>
                <w:rFonts w:ascii="Calibri" w:eastAsia="Times New Roman" w:hAnsi="Calibri" w:cs="Times New Roman"/>
                <w:color w:val="000000"/>
                <w:sz w:val="18"/>
                <w:szCs w:val="18"/>
                <w:lang w:eastAsia="en-CA"/>
              </w:rPr>
              <w:br/>
              <w:t>no PPI: 63 (11)</w:t>
            </w:r>
          </w:p>
        </w:tc>
        <w:tc>
          <w:tcPr>
            <w:tcW w:w="1134" w:type="dxa"/>
            <w:tcBorders>
              <w:top w:val="nil"/>
              <w:left w:val="nil"/>
              <w:bottom w:val="single" w:sz="4" w:space="0" w:color="808080"/>
              <w:right w:val="nil"/>
            </w:tcBorders>
            <w:shd w:val="clear" w:color="auto" w:fill="FFFFFF"/>
            <w:vAlign w:val="center"/>
            <w:hideMark/>
          </w:tcPr>
          <w:p w14:paraId="4B0EE7A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70</w:t>
            </w:r>
            <w:r w:rsidRPr="005C4B89">
              <w:rPr>
                <w:rFonts w:ascii="Calibri" w:eastAsia="Times New Roman" w:hAnsi="Calibri" w:cs="Times New Roman"/>
                <w:color w:val="000000"/>
                <w:sz w:val="18"/>
                <w:szCs w:val="18"/>
                <w:lang w:eastAsia="en-CA"/>
              </w:rPr>
              <w:br/>
              <w:t>no PPI: 76</w:t>
            </w:r>
          </w:p>
        </w:tc>
        <w:tc>
          <w:tcPr>
            <w:tcW w:w="1134" w:type="dxa"/>
            <w:tcBorders>
              <w:top w:val="nil"/>
              <w:left w:val="nil"/>
              <w:bottom w:val="single" w:sz="4" w:space="0" w:color="808080"/>
              <w:right w:val="nil"/>
            </w:tcBorders>
            <w:shd w:val="clear" w:color="auto" w:fill="FFFFFF"/>
            <w:vAlign w:val="center"/>
            <w:hideMark/>
          </w:tcPr>
          <w:p w14:paraId="15DAC76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xml:space="preserve">Caucasian, Other </w:t>
            </w:r>
            <w:r w:rsidRPr="005C4B89">
              <w:rPr>
                <w:rFonts w:ascii="Calibri" w:eastAsia="Times New Roman" w:hAnsi="Calibri" w:cs="Times New Roman"/>
                <w:color w:val="000000"/>
                <w:sz w:val="18"/>
                <w:szCs w:val="18"/>
                <w:lang w:eastAsia="en-CA"/>
              </w:rPr>
              <w:br/>
              <w:t>(90% Caucasian)</w:t>
            </w:r>
          </w:p>
        </w:tc>
      </w:tr>
      <w:tr w:rsidR="009462F4" w:rsidRPr="005C4B89" w14:paraId="0524F972"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05912866" w14:textId="687EA6E8"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{"citationItems":[{"id":"ITEM-1","itemData":{"ISSN":"1528-0012","abstract":"BACKGROUND &amp; AIMS: Previous observational studies reported that concomitant use of clopidogrel and proton pump inhibitors (PPIs) in patients with prior acute coronary syndrome (ACS) was associated with adverse cardiovascular outcomes. We investigated whether H(2)-receptor antagonist (H(2)RA) is an alternative to PPI in patients with ACS., METHODS: We conducted a population-based retrospective cohort study of 6552 patients in Taiwan discharged for ACS between 2002 and 2005. Patients were divided into 5 cohorts: clopidogrel plus H(2)RA (n = 252), clopidogrel plus PPI (n = 311), clopidogrel alone (n = 5551), H(2)RA alone (n = 235), and PPI alone (n = 203). The primary outcome was rehospitalization for ACS or all-cause mortality within 3 month of rehospitalization., RESULTS: The 1-year cumulative incidence of the primary outcome was 26.8% (95% CI: 21.5%-33.0%) in the clopidogrel plus H(2)RA cohort and 33.2% (95% CI: 27.8%-39.4%) in the clopidogrel plus PPI cohort, compared with 11.6% (95% CI: 10.8%-12.5%) in the clopidogrel alone cohort (P &lt; .0001). No significant difference was observed between the PPI alone cohort (11.0%; 95% CI: 7.1%-16.8%), the H(2)RA alone cohort (11.8%; 95% CI: 8.2%-16.8%), and the clopidogrel alone cohort in terms of the primary outcome. The number needed to harm was 7 with concomitant H(2)RA and 5 with concomitant PPI. On multivariate analysis, concomitant H(2)RA and PPI were independent risk factors predicting adverse outcomes (adjusted hazard ratios, 2.48 and 3.20, respectively; P &lt; .0001)., CONCLUSIONS: Concomitant use of clopidogrel and H(2)RA or PPI after hospital discharge for ACS is associated with increased risk of adverse outcomes.Copyright © 2010 AGA Institute. Published by Elsevier Inc. All rights reserved.","author":[{"dropping-particle":"","family":"Wu","given":"Chun-Ying","non-dropping-particle":"","parse-names":false,"suffix":""},{"dropping-particle":"","family":"Chan","given":"Francis Ka-Leung","non-dropping-particle":"","parse-names":false,"suffix":""},{"dropping-particle":"","family":"Wu","given":"Ming-Shiang","non-dropping-particle":"","parse-names":false,"suffix":""},{"dropping-particle":"","family":"Kuo","given":"Ken N","non-dropping-particle":"","parse-names":false,"suffix":""},{"dropping-particle":"","family":"Wang","given":"Chang-Bi","non-dropping-particle":"","parse-names":false,"suffix":""},{"dropping-particle":"","family":"Tsao","given":"Chen-Rong","non-dropping-particle":"","parse-names":false,"suffix":""},{"dropping-particle":"","family":"Lin","given":"Jaw-Town","non-dropping-particle":"","parse-names":false,"suffix":""}],"container-title":"Gastroenterology","id":"ITEM-1","issue":"4","issued":{"date-parts":[["2010"]]},"note":"646","page":"1165-1171","publisher":"Wu,Chun-Ying. Division of Gastroenterology, Taichung Veterans General Hospital, Taichung, Taiwan. chun@vghtc.gov.tw","publisher-place":"United States","title":"Histamine2-receptor antagonists are an alternative to proton pump inhibitor in patients receiving clopidogrel.","type":"article-journal","volume":"139"},"uris":["http://www.mendeley.com/documents/?uuid=bc840fd0-d6c4-42bf-b6c1-b25560fc59d5"]}],"mendeley":{"formattedCitation":"(Wu et al. 2010)","plainTextFormattedCitation":"(Wu et al. 2010)","previouslyFormattedCitation":"(Wu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(Wu et al. 2010)</w:t>
            </w:r>
            <w:r w:rsidRPr="005C4B89">
              <w:rPr>
                <w:rFonts w:ascii="Calibri" w:eastAsia="Times New Roman" w:hAnsi="Calibri" w:cs="Times New Roman"/>
                <w:color w:val="000000"/>
                <w:sz w:val="18"/>
                <w:szCs w:val="18"/>
                <w:lang w:eastAsia="en-CA"/>
              </w:rPr>
              <w:fldChar w:fldCharType="end"/>
            </w:r>
          </w:p>
          <w:p w14:paraId="2CC77FD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(Taiwan)</w:t>
            </w:r>
          </w:p>
        </w:tc>
        <w:tc>
          <w:tcPr>
            <w:tcW w:w="1667" w:type="dxa"/>
            <w:tcBorders>
              <w:top w:val="nil"/>
              <w:left w:val="nil"/>
              <w:bottom w:val="single" w:sz="4" w:space="0" w:color="808080"/>
              <w:right w:val="nil"/>
            </w:tcBorders>
            <w:shd w:val="clear" w:color="auto" w:fill="FFFFFF"/>
            <w:vAlign w:val="center"/>
            <w:hideMark/>
          </w:tcPr>
          <w:p w14:paraId="7C7F0F3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(database analysis, hospitals)</w:t>
            </w:r>
          </w:p>
        </w:tc>
        <w:tc>
          <w:tcPr>
            <w:tcW w:w="1241" w:type="dxa"/>
            <w:tcBorders>
              <w:top w:val="nil"/>
              <w:left w:val="nil"/>
              <w:bottom w:val="single" w:sz="4" w:space="0" w:color="808080"/>
              <w:right w:val="nil"/>
            </w:tcBorders>
            <w:shd w:val="clear" w:color="auto" w:fill="FFFFFF"/>
            <w:vAlign w:val="center"/>
            <w:hideMark/>
          </w:tcPr>
          <w:p w14:paraId="3177F48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National Health Insurance Research Database (Taiwan)</w:t>
            </w:r>
          </w:p>
        </w:tc>
        <w:tc>
          <w:tcPr>
            <w:tcW w:w="993" w:type="dxa"/>
            <w:tcBorders>
              <w:top w:val="nil"/>
              <w:left w:val="nil"/>
              <w:bottom w:val="single" w:sz="4" w:space="0" w:color="808080"/>
              <w:right w:val="nil"/>
            </w:tcBorders>
            <w:shd w:val="clear" w:color="auto" w:fill="FFFFFF"/>
            <w:vAlign w:val="center"/>
            <w:hideMark/>
          </w:tcPr>
          <w:p w14:paraId="61ED55A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ACS</w:t>
            </w:r>
          </w:p>
        </w:tc>
        <w:tc>
          <w:tcPr>
            <w:tcW w:w="4003" w:type="dxa"/>
            <w:tcBorders>
              <w:top w:val="nil"/>
              <w:left w:val="nil"/>
              <w:bottom w:val="single" w:sz="4" w:space="0" w:color="808080"/>
              <w:right w:val="nil"/>
            </w:tcBorders>
            <w:shd w:val="clear" w:color="auto" w:fill="FFFFFF"/>
            <w:vAlign w:val="center"/>
            <w:hideMark/>
          </w:tcPr>
          <w:p w14:paraId="68FAF939" w14:textId="4CC1A5F3" w:rsidR="009462F4" w:rsidRPr="005C4B89" w:rsidRDefault="009462F4" w:rsidP="002B686E">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primary diagnosis of ACS between July 2002- June 2005</w:t>
            </w:r>
            <w:r w:rsidRPr="005C4B89">
              <w:rPr>
                <w:rFonts w:ascii="Calibri" w:eastAsia="Times New Roman" w:hAnsi="Calibri" w:cs="Times New Roman"/>
                <w:color w:val="000000"/>
                <w:sz w:val="18"/>
                <w:szCs w:val="18"/>
                <w:lang w:eastAsia="en-CA"/>
              </w:rPr>
              <w:br/>
              <w:t>- C</w:t>
            </w:r>
            <w:r w:rsidR="002B686E">
              <w:rPr>
                <w:rFonts w:ascii="Calibri" w:eastAsia="Times New Roman" w:hAnsi="Calibri" w:cs="Times New Roman"/>
                <w:color w:val="000000"/>
                <w:sz w:val="18"/>
                <w:szCs w:val="18"/>
                <w:lang w:eastAsia="en-CA"/>
              </w:rPr>
              <w:t>lopidogrel</w:t>
            </w:r>
            <w:r w:rsidRPr="005C4B89">
              <w:rPr>
                <w:rFonts w:ascii="Calibri" w:eastAsia="Times New Roman" w:hAnsi="Calibri" w:cs="Times New Roman"/>
                <w:color w:val="000000"/>
                <w:sz w:val="18"/>
                <w:szCs w:val="18"/>
                <w:lang w:eastAsia="en-CA"/>
              </w:rPr>
              <w:t xml:space="preserve"> treatment</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xml:space="preserve">- ACS events within first month after discharge </w:t>
            </w:r>
            <w:r w:rsidRPr="005C4B89">
              <w:rPr>
                <w:rFonts w:ascii="Calibri" w:eastAsia="Times New Roman" w:hAnsi="Calibri" w:cs="Times New Roman"/>
                <w:color w:val="000000"/>
                <w:sz w:val="18"/>
                <w:szCs w:val="18"/>
                <w:lang w:eastAsia="en-CA"/>
              </w:rPr>
              <w:br/>
              <w:t xml:space="preserve">- &lt;20 years </w:t>
            </w:r>
          </w:p>
        </w:tc>
        <w:tc>
          <w:tcPr>
            <w:tcW w:w="1275" w:type="dxa"/>
            <w:tcBorders>
              <w:top w:val="nil"/>
              <w:left w:val="nil"/>
              <w:bottom w:val="single" w:sz="4" w:space="0" w:color="808080"/>
              <w:right w:val="nil"/>
            </w:tcBorders>
            <w:shd w:val="clear" w:color="auto" w:fill="FFFFFF"/>
            <w:vAlign w:val="center"/>
            <w:hideMark/>
          </w:tcPr>
          <w:p w14:paraId="7F37E39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6,552</w:t>
            </w:r>
            <w:r w:rsidRPr="005C4B89">
              <w:rPr>
                <w:rFonts w:ascii="Calibri" w:eastAsia="Times New Roman" w:hAnsi="Calibri" w:cs="Times New Roman"/>
                <w:color w:val="000000"/>
                <w:sz w:val="18"/>
                <w:szCs w:val="18"/>
                <w:lang w:eastAsia="en-CA"/>
              </w:rPr>
              <w:br/>
              <w:t>(PPI: 514; No PPI: 5,551; others)</w:t>
            </w:r>
          </w:p>
        </w:tc>
        <w:tc>
          <w:tcPr>
            <w:tcW w:w="1276" w:type="dxa"/>
            <w:tcBorders>
              <w:top w:val="nil"/>
              <w:left w:val="nil"/>
              <w:bottom w:val="single" w:sz="4" w:space="0" w:color="808080"/>
              <w:right w:val="nil"/>
            </w:tcBorders>
            <w:shd w:val="clear" w:color="auto" w:fill="FFFFFF"/>
            <w:vAlign w:val="center"/>
            <w:hideMark/>
          </w:tcPr>
          <w:p w14:paraId="1E22D03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72 (1)</w:t>
            </w:r>
            <w:r w:rsidRPr="005C4B89">
              <w:rPr>
                <w:rFonts w:ascii="Calibri" w:eastAsia="Times New Roman" w:hAnsi="Calibri" w:cs="Times New Roman"/>
                <w:color w:val="000000"/>
                <w:sz w:val="18"/>
                <w:szCs w:val="18"/>
                <w:lang w:eastAsia="en-CA"/>
              </w:rPr>
              <w:br/>
              <w:t>no PPI: 66 (0)</w:t>
            </w:r>
          </w:p>
        </w:tc>
        <w:tc>
          <w:tcPr>
            <w:tcW w:w="1134" w:type="dxa"/>
            <w:tcBorders>
              <w:top w:val="nil"/>
              <w:left w:val="nil"/>
              <w:bottom w:val="single" w:sz="4" w:space="0" w:color="808080"/>
              <w:right w:val="nil"/>
            </w:tcBorders>
            <w:shd w:val="clear" w:color="auto" w:fill="FFFFFF"/>
            <w:vAlign w:val="center"/>
            <w:hideMark/>
          </w:tcPr>
          <w:p w14:paraId="389A2525"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61</w:t>
            </w:r>
            <w:r w:rsidRPr="005C4B89">
              <w:rPr>
                <w:rFonts w:ascii="Calibri" w:eastAsia="Times New Roman" w:hAnsi="Calibri" w:cs="Times New Roman"/>
                <w:color w:val="000000"/>
                <w:sz w:val="18"/>
                <w:szCs w:val="18"/>
                <w:lang w:eastAsia="en-CA"/>
              </w:rPr>
              <w:br/>
              <w:t>no PPI: 71</w:t>
            </w:r>
          </w:p>
        </w:tc>
        <w:tc>
          <w:tcPr>
            <w:tcW w:w="1134" w:type="dxa"/>
            <w:tcBorders>
              <w:top w:val="nil"/>
              <w:left w:val="nil"/>
              <w:bottom w:val="single" w:sz="4" w:space="0" w:color="808080"/>
              <w:right w:val="nil"/>
            </w:tcBorders>
            <w:shd w:val="clear" w:color="auto" w:fill="FFFFFF"/>
            <w:vAlign w:val="center"/>
            <w:hideMark/>
          </w:tcPr>
          <w:p w14:paraId="0C8FD68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E5015F" w:rsidRPr="005C4B89" w14:paraId="446E5880" w14:textId="77777777" w:rsidTr="002F0260">
        <w:trPr>
          <w:trHeight w:val="1095"/>
        </w:trPr>
        <w:tc>
          <w:tcPr>
            <w:tcW w:w="1310" w:type="dxa"/>
            <w:tcBorders>
              <w:top w:val="nil"/>
              <w:left w:val="nil"/>
              <w:bottom w:val="single" w:sz="4" w:space="0" w:color="808080"/>
              <w:right w:val="nil"/>
            </w:tcBorders>
            <w:shd w:val="clear" w:color="auto" w:fill="auto"/>
            <w:vAlign w:val="center"/>
          </w:tcPr>
          <w:p w14:paraId="291A4C3C" w14:textId="3356973D"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(Yan et al 2016)</w:t>
            </w:r>
            <w:r>
              <w:rPr>
                <w:rFonts w:ascii="Calibri" w:hAnsi="Calibri" w:cs="Calibri"/>
                <w:color w:val="000000"/>
                <w:sz w:val="18"/>
                <w:szCs w:val="18"/>
              </w:rPr>
              <w:br/>
              <w:t>(Multiple countries)</w:t>
            </w:r>
          </w:p>
        </w:tc>
        <w:tc>
          <w:tcPr>
            <w:tcW w:w="1667" w:type="dxa"/>
            <w:tcBorders>
              <w:top w:val="nil"/>
              <w:left w:val="nil"/>
              <w:bottom w:val="single" w:sz="4" w:space="0" w:color="808080"/>
              <w:right w:val="nil"/>
            </w:tcBorders>
            <w:shd w:val="clear" w:color="auto" w:fill="auto"/>
            <w:vAlign w:val="center"/>
          </w:tcPr>
          <w:p w14:paraId="70EB5A3C" w14:textId="56A78E04"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Retrospective cohort</w:t>
            </w:r>
            <w:r>
              <w:rPr>
                <w:rFonts w:ascii="Calibri" w:hAnsi="Calibri" w:cs="Calibri"/>
                <w:color w:val="000000"/>
                <w:sz w:val="18"/>
                <w:szCs w:val="18"/>
              </w:rPr>
              <w:br/>
              <w:t>(Registry analysis)</w:t>
            </w:r>
          </w:p>
        </w:tc>
        <w:tc>
          <w:tcPr>
            <w:tcW w:w="1241" w:type="dxa"/>
            <w:tcBorders>
              <w:top w:val="nil"/>
              <w:left w:val="nil"/>
              <w:bottom w:val="single" w:sz="4" w:space="0" w:color="808080"/>
              <w:right w:val="nil"/>
            </w:tcBorders>
            <w:shd w:val="clear" w:color="auto" w:fill="auto"/>
            <w:vAlign w:val="center"/>
          </w:tcPr>
          <w:p w14:paraId="0FF191BB" w14:textId="75001AE6"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BleeMACS registry NCT02466854</w:t>
            </w:r>
          </w:p>
        </w:tc>
        <w:tc>
          <w:tcPr>
            <w:tcW w:w="993" w:type="dxa"/>
            <w:tcBorders>
              <w:top w:val="nil"/>
              <w:left w:val="nil"/>
              <w:bottom w:val="single" w:sz="4" w:space="0" w:color="808080"/>
              <w:right w:val="nil"/>
            </w:tcBorders>
            <w:shd w:val="clear" w:color="auto" w:fill="auto"/>
            <w:vAlign w:val="center"/>
          </w:tcPr>
          <w:p w14:paraId="417075FF" w14:textId="2014D587"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ACS, PCI</w:t>
            </w:r>
          </w:p>
        </w:tc>
        <w:tc>
          <w:tcPr>
            <w:tcW w:w="4003" w:type="dxa"/>
            <w:tcBorders>
              <w:top w:val="nil"/>
              <w:left w:val="nil"/>
              <w:bottom w:val="single" w:sz="4" w:space="0" w:color="808080"/>
              <w:right w:val="nil"/>
            </w:tcBorders>
            <w:shd w:val="clear" w:color="auto" w:fill="auto"/>
            <w:vAlign w:val="center"/>
          </w:tcPr>
          <w:p w14:paraId="126B80EB" w14:textId="1BF4C6F2"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Inclusion:</w:t>
            </w:r>
            <w:r>
              <w:rPr>
                <w:rFonts w:ascii="Calibri" w:hAnsi="Calibri" w:cs="Calibri"/>
                <w:color w:val="000000"/>
                <w:sz w:val="18"/>
                <w:szCs w:val="18"/>
              </w:rPr>
              <w:br/>
              <w:t>- 18 years of age or older</w:t>
            </w:r>
            <w:r>
              <w:rPr>
                <w:rFonts w:ascii="Calibri" w:hAnsi="Calibri" w:cs="Calibri"/>
                <w:color w:val="000000"/>
                <w:sz w:val="18"/>
                <w:szCs w:val="18"/>
              </w:rPr>
              <w:br/>
              <w:t>- discharged alive with a diagnosis of ACS and treated with PCI</w:t>
            </w:r>
            <w:r>
              <w:rPr>
                <w:rFonts w:ascii="Calibri" w:hAnsi="Calibri" w:cs="Calibri"/>
                <w:color w:val="000000"/>
                <w:sz w:val="18"/>
                <w:szCs w:val="18"/>
              </w:rPr>
              <w:br/>
              <w:t>- users of  ticagrelor or clopidogrel</w:t>
            </w:r>
          </w:p>
        </w:tc>
        <w:tc>
          <w:tcPr>
            <w:tcW w:w="1275" w:type="dxa"/>
            <w:tcBorders>
              <w:top w:val="nil"/>
              <w:left w:val="nil"/>
              <w:bottom w:val="single" w:sz="4" w:space="0" w:color="808080"/>
              <w:right w:val="nil"/>
            </w:tcBorders>
            <w:shd w:val="clear" w:color="auto" w:fill="auto"/>
            <w:vAlign w:val="center"/>
          </w:tcPr>
          <w:p w14:paraId="413D8393" w14:textId="5A518196"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Cohort size: 9,429;</w:t>
            </w:r>
            <w:r>
              <w:rPr>
                <w:rFonts w:ascii="Calibri" w:hAnsi="Calibri" w:cs="Calibri"/>
                <w:color w:val="000000"/>
                <w:sz w:val="18"/>
                <w:szCs w:val="18"/>
              </w:rPr>
              <w:br/>
              <w:t>PPIs: 5,165;</w:t>
            </w:r>
            <w:r>
              <w:rPr>
                <w:rFonts w:ascii="Calibri" w:hAnsi="Calibri" w:cs="Calibri"/>
                <w:color w:val="000000"/>
                <w:sz w:val="18"/>
                <w:szCs w:val="18"/>
              </w:rPr>
              <w:br/>
              <w:t>No PPI: 4265;</w:t>
            </w:r>
          </w:p>
        </w:tc>
        <w:tc>
          <w:tcPr>
            <w:tcW w:w="1276" w:type="dxa"/>
            <w:tcBorders>
              <w:top w:val="nil"/>
              <w:left w:val="nil"/>
              <w:bottom w:val="single" w:sz="4" w:space="0" w:color="808080"/>
              <w:right w:val="nil"/>
            </w:tcBorders>
            <w:shd w:val="clear" w:color="auto" w:fill="auto"/>
            <w:vAlign w:val="center"/>
          </w:tcPr>
          <w:p w14:paraId="6FED6DD3" w14:textId="03E52F89"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PPI: 66.2;</w:t>
            </w:r>
            <w:r>
              <w:rPr>
                <w:rFonts w:ascii="Calibri" w:hAnsi="Calibri" w:cs="Calibri"/>
                <w:color w:val="000000"/>
                <w:sz w:val="18"/>
                <w:szCs w:val="18"/>
              </w:rPr>
              <w:br/>
              <w:t>No PPI: 61.3;</w:t>
            </w:r>
          </w:p>
        </w:tc>
        <w:tc>
          <w:tcPr>
            <w:tcW w:w="1134" w:type="dxa"/>
            <w:tcBorders>
              <w:top w:val="nil"/>
              <w:left w:val="nil"/>
              <w:bottom w:val="single" w:sz="4" w:space="0" w:color="808080"/>
              <w:right w:val="nil"/>
            </w:tcBorders>
            <w:shd w:val="clear" w:color="auto" w:fill="auto"/>
            <w:vAlign w:val="center"/>
          </w:tcPr>
          <w:p w14:paraId="029B262D" w14:textId="0A5D5EA8"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PPI: 75%;</w:t>
            </w:r>
            <w:r>
              <w:rPr>
                <w:rFonts w:ascii="Calibri" w:hAnsi="Calibri" w:cs="Calibri"/>
                <w:color w:val="000000"/>
                <w:sz w:val="18"/>
                <w:szCs w:val="18"/>
              </w:rPr>
              <w:br/>
              <w:t>No PPI: 79%;</w:t>
            </w:r>
          </w:p>
        </w:tc>
        <w:tc>
          <w:tcPr>
            <w:tcW w:w="1134" w:type="dxa"/>
            <w:tcBorders>
              <w:top w:val="nil"/>
              <w:left w:val="nil"/>
              <w:bottom w:val="single" w:sz="4" w:space="0" w:color="808080"/>
              <w:right w:val="nil"/>
            </w:tcBorders>
            <w:shd w:val="clear" w:color="auto" w:fill="auto"/>
            <w:vAlign w:val="center"/>
          </w:tcPr>
          <w:p w14:paraId="15143CD4" w14:textId="3B051C3D"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NR</w:t>
            </w:r>
          </w:p>
        </w:tc>
      </w:tr>
      <w:tr w:rsidR="00E5015F" w:rsidRPr="005C4B89" w14:paraId="1A8C371A" w14:textId="77777777" w:rsidTr="002F0260">
        <w:trPr>
          <w:trHeight w:val="1095"/>
        </w:trPr>
        <w:tc>
          <w:tcPr>
            <w:tcW w:w="1310" w:type="dxa"/>
            <w:tcBorders>
              <w:top w:val="nil"/>
              <w:left w:val="nil"/>
              <w:bottom w:val="single" w:sz="4" w:space="0" w:color="808080"/>
              <w:right w:val="nil"/>
            </w:tcBorders>
            <w:shd w:val="clear" w:color="auto" w:fill="auto"/>
            <w:vAlign w:val="center"/>
          </w:tcPr>
          <w:p w14:paraId="3F81072B" w14:textId="7428DC1E"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(Yi et al 2018)</w:t>
            </w:r>
          </w:p>
        </w:tc>
        <w:tc>
          <w:tcPr>
            <w:tcW w:w="1667" w:type="dxa"/>
            <w:tcBorders>
              <w:top w:val="nil"/>
              <w:left w:val="nil"/>
              <w:bottom w:val="single" w:sz="4" w:space="0" w:color="808080"/>
              <w:right w:val="nil"/>
            </w:tcBorders>
            <w:shd w:val="clear" w:color="auto" w:fill="auto"/>
            <w:vAlign w:val="center"/>
          </w:tcPr>
          <w:p w14:paraId="53FCE332" w14:textId="5E91713E"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Stroke patients receiving clopidogrel</w:t>
            </w:r>
          </w:p>
        </w:tc>
        <w:tc>
          <w:tcPr>
            <w:tcW w:w="1241" w:type="dxa"/>
            <w:tcBorders>
              <w:top w:val="nil"/>
              <w:left w:val="nil"/>
              <w:bottom w:val="single" w:sz="4" w:space="0" w:color="808080"/>
              <w:right w:val="nil"/>
            </w:tcBorders>
            <w:shd w:val="clear" w:color="auto" w:fill="auto"/>
            <w:vAlign w:val="center"/>
          </w:tcPr>
          <w:p w14:paraId="27A4E88E" w14:textId="0CB24B97"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http://www.chictr.org ChiCTR-OCH-14004724</w:t>
            </w:r>
          </w:p>
        </w:tc>
        <w:tc>
          <w:tcPr>
            <w:tcW w:w="993" w:type="dxa"/>
            <w:tcBorders>
              <w:top w:val="nil"/>
              <w:left w:val="nil"/>
              <w:bottom w:val="single" w:sz="4" w:space="0" w:color="808080"/>
              <w:right w:val="nil"/>
            </w:tcBorders>
            <w:shd w:val="clear" w:color="auto" w:fill="auto"/>
            <w:vAlign w:val="center"/>
          </w:tcPr>
          <w:p w14:paraId="7C7A5EEE" w14:textId="2F0AA132"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Stroke patients receiving clopidogrel</w:t>
            </w:r>
          </w:p>
        </w:tc>
        <w:tc>
          <w:tcPr>
            <w:tcW w:w="4003" w:type="dxa"/>
            <w:tcBorders>
              <w:top w:val="nil"/>
              <w:left w:val="nil"/>
              <w:bottom w:val="single" w:sz="4" w:space="0" w:color="808080"/>
              <w:right w:val="nil"/>
            </w:tcBorders>
            <w:shd w:val="clear" w:color="auto" w:fill="auto"/>
            <w:vAlign w:val="center"/>
          </w:tcPr>
          <w:p w14:paraId="7D98DE5F" w14:textId="222BA0E9"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Inclusion:</w:t>
            </w:r>
            <w:r>
              <w:rPr>
                <w:rFonts w:ascii="Calibri" w:hAnsi="Calibri" w:cs="Calibri"/>
                <w:color w:val="000000"/>
                <w:sz w:val="18"/>
                <w:szCs w:val="18"/>
              </w:rPr>
              <w:br/>
              <w:t>- first time stroke within 7 days of enrollment</w:t>
            </w:r>
            <w:r>
              <w:rPr>
                <w:rFonts w:ascii="Calibri" w:hAnsi="Calibri" w:cs="Calibri"/>
                <w:color w:val="000000"/>
                <w:sz w:val="18"/>
                <w:szCs w:val="18"/>
              </w:rPr>
              <w:br/>
              <w:t>- visiting one of two participating centers</w:t>
            </w:r>
            <w:r>
              <w:rPr>
                <w:rFonts w:ascii="Calibri" w:hAnsi="Calibri" w:cs="Calibri"/>
                <w:color w:val="000000"/>
                <w:sz w:val="18"/>
                <w:szCs w:val="18"/>
              </w:rPr>
              <w:br/>
              <w:t>- written consent</w:t>
            </w:r>
            <w:r>
              <w:rPr>
                <w:rFonts w:ascii="Calibri" w:hAnsi="Calibri" w:cs="Calibri"/>
                <w:color w:val="000000"/>
                <w:sz w:val="18"/>
                <w:szCs w:val="18"/>
              </w:rPr>
              <w:br/>
              <w:t>- 40+ years</w:t>
            </w:r>
            <w:r>
              <w:rPr>
                <w:rFonts w:ascii="Calibri" w:hAnsi="Calibri" w:cs="Calibri"/>
                <w:color w:val="000000"/>
                <w:sz w:val="18"/>
                <w:szCs w:val="18"/>
              </w:rPr>
              <w:br/>
              <w:t>- no history of clopidogrel treatment for at least 14 days before admission</w:t>
            </w:r>
            <w:r>
              <w:rPr>
                <w:rFonts w:ascii="Calibri" w:hAnsi="Calibri" w:cs="Calibri"/>
                <w:color w:val="000000"/>
                <w:sz w:val="18"/>
                <w:szCs w:val="18"/>
              </w:rPr>
              <w:br/>
            </w:r>
            <w:r>
              <w:rPr>
                <w:rFonts w:ascii="Calibri" w:hAnsi="Calibri" w:cs="Calibri"/>
                <w:color w:val="000000"/>
                <w:sz w:val="18"/>
                <w:szCs w:val="18"/>
              </w:rPr>
              <w:br/>
              <w:t>Exclusion:</w:t>
            </w:r>
            <w:r>
              <w:rPr>
                <w:rFonts w:ascii="Calibri" w:hAnsi="Calibri" w:cs="Calibri"/>
                <w:color w:val="000000"/>
                <w:sz w:val="18"/>
                <w:szCs w:val="18"/>
              </w:rPr>
              <w:br/>
              <w:t>- allergy to clopidogrel</w:t>
            </w:r>
            <w:r>
              <w:rPr>
                <w:rFonts w:ascii="Calibri" w:hAnsi="Calibri" w:cs="Calibri"/>
                <w:color w:val="000000"/>
                <w:sz w:val="18"/>
                <w:szCs w:val="18"/>
              </w:rPr>
              <w:br/>
            </w:r>
            <w:r>
              <w:rPr>
                <w:rFonts w:ascii="Calibri" w:hAnsi="Calibri" w:cs="Calibri"/>
                <w:color w:val="000000"/>
                <w:sz w:val="18"/>
                <w:szCs w:val="18"/>
              </w:rPr>
              <w:lastRenderedPageBreak/>
              <w:t>- cerebral embolism and other determined etiology or undetermined etiology IS</w:t>
            </w:r>
            <w:r>
              <w:rPr>
                <w:rFonts w:ascii="Calibri" w:hAnsi="Calibri" w:cs="Calibri"/>
                <w:color w:val="000000"/>
                <w:sz w:val="18"/>
                <w:szCs w:val="18"/>
              </w:rPr>
              <w:br/>
              <w:t>- taking other nonsteroidal anti-inflammatory drugs except aspirin, or anticoagulants with warfarin or heparin within 2 weeks;</w:t>
            </w:r>
            <w:r>
              <w:rPr>
                <w:rFonts w:ascii="Calibri" w:hAnsi="Calibri" w:cs="Calibri"/>
                <w:color w:val="000000"/>
                <w:sz w:val="18"/>
                <w:szCs w:val="18"/>
              </w:rPr>
              <w:br/>
              <w:t xml:space="preserve">- very low or very high platelet count </w:t>
            </w:r>
            <w:r>
              <w:rPr>
                <w:rFonts w:ascii="Calibri" w:hAnsi="Calibri" w:cs="Calibri"/>
                <w:color w:val="000000"/>
                <w:sz w:val="18"/>
                <w:szCs w:val="18"/>
              </w:rPr>
              <w:br/>
              <w:t>- any major surgical procedure or severe trauma within 1 week prior to enrollment</w:t>
            </w:r>
            <w:r>
              <w:rPr>
                <w:rFonts w:ascii="Calibri" w:hAnsi="Calibri" w:cs="Calibri"/>
                <w:color w:val="000000"/>
                <w:sz w:val="18"/>
                <w:szCs w:val="18"/>
              </w:rPr>
              <w:br/>
              <w:t xml:space="preserve">- fever, hypoxia, or any relevant hemodynamic compromise on admission; </w:t>
            </w:r>
            <w:r>
              <w:rPr>
                <w:rFonts w:ascii="Calibri" w:hAnsi="Calibri" w:cs="Calibri"/>
                <w:color w:val="000000"/>
                <w:sz w:val="18"/>
                <w:szCs w:val="18"/>
              </w:rPr>
              <w:br/>
              <w:t>- myelodysplastic syndrome or other blood diseases</w:t>
            </w:r>
            <w:r>
              <w:rPr>
                <w:rFonts w:ascii="Calibri" w:hAnsi="Calibri" w:cs="Calibri"/>
                <w:color w:val="000000"/>
                <w:sz w:val="18"/>
                <w:szCs w:val="18"/>
              </w:rPr>
              <w:br/>
              <w:t>- a history of carotid endoartectomy or carotid stent therapy or carotid endoartectomy or carotid stent therapy during the follow-up period.</w:t>
            </w:r>
          </w:p>
        </w:tc>
        <w:tc>
          <w:tcPr>
            <w:tcW w:w="1275" w:type="dxa"/>
            <w:tcBorders>
              <w:top w:val="nil"/>
              <w:left w:val="nil"/>
              <w:bottom w:val="single" w:sz="4" w:space="0" w:color="808080"/>
              <w:right w:val="nil"/>
            </w:tcBorders>
            <w:shd w:val="clear" w:color="auto" w:fill="auto"/>
            <w:vAlign w:val="center"/>
          </w:tcPr>
          <w:p w14:paraId="6C97E3E9" w14:textId="5A358162"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lastRenderedPageBreak/>
              <w:t>523;</w:t>
            </w:r>
            <w:r>
              <w:rPr>
                <w:rFonts w:ascii="Calibri" w:hAnsi="Calibri" w:cs="Calibri"/>
                <w:color w:val="000000"/>
                <w:sz w:val="18"/>
                <w:szCs w:val="18"/>
              </w:rPr>
              <w:br/>
              <w:t>PPI: 161;</w:t>
            </w:r>
            <w:r>
              <w:rPr>
                <w:rFonts w:ascii="Calibri" w:hAnsi="Calibri" w:cs="Calibri"/>
                <w:color w:val="000000"/>
                <w:sz w:val="18"/>
                <w:szCs w:val="18"/>
              </w:rPr>
              <w:br/>
              <w:t>no PPI: 362;</w:t>
            </w:r>
          </w:p>
        </w:tc>
        <w:tc>
          <w:tcPr>
            <w:tcW w:w="1276" w:type="dxa"/>
            <w:tcBorders>
              <w:top w:val="nil"/>
              <w:left w:val="nil"/>
              <w:bottom w:val="single" w:sz="4" w:space="0" w:color="808080"/>
              <w:right w:val="nil"/>
            </w:tcBorders>
            <w:shd w:val="clear" w:color="auto" w:fill="auto"/>
            <w:vAlign w:val="center"/>
          </w:tcPr>
          <w:p w14:paraId="1A0F5629" w14:textId="51B179C5"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xml:space="preserve">Patients that experienced MI, stroke or death: 71.0 (13.2); </w:t>
            </w:r>
            <w:r>
              <w:rPr>
                <w:rFonts w:ascii="Calibri" w:hAnsi="Calibri" w:cs="Calibri"/>
                <w:color w:val="000000"/>
                <w:sz w:val="18"/>
                <w:szCs w:val="18"/>
              </w:rPr>
              <w:br/>
              <w:t>Patients that did not experience an event: 67.2 (12.4);</w:t>
            </w:r>
          </w:p>
        </w:tc>
        <w:tc>
          <w:tcPr>
            <w:tcW w:w="1134" w:type="dxa"/>
            <w:tcBorders>
              <w:top w:val="nil"/>
              <w:left w:val="nil"/>
              <w:bottom w:val="single" w:sz="4" w:space="0" w:color="808080"/>
              <w:right w:val="nil"/>
            </w:tcBorders>
            <w:shd w:val="clear" w:color="auto" w:fill="auto"/>
            <w:vAlign w:val="center"/>
          </w:tcPr>
          <w:p w14:paraId="596927C1" w14:textId="20996D5C"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t xml:space="preserve">Patients that experienced MI, stroke or death: 63.8%; </w:t>
            </w:r>
            <w:r>
              <w:rPr>
                <w:rFonts w:ascii="Calibri" w:hAnsi="Calibri" w:cs="Calibri"/>
                <w:color w:val="000000"/>
                <w:sz w:val="18"/>
                <w:szCs w:val="18"/>
              </w:rPr>
              <w:br/>
              <w:t xml:space="preserve">Patients that did not experience </w:t>
            </w:r>
            <w:r>
              <w:rPr>
                <w:rFonts w:ascii="Calibri" w:hAnsi="Calibri" w:cs="Calibri"/>
                <w:color w:val="000000"/>
                <w:sz w:val="18"/>
                <w:szCs w:val="18"/>
              </w:rPr>
              <w:lastRenderedPageBreak/>
              <w:t>an event: 64.4%;</w:t>
            </w:r>
          </w:p>
        </w:tc>
        <w:tc>
          <w:tcPr>
            <w:tcW w:w="1134" w:type="dxa"/>
            <w:tcBorders>
              <w:top w:val="nil"/>
              <w:left w:val="nil"/>
              <w:bottom w:val="single" w:sz="4" w:space="0" w:color="808080"/>
              <w:right w:val="nil"/>
            </w:tcBorders>
            <w:shd w:val="clear" w:color="auto" w:fill="auto"/>
            <w:vAlign w:val="center"/>
          </w:tcPr>
          <w:p w14:paraId="3226EE2E" w14:textId="39052063" w:rsidR="00E5015F" w:rsidRPr="005C4B89" w:rsidRDefault="00E5015F" w:rsidP="00E5015F">
            <w:pPr>
              <w:spacing w:after="0" w:line="240" w:lineRule="auto"/>
              <w:rPr>
                <w:rFonts w:ascii="Calibri" w:eastAsia="Times New Roman" w:hAnsi="Calibri" w:cs="Times New Roman"/>
                <w:color w:val="000000"/>
                <w:sz w:val="18"/>
                <w:szCs w:val="18"/>
                <w:lang w:eastAsia="en-CA"/>
              </w:rPr>
            </w:pPr>
            <w:r>
              <w:rPr>
                <w:rFonts w:ascii="Calibri" w:hAnsi="Calibri" w:cs="Calibri"/>
                <w:color w:val="000000"/>
                <w:sz w:val="18"/>
                <w:szCs w:val="18"/>
              </w:rPr>
              <w:lastRenderedPageBreak/>
              <w:t>NR</w:t>
            </w:r>
          </w:p>
        </w:tc>
      </w:tr>
      <w:tr w:rsidR="009462F4" w:rsidRPr="005C4B89" w14:paraId="09431296"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01DBBDAA" w14:textId="4D6F2B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{"citationItems":[{"id":"ITEM-1","itemData":{"ISSN":"1916-7075","abstract":"BACKGROUND: Because clopidogrel is converted to its active metabolite by P450 isoenzymes, which are also involved in the metabolism of omeprazole, there is concern regarding whether the action of clopidogrel would be reduced in patients also taking omeprazole., OBJECTIVE: To evaluate the impact of omeprazole administration on the effectiveness of clopidogrel drug therapy during the first year following successful coronary stenting (CS)., METHODS: A total of 588 consecutive patients who underwent successful CS for stable or unstable coronary artery disease were studied. Patients were classified into those who were treated (group A, n=340) or not treated (group B, n=248) with omeprazole for seven or more consecutive days during the entire observation period. The composite of cardiac death or rehospitalization for nonfatal myocardial infarction during the first year was the prespecified primary study end point., RESULTS: Baseline characteristics, and dual clopidogrel and acetylsalicylic acid drug therapy were well balanced between the study groups. By one year, the primary end point was reached by 58 (9.9%) patients, including 20 (3.4%) who died due to cardiac reasons and 38 (6.5%) who were rehospitalized because of a nonfatal myocardial infarction. Patients in groups A and B, respectively, were at similar risk of the primary composite end point (10% versus 9.7%, hazard ratio 1.1 [95% CI 0.6 to 1.8]; P=0.89)., CONCLUSIONS: According to the results of the present study, treatment with omeprazole had no impact on the clinical efficacy of clopidogrel drug therapy during the first year after successful CS.","author":[{"dropping-particle":"","family":"Zairis","given":"Michael N","non-dropping-particle":"","parse-names":false,"suffix":""},{"dropping-particle":"","family":"Tsiaousis","given":"George Z","non-dropping-particle":"","parse-names":false,"suffix":""},{"dropping-particle":"","family":"Patsourakos","given":"Nikolaos G","non-dropping-particle":"","parse-names":false,"suffix":""},{"dropping-particle":"","family":"Georgilas","given":"Anastassios Theodossis","non-dropping-particle":"","parse-names":false,"suffix":""},{"dropping-particle":"","family":"Kontos","given":"Constantinos F","non-dropping-particle":"","parse-names":false,"suffix":""},{"dropping-particle":"","family":"Adamopoulou","given":"Evdokia N","non-dropping-particle":"","parse-names":false,"suffix":""},{"dropping-particle":"","family":"Vogiatzidis","given":"Konstantinos","non-dropping-particle":"","parse-names":false,"suffix":""},{"dropping-particle":"","family":"Argyrakis","given":"Spyros K","non-dropping-particle":"","parse-names":false,"suffix":""},{"dropping-particle":"","family":"Fakiolas","given":"Constantine N","non-dropping-particle":"","parse-names":false,"suffix":""},{"dropping-particle":"","family":"Foussas","given":"Stefanos G","non-dropping-particle":"","parse-names":false,"suffix":""}],"container-title":"The Canadian journal of cardiology","id":"ITEM-1","issue":"2","issued":{"date-parts":[["2010"]]},"note":"643","page":"e54-7","publisher":"Zairis,Michael N. Department of Cardiology, Tzanio Hospital, Piraeus, Greece. zairis66@otenet.gr","publisher-place":"Canada","title":"The impact of treatment with omeprazole on the effectiveness of clopidogrel drug therapy during the first year after successful coronary stenting.","type":"article-journal","volume":"26"},"uris":["http://www.mendeley.com/documents/?uuid=5958e7ed-7d43-4827-b8fb-123bdbfb928c"]}],"mendeley":{"formattedCitation":"(Zairis et al. 2010)","plainTextFormattedCitation":"(Zairis et al. 2010)","previouslyFormattedCitation":"(Zairis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(Zairis et al.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(Greece)</w:t>
            </w:r>
          </w:p>
        </w:tc>
        <w:tc>
          <w:tcPr>
            <w:tcW w:w="1667" w:type="dxa"/>
            <w:tcBorders>
              <w:top w:val="nil"/>
              <w:left w:val="nil"/>
              <w:bottom w:val="single" w:sz="4" w:space="0" w:color="808080"/>
              <w:right w:val="nil"/>
            </w:tcBorders>
            <w:shd w:val="clear" w:color="auto" w:fill="FFFFFF"/>
            <w:vAlign w:val="center"/>
            <w:hideMark/>
          </w:tcPr>
          <w:p w14:paraId="6607DE53"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p>
          <w:p w14:paraId="56E8FF8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(hospital -1 center)</w:t>
            </w:r>
            <w:r w:rsidRPr="005C4B89">
              <w:rPr>
                <w:rFonts w:ascii="Calibri" w:eastAsia="Times New Roman" w:hAnsi="Calibri" w:cs="Times New Roman"/>
                <w:color w:val="000000"/>
                <w:sz w:val="18"/>
                <w:szCs w:val="18"/>
                <w:lang w:eastAsia="en-CA"/>
              </w:rPr>
              <w:br/>
            </w:r>
          </w:p>
        </w:tc>
        <w:tc>
          <w:tcPr>
            <w:tcW w:w="1241" w:type="dxa"/>
            <w:tcBorders>
              <w:top w:val="nil"/>
              <w:left w:val="nil"/>
              <w:bottom w:val="single" w:sz="4" w:space="0" w:color="808080"/>
              <w:right w:val="nil"/>
            </w:tcBorders>
            <w:shd w:val="clear" w:color="auto" w:fill="FFFFFF"/>
            <w:vAlign w:val="center"/>
            <w:hideMark/>
          </w:tcPr>
          <w:p w14:paraId="439ED12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FFFFFF"/>
            <w:vAlign w:val="center"/>
            <w:hideMark/>
          </w:tcPr>
          <w:p w14:paraId="3ECB98F8"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ACS with stent</w:t>
            </w:r>
          </w:p>
        </w:tc>
        <w:tc>
          <w:tcPr>
            <w:tcW w:w="4003" w:type="dxa"/>
            <w:tcBorders>
              <w:top w:val="nil"/>
              <w:left w:val="nil"/>
              <w:bottom w:val="single" w:sz="4" w:space="0" w:color="808080"/>
              <w:right w:val="nil"/>
            </w:tcBorders>
            <w:shd w:val="clear" w:color="auto" w:fill="FFFFFF"/>
            <w:vAlign w:val="center"/>
            <w:hideMark/>
          </w:tcPr>
          <w:p w14:paraId="23B831F8" w14:textId="12767B02" w:rsidR="009462F4" w:rsidRPr="005C4B89" w:rsidRDefault="009462F4" w:rsidP="002B686E">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successful coronary stent in Tzanio hospital due to stable angina or ACS between April 2003- Jan 2005</w:t>
            </w:r>
            <w:r w:rsidRPr="005C4B89">
              <w:rPr>
                <w:rFonts w:ascii="Calibri" w:eastAsia="Times New Roman" w:hAnsi="Calibri" w:cs="Times New Roman"/>
                <w:color w:val="000000"/>
                <w:sz w:val="18"/>
                <w:szCs w:val="18"/>
                <w:lang w:eastAsia="en-CA"/>
              </w:rPr>
              <w:br/>
              <w:t>- treated with acetylsalicylic acid and clopidogrel f</w:t>
            </w:r>
            <w:r w:rsidR="002B686E">
              <w:rPr>
                <w:rFonts w:ascii="Calibri" w:eastAsia="Times New Roman" w:hAnsi="Calibri" w:cs="Times New Roman"/>
                <w:color w:val="000000"/>
                <w:sz w:val="18"/>
                <w:szCs w:val="18"/>
                <w:lang w:eastAsia="en-CA"/>
              </w:rPr>
              <w:t>or at least 12 hrs before stent</w:t>
            </w:r>
          </w:p>
        </w:tc>
        <w:tc>
          <w:tcPr>
            <w:tcW w:w="1275" w:type="dxa"/>
            <w:tcBorders>
              <w:top w:val="nil"/>
              <w:left w:val="nil"/>
              <w:bottom w:val="single" w:sz="4" w:space="0" w:color="808080"/>
              <w:right w:val="nil"/>
            </w:tcBorders>
            <w:shd w:val="clear" w:color="auto" w:fill="FFFFFF"/>
            <w:vAlign w:val="center"/>
            <w:hideMark/>
          </w:tcPr>
          <w:p w14:paraId="6C61C2B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588</w:t>
            </w:r>
            <w:r w:rsidRPr="005C4B89">
              <w:rPr>
                <w:rFonts w:ascii="Calibri" w:eastAsia="Times New Roman" w:hAnsi="Calibri" w:cs="Times New Roman"/>
                <w:color w:val="000000"/>
                <w:sz w:val="18"/>
                <w:szCs w:val="18"/>
                <w:lang w:eastAsia="en-CA"/>
              </w:rPr>
              <w:br/>
              <w:t>(PPI (Omeprazole): 340; No PPI:: 248)</w:t>
            </w:r>
          </w:p>
        </w:tc>
        <w:tc>
          <w:tcPr>
            <w:tcW w:w="1276" w:type="dxa"/>
            <w:tcBorders>
              <w:top w:val="nil"/>
              <w:left w:val="nil"/>
              <w:bottom w:val="single" w:sz="4" w:space="0" w:color="808080"/>
              <w:right w:val="nil"/>
            </w:tcBorders>
            <w:shd w:val="clear" w:color="auto" w:fill="FFFFFF"/>
            <w:vAlign w:val="center"/>
            <w:hideMark/>
          </w:tcPr>
          <w:p w14:paraId="7D770B1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62 (11)</w:t>
            </w:r>
            <w:r w:rsidRPr="005C4B89">
              <w:rPr>
                <w:rFonts w:ascii="Calibri" w:eastAsia="Times New Roman" w:hAnsi="Calibri" w:cs="Times New Roman"/>
                <w:color w:val="000000"/>
                <w:sz w:val="18"/>
                <w:szCs w:val="18"/>
                <w:lang w:eastAsia="en-CA"/>
              </w:rPr>
              <w:br/>
              <w:t>no PPI: 62 (11)</w:t>
            </w:r>
          </w:p>
        </w:tc>
        <w:tc>
          <w:tcPr>
            <w:tcW w:w="1134" w:type="dxa"/>
            <w:tcBorders>
              <w:top w:val="nil"/>
              <w:left w:val="nil"/>
              <w:bottom w:val="single" w:sz="4" w:space="0" w:color="808080"/>
              <w:right w:val="nil"/>
            </w:tcBorders>
            <w:shd w:val="clear" w:color="auto" w:fill="FFFFFF"/>
            <w:vAlign w:val="center"/>
            <w:hideMark/>
          </w:tcPr>
          <w:p w14:paraId="5AF0744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82</w:t>
            </w:r>
          </w:p>
        </w:tc>
        <w:tc>
          <w:tcPr>
            <w:tcW w:w="1134" w:type="dxa"/>
            <w:tcBorders>
              <w:top w:val="nil"/>
              <w:left w:val="nil"/>
              <w:bottom w:val="single" w:sz="4" w:space="0" w:color="808080"/>
              <w:right w:val="nil"/>
            </w:tcBorders>
            <w:shd w:val="clear" w:color="auto" w:fill="FFFFFF"/>
            <w:vAlign w:val="center"/>
            <w:hideMark/>
          </w:tcPr>
          <w:p w14:paraId="55AA81D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0D3DB7F6"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7CEE91FD" w14:textId="13CD6A72"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{"citationItems":[{"id":"ITEM-1","itemData":{"ISSN":"1932-6203","abstract":"Background: Some clinical studies have demonstrated that the proton pump inhibitor (PPI) could decrease clopidogrel platelet response and increase major adverse cardiovascular events (MACE) in white or black subjects. However, that remains to be determined in Chinese patients. In this study, we sought to determine whether there could be an increased risk for developing MACE after concomitant use of dual antiplatelet therapy (DAT) and a PPI in Chinese patients treated with percutaneous coronary intervention (PCI) and stenting. Methods: This study was a 5-year, single-center, retrospective cohort analysis of eligible patients (n = 6188) who received DAT and a PPI concomitantly (defined as PPI users) before discharge and/or 12-month follow-up after discharge as compared with those who received DAT alone (also defined as non-PPI users, n = 1465). The incidence of recurrent MACE, such as myocardial infarction (MI), definite stent thromboses (ST), or cardiovascular death, was compared between the PPI users and non-users. Results: PPI users had a significantly higher incidence of the MACE than non-users (13.9% vs. 10.6%; adjusted HR: 1.33; 95% CI: 1.12 - 1.57, P = 0.007). Stratified analysis revealed that concurrent use of DAT and a PPI was associated with a significantly increased risk for developing ST compared with DAT alone (1% vs. 0.4%; adjusted HR: 2.66, 95% CI: 1.16 - 5.87, P = 0.012). However, there were no significant differences in the risk of MI, cardiovascular death and other adverse events, regardless of combination of clopidogrel and a PPI. Conclusions: The study further suggests that concomitant use of DAT and a PPI may be associated with an increased risk for developing MACE, in particular definite ST, in Chinese PCI patients after discharge as compared with use of DAT alone. © 2014 Zou et al.","author":[{"dropping-particle":"","family":"Zou","given":"Jian-Jun","non-dropping-particle":"","parse-names":false,"suffix":""},{"dropping-particle":"","family":"Chen","given":"Shao-Liang","non-dropping-particle":"","parse-names":false,"suffix":""},{"dropping-particle":"","family":"Tan","given":"Jie","non-dropping-particle":"","parse-names":false,"suffix":""},{"dropping-particle":"","family":"Lin","given":"Ling","non-dropping-particle":"","parse-names":false,"suffix":""},{"dropping-particle":"","family":"Zhao","given":"Ying-Ying","non-dropping-particle":"","parse-names":false,"suffix":""},{"dropping-particle":"","family":"Xu","given":"Hai-Mei","non-dropping-particle":"","parse-names":false,"suffix":""},{"dropping-particle":"","family":"Lin","given":"Song","non-dropping-particle":"","parse-names":false,"suffix":""},{"dropping-particle":"","family":"Zhang","given":"Juan","non-dropping-particle":"","parse-names":false,"suffix":""},{"dropping-particle":"","family":"Fan","given":"Hong-Wei","non-dropping-particle":"","parse-names":false,"suffix":""},{"dropping-particle":"","family":"Xie","given":"Hong-Guang","non-dropping-particle":"","parse-names":false,"suffix":""}],"container-title":"PLoS ONE","id":"ITEM-1","issue":"1","issued":{"date-parts":[["2014"]]},"note":"76","page":"e84985","publisher":"Public Library of Science","publisher-place":"United States","title":"Increased risk for developing major adverse cardiovascular events in stented Chinese patients treated with dual antiplatelet therapy after concomitant use of the proton pump inhibitor.","type":"article-journal","volume":"9"},"uris":["http://www.mendeley.com/documents/?uuid=be73ac0e-d497-496b-97d6-1c6b34fa4c91"]}],"mendeley":{"formattedCitation":"(Zou et al. 2014)","plainTextFormattedCitation":"(Zou et al. 2014)","previouslyFormattedCitation":"(Zou et al. 2014)"},"properties":{"noteIndex":0},"schema":"https://github.com/citation-style-language/schema/raw/master/csl-citation.json"}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(Zou et al. 2014)</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(China)</w:t>
            </w:r>
          </w:p>
        </w:tc>
        <w:tc>
          <w:tcPr>
            <w:tcW w:w="1667" w:type="dxa"/>
            <w:tcBorders>
              <w:top w:val="nil"/>
              <w:left w:val="nil"/>
              <w:bottom w:val="single" w:sz="4" w:space="0" w:color="808080"/>
              <w:right w:val="nil"/>
            </w:tcBorders>
            <w:shd w:val="clear" w:color="auto" w:fill="FFFFFF"/>
            <w:vAlign w:val="center"/>
            <w:hideMark/>
          </w:tcPr>
          <w:p w14:paraId="6763880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Retrospective cohort</w:t>
            </w:r>
            <w:r w:rsidRPr="005C4B89">
              <w:rPr>
                <w:rFonts w:ascii="Calibri" w:eastAsia="Times New Roman" w:hAnsi="Calibri" w:cs="Times New Roman"/>
                <w:color w:val="000000"/>
                <w:sz w:val="18"/>
                <w:szCs w:val="18"/>
                <w:lang w:eastAsia="en-CA"/>
              </w:rPr>
              <w:br/>
              <w:t>(hospital)</w:t>
            </w:r>
          </w:p>
        </w:tc>
        <w:tc>
          <w:tcPr>
            <w:tcW w:w="1241" w:type="dxa"/>
            <w:tcBorders>
              <w:top w:val="nil"/>
              <w:left w:val="nil"/>
              <w:bottom w:val="single" w:sz="4" w:space="0" w:color="808080"/>
              <w:right w:val="nil"/>
            </w:tcBorders>
            <w:shd w:val="clear" w:color="auto" w:fill="FFFFFF"/>
            <w:vAlign w:val="center"/>
            <w:hideMark/>
          </w:tcPr>
          <w:p w14:paraId="70673F5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FFFFFF"/>
            <w:vAlign w:val="center"/>
            <w:hideMark/>
          </w:tcPr>
          <w:p w14:paraId="43F6375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PCI with DES</w:t>
            </w:r>
          </w:p>
        </w:tc>
        <w:tc>
          <w:tcPr>
            <w:tcW w:w="4003" w:type="dxa"/>
            <w:tcBorders>
              <w:top w:val="nil"/>
              <w:left w:val="nil"/>
              <w:bottom w:val="single" w:sz="4" w:space="0" w:color="808080"/>
              <w:right w:val="nil"/>
            </w:tcBorders>
            <w:shd w:val="clear" w:color="auto" w:fill="FFFFFF"/>
            <w:vAlign w:val="center"/>
            <w:hideMark/>
          </w:tcPr>
          <w:p w14:paraId="57B6B257" w14:textId="6659C77A" w:rsidR="009462F4" w:rsidRPr="005C4B89" w:rsidRDefault="009462F4" w:rsidP="002B686E">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complete medication data for 1 month before PCI and stent  and for 12 month follow-up thereafter</w:t>
            </w:r>
            <w:r w:rsidRPr="005C4B89">
              <w:rPr>
                <w:rFonts w:ascii="Calibri" w:eastAsia="Times New Roman" w:hAnsi="Calibri" w:cs="Times New Roman"/>
                <w:color w:val="000000"/>
                <w:sz w:val="18"/>
                <w:szCs w:val="18"/>
                <w:lang w:eastAsia="en-CA"/>
              </w:rPr>
              <w:br/>
              <w:t>- PPI users had to have at least 3 PPI prescriptions or took PPI  more than 6 days throughout the follow up period</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xml:space="preserve">- no discharge medication data were excluded from the analysis </w:t>
            </w:r>
            <w:r w:rsidRPr="005C4B89">
              <w:rPr>
                <w:rFonts w:ascii="Calibri" w:eastAsia="Times New Roman" w:hAnsi="Calibri" w:cs="Times New Roman"/>
                <w:color w:val="000000"/>
                <w:sz w:val="18"/>
                <w:szCs w:val="18"/>
                <w:lang w:eastAsia="en-CA"/>
              </w:rPr>
              <w:br/>
              <w:t>- interrupted clopidogrel medication or were not on clopidogrel</w:t>
            </w:r>
          </w:p>
        </w:tc>
        <w:tc>
          <w:tcPr>
            <w:tcW w:w="1275" w:type="dxa"/>
            <w:tcBorders>
              <w:top w:val="nil"/>
              <w:left w:val="nil"/>
              <w:bottom w:val="single" w:sz="4" w:space="0" w:color="808080"/>
              <w:right w:val="nil"/>
            </w:tcBorders>
            <w:shd w:val="clear" w:color="auto" w:fill="FFFFFF"/>
            <w:vAlign w:val="center"/>
            <w:hideMark/>
          </w:tcPr>
          <w:p w14:paraId="16E49F5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7906 (enrolled)</w:t>
            </w:r>
            <w:r w:rsidRPr="005C4B89">
              <w:rPr>
                <w:rFonts w:ascii="Calibri" w:eastAsia="Times New Roman" w:hAnsi="Calibri" w:cs="Times New Roman"/>
                <w:color w:val="000000"/>
                <w:sz w:val="18"/>
                <w:szCs w:val="18"/>
                <w:lang w:eastAsia="en-CA"/>
              </w:rPr>
              <w:br/>
              <w:t>(PPI: 6,188; No PPI: 1,465)</w:t>
            </w:r>
          </w:p>
        </w:tc>
        <w:tc>
          <w:tcPr>
            <w:tcW w:w="1276" w:type="dxa"/>
            <w:tcBorders>
              <w:top w:val="nil"/>
              <w:left w:val="nil"/>
              <w:bottom w:val="single" w:sz="4" w:space="0" w:color="808080"/>
              <w:right w:val="nil"/>
            </w:tcBorders>
            <w:shd w:val="clear" w:color="auto" w:fill="FFFFFF"/>
            <w:vAlign w:val="center"/>
            <w:hideMark/>
          </w:tcPr>
          <w:p w14:paraId="5BC2212D"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66 (10)</w:t>
            </w:r>
            <w:r w:rsidRPr="005C4B89">
              <w:rPr>
                <w:rFonts w:ascii="Calibri" w:eastAsia="Times New Roman" w:hAnsi="Calibri" w:cs="Times New Roman"/>
                <w:color w:val="000000"/>
                <w:sz w:val="18"/>
                <w:szCs w:val="18"/>
                <w:lang w:eastAsia="en-CA"/>
              </w:rPr>
              <w:br/>
              <w:t>no PPI: 66 (11)</w:t>
            </w:r>
          </w:p>
        </w:tc>
        <w:tc>
          <w:tcPr>
            <w:tcW w:w="1134" w:type="dxa"/>
            <w:tcBorders>
              <w:top w:val="nil"/>
              <w:left w:val="nil"/>
              <w:bottom w:val="single" w:sz="4" w:space="0" w:color="808080"/>
              <w:right w:val="nil"/>
            </w:tcBorders>
            <w:shd w:val="clear" w:color="auto" w:fill="FFFFFF"/>
            <w:vAlign w:val="center"/>
            <w:hideMark/>
          </w:tcPr>
          <w:p w14:paraId="417FA14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73</w:t>
            </w:r>
          </w:p>
        </w:tc>
        <w:tc>
          <w:tcPr>
            <w:tcW w:w="1134" w:type="dxa"/>
            <w:tcBorders>
              <w:top w:val="nil"/>
              <w:left w:val="nil"/>
              <w:bottom w:val="single" w:sz="4" w:space="0" w:color="808080"/>
              <w:right w:val="nil"/>
            </w:tcBorders>
            <w:shd w:val="clear" w:color="auto" w:fill="FFFFFF"/>
            <w:vAlign w:val="center"/>
            <w:hideMark/>
          </w:tcPr>
          <w:p w14:paraId="5859EF4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Asian</w:t>
            </w:r>
          </w:p>
        </w:tc>
      </w:tr>
      <w:tr w:rsidR="001B1380" w:rsidRPr="005C4B89" w14:paraId="129C07C3" w14:textId="77777777" w:rsidTr="001B1380">
        <w:trPr>
          <w:trHeight w:val="392"/>
        </w:trPr>
        <w:tc>
          <w:tcPr>
            <w:tcW w:w="2977" w:type="dxa"/>
            <w:gridSpan w:val="2"/>
            <w:tcBorders>
              <w:top w:val="nil"/>
              <w:left w:val="nil"/>
              <w:bottom w:val="single" w:sz="4" w:space="0" w:color="808080"/>
              <w:right w:val="nil"/>
            </w:tcBorders>
            <w:shd w:val="clear" w:color="auto" w:fill="DEEAF6" w:themeFill="accent1" w:themeFillTint="33"/>
            <w:noWrap/>
            <w:vAlign w:val="center"/>
            <w:hideMark/>
          </w:tcPr>
          <w:p w14:paraId="647C72CC" w14:textId="4D8B54FE" w:rsidR="001B1380" w:rsidRPr="001B1380" w:rsidRDefault="001B1380" w:rsidP="001B1380">
            <w:pPr>
              <w:spacing w:after="0" w:line="240" w:lineRule="auto"/>
              <w:rPr>
                <w:rFonts w:ascii="Calibri" w:eastAsia="Times New Roman" w:hAnsi="Calibri" w:cs="Times New Roman"/>
                <w:b/>
                <w:bCs/>
                <w:i/>
                <w:iCs/>
                <w:color w:val="000000"/>
                <w:sz w:val="18"/>
                <w:szCs w:val="18"/>
                <w:lang w:eastAsia="en-CA"/>
              </w:rPr>
            </w:pPr>
            <w:r w:rsidRPr="005C4B89">
              <w:rPr>
                <w:rFonts w:ascii="Calibri" w:eastAsia="Times New Roman" w:hAnsi="Calibri" w:cs="Times New Roman"/>
                <w:b/>
                <w:bCs/>
                <w:i/>
                <w:iCs/>
                <w:color w:val="000000"/>
                <w:sz w:val="18"/>
                <w:szCs w:val="18"/>
                <w:lang w:eastAsia="en-CA"/>
              </w:rPr>
              <w:t>Intervention studies</w:t>
            </w:r>
          </w:p>
        </w:tc>
        <w:tc>
          <w:tcPr>
            <w:tcW w:w="1241" w:type="dxa"/>
            <w:tcBorders>
              <w:top w:val="nil"/>
              <w:left w:val="nil"/>
              <w:bottom w:val="single" w:sz="4" w:space="0" w:color="808080"/>
              <w:right w:val="nil"/>
            </w:tcBorders>
            <w:shd w:val="clear" w:color="auto" w:fill="DEEAF6" w:themeFill="accent1" w:themeFillTint="33"/>
            <w:vAlign w:val="center"/>
            <w:hideMark/>
          </w:tcPr>
          <w:p w14:paraId="154CFAF7" w14:textId="77777777" w:rsidR="001B1380" w:rsidRPr="005C4B89" w:rsidRDefault="001B1380">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DEEAF6" w:themeFill="accent1" w:themeFillTint="33"/>
            <w:vAlign w:val="center"/>
            <w:hideMark/>
          </w:tcPr>
          <w:p w14:paraId="45449D10" w14:textId="77777777" w:rsidR="001B1380" w:rsidRPr="005C4B89" w:rsidRDefault="001B1380">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4003" w:type="dxa"/>
            <w:tcBorders>
              <w:top w:val="nil"/>
              <w:left w:val="nil"/>
              <w:bottom w:val="single" w:sz="4" w:space="0" w:color="808080"/>
              <w:right w:val="nil"/>
            </w:tcBorders>
            <w:shd w:val="clear" w:color="auto" w:fill="DEEAF6" w:themeFill="accent1" w:themeFillTint="33"/>
            <w:vAlign w:val="center"/>
            <w:hideMark/>
          </w:tcPr>
          <w:p w14:paraId="744A45A7" w14:textId="77777777" w:rsidR="001B1380" w:rsidRPr="005C4B89" w:rsidRDefault="001B1380">
            <w:pPr>
              <w:rPr>
                <w:rFonts w:ascii="Calibri" w:eastAsia="Times New Roman" w:hAnsi="Calibri" w:cs="Times New Roman"/>
                <w:color w:val="000000"/>
                <w:sz w:val="18"/>
                <w:szCs w:val="18"/>
                <w:lang w:eastAsia="en-CA"/>
              </w:rPr>
            </w:pPr>
          </w:p>
        </w:tc>
        <w:tc>
          <w:tcPr>
            <w:tcW w:w="1275" w:type="dxa"/>
            <w:tcBorders>
              <w:top w:val="nil"/>
              <w:left w:val="nil"/>
              <w:bottom w:val="single" w:sz="4" w:space="0" w:color="808080"/>
              <w:right w:val="nil"/>
            </w:tcBorders>
            <w:shd w:val="clear" w:color="auto" w:fill="DEEAF6" w:themeFill="accent1" w:themeFillTint="33"/>
            <w:vAlign w:val="center"/>
            <w:hideMark/>
          </w:tcPr>
          <w:p w14:paraId="605F0583" w14:textId="77777777" w:rsidR="001B1380" w:rsidRPr="005C4B89" w:rsidRDefault="001B1380">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276" w:type="dxa"/>
            <w:tcBorders>
              <w:top w:val="nil"/>
              <w:left w:val="nil"/>
              <w:bottom w:val="single" w:sz="4" w:space="0" w:color="808080"/>
              <w:right w:val="nil"/>
            </w:tcBorders>
            <w:shd w:val="clear" w:color="auto" w:fill="DEEAF6" w:themeFill="accent1" w:themeFillTint="33"/>
            <w:vAlign w:val="center"/>
            <w:hideMark/>
          </w:tcPr>
          <w:p w14:paraId="38635785" w14:textId="77777777" w:rsidR="001B1380" w:rsidRPr="005C4B89" w:rsidRDefault="001B1380">
            <w:pPr>
              <w:spacing w:after="0" w:line="240" w:lineRule="auto"/>
              <w:rPr>
                <w:rFonts w:ascii="Calibri" w:eastAsia="Times New Roman" w:hAnsi="Calibri" w:cs="Times New Roman"/>
                <w:sz w:val="18"/>
                <w:szCs w:val="18"/>
                <w:lang w:eastAsia="en-CA"/>
              </w:rPr>
            </w:pPr>
            <w:r w:rsidRPr="005C4B89">
              <w:rPr>
                <w:rFonts w:ascii="Calibri" w:eastAsia="Times New Roman" w:hAnsi="Calibri" w:cs="Times New Roman"/>
                <w:sz w:val="18"/>
                <w:szCs w:val="18"/>
                <w:lang w:eastAsia="en-CA"/>
              </w:rPr>
              <w:t> </w:t>
            </w:r>
          </w:p>
        </w:tc>
        <w:tc>
          <w:tcPr>
            <w:tcW w:w="1134" w:type="dxa"/>
            <w:tcBorders>
              <w:top w:val="nil"/>
              <w:left w:val="nil"/>
              <w:bottom w:val="single" w:sz="4" w:space="0" w:color="808080"/>
              <w:right w:val="nil"/>
            </w:tcBorders>
            <w:shd w:val="clear" w:color="auto" w:fill="DEEAF6" w:themeFill="accent1" w:themeFillTint="33"/>
            <w:vAlign w:val="center"/>
            <w:hideMark/>
          </w:tcPr>
          <w:p w14:paraId="5621567E" w14:textId="77777777" w:rsidR="001B1380" w:rsidRPr="005C4B89" w:rsidRDefault="001B1380">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1134" w:type="dxa"/>
            <w:tcBorders>
              <w:top w:val="nil"/>
              <w:left w:val="nil"/>
              <w:bottom w:val="single" w:sz="4" w:space="0" w:color="808080"/>
              <w:right w:val="nil"/>
            </w:tcBorders>
            <w:shd w:val="clear" w:color="auto" w:fill="DEEAF6" w:themeFill="accent1" w:themeFillTint="33"/>
            <w:vAlign w:val="center"/>
            <w:hideMark/>
          </w:tcPr>
          <w:p w14:paraId="57FFFD0F" w14:textId="77777777" w:rsidR="001B1380" w:rsidRPr="005C4B89" w:rsidRDefault="001B1380">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r>
      <w:tr w:rsidR="009462F4" w:rsidRPr="005C4B89" w14:paraId="7E36357E"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60C3F5D9" w14:textId="7D539C9B"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fldChar w:fldCharType="begin" w:fldLock="1"/>
            </w:r>
            <w:r w:rsidR="00D325C7">
              <w:rPr>
                <w:rFonts w:ascii="Calibri" w:eastAsia="Times New Roman" w:hAnsi="Calibri" w:cs="Times New Roman"/>
                <w:color w:val="000000"/>
                <w:sz w:val="18"/>
                <w:szCs w:val="18"/>
                <w:lang w:eastAsia="en-CA"/>
              </w:rPr>
              <w:instrText>ADDIN CSL_CITATION {"citationItems":[{"id":"ITEM-1","itemData":{"ISBN":"0028-4793","ISSN":"1533-4406","abstract":"BACKGROUND: Gastrointestinal complications are an important problem of antithrombotic therapy. Proton-pump inhibitors (PPIs) are believed to decrease the risk of such complications, though no randomized trial has proved this in patients receiving dual antiplatelet therapy. Recently, concerns have been raised about the potential for PPIs to blunt the efficacy of clopidogrel., METHODS: We randomly assigned patients with an indication for dual antiplatelet therapy to receive clopidogrel in combination with either omeprazole or placebo, in addition to aspirin. The primary gastrointestinal end point was a composite of overt or occult bleeding, symptomatic gastroduodenal ulcers or erosions, obstruction, or perforation. The primary cardiovascular end point was a composite of death from cardiovascular causes, nonfatal myocardial infarction, revascularization, or stroke. The trial was terminated prematurely when the sponsor lost financing., RESULTS: We planned to enroll about 5000 patients; a total of 3873 were randomly assigned and 3761 were included in analyses. In all, 51 patients had a gastrointestinal event; the event rate was 1.1% with omeprazole and 2.9% with placebo at 180 days (hazard ratio with omeprazole, 0.34, 95% confidence interval [CI], 0.18 to 0.63; P&lt;0.001). The rate of overt upper gastrointestinal bleeding was also reduced with omeprazole as compared with placebo (hazard ratio, 0.13; 95% CI, 0.03 to 0.56; P = 0.001). A total of 109 patients had a cardiovascular event, with event rates of 4.9% with omeprazole and 5.7% with placebo (hazard ratio with omeprazole, 0.99; 95% CI, 0.68 to 1.44; P = 0.96); high-risk subgroups did not show significant heterogeneity. The two groups did not differ significantly in the rate of serious adverse events, though the risk of diarrhea was increased with omeprazole., CONCLUSIONS: Among patients receiving aspirin and clopidogrel, prophylactic use of a PPI reduced the rate of upper gastrointestinal bleeding. There was no apparent cardiovascular interaction between clopidogrel and omeprazole, but our results do not rule out a clinically meaningful difference in cardiovascular events due to use of a PPI. (Funded by Cogentus Pharmaceuticals; ClinicalTrials.gov number, NCT00557921.).","author":[{"dropping-particle":"","family":"Bhatt","given":"DL","non-dropping-particle":"","parse-names":false,"suffix":""},{"dropping-particle":"","family":"Contant","given":"CL","non-dropping-particle":"","parse-names":false,"suffix":""},{"dropping-particle":"","family":"Cohen","given":"M","non-dropping-particle":"","parse-names":false,"suffix":""},{"dropping-particle":"","family":"Lanas","given":"A","non-dropping-particle":"","parse-names":false,"suffix":""},{"dropping-particle":"","family":"Schnitzer","given":"TJ","non-dropping-particle":"","parse-names":false,"suffix":""},{"dropping-particle":"","family":"Shook","given":"TL","non-dropping-particle":"","parse-names":false,"suffix":""},{"dropping-particle":"","family":"Lapuerta","given":"P","non-dropping-particle":"","parse-names":false,"suffix":""},{"dropping-particle":"","family":"Goldsmith","given":"MA","non-dropping-particle":"","parse-names":false,"suffix":""},{"dropping-particle":"","family":"Laine","given":"L","non-dropping-particle":"","parse-names":false,"suffix":""},{"dropping-particle":"","family":"Scirica","given":"BM","non-dropping-particle":"","parse-names":false,"suffix":""},{"dropping-particle":"","family":"Murphy","given":"SA","non-dropping-particle":"","parse-names":false,"suffix":""},{"dropping-particle":"","family":"Cannon","given":"CP","non-dropping-particle":"","parse-names":false,"suffix":""},{"dropping-particle":"","family":"Cryer","given":"B L","non-dropping-particle":"","parse-names":false,"suffix":""}],"container-title":"New England Journal of Medicine","id":"ITEM-1","issue":"20","issued":{"date-parts":[["2010"]]},"note":"745\n\n\nFrom Duplicate 1 (Clopidogrel with or without omeprazole in coronary artery disease. - Bhatt, Deepak L; Cryer, Byron L; Contant, Charles F; Cohen, Marc; Lanas, Angel; Schnitzer, Thomas J; Shook, Thomas L; Lapuerta, Pablo; Goldsmith, Mark A; Laine, Loren; Scirica, Benjamin M; Murphy, Sabina A; Cannon, Christopher P; Investigators, COGENT)\n\nComment in: Evid Based Med. 2011 Oct;16(5):144-5; PMID: 21558563, Comment in: Ann Intern Med. 2011 Mar 15;154(6):JC3-7; PMID: 21403070, Comment in: N Engl J Med. 2011 Feb 17;364(7):681; author reply 682-3; PMID: 21323549, Comment in: Intern Emerg Med. 2011 Apr;6(2):159-60; PMID: 21369851, Comment in: N Engl J Med. 2011 Feb 17;364(7):681-2; author reply 682-3; PMID: 21323548, Comment in: N Engl J Med. 2010 Nov 11;363(20):1977; PMID: 21067412","page":"1909-1917","publisher":"Massachussetts Medical Society (860 Winter Street, Waltham MA 02451-1413, United States)","publisher-place":"United States","title":"Clopidogrel with or without omeprazole in coronary artery disease.","type":"article-journal","volume":"363"},"uris":["http://www.mendeley.com/documents/?uuid=a5736f52-75be-48eb-af60-5a3b5b5e5a44"]}],"mendeley":{"formattedCitation":"(Bhatt et al. 2010)","plainTextFormattedCitation":"(Bhatt et al. 2010)","previouslyFormattedCitation":"(Bhatt et al. 2010)"},"properties":{"noteIndex":0},"schema":"https://github.com/citation-style-language/schema/raw/master/csl-citation.json"}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(Bhatt et al. 2010)</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(15 countries)</w:t>
            </w:r>
          </w:p>
        </w:tc>
        <w:tc>
          <w:tcPr>
            <w:tcW w:w="1667" w:type="dxa"/>
            <w:tcBorders>
              <w:top w:val="nil"/>
              <w:left w:val="nil"/>
              <w:bottom w:val="single" w:sz="4" w:space="0" w:color="808080"/>
              <w:right w:val="nil"/>
            </w:tcBorders>
            <w:shd w:val="clear" w:color="auto" w:fill="FFFFFF"/>
            <w:vAlign w:val="center"/>
            <w:hideMark/>
          </w:tcPr>
          <w:p w14:paraId="58BB5D0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(hospitals)</w:t>
            </w:r>
          </w:p>
        </w:tc>
        <w:tc>
          <w:tcPr>
            <w:tcW w:w="1241" w:type="dxa"/>
            <w:tcBorders>
              <w:top w:val="nil"/>
              <w:left w:val="nil"/>
              <w:bottom w:val="single" w:sz="4" w:space="0" w:color="808080"/>
              <w:right w:val="nil"/>
            </w:tcBorders>
            <w:shd w:val="clear" w:color="auto" w:fill="FFFFFF"/>
            <w:vAlign w:val="center"/>
            <w:hideMark/>
          </w:tcPr>
          <w:p w14:paraId="26ED7FA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FFFFFF"/>
            <w:vAlign w:val="center"/>
            <w:hideMark/>
          </w:tcPr>
          <w:p w14:paraId="00482CC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ACS</w:t>
            </w:r>
          </w:p>
        </w:tc>
        <w:tc>
          <w:tcPr>
            <w:tcW w:w="4003" w:type="dxa"/>
            <w:tcBorders>
              <w:top w:val="nil"/>
              <w:left w:val="nil"/>
              <w:bottom w:val="single" w:sz="4" w:space="0" w:color="808080"/>
              <w:right w:val="nil"/>
            </w:tcBorders>
            <w:shd w:val="clear" w:color="auto" w:fill="FFFFFF"/>
            <w:vAlign w:val="center"/>
            <w:hideMark/>
          </w:tcPr>
          <w:p w14:paraId="6BE982DC" w14:textId="1D4685AA" w:rsidR="009462F4" w:rsidRPr="005C4B89" w:rsidRDefault="009462F4" w:rsidP="002B686E">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 xml:space="preserve">- ≥21 years </w:t>
            </w:r>
            <w:r w:rsidRPr="005C4B89">
              <w:rPr>
                <w:rFonts w:ascii="Calibri" w:eastAsia="Times New Roman" w:hAnsi="Calibri" w:cs="Times New Roman"/>
                <w:color w:val="000000"/>
                <w:sz w:val="18"/>
                <w:szCs w:val="18"/>
                <w:lang w:eastAsia="en-CA"/>
              </w:rPr>
              <w:br/>
              <w:t>- anticipated use of clopidogrel and aspirin for the next 12 months (including ACS patients or undergoing stent placement)</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discharge from hospital was not anticipated within 48 hours of admission</w:t>
            </w:r>
            <w:r w:rsidRPr="005C4B89">
              <w:rPr>
                <w:rFonts w:ascii="Calibri" w:eastAsia="Times New Roman" w:hAnsi="Calibri" w:cs="Times New Roman"/>
                <w:color w:val="000000"/>
                <w:sz w:val="18"/>
                <w:szCs w:val="18"/>
                <w:lang w:eastAsia="en-CA"/>
              </w:rPr>
              <w:br/>
              <w:t>- need for short-term or long-term use of PPIs, H2RAs, sucralfate, misoprostol</w:t>
            </w:r>
            <w:r w:rsidRPr="005C4B89">
              <w:rPr>
                <w:rFonts w:ascii="Calibri" w:eastAsia="Times New Roman" w:hAnsi="Calibri" w:cs="Times New Roman"/>
                <w:color w:val="000000"/>
                <w:sz w:val="18"/>
                <w:szCs w:val="18"/>
                <w:lang w:eastAsia="en-CA"/>
              </w:rPr>
              <w:br/>
              <w:t>- pre-existing erosive esophagitis, esophageal, gastric variceal disease or previous non-endoscopic gastric surgery</w:t>
            </w:r>
            <w:r w:rsidRPr="005C4B89">
              <w:rPr>
                <w:rFonts w:ascii="Calibri" w:eastAsia="Times New Roman" w:hAnsi="Calibri" w:cs="Times New Roman"/>
                <w:color w:val="000000"/>
                <w:sz w:val="18"/>
                <w:szCs w:val="18"/>
                <w:lang w:eastAsia="en-CA"/>
              </w:rPr>
              <w:br/>
              <w:t>- receipt of clopidogrel or another thienopyridine for more than 21 days before randomization</w:t>
            </w:r>
            <w:r w:rsidRPr="005C4B89">
              <w:rPr>
                <w:rFonts w:ascii="Calibri" w:eastAsia="Times New Roman" w:hAnsi="Calibri" w:cs="Times New Roman"/>
                <w:color w:val="000000"/>
                <w:sz w:val="18"/>
                <w:szCs w:val="18"/>
                <w:lang w:eastAsia="en-CA"/>
              </w:rPr>
              <w:br/>
              <w:t>- receipt of oral anticoagulation therapy that could not be safely discontinued for the duration of the study</w:t>
            </w:r>
            <w:r w:rsidRPr="005C4B89">
              <w:rPr>
                <w:rFonts w:ascii="Calibri" w:eastAsia="Times New Roman" w:hAnsi="Calibri" w:cs="Times New Roman"/>
                <w:color w:val="000000"/>
                <w:sz w:val="18"/>
                <w:szCs w:val="18"/>
                <w:lang w:eastAsia="en-CA"/>
              </w:rPr>
              <w:br/>
              <w:t>- recent fibrinolytic therapy</w:t>
            </w:r>
          </w:p>
        </w:tc>
        <w:tc>
          <w:tcPr>
            <w:tcW w:w="1275" w:type="dxa"/>
            <w:tcBorders>
              <w:top w:val="nil"/>
              <w:left w:val="nil"/>
              <w:bottom w:val="single" w:sz="4" w:space="0" w:color="808080"/>
              <w:right w:val="nil"/>
            </w:tcBorders>
            <w:shd w:val="clear" w:color="auto" w:fill="FFFFFF"/>
            <w:vAlign w:val="center"/>
            <w:hideMark/>
          </w:tcPr>
          <w:p w14:paraId="784E2C3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3,873</w:t>
            </w:r>
            <w:r w:rsidRPr="005C4B89">
              <w:rPr>
                <w:rFonts w:ascii="Calibri" w:eastAsia="Times New Roman" w:hAnsi="Calibri" w:cs="Times New Roman"/>
                <w:color w:val="000000"/>
                <w:sz w:val="18"/>
                <w:szCs w:val="18"/>
                <w:lang w:eastAsia="en-CA"/>
              </w:rPr>
              <w:br/>
              <w:t>(PPI: 1,876; No PPI: 1,885)</w:t>
            </w:r>
          </w:p>
        </w:tc>
        <w:tc>
          <w:tcPr>
            <w:tcW w:w="1276" w:type="dxa"/>
            <w:tcBorders>
              <w:top w:val="nil"/>
              <w:left w:val="nil"/>
              <w:bottom w:val="single" w:sz="4" w:space="0" w:color="808080"/>
              <w:right w:val="nil"/>
            </w:tcBorders>
            <w:shd w:val="clear" w:color="auto" w:fill="FFFFFF"/>
            <w:vAlign w:val="center"/>
            <w:hideMark/>
          </w:tcPr>
          <w:p w14:paraId="6A02BFE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69</w:t>
            </w:r>
            <w:r w:rsidRPr="005C4B89">
              <w:rPr>
                <w:rFonts w:ascii="Calibri" w:eastAsia="Times New Roman" w:hAnsi="Calibri" w:cs="Times New Roman"/>
                <w:color w:val="000000"/>
                <w:sz w:val="18"/>
                <w:szCs w:val="18"/>
                <w:lang w:eastAsia="en-CA"/>
              </w:rPr>
              <w:br/>
              <w:t>no PPI: 69</w:t>
            </w:r>
          </w:p>
        </w:tc>
        <w:tc>
          <w:tcPr>
            <w:tcW w:w="1134" w:type="dxa"/>
            <w:tcBorders>
              <w:top w:val="nil"/>
              <w:left w:val="nil"/>
              <w:bottom w:val="single" w:sz="4" w:space="0" w:color="808080"/>
              <w:right w:val="nil"/>
            </w:tcBorders>
            <w:shd w:val="clear" w:color="auto" w:fill="FFFFFF"/>
            <w:vAlign w:val="center"/>
            <w:hideMark/>
          </w:tcPr>
          <w:p w14:paraId="0688C1E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67</w:t>
            </w:r>
            <w:r w:rsidRPr="005C4B89">
              <w:rPr>
                <w:rFonts w:ascii="Calibri" w:eastAsia="Times New Roman" w:hAnsi="Calibri" w:cs="Times New Roman"/>
                <w:color w:val="000000"/>
                <w:sz w:val="18"/>
                <w:szCs w:val="18"/>
                <w:lang w:eastAsia="en-CA"/>
              </w:rPr>
              <w:br/>
              <w:t>no PPI: 70</w:t>
            </w:r>
          </w:p>
        </w:tc>
        <w:tc>
          <w:tcPr>
            <w:tcW w:w="1134" w:type="dxa"/>
            <w:tcBorders>
              <w:top w:val="nil"/>
              <w:left w:val="nil"/>
              <w:bottom w:val="single" w:sz="4" w:space="0" w:color="808080"/>
              <w:right w:val="nil"/>
            </w:tcBorders>
            <w:shd w:val="clear" w:color="auto" w:fill="FFFFFF"/>
            <w:vAlign w:val="center"/>
            <w:hideMark/>
          </w:tcPr>
          <w:p w14:paraId="4782C116"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Caucasian, Other</w:t>
            </w:r>
            <w:r w:rsidRPr="005C4B89">
              <w:rPr>
                <w:rFonts w:ascii="Calibri" w:eastAsia="Times New Roman" w:hAnsi="Calibri" w:cs="Times New Roman"/>
                <w:color w:val="000000"/>
                <w:sz w:val="18"/>
                <w:szCs w:val="18"/>
                <w:lang w:eastAsia="en-CA"/>
              </w:rPr>
              <w:br/>
              <w:t>(94% Caucasian)</w:t>
            </w:r>
          </w:p>
        </w:tc>
      </w:tr>
      <w:tr w:rsidR="009462F4" w:rsidRPr="005C4B89" w14:paraId="043320F5" w14:textId="77777777" w:rsidTr="005C4B89">
        <w:trPr>
          <w:trHeight w:val="1095"/>
        </w:trPr>
        <w:tc>
          <w:tcPr>
            <w:tcW w:w="1310" w:type="dxa"/>
            <w:tcBorders>
              <w:top w:val="nil"/>
              <w:left w:val="nil"/>
              <w:bottom w:val="single" w:sz="4" w:space="0" w:color="808080"/>
              <w:right w:val="nil"/>
            </w:tcBorders>
            <w:shd w:val="clear" w:color="auto" w:fill="FFFFFF"/>
            <w:vAlign w:val="center"/>
            <w:hideMark/>
          </w:tcPr>
          <w:p w14:paraId="77F22DAA" w14:textId="0D18EDB3"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{"citationItems":[{"id":"ITEM-1","itemData":{"DOI":"10.1053/j.gastro.2010.11.056","ISSN":"0016-5085","author":[{"dropping-particle":"","family":"Hsu","given":"Ping I","non-dropping-particle":"","parse-names":false,"suffix":""},{"dropping-particle":"","family":"Lai","given":"Kwok Hung","non-dropping-particle":"","parse-names":false,"suffix":""},{"dropping-particle":"","family":"Liu","given":"Chun Peng","non-dropping-particle":"","parse-names":false,"suffix":""}],"container-title":"Gastroenterology","id":"ITEM-1","issue":"3","issued":{"date-parts":[["2011"]]},"page":"791-798","publisher":"Elsevier Inc.","title":"Esomeprazole With Clopidogrel Reduces Peptic Ulcer Recurrence , Compared With Clopidogrel Alone, in Patients With Atherosclerosis","type":"article-journal","volume":"140"},"uris":["http://www.mendeley.com/documents/?uuid=1c8407c6-7bfc-4efa-bd5e-8779cfc698dc"]}],"mendeley":{"formattedCitation":"(Hsu et al. 2011)","plainTextFormattedCitation":"(Hsu et al. 2011)","previouslyFormattedCitation":"(Hsu et al. 2011)"},"properties":{"noteIndex":0},"schema":"https://github.com/citation-style-language/schema/raw/master/csl-citation.json"}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(Hsu et al. 2011)</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(Taiwan)</w:t>
            </w:r>
          </w:p>
        </w:tc>
        <w:tc>
          <w:tcPr>
            <w:tcW w:w="1667" w:type="dxa"/>
            <w:tcBorders>
              <w:top w:val="nil"/>
              <w:left w:val="nil"/>
              <w:bottom w:val="single" w:sz="4" w:space="0" w:color="808080"/>
              <w:right w:val="nil"/>
            </w:tcBorders>
            <w:shd w:val="clear" w:color="auto" w:fill="FFFFFF"/>
            <w:vAlign w:val="center"/>
            <w:hideMark/>
          </w:tcPr>
          <w:p w14:paraId="20CEDD61"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Comments : open label</w:t>
            </w:r>
            <w:r w:rsidRPr="005C4B89">
              <w:rPr>
                <w:rFonts w:ascii="Calibri" w:eastAsia="Times New Roman" w:hAnsi="Calibri" w:cs="Times New Roman"/>
                <w:color w:val="000000"/>
                <w:sz w:val="18"/>
                <w:szCs w:val="18"/>
                <w:lang w:eastAsia="en-CA"/>
              </w:rPr>
              <w:br/>
              <w:t>(hospital )</w:t>
            </w:r>
          </w:p>
        </w:tc>
        <w:tc>
          <w:tcPr>
            <w:tcW w:w="1241" w:type="dxa"/>
            <w:tcBorders>
              <w:top w:val="nil"/>
              <w:left w:val="nil"/>
              <w:bottom w:val="single" w:sz="4" w:space="0" w:color="808080"/>
              <w:right w:val="nil"/>
            </w:tcBorders>
            <w:shd w:val="clear" w:color="auto" w:fill="FFFFFF"/>
            <w:vAlign w:val="center"/>
            <w:hideMark/>
          </w:tcPr>
          <w:p w14:paraId="3B0F873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4" w:space="0" w:color="808080"/>
              <w:right w:val="nil"/>
            </w:tcBorders>
            <w:shd w:val="clear" w:color="auto" w:fill="FFFFFF"/>
            <w:vAlign w:val="center"/>
            <w:hideMark/>
          </w:tcPr>
          <w:p w14:paraId="5DC30C9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Atherosclerosis and history of peptic ulcers</w:t>
            </w:r>
          </w:p>
        </w:tc>
        <w:tc>
          <w:tcPr>
            <w:tcW w:w="4003" w:type="dxa"/>
            <w:tcBorders>
              <w:top w:val="nil"/>
              <w:left w:val="nil"/>
              <w:bottom w:val="single" w:sz="4" w:space="0" w:color="808080"/>
              <w:right w:val="nil"/>
            </w:tcBorders>
            <w:shd w:val="clear" w:color="auto" w:fill="FFFFFF"/>
            <w:vAlign w:val="center"/>
            <w:hideMark/>
          </w:tcPr>
          <w:p w14:paraId="1EC5EA5F" w14:textId="35828547" w:rsidR="009462F4" w:rsidRPr="005C4B89" w:rsidRDefault="009462F4" w:rsidP="002B686E">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-history or peptic ulcer</w:t>
            </w:r>
            <w:r w:rsidRPr="005C4B89">
              <w:rPr>
                <w:rFonts w:ascii="Calibri" w:eastAsia="Times New Roman" w:hAnsi="Calibri" w:cs="Times New Roman"/>
                <w:color w:val="000000"/>
                <w:sz w:val="18"/>
                <w:szCs w:val="18"/>
                <w:lang w:eastAsia="en-CA"/>
              </w:rPr>
              <w:br/>
              <w:t>-underwent endoscopy for dyspeptic symptoms or routine screening</w:t>
            </w:r>
            <w:r w:rsidRPr="005C4B89">
              <w:rPr>
                <w:rFonts w:ascii="Calibri" w:eastAsia="Times New Roman" w:hAnsi="Calibri" w:cs="Times New Roman"/>
                <w:color w:val="000000"/>
                <w:sz w:val="18"/>
                <w:szCs w:val="18"/>
                <w:lang w:eastAsia="en-CA"/>
              </w:rPr>
              <w:br/>
              <w:t>-on CP to prevent ischemic events for at least 2 weeks</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 peptic surgery other than oversewing of a perforation</w:t>
            </w:r>
            <w:r w:rsidRPr="005C4B89">
              <w:rPr>
                <w:rFonts w:ascii="Calibri" w:eastAsia="Times New Roman" w:hAnsi="Calibri" w:cs="Times New Roman"/>
                <w:color w:val="000000"/>
                <w:sz w:val="18"/>
                <w:szCs w:val="18"/>
                <w:lang w:eastAsia="en-CA"/>
              </w:rPr>
              <w:br/>
              <w:t>- allergies to study drugs</w:t>
            </w:r>
            <w:r w:rsidRPr="005C4B89">
              <w:rPr>
                <w:rFonts w:ascii="Calibri" w:eastAsia="Times New Roman" w:hAnsi="Calibri" w:cs="Times New Roman"/>
                <w:color w:val="000000"/>
                <w:sz w:val="18"/>
                <w:szCs w:val="18"/>
                <w:lang w:eastAsia="en-CA"/>
              </w:rPr>
              <w:br/>
              <w:t>- need for long term NSAID, corticosteroids, aspirin or anticoagulants</w:t>
            </w:r>
            <w:r w:rsidRPr="005C4B89">
              <w:rPr>
                <w:rFonts w:ascii="Calibri" w:eastAsia="Times New Roman" w:hAnsi="Calibri" w:cs="Times New Roman"/>
                <w:color w:val="000000"/>
                <w:sz w:val="18"/>
                <w:szCs w:val="18"/>
                <w:lang w:eastAsia="en-CA"/>
              </w:rPr>
              <w:br/>
              <w:t>- pregnancy</w:t>
            </w:r>
            <w:r w:rsidRPr="005C4B89">
              <w:rPr>
                <w:rFonts w:ascii="Calibri" w:eastAsia="Times New Roman" w:hAnsi="Calibri" w:cs="Times New Roman"/>
                <w:color w:val="000000"/>
                <w:sz w:val="18"/>
                <w:szCs w:val="18"/>
                <w:lang w:eastAsia="en-CA"/>
              </w:rPr>
              <w:br/>
              <w:t>- active cancer</w:t>
            </w:r>
            <w:r w:rsidRPr="005C4B89">
              <w:rPr>
                <w:rFonts w:ascii="Calibri" w:eastAsia="Times New Roman" w:hAnsi="Calibri" w:cs="Times New Roman"/>
                <w:color w:val="000000"/>
                <w:sz w:val="18"/>
                <w:szCs w:val="18"/>
                <w:lang w:eastAsia="en-CA"/>
              </w:rPr>
              <w:br/>
              <w:t>- acute serious medical illness or terminal illness.</w:t>
            </w:r>
            <w:r w:rsidRPr="005C4B89">
              <w:rPr>
                <w:rFonts w:ascii="Calibri" w:eastAsia="Times New Roman" w:hAnsi="Calibri" w:cs="Times New Roman"/>
                <w:color w:val="000000"/>
                <w:sz w:val="18"/>
                <w:szCs w:val="18"/>
                <w:lang w:eastAsia="en-CA"/>
              </w:rPr>
              <w:br/>
              <w:t>- GERD</w:t>
            </w:r>
            <w:r w:rsidRPr="005C4B89">
              <w:rPr>
                <w:rFonts w:ascii="Calibri" w:eastAsia="Times New Roman" w:hAnsi="Calibri" w:cs="Times New Roman"/>
                <w:color w:val="000000"/>
                <w:sz w:val="18"/>
                <w:szCs w:val="18"/>
                <w:lang w:eastAsia="en-CA"/>
              </w:rPr>
              <w:br/>
              <w:t>- received PPI or antibiotic therapy within 2 weeks before endoscopy</w:t>
            </w:r>
          </w:p>
        </w:tc>
        <w:tc>
          <w:tcPr>
            <w:tcW w:w="1275" w:type="dxa"/>
            <w:tcBorders>
              <w:top w:val="nil"/>
              <w:left w:val="nil"/>
              <w:bottom w:val="single" w:sz="4" w:space="0" w:color="808080"/>
              <w:right w:val="nil"/>
            </w:tcBorders>
            <w:shd w:val="clear" w:color="auto" w:fill="FFFFFF"/>
            <w:vAlign w:val="center"/>
            <w:hideMark/>
          </w:tcPr>
          <w:p w14:paraId="29BD143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83;  no PPI: 82)</w:t>
            </w:r>
          </w:p>
        </w:tc>
        <w:tc>
          <w:tcPr>
            <w:tcW w:w="1276" w:type="dxa"/>
            <w:tcBorders>
              <w:top w:val="nil"/>
              <w:left w:val="nil"/>
              <w:bottom w:val="single" w:sz="4" w:space="0" w:color="808080"/>
              <w:right w:val="nil"/>
            </w:tcBorders>
            <w:shd w:val="clear" w:color="auto" w:fill="FFFFFF"/>
            <w:vAlign w:val="center"/>
            <w:hideMark/>
          </w:tcPr>
          <w:p w14:paraId="55BDED7B"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71 (12)</w:t>
            </w:r>
            <w:r w:rsidRPr="005C4B89">
              <w:rPr>
                <w:rFonts w:ascii="Calibri" w:eastAsia="Times New Roman" w:hAnsi="Calibri" w:cs="Times New Roman"/>
                <w:color w:val="000000"/>
                <w:sz w:val="18"/>
                <w:szCs w:val="18"/>
                <w:lang w:eastAsia="en-CA"/>
              </w:rPr>
              <w:br/>
              <w:t>no PPI: 73 (11)</w:t>
            </w:r>
          </w:p>
        </w:tc>
        <w:tc>
          <w:tcPr>
            <w:tcW w:w="1134" w:type="dxa"/>
            <w:tcBorders>
              <w:top w:val="nil"/>
              <w:left w:val="nil"/>
              <w:bottom w:val="single" w:sz="4" w:space="0" w:color="808080"/>
              <w:right w:val="nil"/>
            </w:tcBorders>
            <w:shd w:val="clear" w:color="auto" w:fill="FFFFFF"/>
            <w:vAlign w:val="center"/>
            <w:hideMark/>
          </w:tcPr>
          <w:p w14:paraId="724C5D8C"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 78</w:t>
            </w:r>
            <w:r w:rsidRPr="005C4B89">
              <w:rPr>
                <w:rFonts w:ascii="Calibri" w:eastAsia="Times New Roman" w:hAnsi="Calibri" w:cs="Times New Roman"/>
                <w:color w:val="000000"/>
                <w:sz w:val="18"/>
                <w:szCs w:val="18"/>
                <w:lang w:eastAsia="en-CA"/>
              </w:rPr>
              <w:br/>
              <w:t>no PPI:72</w:t>
            </w:r>
          </w:p>
        </w:tc>
        <w:tc>
          <w:tcPr>
            <w:tcW w:w="1134" w:type="dxa"/>
            <w:tcBorders>
              <w:top w:val="nil"/>
              <w:left w:val="nil"/>
              <w:bottom w:val="single" w:sz="4" w:space="0" w:color="808080"/>
              <w:right w:val="nil"/>
            </w:tcBorders>
            <w:shd w:val="clear" w:color="auto" w:fill="FFFFFF"/>
            <w:vAlign w:val="center"/>
            <w:hideMark/>
          </w:tcPr>
          <w:p w14:paraId="76ADCA34"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r w:rsidR="009462F4" w:rsidRPr="005C4B89" w14:paraId="7B315D36" w14:textId="77777777" w:rsidTr="005C4B89">
        <w:trPr>
          <w:trHeight w:val="1095"/>
        </w:trPr>
        <w:tc>
          <w:tcPr>
            <w:tcW w:w="1310" w:type="dxa"/>
            <w:tcBorders>
              <w:top w:val="nil"/>
              <w:left w:val="nil"/>
              <w:bottom w:val="single" w:sz="8" w:space="0" w:color="auto"/>
              <w:right w:val="nil"/>
            </w:tcBorders>
            <w:shd w:val="clear" w:color="auto" w:fill="FFFFFF"/>
            <w:vAlign w:val="center"/>
            <w:hideMark/>
          </w:tcPr>
          <w:p w14:paraId="092B861D" w14:textId="5795D15D"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lastRenderedPageBreak/>
              <w:fldChar w:fldCharType="begin" w:fldLock="1"/>
            </w:r>
            <w:r w:rsidR="00D325C7">
              <w:rPr>
                <w:rFonts w:ascii="Calibri" w:eastAsia="Times New Roman" w:hAnsi="Calibri" w:cs="Times New Roman"/>
                <w:color w:val="000000"/>
                <w:sz w:val="18"/>
                <w:szCs w:val="18"/>
                <w:lang w:eastAsia="en-CA"/>
              </w:rPr>
              <w:instrText>ADDIN CSL_CITATION {"citationItems":[{"id":"ITEM-1","itemData":{"ISBN":"0883-9441","ISSN":"1557-8615","abstract":"PURPOSE: The aim of this study is to evaluate the preventive effect of proton pump inhibitors on gastrointestinal (GI) bleeding in patients with acute coronary syndromes (ACS) who are at high risk for GI bleeding., MATERIALS AND METHODS: We enrolled 665 patients with ACS who had one or more of the following risk factors for GI bleeding: 75 years of age or older, history of peptic ulcer disease, history of GI bleeding, cardiogenic shock, and chronic renal dysfunction (serum creatinine, &gt;2 mg/dL). Patients were randomly assigned to receive 40 mg of pantoprazole or placebo twice daily for 7 days, in addition to standard treatment of ACS. The primary end point was the occurrence of GI bleeding during hospitalization., RESULTS: During a median time of hospitalization of 12 days, 12 (3.6%) of 332 patients in the placebo group had an occurrence of GI bleeding, as compared with 4 (1.2%) of the 333 patients in the pantoprazole group (P = .046, Fisher exact test). The log-rank test showed a significant difference between the 2 groups in the time to the occurrence of GI bleeding (P = .015). Major GI bleeding occurred in 5 (1.5%) patients in the placebo group but only in 1 (0.3%) in the pantoprazole group (P = .12). Pneumonia developed in 22 (6.6%) patients in the placebo group and 24 (7.2%) in the pantoprazole group (chi(2) = 0.077, P = .88). The 30-day mortality was 10.2% (34/332) in the placebo group and 10.5% (35/333) in the pantoprazole group., CONCLUSIONS: In patients with ACS who are at high risk for GI hemorrhage, prophylactic treatment with pantoprazole could reduce the risk of GI bleeding with no significant effects on the incidence of hospital-acquired pneumonia and 30-day mortality.Copyright © 2011 Elsevier Inc. All rights reserved.","author":[{"dropping-particle":"","family":"Wu","given":"H","non-dropping-particle":"","parse-names":false,"suffix":""},{"dropping-particle":"","family":"Wang","given":"J","non-dropping-particle":"","parse-names":false,"suffix":""},{"dropping-particle":"","family":"Guo","given":"X","non-dropping-particle":"","parse-names":false,"suffix":""},{"dropping-particle":"","family":"Jing","given":"Q","non-dropping-particle":"","parse-names":false,"suffix":""}],"container-title":"Journal of critical care","id":"ITEM-1","issue":"4","issued":{"date-parts":[["2011"]]},"note":"530","page":"434","publisher":"W.B. Saunders (Independence Square West, Philadelphia PA 19106-3399, United States)","publisher-place":"United States","title":"Pantoprazole for the prevention of gastrointestinal bleeding in high-risk patients with acute coronary syndromes.","type":"article-journal","volume":"26"},"uris":["http://www.mendeley.com/documents/?uuid=c6d6ee7c-f1fc-49de-b264-e1078d8fc775"]}],"mendeley":{"formattedCitation":"(Wu et al. 2011)","plainTextFormattedCitation":"(Wu et al. 2011)","previouslyFormattedCitation":"(Wu et al. 2011)"},"properties":{"noteIndex":0},"schema":"https://github.com/citation-style-language/schema/raw/master/csl-citation.json"}</w:instrText>
            </w:r>
            <w:r w:rsidRPr="005C4B89">
              <w:rPr>
                <w:rFonts w:ascii="Calibri" w:eastAsia="Times New Roman" w:hAnsi="Calibri" w:cs="Times New Roman"/>
                <w:color w:val="000000"/>
                <w:sz w:val="18"/>
                <w:szCs w:val="18"/>
                <w:lang w:eastAsia="en-CA"/>
              </w:rPr>
              <w:fldChar w:fldCharType="separate"/>
            </w:r>
            <w:r w:rsidRPr="005C4B89">
              <w:rPr>
                <w:rFonts w:ascii="Calibri" w:eastAsia="Times New Roman" w:hAnsi="Calibri" w:cs="Times New Roman"/>
                <w:noProof/>
                <w:color w:val="000000"/>
                <w:sz w:val="18"/>
                <w:szCs w:val="18"/>
                <w:lang w:eastAsia="en-CA"/>
              </w:rPr>
              <w:t>(Wu et al. 2011)</w:t>
            </w:r>
            <w:r w:rsidRPr="005C4B89">
              <w:rPr>
                <w:rFonts w:ascii="Calibri" w:eastAsia="Times New Roman" w:hAnsi="Calibri" w:cs="Times New Roman"/>
                <w:color w:val="000000"/>
                <w:sz w:val="18"/>
                <w:szCs w:val="18"/>
                <w:lang w:eastAsia="en-CA"/>
              </w:rPr>
              <w:fldChar w:fldCharType="end"/>
            </w:r>
            <w:r w:rsidRPr="005C4B89">
              <w:rPr>
                <w:rFonts w:ascii="Calibri" w:eastAsia="Times New Roman" w:hAnsi="Calibri" w:cs="Times New Roman"/>
                <w:color w:val="000000"/>
                <w:sz w:val="18"/>
                <w:szCs w:val="18"/>
                <w:lang w:eastAsia="en-CA"/>
              </w:rPr>
              <w:br/>
              <w:t>(China)</w:t>
            </w:r>
          </w:p>
        </w:tc>
        <w:tc>
          <w:tcPr>
            <w:tcW w:w="1667" w:type="dxa"/>
            <w:tcBorders>
              <w:top w:val="nil"/>
              <w:left w:val="nil"/>
              <w:bottom w:val="single" w:sz="8" w:space="0" w:color="auto"/>
              <w:right w:val="nil"/>
            </w:tcBorders>
            <w:shd w:val="clear" w:color="auto" w:fill="FFFFFF"/>
            <w:vAlign w:val="center"/>
            <w:hideMark/>
          </w:tcPr>
          <w:p w14:paraId="65C4CDB7"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RCT</w:t>
            </w:r>
            <w:r w:rsidRPr="005C4B89">
              <w:rPr>
                <w:rFonts w:ascii="Calibri" w:eastAsia="Times New Roman" w:hAnsi="Calibri" w:cs="Times New Roman"/>
                <w:color w:val="000000"/>
                <w:sz w:val="18"/>
                <w:szCs w:val="18"/>
                <w:lang w:eastAsia="en-CA"/>
              </w:rPr>
              <w:br/>
              <w:t>(hospitals (3 cardiology centers))</w:t>
            </w:r>
          </w:p>
        </w:tc>
        <w:tc>
          <w:tcPr>
            <w:tcW w:w="1241" w:type="dxa"/>
            <w:tcBorders>
              <w:top w:val="nil"/>
              <w:left w:val="nil"/>
              <w:bottom w:val="single" w:sz="8" w:space="0" w:color="auto"/>
              <w:right w:val="nil"/>
            </w:tcBorders>
            <w:shd w:val="clear" w:color="auto" w:fill="FFFFFF"/>
            <w:vAlign w:val="center"/>
            <w:hideMark/>
          </w:tcPr>
          <w:p w14:paraId="4A14D4C0"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 </w:t>
            </w:r>
          </w:p>
        </w:tc>
        <w:tc>
          <w:tcPr>
            <w:tcW w:w="993" w:type="dxa"/>
            <w:tcBorders>
              <w:top w:val="nil"/>
              <w:left w:val="nil"/>
              <w:bottom w:val="single" w:sz="8" w:space="0" w:color="auto"/>
              <w:right w:val="nil"/>
            </w:tcBorders>
            <w:shd w:val="clear" w:color="auto" w:fill="FFFFFF"/>
            <w:vAlign w:val="center"/>
            <w:hideMark/>
          </w:tcPr>
          <w:p w14:paraId="1C32997A"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ACS and high risk for UGIB</w:t>
            </w:r>
          </w:p>
        </w:tc>
        <w:tc>
          <w:tcPr>
            <w:tcW w:w="4003" w:type="dxa"/>
            <w:tcBorders>
              <w:top w:val="nil"/>
              <w:left w:val="nil"/>
              <w:bottom w:val="single" w:sz="8" w:space="0" w:color="auto"/>
              <w:right w:val="nil"/>
            </w:tcBorders>
            <w:shd w:val="clear" w:color="auto" w:fill="FFFFFF"/>
            <w:vAlign w:val="center"/>
            <w:hideMark/>
          </w:tcPr>
          <w:p w14:paraId="5C369AFC" w14:textId="6B3FC94F" w:rsidR="009462F4" w:rsidRPr="005C4B89" w:rsidRDefault="009462F4" w:rsidP="002B686E">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Inclusion:</w:t>
            </w:r>
            <w:r w:rsidRPr="005C4B89">
              <w:rPr>
                <w:rFonts w:ascii="Calibri" w:eastAsia="Times New Roman" w:hAnsi="Calibri" w:cs="Times New Roman"/>
                <w:color w:val="000000"/>
                <w:sz w:val="18"/>
                <w:szCs w:val="18"/>
                <w:lang w:eastAsia="en-CA"/>
              </w:rPr>
              <w:br/>
              <w:t>-diagnosis of ACS, consecutively admitted to 3 cardiology hospitals between May 2008-April 2010</w:t>
            </w:r>
            <w:r w:rsidRPr="005C4B89">
              <w:rPr>
                <w:rFonts w:ascii="Calibri" w:eastAsia="Times New Roman" w:hAnsi="Calibri" w:cs="Times New Roman"/>
                <w:color w:val="000000"/>
                <w:sz w:val="18"/>
                <w:szCs w:val="18"/>
                <w:lang w:eastAsia="en-CA"/>
              </w:rPr>
              <w:br/>
              <w:t>-confirmed ACS diagnosis  AND 1 or more of these  risk factor for GI bleeding: 75+ years, history of peptic ulcer disease, history of GI bleeding, cardiogenic shock and chronic renal dysfunction;</w:t>
            </w:r>
            <w:r w:rsidRPr="005C4B89">
              <w:rPr>
                <w:rFonts w:ascii="Calibri" w:eastAsia="Times New Roman" w:hAnsi="Calibri" w:cs="Times New Roman"/>
                <w:color w:val="000000"/>
                <w:sz w:val="18"/>
                <w:szCs w:val="18"/>
                <w:lang w:eastAsia="en-CA"/>
              </w:rPr>
              <w:br/>
              <w:t>Exclusion:</w:t>
            </w:r>
            <w:r w:rsidRPr="005C4B89">
              <w:rPr>
                <w:rFonts w:ascii="Calibri" w:eastAsia="Times New Roman" w:hAnsi="Calibri" w:cs="Times New Roman"/>
                <w:color w:val="000000"/>
                <w:sz w:val="18"/>
                <w:szCs w:val="18"/>
                <w:lang w:eastAsia="en-CA"/>
              </w:rPr>
              <w:br/>
              <w:t>-patients with contraindications to antithrombotic or antiplatelet therapy,</w:t>
            </w:r>
            <w:r w:rsidRPr="005C4B89">
              <w:rPr>
                <w:rFonts w:ascii="Calibri" w:eastAsia="Times New Roman" w:hAnsi="Calibri" w:cs="Times New Roman"/>
                <w:color w:val="000000"/>
                <w:sz w:val="18"/>
                <w:szCs w:val="18"/>
                <w:lang w:eastAsia="en-CA"/>
              </w:rPr>
              <w:br/>
              <w:t>- patients who were already on PPI or other acid-suppressive medications before hospital admission</w:t>
            </w:r>
            <w:r w:rsidRPr="005C4B89">
              <w:rPr>
                <w:rFonts w:ascii="Calibri" w:eastAsia="Times New Roman" w:hAnsi="Calibri" w:cs="Times New Roman"/>
                <w:color w:val="000000"/>
                <w:sz w:val="18"/>
                <w:szCs w:val="18"/>
                <w:lang w:eastAsia="en-CA"/>
              </w:rPr>
              <w:br/>
              <w:t>-patients with known active peptic ulcer disease or GI bleeding within 3 months</w:t>
            </w:r>
            <w:r w:rsidRPr="005C4B89">
              <w:rPr>
                <w:rFonts w:ascii="Calibri" w:eastAsia="Times New Roman" w:hAnsi="Calibri" w:cs="Times New Roman"/>
                <w:color w:val="000000"/>
                <w:sz w:val="18"/>
                <w:szCs w:val="18"/>
                <w:lang w:eastAsia="en-CA"/>
              </w:rPr>
              <w:br/>
              <w:t>-patients who were expected to die within 24 hours of admission</w:t>
            </w:r>
          </w:p>
        </w:tc>
        <w:tc>
          <w:tcPr>
            <w:tcW w:w="1275" w:type="dxa"/>
            <w:tcBorders>
              <w:top w:val="nil"/>
              <w:left w:val="nil"/>
              <w:bottom w:val="single" w:sz="8" w:space="0" w:color="auto"/>
              <w:right w:val="nil"/>
            </w:tcBorders>
            <w:shd w:val="clear" w:color="auto" w:fill="FFFFFF"/>
            <w:vAlign w:val="center"/>
            <w:hideMark/>
          </w:tcPr>
          <w:p w14:paraId="35E4A232"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665</w:t>
            </w:r>
            <w:r w:rsidRPr="005C4B89">
              <w:rPr>
                <w:rFonts w:ascii="Calibri" w:eastAsia="Times New Roman" w:hAnsi="Calibri" w:cs="Times New Roman"/>
                <w:color w:val="000000"/>
                <w:sz w:val="18"/>
                <w:szCs w:val="18"/>
                <w:lang w:eastAsia="en-CA"/>
              </w:rPr>
              <w:br/>
              <w:t>(PPI: 333; No PPI: 332)</w:t>
            </w:r>
          </w:p>
        </w:tc>
        <w:tc>
          <w:tcPr>
            <w:tcW w:w="1276" w:type="dxa"/>
            <w:tcBorders>
              <w:top w:val="nil"/>
              <w:left w:val="nil"/>
              <w:bottom w:val="single" w:sz="8" w:space="0" w:color="auto"/>
              <w:right w:val="nil"/>
            </w:tcBorders>
            <w:shd w:val="clear" w:color="auto" w:fill="FFFFFF"/>
            <w:vAlign w:val="center"/>
            <w:hideMark/>
          </w:tcPr>
          <w:p w14:paraId="1F2F1A2E"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76% were over 75+</w:t>
            </w:r>
          </w:p>
        </w:tc>
        <w:tc>
          <w:tcPr>
            <w:tcW w:w="1134" w:type="dxa"/>
            <w:tcBorders>
              <w:top w:val="nil"/>
              <w:left w:val="nil"/>
              <w:bottom w:val="single" w:sz="8" w:space="0" w:color="auto"/>
              <w:right w:val="nil"/>
            </w:tcBorders>
            <w:shd w:val="clear" w:color="auto" w:fill="FFFFFF"/>
            <w:vAlign w:val="center"/>
            <w:hideMark/>
          </w:tcPr>
          <w:p w14:paraId="6D0C0B29"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PPI:74</w:t>
            </w:r>
            <w:r w:rsidRPr="005C4B89">
              <w:rPr>
                <w:rFonts w:ascii="Calibri" w:eastAsia="Times New Roman" w:hAnsi="Calibri" w:cs="Times New Roman"/>
                <w:color w:val="000000"/>
                <w:sz w:val="18"/>
                <w:szCs w:val="18"/>
                <w:lang w:eastAsia="en-CA"/>
              </w:rPr>
              <w:br/>
              <w:t>no PPI:  73</w:t>
            </w:r>
          </w:p>
        </w:tc>
        <w:tc>
          <w:tcPr>
            <w:tcW w:w="1134" w:type="dxa"/>
            <w:tcBorders>
              <w:top w:val="nil"/>
              <w:left w:val="nil"/>
              <w:bottom w:val="single" w:sz="8" w:space="0" w:color="auto"/>
              <w:right w:val="nil"/>
            </w:tcBorders>
            <w:shd w:val="clear" w:color="auto" w:fill="FFFFFF"/>
            <w:vAlign w:val="center"/>
            <w:hideMark/>
          </w:tcPr>
          <w:p w14:paraId="0215036F" w14:textId="77777777" w:rsidR="009462F4" w:rsidRPr="005C4B89" w:rsidRDefault="009462F4">
            <w:pPr>
              <w:spacing w:after="0" w:line="240" w:lineRule="auto"/>
              <w:rPr>
                <w:rFonts w:ascii="Calibri" w:eastAsia="Times New Roman" w:hAnsi="Calibri" w:cs="Times New Roman"/>
                <w:color w:val="000000"/>
                <w:sz w:val="18"/>
                <w:szCs w:val="18"/>
                <w:lang w:eastAsia="en-CA"/>
              </w:rPr>
            </w:pPr>
            <w:r w:rsidRPr="005C4B89">
              <w:rPr>
                <w:rFonts w:ascii="Calibri" w:eastAsia="Times New Roman" w:hAnsi="Calibri" w:cs="Times New Roman"/>
                <w:color w:val="000000"/>
                <w:sz w:val="18"/>
                <w:szCs w:val="18"/>
                <w:lang w:eastAsia="en-CA"/>
              </w:rPr>
              <w:t>Not reported</w:t>
            </w:r>
          </w:p>
        </w:tc>
      </w:tr>
    </w:tbl>
    <w:p w14:paraId="2FD1E10C" w14:textId="77777777" w:rsidR="009462F4" w:rsidRDefault="009462F4" w:rsidP="009462F4">
      <w:pPr>
        <w:rPr>
          <w:rFonts w:eastAsia="Batang"/>
        </w:rPr>
      </w:pPr>
    </w:p>
    <w:p w14:paraId="0122E790" w14:textId="77777777" w:rsidR="00B842AC" w:rsidRDefault="00B842AC">
      <w:r>
        <w:br w:type="page"/>
      </w:r>
    </w:p>
    <w:p w14:paraId="331A37F6" w14:textId="6B88E35A" w:rsidR="00B842AC" w:rsidRDefault="00B842AC" w:rsidP="00B842AC">
      <w:pPr>
        <w:pStyle w:val="Heading4"/>
      </w:pPr>
      <w:bookmarkStart w:id="21" w:name="_Toc510634441"/>
      <w:r>
        <w:lastRenderedPageBreak/>
        <w:t>Table S4 Characteristics of the exposure, outcomes and source of funding of studies that assessed the effect of concomitant PPI and clopidogrel treatment vs clopidogrel alone (Group B).</w:t>
      </w:r>
      <w:bookmarkEnd w:id="21"/>
    </w:p>
    <w:tbl>
      <w:tblPr>
        <w:tblW w:w="13260" w:type="dxa"/>
        <w:tblLayout w:type="fixed"/>
        <w:tblLook w:val="04A0" w:firstRow="1" w:lastRow="0" w:firstColumn="1" w:lastColumn="0" w:noHBand="0" w:noVBand="1"/>
      </w:tblPr>
      <w:tblGrid>
        <w:gridCol w:w="1522"/>
        <w:gridCol w:w="1842"/>
        <w:gridCol w:w="1418"/>
        <w:gridCol w:w="2268"/>
        <w:gridCol w:w="1714"/>
        <w:gridCol w:w="2255"/>
        <w:gridCol w:w="1010"/>
        <w:gridCol w:w="1231"/>
      </w:tblGrid>
      <w:tr w:rsidR="00B842AC" w14:paraId="7229395A" w14:textId="77777777" w:rsidTr="00B842AC">
        <w:trPr>
          <w:trHeight w:val="713"/>
          <w:tblHeader/>
        </w:trPr>
        <w:tc>
          <w:tcPr>
            <w:tcW w:w="1522" w:type="dxa"/>
            <w:tcBorders>
              <w:top w:val="single" w:sz="4" w:space="0" w:color="auto"/>
              <w:left w:val="nil"/>
              <w:bottom w:val="single" w:sz="4" w:space="0" w:color="auto"/>
              <w:right w:val="nil"/>
            </w:tcBorders>
            <w:vAlign w:val="center"/>
            <w:hideMark/>
          </w:tcPr>
          <w:p w14:paraId="0FE19823" w14:textId="77777777" w:rsidR="00B842AC" w:rsidRDefault="00B842AC" w:rsidP="00B842AC">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Citation</w:t>
            </w:r>
          </w:p>
        </w:tc>
        <w:tc>
          <w:tcPr>
            <w:tcW w:w="1842" w:type="dxa"/>
            <w:tcBorders>
              <w:top w:val="single" w:sz="4" w:space="0" w:color="auto"/>
              <w:left w:val="nil"/>
              <w:bottom w:val="single" w:sz="4" w:space="0" w:color="auto"/>
              <w:right w:val="nil"/>
            </w:tcBorders>
            <w:vAlign w:val="center"/>
            <w:hideMark/>
          </w:tcPr>
          <w:p w14:paraId="5C96256E" w14:textId="77777777" w:rsidR="00B842AC" w:rsidRDefault="00B842AC" w:rsidP="00B842AC">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PPI type assessed</w:t>
            </w:r>
          </w:p>
        </w:tc>
        <w:tc>
          <w:tcPr>
            <w:tcW w:w="1418" w:type="dxa"/>
            <w:tcBorders>
              <w:top w:val="single" w:sz="4" w:space="0" w:color="auto"/>
              <w:left w:val="nil"/>
              <w:bottom w:val="single" w:sz="4" w:space="0" w:color="auto"/>
              <w:right w:val="nil"/>
            </w:tcBorders>
            <w:vAlign w:val="center"/>
            <w:hideMark/>
          </w:tcPr>
          <w:p w14:paraId="0726E3B0" w14:textId="77777777" w:rsidR="00B842AC" w:rsidRDefault="00B842AC" w:rsidP="00B842AC">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Patients taking aspirin</w:t>
            </w:r>
          </w:p>
        </w:tc>
        <w:tc>
          <w:tcPr>
            <w:tcW w:w="2268" w:type="dxa"/>
            <w:tcBorders>
              <w:top w:val="single" w:sz="4" w:space="0" w:color="auto"/>
              <w:left w:val="nil"/>
              <w:bottom w:val="single" w:sz="4" w:space="0" w:color="auto"/>
              <w:right w:val="nil"/>
            </w:tcBorders>
            <w:vAlign w:val="center"/>
            <w:hideMark/>
          </w:tcPr>
          <w:p w14:paraId="79F99653" w14:textId="77777777" w:rsidR="00B842AC" w:rsidRDefault="00B842AC" w:rsidP="00B842AC">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Exposure ascertainment</w:t>
            </w:r>
          </w:p>
        </w:tc>
        <w:tc>
          <w:tcPr>
            <w:tcW w:w="1714" w:type="dxa"/>
            <w:tcBorders>
              <w:top w:val="single" w:sz="4" w:space="0" w:color="auto"/>
              <w:left w:val="nil"/>
              <w:bottom w:val="single" w:sz="4" w:space="0" w:color="auto"/>
              <w:right w:val="nil"/>
            </w:tcBorders>
            <w:vAlign w:val="center"/>
            <w:hideMark/>
          </w:tcPr>
          <w:p w14:paraId="7708E19D" w14:textId="77777777" w:rsidR="00B842AC" w:rsidRDefault="00B842AC" w:rsidP="00B842AC">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 xml:space="preserve">Outcome(s) of interest  </w:t>
            </w:r>
            <w:r>
              <w:rPr>
                <w:rFonts w:ascii="Calibri" w:eastAsia="Times New Roman" w:hAnsi="Calibri" w:cs="Times New Roman"/>
                <w:b/>
                <w:bCs/>
                <w:color w:val="000000"/>
                <w:sz w:val="20"/>
                <w:szCs w:val="20"/>
                <w:lang w:eastAsia="en-CA"/>
              </w:rPr>
              <w:br/>
              <w:t>(follow-up period)</w:t>
            </w:r>
          </w:p>
        </w:tc>
        <w:tc>
          <w:tcPr>
            <w:tcW w:w="2255" w:type="dxa"/>
            <w:tcBorders>
              <w:top w:val="single" w:sz="4" w:space="0" w:color="auto"/>
              <w:left w:val="nil"/>
              <w:bottom w:val="single" w:sz="4" w:space="0" w:color="auto"/>
              <w:right w:val="nil"/>
            </w:tcBorders>
            <w:vAlign w:val="center"/>
            <w:hideMark/>
          </w:tcPr>
          <w:p w14:paraId="2AC440CB" w14:textId="77777777" w:rsidR="00B842AC" w:rsidRDefault="00B842AC" w:rsidP="00B842AC">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Outcome ascertainment</w:t>
            </w:r>
          </w:p>
        </w:tc>
        <w:tc>
          <w:tcPr>
            <w:tcW w:w="1010" w:type="dxa"/>
            <w:tcBorders>
              <w:top w:val="single" w:sz="4" w:space="0" w:color="auto"/>
              <w:left w:val="nil"/>
              <w:bottom w:val="single" w:sz="4" w:space="0" w:color="auto"/>
              <w:right w:val="nil"/>
            </w:tcBorders>
            <w:vAlign w:val="center"/>
            <w:hideMark/>
          </w:tcPr>
          <w:p w14:paraId="45F66FDB" w14:textId="77777777" w:rsidR="00B842AC" w:rsidRDefault="00B842AC" w:rsidP="00B842AC">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 xml:space="preserve">Calendar year(s) of sampling </w:t>
            </w:r>
          </w:p>
        </w:tc>
        <w:tc>
          <w:tcPr>
            <w:tcW w:w="1231" w:type="dxa"/>
            <w:tcBorders>
              <w:top w:val="single" w:sz="4" w:space="0" w:color="auto"/>
              <w:left w:val="nil"/>
              <w:bottom w:val="single" w:sz="4" w:space="0" w:color="auto"/>
              <w:right w:val="nil"/>
            </w:tcBorders>
            <w:vAlign w:val="center"/>
            <w:hideMark/>
          </w:tcPr>
          <w:p w14:paraId="1A2E02AC" w14:textId="77777777" w:rsidR="00B842AC" w:rsidRDefault="00B842AC" w:rsidP="00B842AC">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Source of funding</w:t>
            </w:r>
          </w:p>
        </w:tc>
      </w:tr>
      <w:tr w:rsidR="00B842AC" w14:paraId="35E0B27F" w14:textId="77777777" w:rsidTr="00B842AC">
        <w:trPr>
          <w:trHeight w:val="428"/>
        </w:trPr>
        <w:tc>
          <w:tcPr>
            <w:tcW w:w="3364" w:type="dxa"/>
            <w:gridSpan w:val="2"/>
            <w:shd w:val="clear" w:color="auto" w:fill="DEEAF6" w:themeFill="accent1" w:themeFillTint="33"/>
            <w:noWrap/>
            <w:vAlign w:val="center"/>
            <w:hideMark/>
          </w:tcPr>
          <w:p w14:paraId="328A2CBB" w14:textId="77777777" w:rsidR="00B842AC" w:rsidRDefault="00B842AC" w:rsidP="00B842AC">
            <w:pPr>
              <w:spacing w:after="0" w:line="240" w:lineRule="auto"/>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Observational Studies</w:t>
            </w:r>
          </w:p>
        </w:tc>
        <w:tc>
          <w:tcPr>
            <w:tcW w:w="1418" w:type="dxa"/>
            <w:shd w:val="clear" w:color="auto" w:fill="DEEAF6" w:themeFill="accent1" w:themeFillTint="33"/>
            <w:vAlign w:val="center"/>
            <w:hideMark/>
          </w:tcPr>
          <w:p w14:paraId="79E2BF4C" w14:textId="77777777" w:rsidR="00B842AC" w:rsidRDefault="00B842AC" w:rsidP="00B842AC">
            <w:pPr>
              <w:rPr>
                <w:rFonts w:ascii="Calibri" w:eastAsia="Times New Roman" w:hAnsi="Calibri" w:cs="Times New Roman"/>
                <w:b/>
                <w:bCs/>
                <w:color w:val="000000"/>
                <w:sz w:val="20"/>
                <w:szCs w:val="20"/>
                <w:lang w:eastAsia="en-CA"/>
              </w:rPr>
            </w:pPr>
          </w:p>
        </w:tc>
        <w:tc>
          <w:tcPr>
            <w:tcW w:w="2268" w:type="dxa"/>
            <w:shd w:val="clear" w:color="auto" w:fill="DEEAF6" w:themeFill="accent1" w:themeFillTint="33"/>
            <w:vAlign w:val="center"/>
            <w:hideMark/>
          </w:tcPr>
          <w:p w14:paraId="0AD1BDC0" w14:textId="77777777" w:rsidR="00B842AC" w:rsidRDefault="00B842AC" w:rsidP="00B842AC">
            <w:pPr>
              <w:spacing w:after="0"/>
              <w:rPr>
                <w:sz w:val="20"/>
                <w:szCs w:val="20"/>
                <w:lang w:eastAsia="en-CA"/>
              </w:rPr>
            </w:pPr>
          </w:p>
        </w:tc>
        <w:tc>
          <w:tcPr>
            <w:tcW w:w="1714" w:type="dxa"/>
            <w:shd w:val="clear" w:color="auto" w:fill="DEEAF6" w:themeFill="accent1" w:themeFillTint="33"/>
            <w:vAlign w:val="center"/>
            <w:hideMark/>
          </w:tcPr>
          <w:p w14:paraId="2B691B09" w14:textId="77777777" w:rsidR="00B842AC" w:rsidRDefault="00B842AC" w:rsidP="00B842AC">
            <w:pPr>
              <w:spacing w:after="0"/>
              <w:rPr>
                <w:sz w:val="20"/>
                <w:szCs w:val="20"/>
                <w:lang w:eastAsia="en-CA"/>
              </w:rPr>
            </w:pPr>
          </w:p>
        </w:tc>
        <w:tc>
          <w:tcPr>
            <w:tcW w:w="2255" w:type="dxa"/>
            <w:shd w:val="clear" w:color="auto" w:fill="DEEAF6" w:themeFill="accent1" w:themeFillTint="33"/>
            <w:vAlign w:val="center"/>
            <w:hideMark/>
          </w:tcPr>
          <w:p w14:paraId="7A3EE927" w14:textId="77777777" w:rsidR="00B842AC" w:rsidRDefault="00B842AC" w:rsidP="00B842AC">
            <w:pPr>
              <w:spacing w:after="0"/>
              <w:rPr>
                <w:sz w:val="20"/>
                <w:szCs w:val="20"/>
                <w:lang w:eastAsia="en-CA"/>
              </w:rPr>
            </w:pPr>
          </w:p>
        </w:tc>
        <w:tc>
          <w:tcPr>
            <w:tcW w:w="1010" w:type="dxa"/>
            <w:shd w:val="clear" w:color="auto" w:fill="DEEAF6" w:themeFill="accent1" w:themeFillTint="33"/>
            <w:vAlign w:val="center"/>
            <w:hideMark/>
          </w:tcPr>
          <w:p w14:paraId="5A8388E8" w14:textId="77777777" w:rsidR="00B842AC" w:rsidRDefault="00B842AC" w:rsidP="00B842AC">
            <w:pPr>
              <w:spacing w:after="0"/>
              <w:rPr>
                <w:sz w:val="20"/>
                <w:szCs w:val="20"/>
                <w:lang w:eastAsia="en-CA"/>
              </w:rPr>
            </w:pPr>
          </w:p>
        </w:tc>
        <w:tc>
          <w:tcPr>
            <w:tcW w:w="1231" w:type="dxa"/>
            <w:shd w:val="clear" w:color="auto" w:fill="DEEAF6" w:themeFill="accent1" w:themeFillTint="33"/>
            <w:vAlign w:val="center"/>
            <w:hideMark/>
          </w:tcPr>
          <w:p w14:paraId="03282359" w14:textId="77777777" w:rsidR="00B842AC" w:rsidRDefault="00B842AC" w:rsidP="00B842AC">
            <w:pPr>
              <w:spacing w:after="0"/>
              <w:rPr>
                <w:sz w:val="20"/>
                <w:szCs w:val="20"/>
                <w:lang w:eastAsia="en-CA"/>
              </w:rPr>
            </w:pPr>
          </w:p>
        </w:tc>
      </w:tr>
      <w:tr w:rsidR="00B842AC" w14:paraId="2D4B3258" w14:textId="77777777" w:rsidTr="00B842AC">
        <w:trPr>
          <w:trHeight w:val="529"/>
        </w:trPr>
        <w:tc>
          <w:tcPr>
            <w:tcW w:w="1522" w:type="dxa"/>
            <w:tcBorders>
              <w:top w:val="single" w:sz="4" w:space="0" w:color="808080"/>
              <w:left w:val="nil"/>
              <w:bottom w:val="single" w:sz="4" w:space="0" w:color="808080"/>
              <w:right w:val="nil"/>
            </w:tcBorders>
            <w:vAlign w:val="center"/>
            <w:hideMark/>
          </w:tcPr>
          <w:p w14:paraId="082C8F94" w14:textId="4D1EF87B"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{"citationItems":[{"id":"ITEM-1","itemData":{"ISSN":"1522-726X","abstract":"The aim of this study was to evaluate whether combination therapy of clopidogrel and proton pump inhibitors (PPIs) causes higher numbers of cardiovascular events than clopidogrel alone in Japanese patients. PPIs are often prescribed in combination with clopidogrel following coronary stenting. PPIs are reported to diminish the effect of clopidogrel because both are metabolized by CYP2C19. However, no reports address the effects of PPIs on cardiovascular events following coronary stenting in the Japanese population. A total of 1,887 patients treated with clopidogrel following coronary stenting were enrolled in the Ibaraki Cardiac Assessment Study (ICAS) registry. All subjects were classified into two groups according to treatment without (n = 819) or with (n = 1,068) PPI. Propensity score analysis matched 1:1 according to treatment without PPI (n = 500) or with PPI (n = 500). Primary endpoint was the composite of all-cause death or myocardial infarction. No significant difference was observed in the primary endpoint between the group without PPI and the group with PPI (4.6% vs. 4.6%, P = 0.77). In contrast, a significant difference was found between the group without PPI and with PPI in regard to the incidence of gastrointestinal bleeding at the end of the follow-up period and the specific PPI prescribed (2.4% vs. 0.8%, adjusted HR = 0.30, 95% Confidence interval 0.08-0.87, P = 0.026) after propensity score matching. No significant association between PPI use and primary endpoint was observed in the Japanese population, whereas PPI use resulted in a significant reduction in the rate of gastrointestinal bleeding. Copyright © 2012 Wiley Periodicals, Inc.","author":[{"dropping-particle":"","family":"Aihara","given":"Hideaki","non-dropping-particle":"","parse-names":false,"suffix":""},{"dropping-particle":"","family":"Sato","given":"Akira","non-dropping-particle":"","parse-names":false,"suffix":""},{"dropping-particle":"","family":"Takeyasu","given":"Noriyuki","non-dropping-particle":"","parse-names":false,"suffix":""},{"dropping-particle":"","family":"Nishina","given":"Hidetaka","non-dropping-particle":"","parse-names":false,"suffix":""},{"dropping-particle":"","family":"Hoshi","given":"Tomoya","non-dropping-particle":"","parse-names":false,"suffix":""},{"dropping-particle":"","family":"Akiyama","given":"Daiki","non-dropping-particle":"","parse-names":false,"suffix":""},{"dropping-particle":"","family":"Kakefuda","given":"Yuki","non-dropping-particle":"","parse-names":false,"suffix":""},{"dropping-particle":"","family":"Watabe","given":"Hiroaki","non-dropping-particle":"","parse-names":false,"suffix":""},{"dropping-particle":"","family":"Aonuma","given":"Kazutaka","non-dropping-particle":"","parse-names":false,"suffix":""}],"container-title":"Catheterization and cardiovascular interventions : official journal of the Society for Cardiac Angiography &amp; Interventions","id":"ITEM-1","issue":"4","issued":{"date-parts":[["2012"]]},"note":"524","page":"556-563","publisher":"Aihara,Hideaki. Department of Cardiology, Moriya Daiichi General Hospital, Moriya, Japan.","publisher-place":"H. Aihara, Department of Cardiology, Moriya Daiichi General Hospital, Moriya, Japan.","title":"Effect of individual proton pump inhibitors on cardiovascular events in patients treated with clopidogrel following coronary stenting: results from the Ibaraki Cardiac Assessment Study Registry","type":"article-journal","volume":"80"},"uris":["http://www.mendeley.com/documents/?uuid=ebb2a582-ffa8-4744-9977-a3375c5a6930"]}],"mendeley":{"formattedCitation":"(Aihara et al. 2012)","plainTextFormattedCitation":"(Aihara et al. 2012)","previouslyFormattedCitation":"(Aihara et al. 2012)"},"properties":{"noteIndex":0},"schema":"https://github.com/citation-style-language/schema/raw/master/csl-citation.json"}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(Aihara et al. 2012)</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br/>
            </w:r>
          </w:p>
        </w:tc>
        <w:tc>
          <w:tcPr>
            <w:tcW w:w="1842" w:type="dxa"/>
            <w:tcBorders>
              <w:top w:val="single" w:sz="4" w:space="0" w:color="808080"/>
              <w:left w:val="nil"/>
              <w:bottom w:val="single" w:sz="4" w:space="0" w:color="808080"/>
              <w:right w:val="nil"/>
            </w:tcBorders>
            <w:vAlign w:val="center"/>
            <w:hideMark/>
          </w:tcPr>
          <w:p w14:paraId="308CD84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single" w:sz="4" w:space="0" w:color="808080"/>
              <w:left w:val="nil"/>
              <w:bottom w:val="single" w:sz="4" w:space="0" w:color="808080"/>
              <w:right w:val="nil"/>
            </w:tcBorders>
            <w:vAlign w:val="center"/>
            <w:hideMark/>
          </w:tcPr>
          <w:p w14:paraId="2652593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single" w:sz="4" w:space="0" w:color="808080"/>
              <w:left w:val="nil"/>
              <w:bottom w:val="single" w:sz="4" w:space="0" w:color="808080"/>
              <w:right w:val="nil"/>
            </w:tcBorders>
            <w:vAlign w:val="center"/>
            <w:hideMark/>
          </w:tcPr>
          <w:p w14:paraId="40354DA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Follow up at 30 days, 6 months and 1 year after PCI.</w:t>
            </w:r>
          </w:p>
        </w:tc>
        <w:tc>
          <w:tcPr>
            <w:tcW w:w="1714" w:type="dxa"/>
            <w:tcBorders>
              <w:top w:val="single" w:sz="4" w:space="0" w:color="808080"/>
              <w:left w:val="nil"/>
              <w:bottom w:val="single" w:sz="4" w:space="0" w:color="808080"/>
              <w:right w:val="nil"/>
            </w:tcBorders>
            <w:vAlign w:val="center"/>
            <w:hideMark/>
          </w:tcPr>
          <w:p w14:paraId="57F0BBC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 year)</w:t>
            </w:r>
            <w:r>
              <w:rPr>
                <w:rFonts w:ascii="Calibri" w:eastAsia="Times New Roman" w:hAnsi="Calibri" w:cs="Times New Roman"/>
                <w:color w:val="000000"/>
                <w:sz w:val="20"/>
                <w:szCs w:val="20"/>
                <w:lang w:eastAsia="en-CA"/>
              </w:rPr>
              <w:br/>
              <w:t>Stroke (1 year)</w:t>
            </w:r>
            <w:r>
              <w:rPr>
                <w:rFonts w:ascii="Calibri" w:eastAsia="Times New Roman" w:hAnsi="Calibri" w:cs="Times New Roman"/>
                <w:color w:val="000000"/>
                <w:sz w:val="20"/>
                <w:szCs w:val="20"/>
                <w:lang w:eastAsia="en-CA"/>
              </w:rPr>
              <w:br/>
              <w:t>ACM (1 year)</w:t>
            </w:r>
          </w:p>
        </w:tc>
        <w:tc>
          <w:tcPr>
            <w:tcW w:w="2255" w:type="dxa"/>
            <w:tcBorders>
              <w:top w:val="single" w:sz="4" w:space="0" w:color="808080"/>
              <w:left w:val="nil"/>
              <w:bottom w:val="single" w:sz="4" w:space="0" w:color="808080"/>
              <w:right w:val="nil"/>
            </w:tcBorders>
            <w:vAlign w:val="center"/>
            <w:hideMark/>
          </w:tcPr>
          <w:p w14:paraId="495FF53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Medical records</w:t>
            </w:r>
          </w:p>
        </w:tc>
        <w:tc>
          <w:tcPr>
            <w:tcW w:w="1010" w:type="dxa"/>
            <w:tcBorders>
              <w:top w:val="single" w:sz="4" w:space="0" w:color="808080"/>
              <w:left w:val="nil"/>
              <w:bottom w:val="single" w:sz="4" w:space="0" w:color="808080"/>
              <w:right w:val="nil"/>
            </w:tcBorders>
            <w:vAlign w:val="center"/>
            <w:hideMark/>
          </w:tcPr>
          <w:p w14:paraId="0150175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2006-2009</w:t>
            </w:r>
          </w:p>
        </w:tc>
        <w:tc>
          <w:tcPr>
            <w:tcW w:w="1231" w:type="dxa"/>
            <w:tcBorders>
              <w:top w:val="single" w:sz="4" w:space="0" w:color="808080"/>
              <w:left w:val="nil"/>
              <w:bottom w:val="single" w:sz="4" w:space="0" w:color="808080"/>
              <w:right w:val="nil"/>
            </w:tcBorders>
            <w:vAlign w:val="center"/>
            <w:hideMark/>
          </w:tcPr>
          <w:p w14:paraId="789CAAA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57C03B1C" w14:textId="77777777" w:rsidTr="00B842AC">
        <w:trPr>
          <w:trHeight w:val="511"/>
        </w:trPr>
        <w:tc>
          <w:tcPr>
            <w:tcW w:w="1522" w:type="dxa"/>
            <w:tcBorders>
              <w:top w:val="nil"/>
              <w:left w:val="nil"/>
              <w:bottom w:val="single" w:sz="4" w:space="0" w:color="808080"/>
              <w:right w:val="nil"/>
            </w:tcBorders>
            <w:vAlign w:val="center"/>
            <w:hideMark/>
          </w:tcPr>
          <w:p w14:paraId="38D7140A" w14:textId="32633C00"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{"citationItems":[{"id":"ITEM-1","itemData":{"ISBN":"0002-9149","ISSN":"1879-1913","abstract":"The aim of the present study was to analyze the effect of drug exposure patterns of clopidogrel and proton pump inhibitors (PPIs) on the clinical outcomes after percutaneous coronary intervention (PCI). Previous analyses predominantly included discharge medications and did not explore the effect of the drug exposure patterns. We analyzed all-cause death, nonfatal myocardial infarction, repeat revascularization, and major adverse cardiovascular events (MACE) in a cohort of 23,200 post-PCI patients (January 2003 to December 2008) using a multivariate adjusted Cox model and propensity-matched case-control analysis. The adjusted hazard ratio for MACE on PPI according to the exposure patterns of clopidogrel after PCI for 6 years was 1.24 (95% confidence interval [CI] 1.11 to 1.38) and 1.12 (95% CI 1.03 to 1.22) for \"continuous\" (consistent clopidogrel with or without PPIs) and \"switched\" (clopidogrel with or without varying PPIs) respectively. However, the propensity score adjusted odds ratios for MACE on PPI use was 0.97 (95% CI 0.65 to 1.44) for \"continuous\" and 1.04 (95% CI 0.87 to 1.25) for \"switched.\" Moreover, in the first year after PCI, the use of \"rescue\" (&lt;30 days before MACE) nitroglycerin was greater in the patients taking clopidogrel and PPIs than in those taking clopidogrel alone, as was the overall use of rescue PPIs (p &lt;0.001). In conclusion, PPI use in clopidogrel-treated post-PCI patients was not associated with an increased risk of MACE after controlling for the confounding effect of PPI use with propensity matching. A potential for the misdiagnosis of angina symptoms and rescue use of nitroglycerin and PPIs in post-PCI patients exists, a finding that might have confounded previous observational analyses.Copyright Published by Elsevier Inc.","author":[{"dropping-particle":"","family":"Banerjee","given":"Subhash","non-dropping-particle":"","parse-names":false,"suffix":""},{"dropping-particle":"","family":"Weideman","given":"Rick A","non-dropping-particle":"","parse-names":false,"suffix":""},{"dropping-particle":"","family":"Weideman","given":"Mark W","non-dropping-particle":"","parse-names":false,"suffix":""},{"dropping-particle":"","family":"Little","given":"Bertis B","non-dropping-particle":"","parse-names":false,"suffix":""},{"dropping-particle":"","family":"Kelly","given":"Kevin C","non-dropping-particle":"","parse-names":false,"suffix":""},{"dropping-particle":"","family":"Gunter","given":"Jennifer T","non-dropping-particle":"","parse-names":false,"suffix":""},{"dropping-particle":"","family":"Tortorice","given":"Kathryn L","non-dropping-particle":"","parse-names":false,"suffix":""},{"dropping-particle":"","family":"Shank","given":"Michelle","non-dropping-particle":"","parse-names":false,"suffix":""},{"dropping-particle":"","family":"Cryer","given":"Byron","non-dropping-particle":"","parse-names":false,"suffix":""},{"dropping-particle":"","family":"Reilly","given":"Robert F","non-dropping-particle":"","parse-names":false,"suffix":""},{"dropping-particle":"V","family":"Rao","given":"Sunil","non-dropping-particle":"","parse-names":false,"suffix":""},{"dropping-particle":"","family":"Kastrati","given":"Adnan","non-dropping-particle":"","parse-names":false,"suffix":""},{"dropping-particle":"","family":"Lemos","given":"James A","non-dropping-particle":"de","parse-names":false,"suffix":""},{"dropping-particle":"","family":"Brilakis","given":"Emmanouil S","non-dropping-particle":"","parse-names":false,"suffix":""},{"dropping-particle":"","family":"Bhatt","given":"Deepak L","non-dropping-particle":"","parse-names":false,"suffix":""}],"container-title":"American Journal of Cardiology","id":"ITEM-1","issue":"6","issued":{"date-parts":[["2011"]]},"note":"634","page":"871-878","publisher":"Elsevier Inc. (360 Park Avenue South, New York NY 10010, United States)","publisher-place":"United States","title":"Effect of concomitant use of clopidogrel and proton pump inhibitors after percutaneous coronary intervention","type":"article-journal","volume":"107"},"uris":["http://www.mendeley.com/documents/?uuid=ccbc9ed4-bca9-4d8a-8bd9-9a63c9474760"]}],"mendeley":{"formattedCitation":"(Banerjee et al. 2011)","plainTextFormattedCitation":"(Banerjee et al. 2011)","previouslyFormattedCitation":"(Banerjee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(Banerjee et al. 2011)</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2E2894B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65DDABC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041320A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Dispensing records using the prescription release dates and days of supply.</w:t>
            </w:r>
          </w:p>
        </w:tc>
        <w:tc>
          <w:tcPr>
            <w:tcW w:w="1714" w:type="dxa"/>
            <w:tcBorders>
              <w:top w:val="nil"/>
              <w:left w:val="nil"/>
              <w:bottom w:val="single" w:sz="4" w:space="0" w:color="808080"/>
              <w:right w:val="nil"/>
            </w:tcBorders>
            <w:vAlign w:val="center"/>
            <w:hideMark/>
          </w:tcPr>
          <w:p w14:paraId="6CD92F3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(1 year, 6 years)</w:t>
            </w:r>
          </w:p>
        </w:tc>
        <w:tc>
          <w:tcPr>
            <w:tcW w:w="2255" w:type="dxa"/>
            <w:tcBorders>
              <w:top w:val="nil"/>
              <w:left w:val="nil"/>
              <w:bottom w:val="single" w:sz="4" w:space="0" w:color="808080"/>
              <w:right w:val="nil"/>
            </w:tcBorders>
            <w:vAlign w:val="center"/>
            <w:hideMark/>
          </w:tcPr>
          <w:p w14:paraId="62F61F4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National Patient Care database</w:t>
            </w:r>
          </w:p>
        </w:tc>
        <w:tc>
          <w:tcPr>
            <w:tcW w:w="1010" w:type="dxa"/>
            <w:tcBorders>
              <w:top w:val="nil"/>
              <w:left w:val="nil"/>
              <w:bottom w:val="single" w:sz="4" w:space="0" w:color="808080"/>
              <w:right w:val="nil"/>
            </w:tcBorders>
            <w:vAlign w:val="center"/>
            <w:hideMark/>
          </w:tcPr>
          <w:p w14:paraId="171C062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2003-2008</w:t>
            </w:r>
          </w:p>
        </w:tc>
        <w:tc>
          <w:tcPr>
            <w:tcW w:w="1231" w:type="dxa"/>
            <w:tcBorders>
              <w:top w:val="nil"/>
              <w:left w:val="nil"/>
              <w:bottom w:val="single" w:sz="4" w:space="0" w:color="808080"/>
              <w:right w:val="nil"/>
            </w:tcBorders>
            <w:vAlign w:val="center"/>
            <w:hideMark/>
          </w:tcPr>
          <w:p w14:paraId="2923A6B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79994258" w14:textId="77777777" w:rsidTr="00B842AC">
        <w:trPr>
          <w:trHeight w:val="606"/>
        </w:trPr>
        <w:tc>
          <w:tcPr>
            <w:tcW w:w="1522" w:type="dxa"/>
            <w:tcBorders>
              <w:top w:val="nil"/>
              <w:left w:val="nil"/>
              <w:bottom w:val="single" w:sz="4" w:space="0" w:color="808080"/>
              <w:right w:val="nil"/>
            </w:tcBorders>
            <w:vAlign w:val="center"/>
            <w:hideMark/>
          </w:tcPr>
          <w:p w14:paraId="04A87F96" w14:textId="122C3F7F"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{"citationItems":[{"id":"ITEM-1","itemData":{"ISBN":"0277-0008","ISSN":"1875-9114","abstract":"Study Objective. To examine the effect of the drug interaction between clopidogrel and proton pump inhibitors (PPIs) on the risk of an adverse cardiovascular event. Design. Population-based, retrospective cohort study. Data Source. IMS LifeLink Health Plan administrative claims database. Patients. A total of 10, 101 patients aged 18 years or older with a diagnosis of acute coronary syndrome (ACS) made during a hospitalization or emergency department visit between 2001 and 2008 and who had their first clopidogrel prescription within 90 days after their ACS diagnosis were included in the study. Patients were stratified according to concurrent use (clopidogrel plus PPI group) or no use (clopidogrel alone group) of the following PPIs: esomeprazole, lansoprazole, omeprazole, pantoprazole, or rabeprazole. Measurements and Main Results. Data were collected on baseline patient demographic and clinical characteristics. Patients were followed from their first clopidogrel prescription until they experienced an adverse cardiovascular event, defined as inpatient hospitalization or emergency department visits for myocardial infarction, percutaneous coronary intervention, or intermediate coronary syndrome; were disenrolled; discontinued clopidogrel; or reached the end of the study period. Using a propensity scoring method, the clopidogrel plus PPI group was matched in a 1:1 ratio with the clopidogrel alone group. Exposure to overlapping clopidogrel-PPI prescriptions was modeled as a time-dependent covariate. The Cox hazards regression model was used to estimate the risk of an adverse cardiovascular event in the clopidogrel plus PPI group versus the clopidogrel alone group. Propensity score matching resulted in 2674 patient pairs. In the propensity score-matched sample, the mean age was 61.30 years, with a mean follow-up of 268 days, and 70.04% were male. Concurrent use of clopidogrel with a PPI was associated with a significantly increased risk of a cardiovascular adverse event (hazard ratio 1.438, 95% confidence interval 1.237-1.671) compared with clopidogrel alone. Conclusion. Concurrent use of clopidogrel plus a PPI was associated with a significant increase in risk of an adverse cardiovascular event in patients with ACS. Large randomized studies are needed to confirm this finding. Until then, clinicians should prescribe the concurrent use of these two drugs cautiously.","author":[{"dropping-particle":"","family":"Bhurke","given":"Sharvari M","non-dropping-particle":"","parse-names":false,"suffix":""},{"dropping-particle":"","family":"Martin","given":"Bradley C","non-dropping-particle":"","parse-names":false,"suffix":""},{"dropping-particle":"","family":"Li","given":"Chenghui","non-dropping-particle":"","parse-names":false,"suffix":""},{"dropping-particle":"","family":"Franks","given":"Amy M","non-dropping-particle":"","parse-names":false,"suffix":""},{"dropping-particle":"","family":"Bursac","given":"Zoran","non-dropping-particle":"","parse-names":false,"suffix":""},{"dropping-particle":"","family":"Said","given":"Qayyim","non-dropping-particle":"","parse-names":false,"suffix":""}],"container-title":"Pharmacotherapy","id":"ITEM-1","issue":"9","issued":{"date-parts":[["2012"]]},"note":"510","page":"809-818","publisher":"Pharmacotherapy Publications Inc. (750 Washington Street, Boston MA 02111, United States)","publisher-place":"United States","title":"Effect of the clopidogrel - Proton Pump Inhibitor drug interaction on adverse cardiovascular events in patients with Acute Coronary Syndrome","type":"article-journal","volume":"32"},"uris":["http://www.mendeley.com/documents/?uuid=df525721-42af-4a49-a8d0-17b7af3d2997"]}],"mendeley":{"formattedCitation":"(Bhurke et al. 2012)","plainTextFormattedCitation":"(Bhurke et al. 2012)","previouslyFormattedCitation":"(Bhurke et al. 2012)"},"properties":{"noteIndex":0},"schema":"https://github.com/citation-style-language/schema/raw/master/csl-citation.json"}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(Bhurke et al. 2012)</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4F334BD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7DF2948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5E3A170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Medical records (fill dates and supply)</w:t>
            </w:r>
          </w:p>
        </w:tc>
        <w:tc>
          <w:tcPr>
            <w:tcW w:w="1714" w:type="dxa"/>
            <w:tcBorders>
              <w:top w:val="nil"/>
              <w:left w:val="nil"/>
              <w:bottom w:val="single" w:sz="4" w:space="0" w:color="808080"/>
              <w:right w:val="nil"/>
            </w:tcBorders>
            <w:vAlign w:val="center"/>
            <w:hideMark/>
          </w:tcPr>
          <w:p w14:paraId="759242B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(mean 268 days)</w:t>
            </w:r>
          </w:p>
        </w:tc>
        <w:tc>
          <w:tcPr>
            <w:tcW w:w="2255" w:type="dxa"/>
            <w:tcBorders>
              <w:top w:val="nil"/>
              <w:left w:val="nil"/>
              <w:bottom w:val="single" w:sz="4" w:space="0" w:color="808080"/>
              <w:right w:val="nil"/>
            </w:tcBorders>
            <w:vAlign w:val="center"/>
            <w:hideMark/>
          </w:tcPr>
          <w:p w14:paraId="0716DBF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Medical records (ICD codes)</w:t>
            </w:r>
          </w:p>
        </w:tc>
        <w:tc>
          <w:tcPr>
            <w:tcW w:w="1010" w:type="dxa"/>
            <w:tcBorders>
              <w:top w:val="nil"/>
              <w:left w:val="nil"/>
              <w:bottom w:val="single" w:sz="4" w:space="0" w:color="808080"/>
              <w:right w:val="nil"/>
            </w:tcBorders>
            <w:vAlign w:val="center"/>
            <w:hideMark/>
          </w:tcPr>
          <w:p w14:paraId="1300AED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2001-2008</w:t>
            </w:r>
          </w:p>
        </w:tc>
        <w:tc>
          <w:tcPr>
            <w:tcW w:w="1231" w:type="dxa"/>
            <w:tcBorders>
              <w:top w:val="nil"/>
              <w:left w:val="nil"/>
              <w:bottom w:val="single" w:sz="4" w:space="0" w:color="808080"/>
              <w:right w:val="nil"/>
            </w:tcBorders>
            <w:vAlign w:val="center"/>
            <w:hideMark/>
          </w:tcPr>
          <w:p w14:paraId="1C40B62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6D07F320" w14:textId="77777777" w:rsidTr="00B842AC">
        <w:trPr>
          <w:trHeight w:val="572"/>
        </w:trPr>
        <w:tc>
          <w:tcPr>
            <w:tcW w:w="1522" w:type="dxa"/>
            <w:tcBorders>
              <w:top w:val="nil"/>
              <w:left w:val="nil"/>
              <w:bottom w:val="single" w:sz="4" w:space="0" w:color="808080"/>
              <w:right w:val="nil"/>
            </w:tcBorders>
            <w:vAlign w:val="center"/>
            <w:hideMark/>
          </w:tcPr>
          <w:p w14:paraId="0793290D" w14:textId="36F05AE3"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{"citationItems":[{"id":"ITEM-1","itemData":{"ISBN":"0954-6820","ISSN":"1365-2796","abstract":"OBJECTIVE: To investigate whether there is an increased risk of cardiac events with a combined therapy of clopidogrel and proton pump inhibitors (PPIs) after percutaneous coronary intervention (PCI)., DESIGN: In the BAsel Stent Kosten Effektivitats Trial (BASKET), all patients undergoing PCI received 6 months of clopidogrel and were analysed for the use of PPI therapy. Endpoints were major adverse cardiac events (MACE), myocardial infarction (MI), death and target vessel revascularization (TVR) after 36 months., RESULTS: Of 801 patients with available discharge medication data, 109 (14%) received PPIs. Patients who received PPIs were older (66.5 +/- 10.5 vs. 63.3 +/- 11.3 years, P = 0.006), more likely to be woman (80% vs. 69%, P = 0.009) and have a history of diabetes (29.6% vs. 17.3%, P = 0.002) or gastrointestinal ulcer disease (8.3% vs. 3.3%, P = 0.015) and more often received nonsteroidal anti-inflammatory drugs (7.3% vs. 2.2%, P = 0.003) and corticosteroids (11% vs. 3.6%, P = 0.001) but not aspirin (91.7% vs. 97%, P = 0.008) compared with those who did not receive PPIs. Patients who received PPI therapy had higher rates of MACE (30.3% vs. 20.8%, P = 0.027) and MI (14.7% vs. 7.4%, P = 0.01) but similar rates of death (9.2% vs. 7.4%, P = 0.51) and TVR (20.2% vs. 15.3%, P = 0.2) compared with those who did not. By multivariate analysis, diabetes (hazard ratio 1.83, 95% confidence interval 1.07-3.15) and PPI use (hazard ratio 1.88, 95% confidence interval 1.05-3.37) were the only independent risk factors for MI., CONCLUSION: In a real-world PCI population, the combination of PPIs and clopidogrel was associated with a doubling of MI rates after 3 years. Even after correction for confounding factors, concomitant PPI use remained an independent predictor of outcome emphasizing the clinical importance of this drug-drug interaction.","author":[{"dropping-particle":"","family":"Burkard","given":"T","non-dropping-particle":"","parse-names":false,"suffix":""},{"dropping-particle":"","family":"Kaiser","given":"C A","non-dropping-particle":"","parse-names":false,"suffix":""},{"dropping-particle":"","family":"Brunner-La Rocca","given":"H","non-dropping-particle":"","parse-names":false,"suffix":""},{"dropping-particle":"","family":"Osswald","given":"S","non-dropping-particle":"","parse-names":false,"suffix":""},{"dropping-particle":"","family":"Pfisterer","given":"M E","non-dropping-particle":"","parse-names":false,"suffix":""},{"dropping-particle":"V","family":"Jeger","given":"R","non-dropping-particle":"","parse-names":false,"suffix":""},{"dropping-particle":"","family":"Investigators","given":"BASKET","non-dropping-particle":"","parse-names":false,"suffix":""}],"container-title":"Journal of internal medicine","id":"ITEM-1","issue":"3","issued":{"date-parts":[["2012"]]},"note":"506\n","page":"257-263","publisher":"Blackwell Publishing Ltd (9600 Garsington Road, Oxford OX4 2XG, United Kingdom)","publisher-place":"England","title":"Combined clopidogrel and proton pump inhibitor therapy is associated with higher cardiovascular event rates after percutaneous coronary intervention: a report from the BASKET trial.","type":"article-journal","volume":"271"},"uris":["http://www.mendeley.com/documents/?uuid=20c60c99-5a52-4fd6-be8f-e75af8f036bf"]}],"mendeley":{"formattedCitation":"(Burkard et al. 2012)","plainTextFormattedCitation":"(Burkard et al. 2012)","previouslyFormattedCitation":"(Burkard et al. 2012)"},"properties":{"noteIndex":0},"schema":"https://github.com/citation-style-language/schema/raw/master/csl-citation.json"}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(Burkard et al. 2012)</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339A8D9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4B36F10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vAlign w:val="center"/>
            <w:hideMark/>
          </w:tcPr>
          <w:p w14:paraId="15CABB6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PPI from discharge records. Antiplatelet randomised. </w:t>
            </w:r>
          </w:p>
        </w:tc>
        <w:tc>
          <w:tcPr>
            <w:tcW w:w="1714" w:type="dxa"/>
            <w:tcBorders>
              <w:top w:val="nil"/>
              <w:left w:val="nil"/>
              <w:bottom w:val="single" w:sz="4" w:space="0" w:color="808080"/>
              <w:right w:val="nil"/>
            </w:tcBorders>
            <w:vAlign w:val="center"/>
            <w:hideMark/>
          </w:tcPr>
          <w:p w14:paraId="1D84D21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(3 years)</w:t>
            </w:r>
            <w:r>
              <w:rPr>
                <w:rFonts w:ascii="Calibri" w:eastAsia="Times New Roman" w:hAnsi="Calibri" w:cs="Times New Roman"/>
                <w:color w:val="000000"/>
                <w:sz w:val="20"/>
                <w:szCs w:val="20"/>
                <w:lang w:eastAsia="en-CA"/>
              </w:rPr>
              <w:br/>
              <w:t>ACM (3 years)</w:t>
            </w:r>
          </w:p>
        </w:tc>
        <w:tc>
          <w:tcPr>
            <w:tcW w:w="2255" w:type="dxa"/>
            <w:tcBorders>
              <w:top w:val="nil"/>
              <w:left w:val="nil"/>
              <w:bottom w:val="single" w:sz="4" w:space="0" w:color="808080"/>
              <w:right w:val="nil"/>
            </w:tcBorders>
            <w:vAlign w:val="center"/>
            <w:hideMark/>
          </w:tcPr>
          <w:p w14:paraId="0B7C642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Hospital records, lab confirmation (MI);</w:t>
            </w:r>
            <w:r>
              <w:rPr>
                <w:rFonts w:ascii="Calibri" w:eastAsia="Times New Roman" w:hAnsi="Calibri" w:cs="Times New Roman"/>
                <w:color w:val="000000"/>
                <w:sz w:val="20"/>
                <w:szCs w:val="20"/>
                <w:lang w:eastAsia="en-CA"/>
              </w:rPr>
              <w:br/>
              <w:t>Death (not clear);</w:t>
            </w:r>
          </w:p>
        </w:tc>
        <w:tc>
          <w:tcPr>
            <w:tcW w:w="1010" w:type="dxa"/>
            <w:tcBorders>
              <w:top w:val="nil"/>
              <w:left w:val="nil"/>
              <w:bottom w:val="single" w:sz="4" w:space="0" w:color="808080"/>
              <w:right w:val="nil"/>
            </w:tcBorders>
            <w:vAlign w:val="center"/>
            <w:hideMark/>
          </w:tcPr>
          <w:p w14:paraId="3E1AA43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2003-2004</w:t>
            </w:r>
          </w:p>
        </w:tc>
        <w:tc>
          <w:tcPr>
            <w:tcW w:w="1231" w:type="dxa"/>
            <w:tcBorders>
              <w:top w:val="nil"/>
              <w:left w:val="nil"/>
              <w:bottom w:val="single" w:sz="4" w:space="0" w:color="808080"/>
              <w:right w:val="nil"/>
            </w:tcBorders>
            <w:vAlign w:val="center"/>
            <w:hideMark/>
          </w:tcPr>
          <w:p w14:paraId="1F1B152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17B7E74B" w14:textId="77777777" w:rsidTr="00B842AC">
        <w:trPr>
          <w:trHeight w:val="1095"/>
        </w:trPr>
        <w:tc>
          <w:tcPr>
            <w:tcW w:w="1522" w:type="dxa"/>
            <w:tcBorders>
              <w:top w:val="nil"/>
              <w:left w:val="nil"/>
              <w:bottom w:val="single" w:sz="4" w:space="0" w:color="808080"/>
              <w:right w:val="nil"/>
            </w:tcBorders>
            <w:vAlign w:val="center"/>
            <w:hideMark/>
          </w:tcPr>
          <w:p w14:paraId="65071107" w14:textId="529CB201"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{"citationItems":[{"id":"ITEM-1","itemData":{"ISBN":"0003-4819","ISSN":"1539-3704","abstract":"Background: Controversy remains on whether the dual use of clopidogrel and proton-pump inhibitors (PPIs) affects clinical efficacy of clopidogrel. Objective: To examine the risk for adverse cardiovascular outcomes related to concomitant use of PPIs and clopidogrel compared with that of PPIs alone in adults hospitalized for myocardial infarction. Design: A nationwide cohort study based on linked administrative registry data. Setting: All hospitals in Denmark. Patients: All patients discharged after first-time myocardial infarction from 2000 to 2006. Measurements: The primary outcome was a composite of rehospitalization for myocardial infarction or stroke or cardiovascular death. Patients were examined at several assembly time points, including 7, 14, 21, and 30 days after myocardial infarction. Follow-up was 1 year. Results: Of 56 406 included patients, 9137 (16.2%) were rehospitalized for myocardial infarction or stroke or experienced cardiovascular death. Of the 24 702 patients (43.8%) who received clopidogrel, 6753 (27.3%) received concomitant PPIs. The hazard ratio for cardiovascular death or rehospitalization for myocardial infarction or stroke for concomitant use of a PPI and clopidogrel among the cohort assembled at day 30 after discharge was 1.29 (95% CI, 1.17 to 1.42). The corresponding ratio for use of a PPI in patients who did not receive clopidogrel was 1.29 (CI, 1.21 to 1.37). No statistically significant interaction occurred between a PPI and clopidogrel (P = 0.72). Limitations: Unmeasured and residual confounding, time-varying measurement errors of exposure, and biases from survival effects were possible. Conclusion: Proton-pump inhibitors seem to be associated with increased risk for adverse cardiovascular outcomes after discharge, regardless of clopidogrel use for myocardial infarction. Dual PPI and clopidogrel use was not associated with any additional risk for adverse cardiovascular events over that observed for patients prescribed a PPI alone. Primary Funding Source: The Danish Medical Research Council and the Danish Heart Foundation. © 2010 American College of Physicians.","author":[{"dropping-particle":"","family":"Charlot","given":"Mette","non-dropping-particle":"","parse-names":false,"suffix":""},{"dropping-particle":"","family":"Ahlehoff","given":"Ole","non-dropping-particle":"","parse-names":false,"suffix":""},{"dropping-particle":"","family":"Norgaard","given":"Mette Lykke","non-dropping-particle":"","parse-names":false,"suffix":""},{"dropping-particle":"","family":"Jorgensen","given":"Casper H","non-dropping-particle":"","parse-names":false,"suffix":""},{"dropping-particle":"","family":"Sorensen","given":"Rikke","non-dropping-particle":"","parse-names":false,"suffix":""},{"dropping-particle":"","family":"Abildstrom","given":"Steen Z","non-dropping-particle":"","parse-names":false,"suffix":""},{"dropping-particle":"","family":"Hansen","given":"Peter Riis","non-dropping-particle":"","parse-names":false,"suffix":""},{"dropping-particle":"","family":"Madsen","given":"Jan Kyst","non-dropping-particle":"","parse-names":false,"suffix":""},{"dropping-particle":"","family":"Kober","given":"Lars","non-dropping-particle":"","parse-names":false,"suffix":""},{"dropping-particle":"","family":"Torp-Pedersen","given":"Christian","non-dropping-particle":"","parse-names":false,"suffix":""},{"dropping-particle":"","family":"Gislason","given":"Gunnar","non-dropping-particle":"","parse-names":false,"suffix":""},{"dropping-particle":"","family":"M.","given":"Charlot","non-dropping-particle":"","parse-names":false,"suffix":""},{"dropping-particle":"","family":"O.","given":"Ahlehoff","non-dropping-particle":"","parse-names":false,"suffix":""},{"dropping-particle":"","family":"M.L.","given":"Norgaard","non-dropping-particle":"","parse-names":false,"suffix":""},{"dropping-particle":"","family":"C.H.","given":"Jorgensen","non-dropping-particle":"","parse-names":false,"suffix":""},{"dropping-particle":"","family":"R.","given":"Sorensen","non-dropping-particle":"","parse-names":false,"suffix":""},{"dropping-particle":"","family":"S.Z.","given":"Abildstrom","non-dropping-particle":"","parse-names":false,"suffix":""},{"dropping-particle":"","family":"P.R.","given":"Hansen","non-dropping-particle":"","parse-names":false,"suffix":""},{"dropping-particle":"","family":"J.K.","given":"Madsen","non-dropping-particle":"","parse-names":false,"suffix":""},{"dropping-particle":"","family":"L.","given":"Kober","non-dropping-particle":"","parse-names":false,"suffix":""},{"dropping-particle":"","family":"C.","given":"Torp-Pedersen","non-dropping-particle":"","parse-names":false,"suffix":""},{"dropping-particle":"","family":"G.","given":"Gislason","non-dropping-particle":"","parse-names":false,"suffix":""}],"collection-title":"[Erratum appears in Ann Intern Med. 2011 Jan 4;154(1):76]","container-title":"Annals of internal medicine","id":"ITEM-1","issue":"6","issued":{"date-parts":[["2010"]]},"note":"738\n\nFrom Duplicate 2 (Proton-pump inhibitors are associated with increased cardiovascular risk independent of clopidogrel use: a nationwide cohort study. - Charlot, Mette; Ahlehoff, Ole; Norgaard, Mette Lykke; Jorgensen, Casper H; Sorensen, Rikke; Abildstrom, Steen Z; Hansen, Peter Riis; Madsen, Jan Kyst; Kober, Lars; Torp-Pedersen, Christian; Gislason, Gunnar)\n\nComment in: Ann Intern Med. 2010 Sep 21;153(6):413-5; PMID: 20855806, Comment in: Ann Intern Med. 2010 Dec 21;153(12):JC6-13; PMID: 21173402","page":"378-386","publisher":"American College of Physicians (190 N. Indenpence Mall West, Philadelphia PA 19106-1572, United States)","publisher-place":"United States","title":"Proton-pump inhibitors are associated with increased cardiovascular risk independent of clopidogrel use: A nationwide cohort study","type":"article-journal","volume":"153"},"uris":["http://www.mendeley.com/documents/?uuid=635d380f-5f01-47cc-857d-b442de1e24ac"]}],"mendeley":{"formattedCitation":"(Charlot et al. 2010)","plainTextFormattedCitation":"(Charlot et al. 2010)","previouslyFormattedCitation":"(Charlot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(Charlot et al. 2010)</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5B2523D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3ADDCBD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69E11EC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National prescription registry (PPI prescriptions obtained up till 1 year after discharge)</w:t>
            </w:r>
          </w:p>
        </w:tc>
        <w:tc>
          <w:tcPr>
            <w:tcW w:w="1714" w:type="dxa"/>
            <w:tcBorders>
              <w:top w:val="nil"/>
              <w:left w:val="nil"/>
              <w:bottom w:val="single" w:sz="4" w:space="0" w:color="808080"/>
              <w:right w:val="nil"/>
            </w:tcBorders>
            <w:vAlign w:val="center"/>
            <w:hideMark/>
          </w:tcPr>
          <w:p w14:paraId="7C66191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 year)</w:t>
            </w:r>
            <w:r>
              <w:rPr>
                <w:rFonts w:ascii="Calibri" w:eastAsia="Times New Roman" w:hAnsi="Calibri" w:cs="Times New Roman"/>
                <w:color w:val="000000"/>
                <w:sz w:val="20"/>
                <w:szCs w:val="20"/>
                <w:lang w:eastAsia="en-CA"/>
              </w:rPr>
              <w:br/>
              <w:t>Stroke (1 year)</w:t>
            </w:r>
            <w:r>
              <w:rPr>
                <w:rFonts w:ascii="Calibri" w:eastAsia="Times New Roman" w:hAnsi="Calibri" w:cs="Times New Roman"/>
                <w:color w:val="000000"/>
                <w:sz w:val="20"/>
                <w:szCs w:val="20"/>
                <w:lang w:eastAsia="en-CA"/>
              </w:rPr>
              <w:br/>
              <w:t>ACM (1 year)</w:t>
            </w:r>
            <w:r>
              <w:rPr>
                <w:rFonts w:ascii="Calibri" w:eastAsia="Times New Roman" w:hAnsi="Calibri" w:cs="Times New Roman"/>
                <w:color w:val="000000"/>
                <w:sz w:val="20"/>
                <w:szCs w:val="20"/>
                <w:lang w:eastAsia="en-CA"/>
              </w:rPr>
              <w:br/>
              <w:t>CVD mort (1 year)</w:t>
            </w:r>
          </w:p>
        </w:tc>
        <w:tc>
          <w:tcPr>
            <w:tcW w:w="2255" w:type="dxa"/>
            <w:tcBorders>
              <w:top w:val="nil"/>
              <w:left w:val="nil"/>
              <w:bottom w:val="single" w:sz="4" w:space="0" w:color="808080"/>
              <w:right w:val="nil"/>
            </w:tcBorders>
            <w:vAlign w:val="center"/>
            <w:hideMark/>
          </w:tcPr>
          <w:p w14:paraId="73DEA4E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Danish National Patient Registry</w:t>
            </w:r>
          </w:p>
        </w:tc>
        <w:tc>
          <w:tcPr>
            <w:tcW w:w="1010" w:type="dxa"/>
            <w:tcBorders>
              <w:top w:val="nil"/>
              <w:left w:val="nil"/>
              <w:bottom w:val="single" w:sz="4" w:space="0" w:color="808080"/>
              <w:right w:val="nil"/>
            </w:tcBorders>
            <w:vAlign w:val="center"/>
            <w:hideMark/>
          </w:tcPr>
          <w:p w14:paraId="3F685E3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2000-2006</w:t>
            </w:r>
          </w:p>
        </w:tc>
        <w:tc>
          <w:tcPr>
            <w:tcW w:w="1231" w:type="dxa"/>
            <w:tcBorders>
              <w:top w:val="nil"/>
              <w:left w:val="nil"/>
              <w:bottom w:val="single" w:sz="4" w:space="0" w:color="808080"/>
              <w:right w:val="nil"/>
            </w:tcBorders>
            <w:vAlign w:val="center"/>
            <w:hideMark/>
          </w:tcPr>
          <w:p w14:paraId="21F38EB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6DA72956" w14:textId="77777777" w:rsidTr="00B842AC">
        <w:trPr>
          <w:trHeight w:val="431"/>
        </w:trPr>
        <w:tc>
          <w:tcPr>
            <w:tcW w:w="1522" w:type="dxa"/>
            <w:tcBorders>
              <w:top w:val="nil"/>
              <w:left w:val="nil"/>
              <w:bottom w:val="single" w:sz="4" w:space="0" w:color="808080"/>
              <w:right w:val="nil"/>
            </w:tcBorders>
            <w:vAlign w:val="center"/>
            <w:hideMark/>
          </w:tcPr>
          <w:p w14:paraId="0530DAAD" w14:textId="23ABA8F4"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{"citationItems":[{"id":"ITEM-1","itemData":{"ISBN":"0010-6178","abstract":"Objective: To determine if concomitant use of proton pump inhibitors (PPIs) and clopidogrel is associated with adverse events among postpercutaneous coronary intervention (PCI) patients. Methods:This is a single-center, retrospective case-control study of 3,287 consecutive patients on clopidogrel who underwent PCI. Univariate and multivariate analyses determined if concomitant PPI and clopidogrel use was associated with major adverse cardiac events (MACE). Results: There were significantly more deaths (3.0% vs 1.1%; P&lt;0.001), repeat revascularizations (3.8% vs 2.1%; P=0.005) and MACE(7.1%vs3.5%;P&lt;0.001)intheclopidogrel and PPI group. Cox regression revealed that PPI is an independent predictor of MACE (HR 1.70,95% CI of 1.20-2.41; P=0.003), mortality (HR 1.79; 95% CI 1.03-3.12, P=0.038), and target-vessel revascularization (HR 1.75; 95% CI 1.12-2.72, P=0.014). Conclusions: Concomitant use of PPIs and clopidogrel among post PCI patients was associated with increased rates of all-cause mortality, target vessel revascularization, and combined MACE at nine months follow-up.","author":[{"dropping-particle":"","family":"Ching","given":"GG","non-dropping-particle":"","parse-names":false,"suffix":""},{"dropping-particle":"","family":"Li","given":"D","non-dropping-particle":"","parse-names":false,"suffix":""},{"dropping-particle":"","family":"Baker","given":"WL","non-dropping-particle":"","parse-names":false,"suffix":""},{"dropping-particle":"","family":"Hohl","given":"PK","non-dropping-particle":"","parse-names":false,"suffix":""},{"dropping-particle":"","family":"Mather","given":"JF","non-dropping-particle":"","parse-names":false,"suffix":""},{"dropping-particle":"","family":"McKay","given":"RG","non-dropping-particle":"","parse-names":false,"suffix":""},{"dropping-particle":"","family":"Lundbye","given":"JB","non-dropping-particle":"","parse-names":false,"suffix":""}],"container-title":"Connecticut Medicine","id":"ITEM-1","issue":"4","issued":{"date-parts":[["2012"]]},"note":"496 cant find","page":"205-211","publisher":"Connecticut State Medical Society (160 St. Ronan Street, New Haven CT 06511, United States)","publisher-place":"G.G. Ching, University of Connecticut Health Center, Farmington, United States","title":"Major adverse cardiac events among postpercutaneous coronary intervention patients on clopidogrel and proton pump inhibiors","type":"article","volume":"76"},"uris":["http://www.mendeley.com/documents/?uuid=85f3e098-4558-4ff7-8399-24484b46120a"]}],"mendeley":{"formattedCitation":"(Ching et al. 2012)","plainTextFormattedCitation":"(Ching et al. 2012)","previouslyFormattedCitation":"(Ching et al. 2012)"},"properties":{"noteIndex":0},"schema":"https://github.com/citation-style-language/schema/raw/master/csl-citation.json"}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(Ching et al. 2012)</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3E41DBB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7F95DBA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vAlign w:val="center"/>
            <w:hideMark/>
          </w:tcPr>
          <w:p w14:paraId="3318AB6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Patient charts. </w:t>
            </w:r>
          </w:p>
        </w:tc>
        <w:tc>
          <w:tcPr>
            <w:tcW w:w="1714" w:type="dxa"/>
            <w:tcBorders>
              <w:top w:val="nil"/>
              <w:left w:val="nil"/>
              <w:bottom w:val="single" w:sz="4" w:space="0" w:color="808080"/>
              <w:right w:val="nil"/>
            </w:tcBorders>
            <w:vAlign w:val="center"/>
            <w:hideMark/>
          </w:tcPr>
          <w:p w14:paraId="547358B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(9 months)</w:t>
            </w:r>
          </w:p>
        </w:tc>
        <w:tc>
          <w:tcPr>
            <w:tcW w:w="2255" w:type="dxa"/>
            <w:tcBorders>
              <w:top w:val="nil"/>
              <w:left w:val="nil"/>
              <w:bottom w:val="single" w:sz="4" w:space="0" w:color="808080"/>
              <w:right w:val="nil"/>
            </w:tcBorders>
            <w:vAlign w:val="center"/>
            <w:hideMark/>
          </w:tcPr>
          <w:p w14:paraId="681F525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Chart reveiw or direct contact with patients/relatives</w:t>
            </w:r>
          </w:p>
        </w:tc>
        <w:tc>
          <w:tcPr>
            <w:tcW w:w="1010" w:type="dxa"/>
            <w:tcBorders>
              <w:top w:val="nil"/>
              <w:left w:val="nil"/>
              <w:bottom w:val="single" w:sz="4" w:space="0" w:color="808080"/>
              <w:right w:val="nil"/>
            </w:tcBorders>
            <w:vAlign w:val="center"/>
            <w:hideMark/>
          </w:tcPr>
          <w:p w14:paraId="14A61EE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2004-2008</w:t>
            </w:r>
          </w:p>
        </w:tc>
        <w:tc>
          <w:tcPr>
            <w:tcW w:w="1231" w:type="dxa"/>
            <w:tcBorders>
              <w:top w:val="nil"/>
              <w:left w:val="nil"/>
              <w:bottom w:val="single" w:sz="4" w:space="0" w:color="808080"/>
              <w:right w:val="nil"/>
            </w:tcBorders>
            <w:vAlign w:val="center"/>
            <w:hideMark/>
          </w:tcPr>
          <w:p w14:paraId="43FD761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078001E4" w14:textId="77777777" w:rsidTr="00B842AC">
        <w:trPr>
          <w:trHeight w:val="540"/>
        </w:trPr>
        <w:tc>
          <w:tcPr>
            <w:tcW w:w="1522" w:type="dxa"/>
            <w:tcBorders>
              <w:top w:val="nil"/>
              <w:left w:val="nil"/>
              <w:bottom w:val="single" w:sz="4" w:space="0" w:color="808080"/>
              <w:right w:val="nil"/>
            </w:tcBorders>
            <w:vAlign w:val="center"/>
            <w:hideMark/>
          </w:tcPr>
          <w:p w14:paraId="40E9CD2A" w14:textId="038E3180"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{"citationItems":[{"id":"ITEM-1","itemData":{"ISSN":"1347-4820","abstract":"BACKGROUND: The aim of this study was to examine the effect of proton-pump inhibitor (PPI) on clinical outcomes in Japanese patients who undergo coronary stent implantation., METHODS AND RESULTS: A total of 1,270 patients (males 915, 69 years) were enrolled and dual antiplatelet therapy of aspirin and a thienopyridine derivative was prescribed (clopidogrel 630, ticlopidine 640). Patients were divided into 2 groups treated with or without PPI. PPI was administered in 331 cases (26%), and non-PPI in 939 (74%). There were no significant differences in cardiovascular death (PPI vs. non-PPI: 5 vs. 11 cases), nonfatal myocardial infarction (3 vs. 5), and stroke (3 vs. 16) between PPI and non-PPI groups, but the ratio of gastrointestinal events had a higher tendency in non-PPI group compared with PPI group (1 vs. 17, P=0.08). In subgroup analysis of patients taking clopidogrel, or patients with acute coronary syndrome, there was no significant difference in the ratio of cardiovascular events (7 vs. 16, 6 vs. 17, NS). The non-PPI group had a tendency of an increased risk of gastrointestinal events compared with the PPI group (0 vs. 9, P=0.06; 1 vs. 7, P=0.14)., CONCLUSIONS: In contrast to the negative drug interaction of PPI reported elsewhere, in the present study the intake of PPI was not associated with an increased risk for adverse clinical outcomes in patients treated with stents.","author":[{"dropping-particle":"","family":"Chitose","given":"Tadasuke","non-dropping-particle":"","parse-names":false,"suffix":""},{"dropping-particle":"","family":"Hokimoto","given":"Seiji","non-dropping-particle":"","parse-names":false,"suffix":""},{"dropping-particle":"","family":"Oshima","given":"Shuichi","non-dropping-particle":"","parse-names":false,"suffix":""},{"dropping-particle":"","family":"Nakao","given":"Koichi","non-dropping-particle":"","parse-names":false,"suffix":""},{"dropping-particle":"","family":"Fujimoto","given":"Kazuteru","non-dropping-particle":"","parse-names":false,"suffix":""},{"dropping-particle":"","family":"Miyao","given":"Yuji","non-dropping-particle":"","parse-names":false,"suffix":""},{"dropping-particle":"","family":"Shimomura","given":"Hideki","non-dropping-particle":"","parse-names":false,"suffix":""},{"dropping-particle":"","family":"Tsunoda","given":"Ryusuke","non-dropping-particle":"","parse-names":false,"suffix":""},{"dropping-particle":"","family":"Maruyama","given":"Hideki","non-dropping-particle":"","parse-names":false,"suffix":""},{"dropping-particle":"","family":"Hirose","given":"Toyoki","non-dropping-particle":"","parse-names":false,"suffix":""},{"dropping-particle":"","family":"Yamamoto","given":"Koichiro","non-dropping-particle":"","parse-names":false,"suffix":""},{"dropping-particle":"","family":"Mizobe","given":"Michio","non-dropping-particle":"","parse-names":false,"suffix":""},{"dropping-particle":"","family":"Kaikita","given":"Koichi","non-dropping-particle":"","parse-names":false,"suffix":""},{"dropping-particle":"","family":"Nakamura","given":"Sunao","non-dropping-particle":"","parse-names":false,"suffix":""},{"dropping-particle":"","family":"Ogawa","given":"Hisao","non-dropping-particle":"","parse-names":false,"suffix":""}],"container-title":"Circulation journal : official journal of the Japanese Circulation Society","id":"ITEM-1","issue":"1","issued":{"date-parts":[["2012"]]},"note":"495","page":"71-78","publisher":"Chitose,Tadasuke. Department of Cardiovascular Medicine, Graduate School of Medical Sciences, Kumamoto University, Kumamoto, Japan.","publisher-place":"Japan","title":"Clinical outcomes following coronary stenting in Japanese patients treated with and without proton pump inhibitor.","type":"article-journal","volume":"76"},"uris":["http://www.mendeley.com/documents/?uuid=bd780bc7-c9e6-4bf3-97c4-0cd4563f3392"]}],"mendeley":{"formattedCitation":"(Chitose et al. 2012)","plainTextFormattedCitation":"(Chitose et al. 2012)","previouslyFormattedCitation":"(Chitose et al. 2012)"},"properties":{"noteIndex":0},"schema":"https://github.com/citation-style-language/schema/raw/master/csl-citation.json"}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(Chitose et al. 2012)</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6470A71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50C6E73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4E44726B" w14:textId="26F83EF4" w:rsidR="00B842AC" w:rsidRDefault="00B842AC" w:rsidP="008558D2">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Regis</w:t>
            </w:r>
            <w:r w:rsidR="008558D2">
              <w:rPr>
                <w:rFonts w:ascii="Calibri" w:eastAsia="Times New Roman" w:hAnsi="Calibri" w:cs="Times New Roman"/>
                <w:color w:val="000000"/>
                <w:sz w:val="20"/>
                <w:szCs w:val="20"/>
                <w:lang w:eastAsia="en-CA"/>
              </w:rPr>
              <w:t xml:space="preserve">try.  Compliance with drugs was </w:t>
            </w:r>
            <w:r>
              <w:rPr>
                <w:rFonts w:ascii="Calibri" w:eastAsia="Times New Roman" w:hAnsi="Calibri" w:cs="Times New Roman"/>
                <w:color w:val="000000"/>
                <w:sz w:val="20"/>
                <w:szCs w:val="20"/>
                <w:lang w:eastAsia="en-CA"/>
              </w:rPr>
              <w:t xml:space="preserve">confirmed. </w:t>
            </w:r>
          </w:p>
        </w:tc>
        <w:tc>
          <w:tcPr>
            <w:tcW w:w="1714" w:type="dxa"/>
            <w:tcBorders>
              <w:top w:val="nil"/>
              <w:left w:val="nil"/>
              <w:bottom w:val="single" w:sz="4" w:space="0" w:color="808080"/>
              <w:right w:val="nil"/>
            </w:tcBorders>
            <w:vAlign w:val="center"/>
            <w:hideMark/>
          </w:tcPr>
          <w:p w14:paraId="32E6646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(18 months)</w:t>
            </w:r>
            <w:r>
              <w:rPr>
                <w:rFonts w:ascii="Calibri" w:eastAsia="Times New Roman" w:hAnsi="Calibri" w:cs="Times New Roman"/>
                <w:color w:val="000000"/>
                <w:sz w:val="20"/>
                <w:szCs w:val="20"/>
                <w:lang w:eastAsia="en-CA"/>
              </w:rPr>
              <w:br/>
              <w:t>Stroke, CVD mort (18 months)</w:t>
            </w:r>
          </w:p>
        </w:tc>
        <w:tc>
          <w:tcPr>
            <w:tcW w:w="2255" w:type="dxa"/>
            <w:tcBorders>
              <w:top w:val="nil"/>
              <w:left w:val="nil"/>
              <w:bottom w:val="single" w:sz="4" w:space="0" w:color="808080"/>
              <w:right w:val="nil"/>
            </w:tcBorders>
            <w:vAlign w:val="center"/>
            <w:hideMark/>
          </w:tcPr>
          <w:p w14:paraId="4BA60AE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Hospital records; clinical and radiological evidence (for stroke)</w:t>
            </w:r>
          </w:p>
        </w:tc>
        <w:tc>
          <w:tcPr>
            <w:tcW w:w="1010" w:type="dxa"/>
            <w:tcBorders>
              <w:top w:val="nil"/>
              <w:left w:val="nil"/>
              <w:bottom w:val="single" w:sz="4" w:space="0" w:color="808080"/>
              <w:right w:val="nil"/>
            </w:tcBorders>
            <w:vAlign w:val="center"/>
            <w:hideMark/>
          </w:tcPr>
          <w:p w14:paraId="3BFDDB3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2008-2009</w:t>
            </w:r>
          </w:p>
        </w:tc>
        <w:tc>
          <w:tcPr>
            <w:tcW w:w="1231" w:type="dxa"/>
            <w:tcBorders>
              <w:top w:val="nil"/>
              <w:left w:val="nil"/>
              <w:bottom w:val="single" w:sz="4" w:space="0" w:color="808080"/>
              <w:right w:val="nil"/>
            </w:tcBorders>
            <w:vAlign w:val="center"/>
            <w:hideMark/>
          </w:tcPr>
          <w:p w14:paraId="14CFEB3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79F87B93" w14:textId="77777777" w:rsidTr="00B842AC">
        <w:trPr>
          <w:trHeight w:val="855"/>
        </w:trPr>
        <w:tc>
          <w:tcPr>
            <w:tcW w:w="1522" w:type="dxa"/>
            <w:tcBorders>
              <w:top w:val="nil"/>
              <w:left w:val="nil"/>
              <w:bottom w:val="single" w:sz="4" w:space="0" w:color="808080"/>
              <w:right w:val="nil"/>
            </w:tcBorders>
            <w:vAlign w:val="center"/>
            <w:hideMark/>
          </w:tcPr>
          <w:p w14:paraId="54D537EE" w14:textId="78AE0FEA"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{"citationItems":[{"id":"ITEM-1","itemData":{"ISBN":"1470-269X","ISSN":"1473-1150","abstract":"We examined clinical outcomes with proton pump inhibitors (PPI) use within CYP2C19 genotype groups during clopidogrel treatment following acute myocardial infarction (AMI). 2062 patients were genotyped for CYP2C19*2 and*17 variants in TRIUMPH. 12 month clinical outcomes were analyzed among patients discharged on clopidogrel within CYP2C19*2 carrier, CYP2C19*17 carrier, and CYP2C19*1 homozygote genotype groups. PPI use was not associated with a difference in mortality. Among clopidogrel-treated Caucasians following AMI, PPI use was associated with a significantly higher rate of cardiac rehospitalization (HR 1.62, 95% CI 1.19-2.19; P=0.002) compared with no PPI use. PPI users who were carriers of the CYP2C19*17 variant experienced significantly higher rates of cardiac rehospitalization (HR 2.05, 95% CI 1.26-3.33; P=0.003), carriers of the CYP2C19*2 variant had a trend toward increased 1-year cardiac rehospitalization (HR 1.69, 95% CI 0.95-2.99; P=0.07), while no significant differences were observed among CYP2C19*1 homozygotes. These results indicate that the risks associated with PPI use among clopidogrel-treated Caucasian post-MI patients are impacted by CYP2C19 genotype, and suggest knowledge of genotype may be useful for personalizing PPI use among patients following AMI to reduce rehospitalization.","author":[{"dropping-particle":"","family":"Depta","given":"J P","non-dropping-particle":"","parse-names":false,"suffix":""},{"dropping-particle":"","family":"Lenzini","given":"P A","non-dropping-particle":"","parse-names":false,"suffix":""},{"dropping-particle":"","family":"Lanfear","given":"D E","non-dropping-particle":"","parse-names":false,"suffix":""},{"dropping-particle":"","family":"Wang","given":"T Y","non-dropping-particle":"","parse-names":false,"suffix":""},{"dropping-particle":"","family":"Spertus","given":"J A","non-dropping-particle":"","parse-names":false,"suffix":""},{"dropping-particle":"","family":"Bach","given":"R G","non-dropping-particle":"","parse-names":false,"suffix":""},{"dropping-particle":"","family":"Cresci","given":"S","non-dropping-particle":"","parse-names":false,"suffix":""}],"container-title":"Pharmacogenomics Journal","id":"ITEM-1","issue":"1","issued":{"date-parts":[["2015"]]},"note":"63","page":"20-25","publisher":"Depta,J P. Washington University School of Medicine, Department of Medicine, St Louis, MO, USA.","publisher-place":"United States","title":"Clinical outcomes associated with proton pump inhibitor use among clopidogrel-treated patients within CYP2C19 genotype groups following acute myocardial infarction","type":"article-journal","volume":"15"},"uris":["http://www.mendeley.com/documents/?uuid=b6cd58cf-d234-4f50-a963-4f7bfa35cbb6"]}],"mendeley":{"formattedCitation":"(Depta et al. 2015)","plainTextFormattedCitation":"(Depta et al. 2015)","previouslyFormattedCitation":"(Depta et al. 2015)"},"properties":{"noteIndex":0},"schema":"https://github.com/citation-style-language/schema/raw/master/csl-citation.json"}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(Depta et al. 2015)</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12CF96D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40DA160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098C3B0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Chart abstraction at admission</w:t>
            </w:r>
          </w:p>
        </w:tc>
        <w:tc>
          <w:tcPr>
            <w:tcW w:w="1714" w:type="dxa"/>
            <w:tcBorders>
              <w:top w:val="nil"/>
              <w:left w:val="nil"/>
              <w:bottom w:val="single" w:sz="4" w:space="0" w:color="808080"/>
              <w:right w:val="nil"/>
            </w:tcBorders>
            <w:vAlign w:val="center"/>
            <w:hideMark/>
          </w:tcPr>
          <w:p w14:paraId="63C03FC5" w14:textId="77777777" w:rsidR="00B842AC" w:rsidRPr="001B1380" w:rsidRDefault="00B842AC" w:rsidP="00B842AC">
            <w:pPr>
              <w:spacing w:after="0" w:line="240" w:lineRule="auto"/>
              <w:rPr>
                <w:rFonts w:ascii="Calibri" w:eastAsia="Times New Roman" w:hAnsi="Calibri" w:cs="Times New Roman"/>
                <w:sz w:val="20"/>
                <w:szCs w:val="20"/>
                <w:lang w:eastAsia="en-CA"/>
              </w:rPr>
            </w:pPr>
            <w:r w:rsidRPr="001B1380">
              <w:rPr>
                <w:rFonts w:ascii="Calibri" w:eastAsia="Times New Roman" w:hAnsi="Calibri" w:cs="Times New Roman"/>
                <w:sz w:val="20"/>
                <w:szCs w:val="20"/>
                <w:lang w:eastAsia="en-CA"/>
              </w:rPr>
              <w:t>ACM  (1 year)</w:t>
            </w:r>
            <w:r w:rsidRPr="001B1380">
              <w:rPr>
                <w:rFonts w:ascii="Calibri" w:eastAsia="Times New Roman" w:hAnsi="Calibri" w:cs="Times New Roman"/>
                <w:sz w:val="20"/>
                <w:szCs w:val="20"/>
                <w:lang w:eastAsia="en-CA"/>
              </w:rPr>
              <w:br/>
              <w:t>Stroke (1 year)</w:t>
            </w:r>
          </w:p>
        </w:tc>
        <w:tc>
          <w:tcPr>
            <w:tcW w:w="2255" w:type="dxa"/>
            <w:tcBorders>
              <w:top w:val="nil"/>
              <w:left w:val="nil"/>
              <w:bottom w:val="single" w:sz="4" w:space="0" w:color="808080"/>
              <w:right w:val="nil"/>
            </w:tcBorders>
            <w:vAlign w:val="center"/>
            <w:hideMark/>
          </w:tcPr>
          <w:p w14:paraId="615B616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Social Security Administration Death Master File</w:t>
            </w:r>
          </w:p>
        </w:tc>
        <w:tc>
          <w:tcPr>
            <w:tcW w:w="1010" w:type="dxa"/>
            <w:tcBorders>
              <w:top w:val="nil"/>
              <w:left w:val="nil"/>
              <w:bottom w:val="single" w:sz="4" w:space="0" w:color="808080"/>
              <w:right w:val="nil"/>
            </w:tcBorders>
            <w:vAlign w:val="center"/>
            <w:hideMark/>
          </w:tcPr>
          <w:p w14:paraId="09B56BE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2005-2008</w:t>
            </w:r>
          </w:p>
        </w:tc>
        <w:tc>
          <w:tcPr>
            <w:tcW w:w="1231" w:type="dxa"/>
            <w:tcBorders>
              <w:top w:val="nil"/>
              <w:left w:val="nil"/>
              <w:bottom w:val="single" w:sz="4" w:space="0" w:color="808080"/>
              <w:right w:val="nil"/>
            </w:tcBorders>
            <w:vAlign w:val="center"/>
            <w:hideMark/>
          </w:tcPr>
          <w:p w14:paraId="0FF9B74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4DD9833D" w14:textId="77777777" w:rsidTr="00B842AC">
        <w:trPr>
          <w:trHeight w:val="1095"/>
        </w:trPr>
        <w:tc>
          <w:tcPr>
            <w:tcW w:w="1522" w:type="dxa"/>
            <w:tcBorders>
              <w:top w:val="nil"/>
              <w:left w:val="nil"/>
              <w:bottom w:val="single" w:sz="4" w:space="0" w:color="808080"/>
              <w:right w:val="nil"/>
            </w:tcBorders>
            <w:vAlign w:val="center"/>
            <w:hideMark/>
          </w:tcPr>
          <w:p w14:paraId="4CA9A85E" w14:textId="32242D54"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lastRenderedPageBreak/>
              <w:fldChar w:fldCharType="begin" w:fldLock="1"/>
            </w:r>
            <w:r w:rsidR="00D325C7">
              <w:rPr>
                <w:rFonts w:ascii="Calibri" w:eastAsia="Times New Roman" w:hAnsi="Calibri" w:cs="Times New Roman"/>
                <w:color w:val="000000"/>
                <w:sz w:val="20"/>
                <w:szCs w:val="20"/>
                <w:lang w:eastAsia="en-CA"/>
              </w:rPr>
              <w:instrText>ADDIN CSL_CITATION {"citationItems":[{"id":"ITEM-1","itemData":{"ISSN":"1756-1833","abstract":"Objective: To measure the association between use of proton pump inhibitors and a range of harmful outcomes in patients using clopidogrel and aspirin. Design: Observational cohort study and self controlled case series. Setting: United Kingdom General Practice Research Database with linked data from the Myocardial Ischaemia National Audit Project (MINAP) and the Office for National Statistics (the cardiovascular disease research using linked bespoke studies and electronic records (CALIBER) collaboration) Population: 24 471 patients receiving clopidogrel and aspirin. Main outcome measures: The primary outcome was death or incident myocardial infarction. Secondary outcomes were death, incident myocardial infarction, vascular death, and non-vascular death. Comparisons were made between proton pump inhibitor use and non-use. Results: Of the 24 471 patients prescribed clopidogrel and aspirin, 12 439 (50%) were also prescribed a proton pump inhibitor at some time during the study. Death or incident myocardial infarction occurred in 1419 (11%) patients while they were receiving a proton pump inhibitor compared with 1341 (8%) who were not receiving a proton pump inhibitor. In multivariate analysis, the hazard ratio for the association between proton pump inhibitor use and death or incident myocardial infarction was 1.37 (95% confidence interval 1.27 to 1.48). Comparable results were seen for secondary outcomes and with other 2C19 inhibitors and with non-2C19 inhibitors. With the self controlled case series design to remove the effect of differences between people, there was no association between proton pump inhibitor use and myocardial infarction, with a rate ratio of 0.75 (0.55 to 1.01). Similarly, with the self controlled case series there was no association with myocardial infarction for other 2C19 inhibitors/non-inhibitors. Conclusion: The lack of a specific association and the discrepancy between findings of the analyses between and within people suggests that the interaction between proton pump inhibitors and clopidogrel is clinically unimportant.","author":[{"dropping-particle":"","family":"Douglas","given":"Ian J","non-dropping-particle":"","parse-names":false,"suffix":""},{"dropping-particle":"","family":"Evans","given":"Stephen J W","non-dropping-particle":"","parse-names":false,"suffix":""},{"dropping-particle":"","family":"Hingorani","given":"Aroon D","non-dropping-particle":"","parse-names":false,"suffix":""},{"dropping-particle":"","family":"Grosso","given":"Anthony M","non-dropping-particle":"","parse-names":false,"suffix":""},{"dropping-particle":"","family":"Timmis","given":"Adam","non-dropping-particle":"","parse-names":false,"suffix":""},{"dropping-particle":"","family":"Hemingway","given":"Harry","non-dropping-particle":"","parse-names":false,"suffix":""},{"dropping-particle":"","family":"Smeeth","given":"Liam","non-dropping-particle":"","parse-names":false,"suffix":""}],"container-title":"BMJ (Online)","id":"ITEM-1","issue":"7869","issued":{"date-parts":[["2012"]]},"note":"486\n\n\nFrom Duplicate 1 (Clopidogrel and interaction with proton pump inhibitors: comparison between cohort and within person study designs. - Douglas, Ian J; Evans, Stephen J W; Hingorani, Aroon D; Grosso, Anthony M; Timmis, Adam; Hemingway, Harry; Smeeth, Liam)\n\nComment in: Evid Based Med. 2013 Jun;18(3):e30; PMID: 23086386, Comment in: BMJ. 2012;345:e4558; PMID: 22782732","page":"e4388","publisher":"BMJ Publishing Group (Tavistock Square, London WC1H 9JR, United Kingdom)","publisher-place":"England","title":"Clopidogrel and interaction with proton pump inhibitors: comparison between cohort and within person study designs.","type":"article-journal","volume":"345"},"uris":["http://www.mendeley.com/documents/?uuid=9d888fb6-d655-4901-8684-806dd57bb688"]}],"mendeley":{"formattedCitation":"(Douglas et al. 2012)","plainTextFormattedCitation":"(Douglas et al. 2012)","previouslyFormattedCitation":"(Douglas et al. 2012)"},"properties":{"noteIndex":0},"schema":"https://github.com/citation-style-language/schema/raw/master/csl-citation.json"}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(Douglas et al. 2012)</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23AD02A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PPIs (general) </w:t>
            </w:r>
            <w:r>
              <w:rPr>
                <w:rFonts w:ascii="Calibri" w:eastAsia="Times New Roman" w:hAnsi="Calibri" w:cs="Times New Roman"/>
                <w:color w:val="000000"/>
                <w:sz w:val="20"/>
                <w:szCs w:val="20"/>
                <w:lang w:eastAsia="en-CA"/>
              </w:rPr>
              <w:br/>
              <w:t>strong PPIs grouped together (omeprazole, esomeprazole, lansoprazole)</w:t>
            </w:r>
          </w:p>
        </w:tc>
        <w:tc>
          <w:tcPr>
            <w:tcW w:w="1418" w:type="dxa"/>
            <w:tcBorders>
              <w:top w:val="nil"/>
              <w:left w:val="nil"/>
              <w:bottom w:val="single" w:sz="4" w:space="0" w:color="808080"/>
              <w:right w:val="nil"/>
            </w:tcBorders>
            <w:vAlign w:val="center"/>
            <w:hideMark/>
          </w:tcPr>
          <w:p w14:paraId="3F4AA43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vAlign w:val="center"/>
            <w:hideMark/>
          </w:tcPr>
          <w:p w14:paraId="2D8AC7F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EMRs. </w:t>
            </w:r>
          </w:p>
        </w:tc>
        <w:tc>
          <w:tcPr>
            <w:tcW w:w="1714" w:type="dxa"/>
            <w:tcBorders>
              <w:top w:val="nil"/>
              <w:left w:val="nil"/>
              <w:bottom w:val="single" w:sz="4" w:space="0" w:color="808080"/>
              <w:right w:val="nil"/>
            </w:tcBorders>
            <w:vAlign w:val="center"/>
            <w:hideMark/>
          </w:tcPr>
          <w:p w14:paraId="40273856" w14:textId="77777777" w:rsidR="00B842AC" w:rsidRPr="001B1380" w:rsidRDefault="00B842AC" w:rsidP="00B842AC">
            <w:pPr>
              <w:spacing w:after="0" w:line="240" w:lineRule="auto"/>
              <w:rPr>
                <w:rFonts w:ascii="Calibri" w:eastAsia="Times New Roman" w:hAnsi="Calibri" w:cs="Times New Roman"/>
                <w:sz w:val="20"/>
                <w:szCs w:val="20"/>
                <w:lang w:eastAsia="en-CA"/>
              </w:rPr>
            </w:pPr>
            <w:r w:rsidRPr="001B1380">
              <w:rPr>
                <w:rFonts w:ascii="Calibri" w:eastAsia="Times New Roman" w:hAnsi="Calibri" w:cs="Times New Roman"/>
                <w:sz w:val="20"/>
                <w:szCs w:val="20"/>
                <w:lang w:eastAsia="en-CA"/>
              </w:rPr>
              <w:t>MI (median 303 days)</w:t>
            </w:r>
            <w:r w:rsidRPr="001B1380">
              <w:rPr>
                <w:rFonts w:ascii="Calibri" w:eastAsia="Times New Roman" w:hAnsi="Calibri" w:cs="Times New Roman"/>
                <w:sz w:val="20"/>
                <w:szCs w:val="20"/>
                <w:lang w:eastAsia="en-CA"/>
              </w:rPr>
              <w:br/>
              <w:t>ACM (median 303 days)</w:t>
            </w:r>
            <w:r w:rsidRPr="001B1380">
              <w:rPr>
                <w:rFonts w:ascii="Calibri" w:eastAsia="Times New Roman" w:hAnsi="Calibri" w:cs="Times New Roman"/>
                <w:sz w:val="20"/>
                <w:szCs w:val="20"/>
                <w:lang w:eastAsia="en-CA"/>
              </w:rPr>
              <w:br/>
              <w:t>CVD mort (median 303 days)</w:t>
            </w:r>
          </w:p>
        </w:tc>
        <w:tc>
          <w:tcPr>
            <w:tcW w:w="2255" w:type="dxa"/>
            <w:tcBorders>
              <w:top w:val="nil"/>
              <w:left w:val="nil"/>
              <w:bottom w:val="single" w:sz="4" w:space="0" w:color="808080"/>
              <w:right w:val="nil"/>
            </w:tcBorders>
            <w:vAlign w:val="center"/>
            <w:hideMark/>
          </w:tcPr>
          <w:p w14:paraId="3BA905A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Office for National Statistics Mortality records (mortality); </w:t>
            </w:r>
            <w:r>
              <w:rPr>
                <w:rFonts w:ascii="Calibri" w:eastAsia="Times New Roman" w:hAnsi="Calibri" w:cs="Times New Roman"/>
                <w:color w:val="000000"/>
                <w:sz w:val="20"/>
                <w:szCs w:val="20"/>
                <w:lang w:eastAsia="en-CA"/>
              </w:rPr>
              <w:br/>
              <w:t>Myocardial Ischemia National Audit Project records (MI);</w:t>
            </w:r>
          </w:p>
        </w:tc>
        <w:tc>
          <w:tcPr>
            <w:tcW w:w="1010" w:type="dxa"/>
            <w:tcBorders>
              <w:top w:val="nil"/>
              <w:left w:val="nil"/>
              <w:bottom w:val="single" w:sz="4" w:space="0" w:color="808080"/>
              <w:right w:val="nil"/>
            </w:tcBorders>
            <w:vAlign w:val="center"/>
            <w:hideMark/>
          </w:tcPr>
          <w:p w14:paraId="5E4A72F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2003-2009</w:t>
            </w:r>
          </w:p>
        </w:tc>
        <w:tc>
          <w:tcPr>
            <w:tcW w:w="1231" w:type="dxa"/>
            <w:tcBorders>
              <w:top w:val="nil"/>
              <w:left w:val="nil"/>
              <w:bottom w:val="single" w:sz="4" w:space="0" w:color="808080"/>
              <w:right w:val="nil"/>
            </w:tcBorders>
            <w:vAlign w:val="center"/>
            <w:hideMark/>
          </w:tcPr>
          <w:p w14:paraId="692865E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555A556C" w14:textId="77777777" w:rsidTr="00B842AC">
        <w:trPr>
          <w:trHeight w:val="364"/>
        </w:trPr>
        <w:tc>
          <w:tcPr>
            <w:tcW w:w="1522" w:type="dxa"/>
            <w:tcBorders>
              <w:top w:val="nil"/>
              <w:left w:val="nil"/>
              <w:bottom w:val="single" w:sz="4" w:space="0" w:color="808080"/>
              <w:right w:val="nil"/>
            </w:tcBorders>
            <w:vAlign w:val="center"/>
            <w:hideMark/>
          </w:tcPr>
          <w:p w14:paraId="2C8CA9D5" w14:textId="4C833F9C"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{"citationItems":[{"id":"ITEM-1","itemData":{"ISSN":"1932-8737","abstract":"BACKGROUND: The purpose of this study was to determine the readmission rate for acute myocardial infarction (AMI) in patients discharged on clopidogrel and a proton-pump inhibitor (PPI) versus patients discharged on clopidogrel alone after experiencing an AMI and undergoing stent placement. Clopidogrel is a prodrug that requires metabolism in the liver by the cytochrome P450 system (CYP450), in particular cytochrome P450 2C19 (CYP2C19).(1) Recent studies have suggested that medications metabolized by CYP450, such as PPIs, influence the effect of clopidogrel on platelet function(2,3) with an increased risk of cardiovascular events.(4,5) PPIs are often administered with clopidogrel due to the increased bleeding risk of dual antiplatelet therapy, a strategy endorsed by existing consensus guidelines.(6), HYPOTHESIS: Treatment with a PPI in combination with clopidogrel would increase the risk of readmission for an AMI after stent placement for AMI., METHODS: We collected data on all patients discharged on clopidogrel after stent placement for an AMI between January 2003 and January 2008. Patients were followed for 1 year after their index hospitalization for readmission for an AMI. Rates of readmission were determined for those discharged on clopidogrel alone versus those discharged on clopidogrel and a PPI., RESULTS: Patients discharged on clopidogrel and a PPI had higher rates of readmission for AMI within 1 year of stent implantation for AMI., CONCLUSIONS: Patients discharged on clopidogrel and a PPI, including esomeprazole and pantoprazole, seem to be at an increased risk of recurrent AMI within 1 year after stent placement for an AMI.Copyright (c) 2010 Wiley Periodicals, Inc.","author":[{"dropping-particle":"","family":"Evanchan","given":"Jason","non-dropping-particle":"","parse-names":false,"suffix":""},{"dropping-particle":"","family":"Donnally","given":"Michael R","non-dropping-particle":"","parse-names":false,"suffix":""},{"dropping-particle":"","family":"Binkley","given":"Philip","non-dropping-particle":"","parse-names":false,"suffix":""},{"dropping-particle":"","family":"Mazzaferri","given":"Ernest","non-dropping-particle":"","parse-names":false,"suffix":""}],"container-title":"Clinical cardiology","id":"ITEM-1","issue":"3","issued":{"date-parts":[["2010"]]},"note":"727","page":"168-171","publisher":"Evanchan,Jason. Division of Cardiovascular Medicine, The Ohio State University Medical Center, Columbus, OH 43210, USA.","publisher-place":"United States","title":"Recurrence of acute myocardial infarction in patients discharged on clopidogrel and a proton pump inhibitor after stent placement for acute myocardial infarction.","type":"article-journal","volume":"33"},"uris":["http://www.mendeley.com/documents/?uuid=097852bf-5647-4dff-b26f-222938fb185f"]}],"mendeley":{"formattedCitation":"(Evanchan et al. 2010)","plainTextFormattedCitation":"(Evanchan et al. 2010)","previouslyFormattedCitation":"(Evanchan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(Evanchan et al. 2010)</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2B5C0EB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05AD877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6D333CF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Discharge records. </w:t>
            </w:r>
          </w:p>
        </w:tc>
        <w:tc>
          <w:tcPr>
            <w:tcW w:w="1714" w:type="dxa"/>
            <w:tcBorders>
              <w:top w:val="nil"/>
              <w:left w:val="nil"/>
              <w:bottom w:val="single" w:sz="4" w:space="0" w:color="808080"/>
              <w:right w:val="nil"/>
            </w:tcBorders>
            <w:vAlign w:val="center"/>
            <w:hideMark/>
          </w:tcPr>
          <w:p w14:paraId="61B6D447" w14:textId="77777777" w:rsidR="00B842AC" w:rsidRPr="001B1380" w:rsidRDefault="00B842AC" w:rsidP="00B842AC">
            <w:pPr>
              <w:spacing w:after="0" w:line="240" w:lineRule="auto"/>
              <w:rPr>
                <w:rFonts w:ascii="Calibri" w:eastAsia="Times New Roman" w:hAnsi="Calibri" w:cs="Times New Roman"/>
                <w:sz w:val="20"/>
                <w:szCs w:val="20"/>
                <w:lang w:eastAsia="en-CA"/>
              </w:rPr>
            </w:pPr>
            <w:r w:rsidRPr="001B1380">
              <w:rPr>
                <w:rFonts w:ascii="Calibri" w:eastAsia="Times New Roman" w:hAnsi="Calibri" w:cs="Times New Roman"/>
                <w:sz w:val="20"/>
                <w:szCs w:val="20"/>
                <w:lang w:eastAsia="en-CA"/>
              </w:rPr>
              <w:t>MI (1 year)</w:t>
            </w:r>
          </w:p>
        </w:tc>
        <w:tc>
          <w:tcPr>
            <w:tcW w:w="2255" w:type="dxa"/>
            <w:tcBorders>
              <w:top w:val="nil"/>
              <w:left w:val="nil"/>
              <w:bottom w:val="single" w:sz="4" w:space="0" w:color="808080"/>
              <w:right w:val="nil"/>
            </w:tcBorders>
            <w:vAlign w:val="center"/>
            <w:hideMark/>
          </w:tcPr>
          <w:p w14:paraId="3DFA8E1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Chart review </w:t>
            </w:r>
          </w:p>
        </w:tc>
        <w:tc>
          <w:tcPr>
            <w:tcW w:w="1010" w:type="dxa"/>
            <w:tcBorders>
              <w:top w:val="nil"/>
              <w:left w:val="nil"/>
              <w:bottom w:val="single" w:sz="4" w:space="0" w:color="808080"/>
              <w:right w:val="nil"/>
            </w:tcBorders>
            <w:vAlign w:val="center"/>
            <w:hideMark/>
          </w:tcPr>
          <w:p w14:paraId="5029200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2003-2008</w:t>
            </w:r>
          </w:p>
        </w:tc>
        <w:tc>
          <w:tcPr>
            <w:tcW w:w="1231" w:type="dxa"/>
            <w:tcBorders>
              <w:top w:val="nil"/>
              <w:left w:val="nil"/>
              <w:bottom w:val="single" w:sz="4" w:space="0" w:color="808080"/>
              <w:right w:val="nil"/>
            </w:tcBorders>
            <w:vAlign w:val="center"/>
            <w:hideMark/>
          </w:tcPr>
          <w:p w14:paraId="54BF98E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None</w:t>
            </w:r>
          </w:p>
        </w:tc>
      </w:tr>
      <w:tr w:rsidR="00B842AC" w14:paraId="53F583C9" w14:textId="77777777" w:rsidTr="00B842AC">
        <w:trPr>
          <w:trHeight w:val="1293"/>
        </w:trPr>
        <w:tc>
          <w:tcPr>
            <w:tcW w:w="1522" w:type="dxa"/>
            <w:tcBorders>
              <w:top w:val="nil"/>
              <w:left w:val="nil"/>
              <w:bottom w:val="single" w:sz="4" w:space="0" w:color="808080"/>
              <w:right w:val="nil"/>
            </w:tcBorders>
            <w:vAlign w:val="center"/>
            <w:hideMark/>
          </w:tcPr>
          <w:p w14:paraId="058BF936" w14:textId="04A4FC1D"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{"citationItems":[{"id":"ITEM-1","itemData":{"DOI":"10.1016/j.amjcard.2009.10.063","ISSN":"0002-9149","author":[{"dropping-particle":"","family":"Gaglia","given":"Michael A","non-dropping-particle":"","parse-names":false,"suffix":""},{"dropping-particle":"","family":"Torguson","given":"Rebecca","non-dropping-particle":"","parse-names":false,"suffix":""},{"dropping-particle":"","family":"Hanna","given":"Nicholas","non-dropping-particle":"","parse-names":false,"suffix":""},{"dropping-particle":"","family":"Gonzalez","given":"Manuel A","non-dropping-particle":"","parse-names":false,"suffix":""},{"dropping-particle":"","family":"Collins","given":"Sara D","non-dropping-particle":"","parse-names":false,"suffix":""},{"dropping-particle":"","family":"Syed","given":"Asmir I","non-dropping-particle":"","parse-names":false,"suffix":""},{"dropping-particle":"","family":"Ben-dor","given":"Itsik","non-dropping-particle":"","parse-names":false,"suffix":""},{"dropping-particle":"","family":"Maluenda","given":"Gabriel","non-dropping-particle":"","parse-names":false,"suffix":""},{"dropping-particle":"","family":"Delhaye","given":"Cedric","non-dropping-particle":"","parse-names":false,"suffix":""},{"dropping-particle":"","family":"Wakabayashi","given":"Kohei","non-dropping-particle":"","parse-names":false,"suffix":""},{"dropping-particle":"","family":"Xue","given":"Zhenyi","non-dropping-particle":"","parse-names":false,"suffix":""},{"dropping-particle":"","family":"Suddath","given":"William O","non-dropping-particle":"","parse-names":false,"suffix":""},{"dropping-particle":"","family":"Kent","given":"Kenneth M","non-dropping-particle":"","parse-names":false,"suffix":""},{"dropping-particle":"","family":"Satler","given":"Lowell F","non-dropping-particle":"","parse-names":false,"suffix":""},{"dropping-particle":"","family":"Pichard","given":"Augusto D","non-dropping-particle":"","parse-names":false,"suffix":""},{"dropping-particle":"","family":"Waksman","given":"Ron","non-dropping-particle":"","parse-names":false,"suffix":""}],"container-title":"American Journal of Cardiology","id":"ITEM-1","issue":"6","issued":{"date-parts":[["2010"]]},"note":"NULL","page":"833-838","publisher":"Elsevier Inc.","title":"Relation of Proton Pump Inhibitor Use After Percutaneous Coronary Intervention With Drug-Eluting Stents to Outcomes","type":"article-journal","volume":"105"},"uris":["http://www.mendeley.com/documents/?uuid=fcf06f02-259d-4b2d-8481-c0da88c9f28f"]}],"mendeley":{"formattedCitation":"(Gaglia et al. 2010)","plainTextFormattedCitation":"(Gaglia et al. 2010)","previouslyFormattedCitation":"(Gaglia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(Gaglia et al. 2010)</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65E4527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(general)</w:t>
            </w:r>
            <w:r>
              <w:rPr>
                <w:rFonts w:ascii="Calibri" w:eastAsia="Times New Roman" w:hAnsi="Calibri" w:cs="Times New Roman"/>
                <w:color w:val="000000"/>
                <w:sz w:val="20"/>
                <w:szCs w:val="20"/>
                <w:lang w:eastAsia="en-CA"/>
              </w:rPr>
              <w:br/>
              <w:t>Omeprazole</w:t>
            </w:r>
            <w:r>
              <w:rPr>
                <w:rFonts w:ascii="Calibri" w:eastAsia="Times New Roman" w:hAnsi="Calibri" w:cs="Times New Roman"/>
                <w:color w:val="000000"/>
                <w:sz w:val="20"/>
                <w:szCs w:val="20"/>
                <w:lang w:eastAsia="en-CA"/>
              </w:rPr>
              <w:br/>
              <w:t>Lansoprazole</w:t>
            </w:r>
            <w:r>
              <w:rPr>
                <w:rFonts w:ascii="Calibri" w:eastAsia="Times New Roman" w:hAnsi="Calibri" w:cs="Times New Roman"/>
                <w:color w:val="000000"/>
                <w:sz w:val="20"/>
                <w:szCs w:val="20"/>
                <w:lang w:eastAsia="en-CA"/>
              </w:rPr>
              <w:br/>
              <w:t>Esomeprazole</w:t>
            </w:r>
            <w:r>
              <w:rPr>
                <w:rFonts w:ascii="Calibri" w:eastAsia="Times New Roman" w:hAnsi="Calibri" w:cs="Times New Roman"/>
                <w:color w:val="000000"/>
                <w:sz w:val="20"/>
                <w:szCs w:val="20"/>
                <w:lang w:eastAsia="en-CA"/>
              </w:rPr>
              <w:br/>
              <w:t>Pantoprazole</w:t>
            </w:r>
            <w:r>
              <w:rPr>
                <w:rFonts w:ascii="Calibri" w:eastAsia="Times New Roman" w:hAnsi="Calibri" w:cs="Times New Roman"/>
                <w:color w:val="000000"/>
                <w:sz w:val="20"/>
                <w:szCs w:val="20"/>
                <w:lang w:eastAsia="en-CA"/>
              </w:rPr>
              <w:br/>
              <w:t>Rabeprazole</w:t>
            </w:r>
          </w:p>
        </w:tc>
        <w:tc>
          <w:tcPr>
            <w:tcW w:w="1418" w:type="dxa"/>
            <w:tcBorders>
              <w:top w:val="nil"/>
              <w:left w:val="nil"/>
              <w:bottom w:val="single" w:sz="4" w:space="0" w:color="808080"/>
              <w:right w:val="nil"/>
            </w:tcBorders>
            <w:vAlign w:val="center"/>
            <w:hideMark/>
          </w:tcPr>
          <w:p w14:paraId="033BEAB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vAlign w:val="center"/>
            <w:hideMark/>
          </w:tcPr>
          <w:p w14:paraId="2CA7EEE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Hospital charts</w:t>
            </w:r>
          </w:p>
        </w:tc>
        <w:tc>
          <w:tcPr>
            <w:tcW w:w="1714" w:type="dxa"/>
            <w:tcBorders>
              <w:top w:val="nil"/>
              <w:left w:val="nil"/>
              <w:bottom w:val="single" w:sz="4" w:space="0" w:color="808080"/>
              <w:right w:val="nil"/>
            </w:tcBorders>
            <w:vAlign w:val="center"/>
            <w:hideMark/>
          </w:tcPr>
          <w:p w14:paraId="4185FDC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(in-hospital, 1 year)</w:t>
            </w:r>
            <w:r>
              <w:rPr>
                <w:rFonts w:ascii="Calibri" w:eastAsia="Times New Roman" w:hAnsi="Calibri" w:cs="Times New Roman"/>
                <w:color w:val="000000"/>
                <w:sz w:val="20"/>
                <w:szCs w:val="20"/>
                <w:lang w:eastAsia="en-CA"/>
              </w:rPr>
              <w:br/>
              <w:t>ACM (1 month, 1 year)</w:t>
            </w:r>
          </w:p>
        </w:tc>
        <w:tc>
          <w:tcPr>
            <w:tcW w:w="2255" w:type="dxa"/>
            <w:tcBorders>
              <w:top w:val="nil"/>
              <w:left w:val="nil"/>
              <w:bottom w:val="single" w:sz="4" w:space="0" w:color="808080"/>
              <w:right w:val="nil"/>
            </w:tcBorders>
            <w:vAlign w:val="center"/>
            <w:hideMark/>
          </w:tcPr>
          <w:p w14:paraId="4C647EB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Phone or in person interview. Events adjudicated by independent committee;</w:t>
            </w:r>
          </w:p>
        </w:tc>
        <w:tc>
          <w:tcPr>
            <w:tcW w:w="1010" w:type="dxa"/>
            <w:tcBorders>
              <w:top w:val="nil"/>
              <w:left w:val="nil"/>
              <w:bottom w:val="single" w:sz="4" w:space="0" w:color="808080"/>
              <w:right w:val="nil"/>
            </w:tcBorders>
            <w:vAlign w:val="center"/>
            <w:hideMark/>
          </w:tcPr>
          <w:p w14:paraId="465D6B9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2003-2007</w:t>
            </w:r>
          </w:p>
        </w:tc>
        <w:tc>
          <w:tcPr>
            <w:tcW w:w="1231" w:type="dxa"/>
            <w:tcBorders>
              <w:top w:val="nil"/>
              <w:left w:val="nil"/>
              <w:bottom w:val="single" w:sz="4" w:space="0" w:color="808080"/>
              <w:right w:val="nil"/>
            </w:tcBorders>
            <w:vAlign w:val="center"/>
            <w:hideMark/>
          </w:tcPr>
          <w:p w14:paraId="08F5ACD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692F7008" w14:textId="77777777" w:rsidTr="00B842AC">
        <w:trPr>
          <w:trHeight w:val="521"/>
        </w:trPr>
        <w:tc>
          <w:tcPr>
            <w:tcW w:w="1522" w:type="dxa"/>
            <w:tcBorders>
              <w:top w:val="nil"/>
              <w:left w:val="nil"/>
              <w:bottom w:val="single" w:sz="4" w:space="0" w:color="808080"/>
              <w:right w:val="nil"/>
            </w:tcBorders>
            <w:vAlign w:val="center"/>
            <w:hideMark/>
          </w:tcPr>
          <w:p w14:paraId="0CCD8645" w14:textId="0907F574"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{"citationItems":[{"id":"ITEM-1","itemData":{"ISBN":"1130-6343","ISSN":"0214-753X","abstract":"OBJECTIVES: Check the progress of hospitalization and death of the patients that use clopidogrel associated with omeprazole and the patients that do not., METHODS: A retrospective cohort was conducted between January 2007 and November 2009 to evaluate patients that were using clopidogrel in association or not with omeprazole., RESULTS: The study included 2823 patients. Of these patients, 36% were female and 64% were male, the mean age was 63 years. Regarding the association of drugs for gastric protection, omeprazole was prescribed to 45%, ranitidine for 9%, while 46% of patients were not receiving gastroprotective medication. As for the analysis by groups, 35.5% of the omeprazole group was hospitalized after starting treatment with clopidogrel, compared with 25.7% in the group without omeprazole. In evaluating the deaths among patients using clopidogrel in the study period, we found the occurrence of 36 deaths, 22 in the omeprazole group and 14 in the other group., CONCLUSIONS: In our study, we did not evaluate the clinical status of the patients and the rates of reinfarction. And, as our study data showed, there are not any statistically differences between the groups that used clopidogrel associated with omeprazole, with ranitidine or that did not use any gastroprotective medication.Copyright © 2011 SEFH. Published by Elsevier Espana. All rights reserved.","author":[{"dropping-particle":"","family":"Galante","given":"CM","non-dropping-particle":"","parse-names":false,"suffix":""},{"dropping-particle":"","family":"Santos","given":"VG","non-dropping-particle":"","parse-names":false,"suffix":""},{"dropping-particle":"","family":"Cunha","given":"GBW","non-dropping-particle":"da","parse-names":false,"suffix":""}],"container-title":"Farmacia hospitalaria : organo oficial de expresion cientifica de la Sociedad Espanola de Farmacia Hospitalaria","id":"ITEM-1","issue":"4","issued":{"date-parts":[["2012"]]},"note":"505","page":"216-219","publisher":"Cappelletti Galante,M. Pharmacy Service-Heart Institute (InCor) do Hospital das Clinicas da Faculdade de Medicina da Universidade de Sao Paulo, Sao Paulo, SP, Brazil. mariana.galante@incor.usp.br","publisher-place":"Spain","title":"Assessment of the use of clopidogrel associated with gastroprotective medications in outpatients.","type":"article-journal","volume":"36"},"uris":["http://www.mendeley.com/documents/?uuid=89541c62-edcf-4193-b2f4-e13aaa9adea0"]}],"mendeley":{"formattedCitation":"(Galante et al. 2012)","plainTextFormattedCitation":"(Galante et al. 2012)","previouslyFormattedCitation":"(Galante et al. 2012)"},"properties":{"noteIndex":0},"schema":"https://github.com/citation-style-language/schema/raw/master/csl-citation.json"}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(Galante et al. 2012)</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43A4CD2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1418" w:type="dxa"/>
            <w:tcBorders>
              <w:top w:val="nil"/>
              <w:left w:val="nil"/>
              <w:bottom w:val="single" w:sz="4" w:space="0" w:color="808080"/>
              <w:right w:val="nil"/>
            </w:tcBorders>
            <w:vAlign w:val="center"/>
            <w:hideMark/>
          </w:tcPr>
          <w:p w14:paraId="245EFA9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Some patients</w:t>
            </w:r>
          </w:p>
        </w:tc>
        <w:tc>
          <w:tcPr>
            <w:tcW w:w="2268" w:type="dxa"/>
            <w:tcBorders>
              <w:top w:val="nil"/>
              <w:left w:val="nil"/>
              <w:bottom w:val="single" w:sz="4" w:space="0" w:color="808080"/>
              <w:right w:val="nil"/>
            </w:tcBorders>
            <w:vAlign w:val="center"/>
            <w:hideMark/>
          </w:tcPr>
          <w:p w14:paraId="6AC0D0F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Hospital records</w:t>
            </w:r>
          </w:p>
        </w:tc>
        <w:tc>
          <w:tcPr>
            <w:tcW w:w="1714" w:type="dxa"/>
            <w:tcBorders>
              <w:top w:val="nil"/>
              <w:left w:val="nil"/>
              <w:bottom w:val="single" w:sz="4" w:space="0" w:color="808080"/>
              <w:right w:val="nil"/>
            </w:tcBorders>
            <w:vAlign w:val="center"/>
            <w:hideMark/>
          </w:tcPr>
          <w:p w14:paraId="021C961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(not reported)</w:t>
            </w:r>
          </w:p>
        </w:tc>
        <w:tc>
          <w:tcPr>
            <w:tcW w:w="2255" w:type="dxa"/>
            <w:tcBorders>
              <w:top w:val="nil"/>
              <w:left w:val="nil"/>
              <w:bottom w:val="single" w:sz="4" w:space="0" w:color="808080"/>
              <w:right w:val="nil"/>
            </w:tcBorders>
            <w:vAlign w:val="center"/>
            <w:hideMark/>
          </w:tcPr>
          <w:p w14:paraId="1DB63FA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clear</w:t>
            </w:r>
          </w:p>
        </w:tc>
        <w:tc>
          <w:tcPr>
            <w:tcW w:w="1010" w:type="dxa"/>
            <w:tcBorders>
              <w:top w:val="nil"/>
              <w:left w:val="nil"/>
              <w:bottom w:val="single" w:sz="4" w:space="0" w:color="808080"/>
              <w:right w:val="nil"/>
            </w:tcBorders>
            <w:vAlign w:val="center"/>
            <w:hideMark/>
          </w:tcPr>
          <w:p w14:paraId="73B4C0F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2007-2009</w:t>
            </w:r>
          </w:p>
        </w:tc>
        <w:tc>
          <w:tcPr>
            <w:tcW w:w="1231" w:type="dxa"/>
            <w:tcBorders>
              <w:top w:val="nil"/>
              <w:left w:val="nil"/>
              <w:bottom w:val="single" w:sz="4" w:space="0" w:color="808080"/>
              <w:right w:val="nil"/>
            </w:tcBorders>
            <w:vAlign w:val="center"/>
            <w:hideMark/>
          </w:tcPr>
          <w:p w14:paraId="785B7F4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E5015F" w:rsidRPr="00E5015F" w14:paraId="2076159A" w14:textId="77777777" w:rsidTr="002F0260">
        <w:trPr>
          <w:trHeight w:val="557"/>
        </w:trPr>
        <w:tc>
          <w:tcPr>
            <w:tcW w:w="1522" w:type="dxa"/>
            <w:tcBorders>
              <w:top w:val="nil"/>
              <w:left w:val="nil"/>
              <w:bottom w:val="single" w:sz="4" w:space="0" w:color="808080"/>
              <w:right w:val="nil"/>
            </w:tcBorders>
            <w:shd w:val="clear" w:color="auto" w:fill="auto"/>
            <w:vAlign w:val="center"/>
          </w:tcPr>
          <w:p w14:paraId="58D11D01" w14:textId="424A0924"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(Gargiulo et al 2016)</w:t>
            </w:r>
          </w:p>
        </w:tc>
        <w:tc>
          <w:tcPr>
            <w:tcW w:w="1842" w:type="dxa"/>
            <w:tcBorders>
              <w:top w:val="nil"/>
              <w:left w:val="nil"/>
              <w:bottom w:val="single" w:sz="4" w:space="0" w:color="808080"/>
              <w:right w:val="nil"/>
            </w:tcBorders>
            <w:shd w:val="clear" w:color="auto" w:fill="auto"/>
            <w:vAlign w:val="center"/>
          </w:tcPr>
          <w:p w14:paraId="69529856" w14:textId="2D4D893D"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PPIs (general)</w:t>
            </w:r>
          </w:p>
        </w:tc>
        <w:tc>
          <w:tcPr>
            <w:tcW w:w="1418" w:type="dxa"/>
            <w:tcBorders>
              <w:top w:val="nil"/>
              <w:left w:val="nil"/>
              <w:bottom w:val="single" w:sz="4" w:space="0" w:color="808080"/>
              <w:right w:val="nil"/>
            </w:tcBorders>
            <w:shd w:val="clear" w:color="auto" w:fill="auto"/>
            <w:vAlign w:val="center"/>
          </w:tcPr>
          <w:p w14:paraId="20AB0771" w14:textId="172675F1"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shd w:val="clear" w:color="auto" w:fill="auto"/>
            <w:vAlign w:val="center"/>
          </w:tcPr>
          <w:p w14:paraId="5C49389D" w14:textId="2D564AF5"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Interview (baseline and follow-up)</w:t>
            </w:r>
          </w:p>
        </w:tc>
        <w:tc>
          <w:tcPr>
            <w:tcW w:w="1714" w:type="dxa"/>
            <w:tcBorders>
              <w:top w:val="nil"/>
              <w:left w:val="nil"/>
              <w:bottom w:val="single" w:sz="4" w:space="0" w:color="808080"/>
              <w:right w:val="nil"/>
            </w:tcBorders>
            <w:shd w:val="clear" w:color="auto" w:fill="auto"/>
            <w:vAlign w:val="center"/>
          </w:tcPr>
          <w:p w14:paraId="000DD294" w14:textId="62865E50"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ACM (2 years);</w:t>
            </w:r>
            <w:r w:rsidRPr="00E5015F">
              <w:rPr>
                <w:rFonts w:ascii="Calibri" w:hAnsi="Calibri" w:cs="Calibri"/>
                <w:color w:val="000000"/>
                <w:sz w:val="20"/>
                <w:szCs w:val="20"/>
              </w:rPr>
              <w:br/>
              <w:t>MI (2 years);</w:t>
            </w:r>
            <w:r w:rsidRPr="00E5015F">
              <w:rPr>
                <w:rFonts w:ascii="Calibri" w:hAnsi="Calibri" w:cs="Calibri"/>
                <w:color w:val="000000"/>
                <w:sz w:val="20"/>
                <w:szCs w:val="20"/>
              </w:rPr>
              <w:br/>
              <w:t>Cardiovascular mortality (2 years);</w:t>
            </w:r>
          </w:p>
        </w:tc>
        <w:tc>
          <w:tcPr>
            <w:tcW w:w="2255" w:type="dxa"/>
            <w:tcBorders>
              <w:top w:val="nil"/>
              <w:left w:val="nil"/>
              <w:bottom w:val="single" w:sz="4" w:space="0" w:color="808080"/>
              <w:right w:val="nil"/>
            </w:tcBorders>
            <w:shd w:val="clear" w:color="auto" w:fill="auto"/>
            <w:vAlign w:val="center"/>
          </w:tcPr>
          <w:p w14:paraId="2D542EB1" w14:textId="57DCFD93"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Hospital records and adjudication by committee</w:t>
            </w:r>
          </w:p>
        </w:tc>
        <w:tc>
          <w:tcPr>
            <w:tcW w:w="1010" w:type="dxa"/>
            <w:tcBorders>
              <w:top w:val="nil"/>
              <w:left w:val="nil"/>
              <w:bottom w:val="single" w:sz="4" w:space="0" w:color="808080"/>
              <w:right w:val="nil"/>
            </w:tcBorders>
            <w:shd w:val="clear" w:color="auto" w:fill="auto"/>
            <w:vAlign w:val="center"/>
          </w:tcPr>
          <w:p w14:paraId="118FF540" w14:textId="53F8DA6D"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NR</w:t>
            </w:r>
          </w:p>
        </w:tc>
        <w:tc>
          <w:tcPr>
            <w:tcW w:w="1231" w:type="dxa"/>
            <w:tcBorders>
              <w:top w:val="nil"/>
              <w:left w:val="nil"/>
              <w:bottom w:val="single" w:sz="4" w:space="0" w:color="808080"/>
              <w:right w:val="nil"/>
            </w:tcBorders>
            <w:shd w:val="clear" w:color="auto" w:fill="auto"/>
            <w:vAlign w:val="center"/>
          </w:tcPr>
          <w:p w14:paraId="5AC05B29" w14:textId="0CE06244"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 xml:space="preserve">None. </w:t>
            </w:r>
          </w:p>
        </w:tc>
      </w:tr>
      <w:tr w:rsidR="00B842AC" w14:paraId="7CAB9D61" w14:textId="77777777" w:rsidTr="00B842AC">
        <w:trPr>
          <w:trHeight w:val="557"/>
        </w:trPr>
        <w:tc>
          <w:tcPr>
            <w:tcW w:w="1522" w:type="dxa"/>
            <w:tcBorders>
              <w:top w:val="nil"/>
              <w:left w:val="nil"/>
              <w:bottom w:val="single" w:sz="4" w:space="0" w:color="808080"/>
              <w:right w:val="nil"/>
            </w:tcBorders>
            <w:vAlign w:val="center"/>
            <w:hideMark/>
          </w:tcPr>
          <w:p w14:paraId="5BE9D29F" w14:textId="5E8E16AC"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author":[{"dropping-particle":"","family":"Gaspar","given":"A","non-dropping-particle":"","parse-names":false,"suffix":""},{"dropping-particle":"","family":"Ribeiro","given":"S","non-dropping-particle":"","parse-names":false,"suffix":""},{"dropping-particle":"","family":"Nabais","given":"S","non-dropping-particle":"","parse-names":false,"suffix":""},{"dropping-particle":"","family":"Rocha","given":"","non-dropping-particle":"","parse-names":false,"suffix":""},{"dropping-particle":"","family":"Azevedo","given":"P","non-dropping-particle":"","parse-names":false,"suffix":""},{"dropping-particle":"","family":"Pereira","given":"MA","non-dropping-particle":"","parse-names":false,"suffix":""},{"dropping-particle":"","family":"Brandao","given":"A","non-dropping-particle":"","parse-names":false,"suffix":""},{"dropping-particle":"","family":"Salgado","given":"A","non-dropping-particle":"","parse-names":false,"suffix":""},{"dropping-particle":"","family":"Correia","given":"A","non-dropping-particle":"","parse-names":false,"suffix":""}],"container-title":"Rev Port Cardiol","id":"ITEM-1","issue":"10","issued":{"date-parts":[["2010"]]},"note":"NULL","page":"1511-1520","title":"Proton pump inhibitors in patients treated with aspirin and clopidogrel after acute coronary syndrome [ 105 ]","type":"article-journal","volume":"29"},"uris":["http://www.mendeley.com/documents/?uuid=9da3f639-d1d6-4f07-b5d9-f6df5476624b"]}],"mendeley":{"formattedCitation":"(Gaspar et al. 2010)","plainTextFormattedCitation":"(Gaspar et al. 2010)","previouslyFormattedCitation":"(Gaspar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(Gaspar et al. 2010)</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3442174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(general)</w:t>
            </w:r>
            <w:r>
              <w:rPr>
                <w:rFonts w:ascii="Calibri" w:eastAsia="Times New Roman" w:hAnsi="Calibri" w:cs="Times New Roman"/>
                <w:color w:val="000000"/>
                <w:sz w:val="20"/>
                <w:szCs w:val="20"/>
                <w:lang w:eastAsia="en-CA"/>
              </w:rPr>
              <w:br/>
              <w:t>(excluding those on pantoprazole</w:t>
            </w:r>
          </w:p>
        </w:tc>
        <w:tc>
          <w:tcPr>
            <w:tcW w:w="1418" w:type="dxa"/>
            <w:tcBorders>
              <w:top w:val="nil"/>
              <w:left w:val="nil"/>
              <w:bottom w:val="single" w:sz="4" w:space="0" w:color="808080"/>
              <w:right w:val="nil"/>
            </w:tcBorders>
            <w:vAlign w:val="center"/>
            <w:hideMark/>
          </w:tcPr>
          <w:p w14:paraId="668489E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vAlign w:val="center"/>
            <w:hideMark/>
          </w:tcPr>
          <w:p w14:paraId="05AB9E8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Clinical records</w:t>
            </w:r>
          </w:p>
        </w:tc>
        <w:tc>
          <w:tcPr>
            <w:tcW w:w="1714" w:type="dxa"/>
            <w:tcBorders>
              <w:top w:val="nil"/>
              <w:left w:val="nil"/>
              <w:bottom w:val="single" w:sz="4" w:space="0" w:color="808080"/>
              <w:right w:val="nil"/>
            </w:tcBorders>
            <w:vAlign w:val="center"/>
            <w:hideMark/>
          </w:tcPr>
          <w:p w14:paraId="23EDE76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(6 months)</w:t>
            </w:r>
          </w:p>
        </w:tc>
        <w:tc>
          <w:tcPr>
            <w:tcW w:w="2255" w:type="dxa"/>
            <w:tcBorders>
              <w:top w:val="nil"/>
              <w:left w:val="nil"/>
              <w:bottom w:val="single" w:sz="4" w:space="0" w:color="808080"/>
              <w:right w:val="nil"/>
            </w:tcBorders>
            <w:vAlign w:val="center"/>
            <w:hideMark/>
          </w:tcPr>
          <w:p w14:paraId="78D2468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By phone interviews and hospital record review.  </w:t>
            </w:r>
          </w:p>
        </w:tc>
        <w:tc>
          <w:tcPr>
            <w:tcW w:w="1010" w:type="dxa"/>
            <w:tcBorders>
              <w:top w:val="nil"/>
              <w:left w:val="nil"/>
              <w:bottom w:val="single" w:sz="4" w:space="0" w:color="808080"/>
              <w:right w:val="nil"/>
            </w:tcBorders>
            <w:vAlign w:val="center"/>
            <w:hideMark/>
          </w:tcPr>
          <w:p w14:paraId="35E7D40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2004-2008</w:t>
            </w:r>
          </w:p>
        </w:tc>
        <w:tc>
          <w:tcPr>
            <w:tcW w:w="1231" w:type="dxa"/>
            <w:tcBorders>
              <w:top w:val="nil"/>
              <w:left w:val="nil"/>
              <w:bottom w:val="single" w:sz="4" w:space="0" w:color="808080"/>
              <w:right w:val="nil"/>
            </w:tcBorders>
            <w:vAlign w:val="center"/>
            <w:hideMark/>
          </w:tcPr>
          <w:p w14:paraId="19BCD7B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29DEB13B" w14:textId="77777777" w:rsidTr="00B842AC">
        <w:trPr>
          <w:trHeight w:val="1375"/>
        </w:trPr>
        <w:tc>
          <w:tcPr>
            <w:tcW w:w="1522" w:type="dxa"/>
            <w:tcBorders>
              <w:top w:val="nil"/>
              <w:left w:val="nil"/>
              <w:bottom w:val="single" w:sz="4" w:space="0" w:color="808080"/>
              <w:right w:val="nil"/>
            </w:tcBorders>
            <w:vAlign w:val="center"/>
            <w:hideMark/>
          </w:tcPr>
          <w:p w14:paraId="5EC18AA6" w14:textId="7779F450"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{"citationItems":[{"id":"ITEM-1","itemData":{"ISBN":"0009-7322","ISSN":"1524-4539","abstract":"BACKGROUND: The clinical significance of the interaction between clopidogrel and proton pump inhibitors (PPIs) remains unclear., METHODS AND RESULTS: We examined the relationship between PPI use and 1-year cardiovascular events (cardiovascular death, myocardial infarction, or stroke) in patients with acute coronary syndrome randomized to clopidogrel or ticagrelor in a prespecified, nonrandomized subgroup analysis of the Platelet Inhibition and Patient Outcomes (PLATO) trial. The primary end point rates were higher for individuals on a PPI (n=6539) compared with those not on a PPI (n=12 060) at randomization in both the clopidogrel (13.0% versus 10.9%; adjusted hazard ratio [HR], 1.20; 95% confidence interval [CI], 1.04-1.38) and ticagrelor (11.0% versus 9.2%; HR, 1.24; 95% CI, 1.07-1.45) groups. Patients on non-PPI gastrointestinal drugs had similar primary end point rates compared with those on a PPI (PPI versus non-PPI gastrointestinal treatment: clopidogrel, HR, 0.98; 95% CI, 0.79-1.23; ticagrelor, HR, 0.89; 95% CI, 0.73-1.10). In contrast, patients on no gastric therapy had a significantly lower primary end point rate (PPI versus no gastrointestinal treatment: clopidogrel, HR, 1.29; 95% CI, 1.12-1.49; ticagrelor, HR, 1.30; 95% CI, 1.14-1.49)., CONCLUSIONS: The use of a PPI was independently associated with a higher rate of cardiovascular events in patients with acute coronary syndrome receiving clopidogrel. However, a similar association was observed between cardiovascular events and PPI use during ticagrelor treatment and with other non-PPI gastrointestinal treatment. Therefore, in the PLATO trial, the association between PPI use and adverse events may be due to confounding, with PPI use more of a marker for, than a cause of, higher rates of cardiovascular events., CLINICAL TRIAL REGISTRATION: http://www.clinicaltrials.gov. Unique identifier: NCT00391872.","author":[{"dropping-particle":"","family":"Goodman","given":"Shaun G","non-dropping-particle":"","parse-names":false,"suffix":""},{"dropping-particle":"","family":"Clare","given":"Robert","non-dropping-particle":"","parse-names":false,"suffix":""},{"dropping-particle":"","family":"Pieper","given":"Karen S","non-dropping-particle":"","parse-names":false,"suffix":""},{"dropping-particle":"","family":"Nicolau","given":"Jose C","non-dropping-particle":"","parse-names":false,"suffix":""},{"dropping-particle":"","family":"Storey","given":"Robert F","non-dropping-particle":"","parse-names":false,"suffix":""},{"dropping-particle":"","family":"Cantor","given":"Warren J","non-dropping-particle":"","parse-names":false,"suffix":""},{"dropping-particle":"","family":"Mahaffey","given":"Kenneth W","non-dropping-particle":"","parse-names":false,"suffix":""},{"dropping-particle":"","family":"Angiolillo","given":"Dominick J","non-dropping-particle":"","parse-names":false,"suffix":""},{"dropping-particle":"","family":"Husted","given":"Steen","non-dropping-particle":"","parse-names":false,"suffix":""},{"dropping-particle":"","family":"Cannon","given":"Christopher P","non-dropping-particle":"","parse-names":false,"suffix":""},{"dropping-particle":"","family":"James","given":"Stefan K","non-dropping-particle":"","parse-names":false,"suffix":""},{"dropping-particle":"","family":"Kilhamn","given":"Jan","non-dropping-particle":"","parse-names":false,"suffix":""},{"dropping-particle":"","family":"Steg","given":"P Gabriel","non-dropping-particle":"","parse-names":false,"suffix":""},{"dropping-particle":"","family":"Harrington","given":"Robert A","non-dropping-particle":"","parse-names":false,"suffix":""},{"dropping-particle":"","family":"Wallentin","given":"Lars","non-dropping-particle":"","parse-names":false,"suffix":""}],"container-title":"Circulation","id":"ITEM-1","issue":"8","issued":{"date-parts":[["2012"]]},"note":"471\n\nFrom Duplicate 1 (Association of proton pump inhibitor use on cardiovascular outcomes with clopidogrel and ticagrelor: insights from the platelet inhibition and patient outcomes trial. - Goodman, Shaun G; Clare, Robert; Pieper, Karen S; Nicolau, Jose C; Storey, Robert F; Cantor, Warren J; Mahaffey, Kenneth W; Angiolillo, Dominick J; Husted, Steen; Cannon, Christopher P; James, Stefan K; Kilhamn, Jan; Steg, P Gabriel; Harrington, Robert A; Wallentin, Lars; Investigators, Platelet Inhibition and Patient Outcomes Trial)\n\nComment in: Circulation. 2012 Sep 11;126(11):e170; author reply e171-2; PMID: 22965784","page":"978-986","publisher":"Goodman,Shaun G. MSc, Division of Cardiology, St. Michael's Hospital, 30 Bond St, Room 6-034, Queen, Toronto, Ontario, Canada M5B 1W8. goodmans@chrc.net","publisher-place":"United States","title":"Association of proton pump inhibitor use on cardiovascular outcomes with clopidogrel and ticagrelor: insights from the platelet inhibition and patient outcomes trial.","type":"article-journal","volume":"125"},"uris":["http://www.mendeley.com/documents/?uuid=be410982-3fcc-42e5-a1c3-ce2959b51931"]}],"mendeley":{"formattedCitation":"(Goodman et al. 2012)","plainTextFormattedCitation":"(Goodman et al. 2012)","previouslyFormattedCitation":"(Goodman et al. 2012)"},"properties":{"noteIndex":0},"schema":"https://github.com/citation-style-language/schema/raw/master/csl-citation.json"}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(Goodman et al. 2012)</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41F0D83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4FA4CFD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00C6349D" w14:textId="77777777" w:rsidR="00B842AC" w:rsidRDefault="00B842AC" w:rsidP="00B842AC">
            <w:pPr>
              <w:spacing w:after="0" w:line="240" w:lineRule="auto"/>
              <w:rPr>
                <w:rFonts w:ascii="Calibri" w:eastAsia="Times New Roman" w:hAnsi="Calibri" w:cs="Times New Roman"/>
                <w:color w:val="000000"/>
                <w:sz w:val="20"/>
                <w:szCs w:val="20"/>
                <w:lang w:eastAsia="en-CA"/>
              </w:rPr>
            </w:pPr>
          </w:p>
          <w:p w14:paraId="4EDD25C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Self-reported and assessment during follow up at 20, 60, 90 and 180 days. </w:t>
            </w:r>
          </w:p>
        </w:tc>
        <w:tc>
          <w:tcPr>
            <w:tcW w:w="1714" w:type="dxa"/>
            <w:tcBorders>
              <w:top w:val="nil"/>
              <w:left w:val="nil"/>
              <w:bottom w:val="single" w:sz="4" w:space="0" w:color="808080"/>
              <w:right w:val="nil"/>
            </w:tcBorders>
            <w:vAlign w:val="center"/>
            <w:hideMark/>
          </w:tcPr>
          <w:p w14:paraId="14FF2CB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 year)</w:t>
            </w:r>
            <w:r>
              <w:rPr>
                <w:rFonts w:ascii="Calibri" w:eastAsia="Times New Roman" w:hAnsi="Calibri" w:cs="Times New Roman"/>
                <w:color w:val="000000"/>
                <w:sz w:val="20"/>
                <w:szCs w:val="20"/>
                <w:lang w:eastAsia="en-CA"/>
              </w:rPr>
              <w:br/>
              <w:t>ACM (1 year)</w:t>
            </w:r>
            <w:r>
              <w:rPr>
                <w:rFonts w:ascii="Calibri" w:eastAsia="Times New Roman" w:hAnsi="Calibri" w:cs="Times New Roman"/>
                <w:color w:val="000000"/>
                <w:sz w:val="20"/>
                <w:szCs w:val="20"/>
                <w:lang w:eastAsia="en-CA"/>
              </w:rPr>
              <w:br/>
              <w:t>CVD mort (1 year)</w:t>
            </w:r>
          </w:p>
        </w:tc>
        <w:tc>
          <w:tcPr>
            <w:tcW w:w="2255" w:type="dxa"/>
            <w:tcBorders>
              <w:top w:val="nil"/>
              <w:left w:val="nil"/>
              <w:bottom w:val="single" w:sz="4" w:space="0" w:color="808080"/>
              <w:right w:val="nil"/>
            </w:tcBorders>
            <w:vAlign w:val="center"/>
            <w:hideMark/>
          </w:tcPr>
          <w:p w14:paraId="1C63639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Ascertained by an independent clinical events committee (blinded)</w:t>
            </w:r>
          </w:p>
        </w:tc>
        <w:tc>
          <w:tcPr>
            <w:tcW w:w="1010" w:type="dxa"/>
            <w:tcBorders>
              <w:top w:val="nil"/>
              <w:left w:val="nil"/>
              <w:bottom w:val="single" w:sz="4" w:space="0" w:color="808080"/>
              <w:right w:val="nil"/>
            </w:tcBorders>
            <w:vAlign w:val="center"/>
            <w:hideMark/>
          </w:tcPr>
          <w:p w14:paraId="2BF05C0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2006-2009</w:t>
            </w:r>
          </w:p>
        </w:tc>
        <w:tc>
          <w:tcPr>
            <w:tcW w:w="1231" w:type="dxa"/>
            <w:tcBorders>
              <w:top w:val="nil"/>
              <w:left w:val="nil"/>
              <w:bottom w:val="single" w:sz="4" w:space="0" w:color="808080"/>
              <w:right w:val="nil"/>
            </w:tcBorders>
            <w:vAlign w:val="center"/>
            <w:hideMark/>
          </w:tcPr>
          <w:p w14:paraId="3F07D0B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None for this analysis; Industry funding for PLATO trial</w:t>
            </w:r>
          </w:p>
        </w:tc>
      </w:tr>
      <w:tr w:rsidR="00B842AC" w14:paraId="445402D8" w14:textId="77777777" w:rsidTr="00B842AC">
        <w:trPr>
          <w:trHeight w:val="288"/>
        </w:trPr>
        <w:tc>
          <w:tcPr>
            <w:tcW w:w="1522" w:type="dxa"/>
            <w:tcBorders>
              <w:top w:val="nil"/>
              <w:left w:val="nil"/>
              <w:bottom w:val="single" w:sz="4" w:space="0" w:color="808080"/>
              <w:right w:val="nil"/>
            </w:tcBorders>
            <w:vAlign w:val="center"/>
            <w:hideMark/>
          </w:tcPr>
          <w:p w14:paraId="5F41F97A" w14:textId="30F7FDF2"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{"citationItems":[{"id":"ITEM-1","itemData":{"ISSN":"1573-2568","abstract":"BACKGROUND: Recent studies have suggested that proton pump inhibitors (PPIs) attenuate the benefits of clopidogrel. The clinical relevance of this interaction in patients who have undergone percutaneous coronary intervention (PCI) is unknown. We hypothesized that post-PCI patients discharged on clopidogrel will have higher cardiovascular events if concomitant PPI therapy is used., AIMS: To determine whether post-PCI patients discharged on clopidogrel will have higher cardiovascular events if concomitant PPI therapy is used., METHODS: We reviewed the medical records of all the patients discharged on clopidogrel who underwent PCI from January 2003 to August 2004. The primary outcome studied was a major adverse cardiovascular event (MACE), which was defined as a composite of death, myocardial infarction, and target vessel failure., RESULTS: Of the 315 post-PCI patients who were discharged on clopidogrel, 72 were discharged on PPI. During a mean follow-up period of 50 months, patients discharged on concomitant clopidogrel-PPI therapy had a MACE rate of 56% (vs. 38% in the clopidogrel alone group) (P = 0.025) and had 95% excess risk of MACE., CONCLUSION: Concomitant use of clopidogrel and PPI in post-PCI patients is associated with a higher risk of MACE. This suggests that PPIs may attenuate clopidogrel's beneficial antiplatelet effect, which is crucial after PCI. Prospective randomized studies are warranted to provide definitive evidence for this interaction.","author":[{"dropping-particle":"","family":"Gupta","given":"Ekta","non-dropping-particle":"","parse-names":false,"suffix":""},{"dropping-particle":"","family":"Bansal","given":"Darpan","non-dropping-particle":"","parse-names":false,"suffix":""},{"dropping-particle":"","family":"Sotos","given":"John","non-dropping-particle":"","parse-names":false,"suffix":""},{"dropping-particle":"","family":"Olden","given":"Kevin","non-dropping-particle":"","parse-names":false,"suffix":""}],"container-title":"Digestive diseases and sciences","id":"ITEM-1","issue":"7","issued":{"date-parts":[["2010"]]},"note":"715","page":"1964-1968","publisher":"Gupta,Ekta. Division of Gastroenterology, University of Arkansas for Medical Sciences and Central Arkansas Veterans Healthcare System, Little Rock, AR 72205, USA. EGupta@uams.edu","publisher-place":"United States","title":"Risk of adverse clinical outcomes with concomitant use of clopidogrel and proton pump inhibitors following percutaneous coronary intervention.","type":"article-journal","volume":"55"},"uris":["http://www.mendeley.com/documents/?uuid=648615a3-115b-4680-ad7b-1c3f6647c19b"]}],"mendeley":{"formattedCitation":"(Gupta et al. 2010)","plainTextFormattedCitation":"(Gupta et al. 2010)","previouslyFormattedCitation":"(Gupta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(Gupta et al. 2010)</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010C9D6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 (78% of patients on rabeprazole)</w:t>
            </w:r>
          </w:p>
        </w:tc>
        <w:tc>
          <w:tcPr>
            <w:tcW w:w="1418" w:type="dxa"/>
            <w:tcBorders>
              <w:top w:val="nil"/>
              <w:left w:val="nil"/>
              <w:bottom w:val="single" w:sz="4" w:space="0" w:color="808080"/>
              <w:right w:val="nil"/>
            </w:tcBorders>
            <w:vAlign w:val="center"/>
            <w:hideMark/>
          </w:tcPr>
          <w:p w14:paraId="5BFE66D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49BBD5F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Discharge records. </w:t>
            </w:r>
          </w:p>
        </w:tc>
        <w:tc>
          <w:tcPr>
            <w:tcW w:w="1714" w:type="dxa"/>
            <w:tcBorders>
              <w:top w:val="nil"/>
              <w:left w:val="nil"/>
              <w:bottom w:val="single" w:sz="4" w:space="0" w:color="808080"/>
              <w:right w:val="nil"/>
            </w:tcBorders>
            <w:vAlign w:val="center"/>
            <w:hideMark/>
          </w:tcPr>
          <w:p w14:paraId="460D43B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(4 years)</w:t>
            </w:r>
          </w:p>
        </w:tc>
        <w:tc>
          <w:tcPr>
            <w:tcW w:w="2255" w:type="dxa"/>
            <w:tcBorders>
              <w:top w:val="nil"/>
              <w:left w:val="nil"/>
              <w:bottom w:val="single" w:sz="4" w:space="0" w:color="808080"/>
              <w:right w:val="nil"/>
            </w:tcBorders>
            <w:vAlign w:val="center"/>
            <w:hideMark/>
          </w:tcPr>
          <w:p w14:paraId="05EAD60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EMRs</w:t>
            </w:r>
          </w:p>
        </w:tc>
        <w:tc>
          <w:tcPr>
            <w:tcW w:w="1010" w:type="dxa"/>
            <w:tcBorders>
              <w:top w:val="nil"/>
              <w:left w:val="nil"/>
              <w:bottom w:val="single" w:sz="4" w:space="0" w:color="808080"/>
              <w:right w:val="nil"/>
            </w:tcBorders>
            <w:vAlign w:val="center"/>
            <w:hideMark/>
          </w:tcPr>
          <w:p w14:paraId="1D20FC7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2003-2004</w:t>
            </w:r>
          </w:p>
        </w:tc>
        <w:tc>
          <w:tcPr>
            <w:tcW w:w="1231" w:type="dxa"/>
            <w:tcBorders>
              <w:top w:val="nil"/>
              <w:left w:val="nil"/>
              <w:bottom w:val="single" w:sz="4" w:space="0" w:color="808080"/>
              <w:right w:val="nil"/>
            </w:tcBorders>
            <w:vAlign w:val="center"/>
            <w:hideMark/>
          </w:tcPr>
          <w:p w14:paraId="1582571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5F60774C" w14:textId="77777777" w:rsidTr="00B842AC">
        <w:trPr>
          <w:trHeight w:val="288"/>
        </w:trPr>
        <w:tc>
          <w:tcPr>
            <w:tcW w:w="1522" w:type="dxa"/>
            <w:tcBorders>
              <w:top w:val="nil"/>
              <w:left w:val="nil"/>
              <w:bottom w:val="single" w:sz="4" w:space="0" w:color="808080"/>
              <w:right w:val="nil"/>
            </w:tcBorders>
            <w:vAlign w:val="center"/>
            <w:hideMark/>
          </w:tcPr>
          <w:p w14:paraId="65FDEB1D" w14:textId="251DD6F6"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lastRenderedPageBreak/>
              <w:fldChar w:fldCharType="begin" w:fldLock="1"/>
            </w:r>
            <w:r w:rsidR="00D325C7">
              <w:rPr>
                <w:rFonts w:ascii="Calibri" w:eastAsia="Times New Roman" w:hAnsi="Calibri" w:cs="Times New Roman"/>
                <w:color w:val="000000"/>
                <w:sz w:val="20"/>
                <w:szCs w:val="20"/>
                <w:lang w:eastAsia="en-CA"/>
              </w:rPr>
              <w:instrText>ADDIN CSL_CITATION {"citationItems":[{"id":"ITEM-1","itemData":{"DOI":"10.1161/CIRCINTERVENTIONS.110.958884","author":[{"dropping-particle":"","family":"Harjai","given":"Kishore J","non-dropping-particle":"","parse-names":false,"suffix":""},{"dropping-particle":"","family":"Shenoy","given":"Chetan","non-dropping-particle":"","parse-names":false,"suffix":""},{"dropping-particle":"","family":"Orshaw","given":"Pam","non-dropping-particle":"","parse-names":false,"suffix":""},{"dropping-particle":"","family":"Usmani","given":"Samer","non-dropping-particle":"","parse-names":false,"suffix":""},{"dropping-particle":"","family":"Boura","given":"Judy","non-dropping-particle":"","parse-names":false,"suffix":""},{"dropping-particle":"","family":"Mehta","given":"Rajendra H","non-dropping-particle":"","parse-names":false,"suffix":""}],"container-title":"Circ Cardiovasc Interv.","id":"ITEM-1","issued":{"date-parts":[["2011"]]},"note":"NULL","page":"162-170","title":"Clinical Outcomes in Patients With the Concomitant Use of Clopidogrel and Proton Pump Inhibitors After Percutaneous An Analysis From the Guthrie Health Off-Label Stent ( GHOST ) Investigators","type":"article-journal","volume":"4"},"uris":["http://www.mendeley.com/documents/?uuid=851875d6-b9ec-4a99-ab04-5b5c42d34418"]}],"mendeley":{"formattedCitation":"(Harjai et al. 2011)","plainTextFormattedCitation":"(Harjai et al. 2011)","previouslyFormattedCitation":"(Harjai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(Harjai et al. 2011)</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59319EC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(general)</w:t>
            </w:r>
            <w:r>
              <w:rPr>
                <w:rFonts w:ascii="Calibri" w:eastAsia="Times New Roman" w:hAnsi="Calibri" w:cs="Times New Roman"/>
                <w:color w:val="000000"/>
                <w:sz w:val="20"/>
                <w:szCs w:val="20"/>
                <w:lang w:eastAsia="en-CA"/>
              </w:rPr>
              <w:br/>
              <w:t>Omeprazole</w:t>
            </w:r>
            <w:r>
              <w:rPr>
                <w:rFonts w:ascii="Calibri" w:eastAsia="Times New Roman" w:hAnsi="Calibri" w:cs="Times New Roman"/>
                <w:color w:val="000000"/>
                <w:sz w:val="20"/>
                <w:szCs w:val="20"/>
                <w:lang w:eastAsia="en-CA"/>
              </w:rPr>
              <w:br/>
              <w:t>Esomeprazole</w:t>
            </w:r>
          </w:p>
        </w:tc>
        <w:tc>
          <w:tcPr>
            <w:tcW w:w="1418" w:type="dxa"/>
            <w:tcBorders>
              <w:top w:val="nil"/>
              <w:left w:val="nil"/>
              <w:bottom w:val="single" w:sz="4" w:space="0" w:color="808080"/>
              <w:right w:val="nil"/>
            </w:tcBorders>
            <w:vAlign w:val="center"/>
            <w:hideMark/>
          </w:tcPr>
          <w:p w14:paraId="5FA56A6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vAlign w:val="center"/>
            <w:hideMark/>
          </w:tcPr>
          <w:p w14:paraId="67EF9BA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Patients records; Self-reported compliance to PPI at 6 months </w:t>
            </w:r>
          </w:p>
        </w:tc>
        <w:tc>
          <w:tcPr>
            <w:tcW w:w="1714" w:type="dxa"/>
            <w:tcBorders>
              <w:top w:val="nil"/>
              <w:left w:val="nil"/>
              <w:bottom w:val="single" w:sz="4" w:space="0" w:color="808080"/>
              <w:right w:val="nil"/>
            </w:tcBorders>
            <w:vAlign w:val="center"/>
            <w:hideMark/>
          </w:tcPr>
          <w:p w14:paraId="6E3426C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(6 months)</w:t>
            </w:r>
            <w:r>
              <w:rPr>
                <w:rFonts w:ascii="Calibri" w:eastAsia="Times New Roman" w:hAnsi="Calibri" w:cs="Times New Roman"/>
                <w:color w:val="000000"/>
                <w:sz w:val="20"/>
                <w:szCs w:val="20"/>
                <w:lang w:eastAsia="en-CA"/>
              </w:rPr>
              <w:br/>
              <w:t>ACM (6 months)</w:t>
            </w:r>
          </w:p>
        </w:tc>
        <w:tc>
          <w:tcPr>
            <w:tcW w:w="2255" w:type="dxa"/>
            <w:tcBorders>
              <w:top w:val="nil"/>
              <w:left w:val="nil"/>
              <w:bottom w:val="single" w:sz="4" w:space="0" w:color="808080"/>
              <w:right w:val="nil"/>
            </w:tcBorders>
            <w:vAlign w:val="center"/>
            <w:hideMark/>
          </w:tcPr>
          <w:p w14:paraId="61C0351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Patients records (MI);</w:t>
            </w:r>
            <w:r>
              <w:rPr>
                <w:rFonts w:ascii="Calibri" w:eastAsia="Times New Roman" w:hAnsi="Calibri" w:cs="Times New Roman"/>
                <w:color w:val="000000"/>
                <w:sz w:val="20"/>
                <w:szCs w:val="20"/>
                <w:lang w:eastAsia="en-CA"/>
              </w:rPr>
              <w:br/>
              <w:t>Social Security Death Index (ACM)</w:t>
            </w:r>
          </w:p>
        </w:tc>
        <w:tc>
          <w:tcPr>
            <w:tcW w:w="1010" w:type="dxa"/>
            <w:tcBorders>
              <w:top w:val="nil"/>
              <w:left w:val="nil"/>
              <w:bottom w:val="single" w:sz="4" w:space="0" w:color="808080"/>
              <w:right w:val="nil"/>
            </w:tcBorders>
            <w:vAlign w:val="center"/>
            <w:hideMark/>
          </w:tcPr>
          <w:p w14:paraId="25C2D34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2001-2007</w:t>
            </w:r>
          </w:p>
        </w:tc>
        <w:tc>
          <w:tcPr>
            <w:tcW w:w="1231" w:type="dxa"/>
            <w:tcBorders>
              <w:top w:val="nil"/>
              <w:left w:val="nil"/>
              <w:bottom w:val="single" w:sz="4" w:space="0" w:color="808080"/>
              <w:right w:val="nil"/>
            </w:tcBorders>
            <w:vAlign w:val="center"/>
            <w:hideMark/>
          </w:tcPr>
          <w:p w14:paraId="3E30560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None</w:t>
            </w:r>
          </w:p>
        </w:tc>
      </w:tr>
      <w:tr w:rsidR="00B842AC" w14:paraId="1952BC25" w14:textId="77777777" w:rsidTr="00B842AC">
        <w:trPr>
          <w:trHeight w:val="303"/>
        </w:trPr>
        <w:tc>
          <w:tcPr>
            <w:tcW w:w="1522" w:type="dxa"/>
            <w:tcBorders>
              <w:top w:val="nil"/>
              <w:left w:val="nil"/>
              <w:bottom w:val="single" w:sz="4" w:space="0" w:color="808080"/>
              <w:right w:val="nil"/>
            </w:tcBorders>
            <w:vAlign w:val="center"/>
            <w:hideMark/>
          </w:tcPr>
          <w:p w14:paraId="12CD8005" w14:textId="6F38DAD4"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{"citationItems":[{"id":"ITEM-1","itemData":{"ISBN":"0098-7484","ISSN":"1538-3598","abstract":"Context Prior mechanistic studies reported that omeprazole decreases the platelet inhibitory effects of clopidogrel, yet the clinical significance of these findings is not clear. Objective To assess outcomes of patients taking clopidogrel with or without a proton pump inhibitor (PPI) after hospitalization for acute coronary syndrome (ACS). Design, Setting, and Patients Retrospective cohort study of 8205 patients with ACS taking clopidogrel after discharge from 127 Veterans Affairs hospitals between October 1, 2003, and January 31, 2006. Vital status information was available for all patients through September 30, 2006. Main Outcome Measures All-cause mortality or rehospitalization for ACS. Results Of 8205 patients taking clopidogrel after discharge, 63.9% (n = 5244) were prescribed PPI at discharge, during follow-up, or both and 36.1 % (n=2961) were not prescribed PPI. Death or rehospitalization for ACS occurred in 20.8% (n = 615) of patients taking clopidogrel without PPI and 29.8% (n = 1561) of patients taking clopidogrel plus PPI. In multivariable analyses, use of clopidogrel plus PPI was associated with an increased risk of death or rehospitalization for ACS compared with use of clopidogrel without PPI (adjusted odds ratio [AOR], 1.25; 95% confidence interval [CI], 1.11-1.41). Among patients taking clopidogrel after hospital discharge and prescribed PPI at any point during follow-up (n = 5244), periods of use of clopidogrel plus PPI (compared with periods of use of clopidogrel without PPI) were associated with a higher risk of death or rehospitalization for ACS (adjusted hazard ratio, 1.27; 95% CI, 1.10-1.46). In analyses of secondary outcomes, patients taking clopidogrel plus PPI had a higher risk of hospitalizations for recurrent ACS compared with patients taking clopidogrel without PPI (14.6% vs 6.9%; AOR. 1.86 [95% CI, 1.57-2.20]) and revascularization procedures (15.5% vs 11.9%; AOR, 1.49 [95% CI, 1.30-1.71]), but not for all-cause mortality (19.9% vs 16.6%; AOR, 0.91 [95% CI, 0.80-1,05]). The association between use of clopidogrel plus PPI and increased risk of adverse outcomes also was consistent using a nested case-control study design (AOR, 1.32; 95% CI, 1.14-1.54). In addition, use of PPI without clopidogrel was not associated with death or rehospitalization for ACS among patients not taking clopidogrel after hospital discharge (n = 6450) (AOR, 0,98; 95% CI, 0.85-1.13). Conclusion Concomitant use of clopidogrel and PPI after hospital disch…","author":[{"dropping-particle":"","family":"Ho","given":"P Michael","non-dropping-particle":"","parse-names":false,"suffix":""},{"dropping-particle":"","family":"Maddox","given":"Thomas M","non-dropping-particle":"","parse-names":false,"suffix":""},{"dropping-particle":"","family":"Wang","given":"Li","non-dropping-particle":"","parse-names":false,"suffix":""},{"dropping-particle":"","family":"Fihn","given":"Stephan D","non-dropping-particle":"","parse-names":false,"suffix":""},{"dropping-particle":"","family":"Jesse","given":"Robert L","non-dropping-particle":"","parse-names":false,"suffix":""},{"dropping-particle":"","family":"Peterson","given":"Eric D","non-dropping-particle":"","parse-names":false,"suffix":""},{"dropping-particle":"","family":"Rumsfeld","given":"John S","non-dropping-particle":"","parse-names":false,"suffix":""}],"container-title":"JAMA - Journal of the American Medical Association","id":"ITEM-1","issue":"9","issued":{"date-parts":[["2009"]]},"note":"807\n\nFrom Duplicate 2 (Risk of adverse outcomes associated with concomitant use of clopidogrel and proton pump inhibitors following acute coronary syndrome. - Ho, P Michael; Maddox, Thomas M; Wang, Li; Fihn, Stephan D; Jesse, Robert L; Peterson, Eric D; Rumsfeld, John S)\n\nComment in: Z Gastroenterol. 2010 Mar;48(3):420-3; PMID: 20195945, Comment in: Rev Cardiovasc Med. 2009 Summer;10(3):179-80; PMID: 19898300, Comment in: JAMA. 2009 Jul 1;302(1):30; author reply 31; PMID: 19567432, Comment in: JAMA. 2009 Jul 1;302(1):30-1; author reply 31; PMID: 19567431, Comment in: JAMA. 2009 Jul 1;302(1):29; author reply 31; PMID: 19567430, Comment in: JAMA. 2009 Jul 1;302(1):29-30; author reply 31; PMID: 19567429","page":"937-944","publisher":"American Medical Association (515 North State Street, Chicago IL 60654, United States)","publisher-place":"P. M. Ho, Department of Cardiology (111B), 1055 Clermont St, Denver, CO 80220. E-mail: michael.ho@va.gov","title":"Risk of adverse outcomes associated with concomitant use of clopidogrel and proton pump inhibitors following acute coronary syndrome.","type":"article-journal","volume":"301"},"uris":["http://www.mendeley.com/documents/?uuid=039e5c04-35e0-4fe1-8ddd-027c3c9739d9"]}],"mendeley":{"formattedCitation":"(Ho et al. 2009)","plainTextFormattedCitation":"(Ho et al. 2009)","previouslyFormattedCitation":"(Ho et al. 2009)"},"properties":{"noteIndex":0},"schema":"https://github.com/citation-style-language/schema/raw/master/csl-citation.json"}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(Ho et al. 2009)</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70B4F86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69A9CD1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322F127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Pharmacy refill data </w:t>
            </w:r>
          </w:p>
        </w:tc>
        <w:tc>
          <w:tcPr>
            <w:tcW w:w="1714" w:type="dxa"/>
            <w:tcBorders>
              <w:top w:val="nil"/>
              <w:left w:val="nil"/>
              <w:bottom w:val="single" w:sz="4" w:space="0" w:color="808080"/>
              <w:right w:val="nil"/>
            </w:tcBorders>
            <w:vAlign w:val="center"/>
            <w:hideMark/>
          </w:tcPr>
          <w:p w14:paraId="52E4A198" w14:textId="77777777" w:rsidR="00B842AC" w:rsidRDefault="00B842AC" w:rsidP="00B842AC">
            <w:pPr>
              <w:spacing w:after="0" w:line="240" w:lineRule="auto"/>
              <w:rPr>
                <w:rFonts w:ascii="Calibri" w:eastAsia="Times New Roman" w:hAnsi="Calibri" w:cs="Times New Roman"/>
                <w:sz w:val="20"/>
                <w:szCs w:val="20"/>
                <w:lang w:eastAsia="en-CA"/>
              </w:rPr>
            </w:pPr>
            <w:r>
              <w:rPr>
                <w:rFonts w:ascii="Calibri" w:eastAsia="Times New Roman" w:hAnsi="Calibri" w:cs="Times New Roman"/>
                <w:sz w:val="20"/>
                <w:szCs w:val="20"/>
                <w:lang w:eastAsia="en-CA"/>
              </w:rPr>
              <w:t>ACM (1,080 days)</w:t>
            </w:r>
          </w:p>
        </w:tc>
        <w:tc>
          <w:tcPr>
            <w:tcW w:w="2255" w:type="dxa"/>
            <w:tcBorders>
              <w:top w:val="nil"/>
              <w:left w:val="nil"/>
              <w:bottom w:val="single" w:sz="4" w:space="0" w:color="808080"/>
              <w:right w:val="nil"/>
            </w:tcBorders>
            <w:vAlign w:val="center"/>
            <w:hideMark/>
          </w:tcPr>
          <w:p w14:paraId="281824C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Vital status file (mortality)</w:t>
            </w:r>
          </w:p>
        </w:tc>
        <w:tc>
          <w:tcPr>
            <w:tcW w:w="1010" w:type="dxa"/>
            <w:tcBorders>
              <w:top w:val="nil"/>
              <w:left w:val="nil"/>
              <w:bottom w:val="single" w:sz="4" w:space="0" w:color="808080"/>
              <w:right w:val="nil"/>
            </w:tcBorders>
            <w:vAlign w:val="center"/>
            <w:hideMark/>
          </w:tcPr>
          <w:p w14:paraId="4148AB7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2003-2006</w:t>
            </w:r>
          </w:p>
        </w:tc>
        <w:tc>
          <w:tcPr>
            <w:tcW w:w="1231" w:type="dxa"/>
            <w:tcBorders>
              <w:top w:val="nil"/>
              <w:left w:val="nil"/>
              <w:bottom w:val="single" w:sz="4" w:space="0" w:color="808080"/>
              <w:right w:val="nil"/>
            </w:tcBorders>
            <w:vAlign w:val="center"/>
            <w:hideMark/>
          </w:tcPr>
          <w:p w14:paraId="1BE773D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Public/non profit</w:t>
            </w:r>
          </w:p>
        </w:tc>
      </w:tr>
      <w:tr w:rsidR="00B842AC" w14:paraId="5445F7CE" w14:textId="77777777" w:rsidTr="00B842AC">
        <w:trPr>
          <w:trHeight w:val="489"/>
        </w:trPr>
        <w:tc>
          <w:tcPr>
            <w:tcW w:w="1522" w:type="dxa"/>
            <w:tcBorders>
              <w:top w:val="nil"/>
              <w:left w:val="nil"/>
              <w:bottom w:val="single" w:sz="4" w:space="0" w:color="808080"/>
              <w:right w:val="nil"/>
            </w:tcBorders>
            <w:vAlign w:val="center"/>
            <w:hideMark/>
          </w:tcPr>
          <w:p w14:paraId="16089928" w14:textId="39B73C36"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DOI":"10.1016/S0016-5085(10)62300-1","ISSN":"0016-5085","author":[{"dropping-particle":"","family":"Hokimoto","given":"Seiji","non-dropping-particle":"","parse-names":false,"suffix":""},{"dropping-particle":"","family":"Ogawa","given":"Hisao","non-dropping-particle":"","parse-names":false,"suffix":""}],"container-title":"Gastroenterology","id":"ITEM-1","issue":"5","issued":{"date-parts":[["2010"]]},"note":"NULL","page":"S-498","publisher":"AGA","title":"Is it Safe to use a Proton Pump Inhibitor With Clopidogrel? A Comparison of Clopidogrel With or Without Rabeprazole in Japan","type":"article-journal","volume":"138"},"uris":["http://www.mendeley.com/documents/?uuid=ccb94450-c0f8-49bf-9596-bf15dfe7e156"]}],"mendeley":{"formattedCitation":"(Hokimoto and Ogawa 2010)","plainTextFormattedCitation":"(Hokimoto and Ogawa 2010)","previouslyFormattedCitation":"(Hokimoto and Ogawa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sidR="00D325C7" w:rsidRPr="00D325C7">
              <w:rPr>
                <w:rFonts w:ascii="Calibri" w:eastAsia="Times New Roman" w:hAnsi="Calibri" w:cs="Times New Roman"/>
                <w:noProof/>
                <w:color w:val="000000"/>
                <w:sz w:val="20"/>
                <w:szCs w:val="20"/>
                <w:lang w:eastAsia="en-CA"/>
              </w:rPr>
              <w:t>(Hokimoto and Ogawa 2010)</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62E8527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Rabeprazole</w:t>
            </w:r>
          </w:p>
        </w:tc>
        <w:tc>
          <w:tcPr>
            <w:tcW w:w="1418" w:type="dxa"/>
            <w:tcBorders>
              <w:top w:val="nil"/>
              <w:left w:val="nil"/>
              <w:bottom w:val="single" w:sz="4" w:space="0" w:color="808080"/>
              <w:right w:val="nil"/>
            </w:tcBorders>
            <w:vAlign w:val="center"/>
            <w:hideMark/>
          </w:tcPr>
          <w:p w14:paraId="05B0B59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vAlign w:val="center"/>
            <w:hideMark/>
          </w:tcPr>
          <w:p w14:paraId="673410B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w:t>
            </w:r>
          </w:p>
        </w:tc>
        <w:tc>
          <w:tcPr>
            <w:tcW w:w="1714" w:type="dxa"/>
            <w:tcBorders>
              <w:top w:val="nil"/>
              <w:left w:val="nil"/>
              <w:bottom w:val="single" w:sz="4" w:space="0" w:color="808080"/>
              <w:right w:val="nil"/>
            </w:tcBorders>
            <w:vAlign w:val="center"/>
            <w:hideMark/>
          </w:tcPr>
          <w:p w14:paraId="53721DA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 year)</w:t>
            </w:r>
            <w:r>
              <w:rPr>
                <w:rFonts w:ascii="Calibri" w:eastAsia="Times New Roman" w:hAnsi="Calibri" w:cs="Times New Roman"/>
                <w:color w:val="000000"/>
                <w:sz w:val="20"/>
                <w:szCs w:val="20"/>
                <w:lang w:eastAsia="en-CA"/>
              </w:rPr>
              <w:br/>
              <w:t>Stroke (1 year)</w:t>
            </w:r>
            <w:r>
              <w:rPr>
                <w:rFonts w:ascii="Calibri" w:eastAsia="Times New Roman" w:hAnsi="Calibri" w:cs="Times New Roman"/>
                <w:color w:val="000000"/>
                <w:sz w:val="20"/>
                <w:szCs w:val="20"/>
                <w:lang w:eastAsia="en-CA"/>
              </w:rPr>
              <w:br/>
              <w:t>CVD mort (1 year)</w:t>
            </w:r>
          </w:p>
        </w:tc>
        <w:tc>
          <w:tcPr>
            <w:tcW w:w="2255" w:type="dxa"/>
            <w:tcBorders>
              <w:top w:val="nil"/>
              <w:left w:val="nil"/>
              <w:bottom w:val="single" w:sz="4" w:space="0" w:color="808080"/>
              <w:right w:val="nil"/>
            </w:tcBorders>
            <w:vAlign w:val="center"/>
            <w:hideMark/>
          </w:tcPr>
          <w:p w14:paraId="5BE8CCC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reported</w:t>
            </w:r>
          </w:p>
        </w:tc>
        <w:tc>
          <w:tcPr>
            <w:tcW w:w="1010" w:type="dxa"/>
            <w:tcBorders>
              <w:top w:val="nil"/>
              <w:left w:val="nil"/>
              <w:bottom w:val="single" w:sz="4" w:space="0" w:color="808080"/>
              <w:right w:val="nil"/>
            </w:tcBorders>
            <w:vAlign w:val="center"/>
            <w:hideMark/>
          </w:tcPr>
          <w:p w14:paraId="0D05268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reported</w:t>
            </w:r>
          </w:p>
        </w:tc>
        <w:tc>
          <w:tcPr>
            <w:tcW w:w="1231" w:type="dxa"/>
            <w:tcBorders>
              <w:top w:val="nil"/>
              <w:left w:val="nil"/>
              <w:bottom w:val="single" w:sz="4" w:space="0" w:color="808080"/>
              <w:right w:val="nil"/>
            </w:tcBorders>
            <w:vAlign w:val="center"/>
            <w:hideMark/>
          </w:tcPr>
          <w:p w14:paraId="19A46F1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3C503964" w14:textId="77777777" w:rsidTr="00B842AC">
        <w:trPr>
          <w:trHeight w:val="647"/>
        </w:trPr>
        <w:tc>
          <w:tcPr>
            <w:tcW w:w="1522" w:type="dxa"/>
            <w:tcBorders>
              <w:top w:val="nil"/>
              <w:left w:val="nil"/>
              <w:bottom w:val="single" w:sz="4" w:space="0" w:color="808080"/>
              <w:right w:val="nil"/>
            </w:tcBorders>
            <w:vAlign w:val="center"/>
            <w:hideMark/>
          </w:tcPr>
          <w:p w14:paraId="1B4073C1" w14:textId="39FA71D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{"citationItems":[{"id":"ITEM-1","itemData":{"ISBN":"0002-9149","ISSN":"1879-1913","abstract":"Recent studies have suggested that proton pump inhibitors (PPIs) might reduce the inhibitory effect of clopidogrel on platelet aggregation, possibly through inhibition of the hepatic cytochrome P450 2C19 (CYP2C19) isoenzyme. The prevalence of CYP2C19 loss-of-function alleles is much greater among East Asians than among other populations. Thus, potential drug interactions might be more apparent. Therefore, we conducted a nationwide, population-based study using the Taiwan National Health Insurance database. We identified 3,278 patients (mean age 65.9 +/- 11.9 years, 71.9% men) with coronary artery disease who had taken clopidogrel after percutaneous coronary intervention from the 1 million sampling cohort data set since January 1, 2002. Of the 3,278 patients, 572 had received concomitant PPIs for underlying gastrointestinal disease and 2,706 had not used PPIs. To the end of 2007, 1,410 patients had been rehospitalized, 970 patients had undergone revascularization, and 499 patients had died. According to the Kaplan-Meier analysis, the incidence of rehospitalization (p = 0.001) and mortality (p &lt;0.001) was significantly greater for the patients with concomitant PPI use than for those without concomitant PPI use. However, the incidence of revascularization was similar in the 2 groups. Multivariate analyses showed that concomitant PPI use was associated with an increased risk of rehospitalization (hazard ratio 1.23, 95% confidence interval 1.07 to 1.41, p = 0.003) and mortality (hazard ratio 1.65, 95% confidence interval 1.35 to 2.01, p &lt;0.001). In conclusion, the concomitant use of clopidogrel and PPIs should be done with care to avoid adverse outcome in East Asians patients who have undergone percutaneous coronary intervention.","author":[{"dropping-particle":"","family":"Huang","given":"Chin-Chou","non-dropping-particle":"","parse-names":false,"suffix":""},{"dropping-particle":"","family":"Chen","given":"Yu-Chun","non-dropping-particle":"","parse-names":false,"suffix":""},{"dropping-particle":"","family":"Leu","given":"Hsin-Bang","non-dropping-particle":"","parse-names":false,"suffix":""},{"dropping-particle":"","family":"Chen","given":"Tzeng-Ji","non-dropping-particle":"","parse-names":false,"suffix":""},{"dropping-particle":"","family":"Lin","given":"Shing-Jong","non-dropping-particle":"","parse-names":false,"suffix":""},{"dropping-particle":"","family":"Chan","given":"Wan-Leong","non-dropping-particle":"","parse-names":false,"suffix":""},{"dropping-particle":"","family":"Chen","given":"Jaw-Wen","non-dropping-particle":"","parse-names":false,"suffix":""}],"container-title":"American Journal of Cardiology","id":"ITEM-1","issue":"12","issued":{"date-parts":[["2010"]]},"note":"710","page":"1705-1709","publisher":"Elsevier Inc. (360 Park Avenue South, New York NY 10010, United States)","publisher-place":"United States","title":"Risk of adverse outcomes in Taiwan associated with concomitant use of clopidogrel and proton pump inhibitors in patients who received percutaneous coronary intervention.","type":"article-journal","volume":"105"},"uris":["http://www.mendeley.com/documents/?uuid=b930c991-eb86-49ad-bd4a-4c88a2feb5be"]}],"mendeley":{"formattedCitation":"(Huang et al. 2010)","plainTextFormattedCitation":"(Huang et al. 2010)","previouslyFormattedCitation":"(Huang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(Huang et al. 2010)</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12A5656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6E2F829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2FB1F62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Claims database records</w:t>
            </w:r>
          </w:p>
        </w:tc>
        <w:tc>
          <w:tcPr>
            <w:tcW w:w="1714" w:type="dxa"/>
            <w:tcBorders>
              <w:top w:val="nil"/>
              <w:left w:val="nil"/>
              <w:bottom w:val="single" w:sz="4" w:space="0" w:color="808080"/>
              <w:right w:val="nil"/>
            </w:tcBorders>
            <w:vAlign w:val="center"/>
            <w:hideMark/>
          </w:tcPr>
          <w:p w14:paraId="593E316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(up to 6 years (from Kaplan Meir curve)</w:t>
            </w:r>
          </w:p>
        </w:tc>
        <w:tc>
          <w:tcPr>
            <w:tcW w:w="2255" w:type="dxa"/>
            <w:tcBorders>
              <w:top w:val="nil"/>
              <w:left w:val="nil"/>
              <w:bottom w:val="single" w:sz="4" w:space="0" w:color="808080"/>
              <w:right w:val="nil"/>
            </w:tcBorders>
            <w:vAlign w:val="center"/>
            <w:hideMark/>
          </w:tcPr>
          <w:p w14:paraId="41F93AF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Database</w:t>
            </w:r>
          </w:p>
        </w:tc>
        <w:tc>
          <w:tcPr>
            <w:tcW w:w="1010" w:type="dxa"/>
            <w:tcBorders>
              <w:top w:val="nil"/>
              <w:left w:val="nil"/>
              <w:bottom w:val="single" w:sz="4" w:space="0" w:color="808080"/>
              <w:right w:val="nil"/>
            </w:tcBorders>
            <w:vAlign w:val="center"/>
            <w:hideMark/>
          </w:tcPr>
          <w:p w14:paraId="11570E3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2002-2007</w:t>
            </w:r>
          </w:p>
        </w:tc>
        <w:tc>
          <w:tcPr>
            <w:tcW w:w="1231" w:type="dxa"/>
            <w:tcBorders>
              <w:top w:val="nil"/>
              <w:left w:val="nil"/>
              <w:bottom w:val="single" w:sz="4" w:space="0" w:color="808080"/>
              <w:right w:val="nil"/>
            </w:tcBorders>
            <w:vAlign w:val="center"/>
            <w:hideMark/>
          </w:tcPr>
          <w:p w14:paraId="53C80AB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1B78BF78" w14:textId="77777777" w:rsidTr="00B842AC">
        <w:trPr>
          <w:trHeight w:val="676"/>
        </w:trPr>
        <w:tc>
          <w:tcPr>
            <w:tcW w:w="1522" w:type="dxa"/>
            <w:tcBorders>
              <w:top w:val="nil"/>
              <w:left w:val="nil"/>
              <w:bottom w:val="single" w:sz="4" w:space="0" w:color="808080"/>
              <w:right w:val="nil"/>
            </w:tcBorders>
            <w:vAlign w:val="center"/>
            <w:hideMark/>
          </w:tcPr>
          <w:p w14:paraId="6CB69787" w14:textId="3B3BE6A3"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{"citationItems":[{"id":"ITEM-1","itemData":{"ISSN":"1952-4005","abstract":"BACKGROUND: Dual antiplatelet therapy (aspirin plus clopidogrel) is recommended in patients undergoing percutaneous coronary intervention (PCI). Treatment with proton pump inhibitors (PPIs) decreases bleeding rate. Alarming reports have been made that PPIs may decrease the antiplatelet activity of clopidogrel. We sought to determine whether levels of interleukin-6 (IL-6) and transforming growth factor-beta1 (TGF-beta1) might help distinguish individuals at risk for adverse events., METHODS: Thirty-eight patients on aspirin and clopidogrel were enrolled and divided into two groups: group 1 [patients receiving omeprazole (n = 18)] and group 2 [patients not receiving omeprazole (n = 20)]. Patients underwent PCI and were scheduled for twelve-month clinical follow-up. The major, adverse cardiac and cerebrovascular events (MACCE) include death, re-hospitalization for acute coronary syndromes, and stroke., RESULTS: Median concentrations of IL-6 were higher in group 1 at 4.7 pg/mL, in comparison with group 2, 1.65 pg/mL (p = 0.003). Median concentrations of TGF-beta1 were similar in both groups (p = 0.5). Patients in group 1 had a significantly higher leukocyte count [103/mm3] (median 7.5 vs 6.5; p = 0.04). There were no deaths during follow-up. The incidence of myocardial infarction was higher in group 1 (33.4% vs 5.0%; p = 0.03). MACCE at twelve months were more frequent in group 1 (55.6% vs 20.0%; p = 0.02). The cut-off value to predict MACCEs for IL-6 was &gt; 3.6 pg/mL (sensitivity 64%, specificity 88%, positive predictive value 75%, negative predictive value 81%)., INTERPRETATION: We show here that concomitant omeprazole use is associated with an increased inflammatory reaction. Drug interactions may reduce the anti-inflammatory effect of clopidogrel. This mechanism maybe responsible for an increased risk of non-fatal, cardiovascular events, following stent placement.","author":[{"dropping-particle":"","family":"Hudzik","given":"Bartosz","non-dropping-particle":"","parse-names":false,"suffix":""},{"dropping-particle":"","family":"Szkodzinski","given":"Janusz","non-dropping-particle":"","parse-names":false,"suffix":""},{"dropping-particle":"","family":"Danikiewicz","given":"Aleksander","non-dropping-particle":"","parse-names":false,"suffix":""},{"dropping-particle":"","family":"Wilczek","given":"Krzysztof","non-dropping-particle":"","parse-names":false,"suffix":""},{"dropping-particle":"","family":"Romanowski","given":"Wojciech","non-dropping-particle":"","parse-names":false,"suffix":""},{"dropping-particle":"","family":"Lekston","given":"Andrzej","non-dropping-particle":"","parse-names":false,"suffix":""},{"dropping-particle":"","family":"Polonski","given":"Lech","non-dropping-particle":"","parse-names":false,"suffix":""},{"dropping-particle":"","family":"Zubelewicz-Szkodzinska","given":"Barbara","non-dropping-particle":"","parse-names":false,"suffix":""}],"container-title":"European cytokine network","id":"ITEM-1","issue":"4","issued":{"date-parts":[["2010"]]},"note":"709","page":"257-263","publisher":"Hudzik,Bartosz. 3rd Department of Cardiology, Silesian Center for Heart Disease, Medical University of Silesia, Zabrze, Poland. bartekh@mp.pl","publisher-place":"France","title":"Effect of omeprazole on the concentration of interleukin-6 and transforming growth factor-beta1 in patients receiving dual antiplatelet therapy after percutaneous coronary intervention.","type":"article-journal","volume":"21"},"uris":["http://www.mendeley.com/documents/?uuid=ce45dd8f-bf01-452e-bf64-468df4605515"]}],"mendeley":{"formattedCitation":"(Hudzik et al. 2010)","plainTextFormattedCitation":"(Hudzik et al. 2010)","previouslyFormattedCitation":"(Hudzik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(Hudzik et al. 2010)</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33E00CF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1418" w:type="dxa"/>
            <w:tcBorders>
              <w:top w:val="nil"/>
              <w:left w:val="nil"/>
              <w:bottom w:val="single" w:sz="4" w:space="0" w:color="808080"/>
              <w:right w:val="nil"/>
            </w:tcBorders>
            <w:vAlign w:val="center"/>
            <w:hideMark/>
          </w:tcPr>
          <w:p w14:paraId="355DD0A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vAlign w:val="center"/>
            <w:hideMark/>
          </w:tcPr>
          <w:p w14:paraId="6B1B1CC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reported.</w:t>
            </w:r>
          </w:p>
        </w:tc>
        <w:tc>
          <w:tcPr>
            <w:tcW w:w="1714" w:type="dxa"/>
            <w:tcBorders>
              <w:top w:val="nil"/>
              <w:left w:val="nil"/>
              <w:bottom w:val="single" w:sz="4" w:space="0" w:color="808080"/>
              <w:right w:val="nil"/>
            </w:tcBorders>
            <w:vAlign w:val="center"/>
            <w:hideMark/>
          </w:tcPr>
          <w:p w14:paraId="0A2B739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Stroke (1 year)</w:t>
            </w:r>
            <w:r>
              <w:rPr>
                <w:rFonts w:ascii="Calibri" w:eastAsia="Times New Roman" w:hAnsi="Calibri" w:cs="Times New Roman"/>
                <w:color w:val="000000"/>
                <w:sz w:val="20"/>
                <w:szCs w:val="20"/>
                <w:lang w:eastAsia="en-CA"/>
              </w:rPr>
              <w:br/>
              <w:t>ACM (1 year)</w:t>
            </w:r>
            <w:r>
              <w:rPr>
                <w:rFonts w:ascii="Calibri" w:eastAsia="Times New Roman" w:hAnsi="Calibri" w:cs="Times New Roman"/>
                <w:color w:val="000000"/>
                <w:sz w:val="20"/>
                <w:szCs w:val="20"/>
                <w:lang w:eastAsia="en-CA"/>
              </w:rPr>
              <w:br/>
              <w:t>Death (1 year)</w:t>
            </w:r>
          </w:p>
        </w:tc>
        <w:tc>
          <w:tcPr>
            <w:tcW w:w="2255" w:type="dxa"/>
            <w:tcBorders>
              <w:top w:val="nil"/>
              <w:left w:val="nil"/>
              <w:bottom w:val="single" w:sz="4" w:space="0" w:color="808080"/>
              <w:right w:val="nil"/>
            </w:tcBorders>
            <w:vAlign w:val="center"/>
            <w:hideMark/>
          </w:tcPr>
          <w:p w14:paraId="3FFDCFA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Follow up </w:t>
            </w:r>
          </w:p>
        </w:tc>
        <w:tc>
          <w:tcPr>
            <w:tcW w:w="1010" w:type="dxa"/>
            <w:tcBorders>
              <w:top w:val="nil"/>
              <w:left w:val="nil"/>
              <w:bottom w:val="single" w:sz="4" w:space="0" w:color="808080"/>
              <w:right w:val="nil"/>
            </w:tcBorders>
            <w:vAlign w:val="center"/>
            <w:hideMark/>
          </w:tcPr>
          <w:p w14:paraId="0714202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2006-2008</w:t>
            </w:r>
          </w:p>
        </w:tc>
        <w:tc>
          <w:tcPr>
            <w:tcW w:w="1231" w:type="dxa"/>
            <w:tcBorders>
              <w:top w:val="nil"/>
              <w:left w:val="nil"/>
              <w:bottom w:val="single" w:sz="4" w:space="0" w:color="808080"/>
              <w:right w:val="nil"/>
            </w:tcBorders>
            <w:vAlign w:val="center"/>
            <w:hideMark/>
          </w:tcPr>
          <w:p w14:paraId="2A22FE0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3EE75609" w14:textId="77777777" w:rsidTr="00B842AC">
        <w:trPr>
          <w:trHeight w:val="294"/>
        </w:trPr>
        <w:tc>
          <w:tcPr>
            <w:tcW w:w="1522" w:type="dxa"/>
            <w:tcBorders>
              <w:top w:val="nil"/>
              <w:left w:val="nil"/>
              <w:bottom w:val="single" w:sz="4" w:space="0" w:color="808080"/>
              <w:right w:val="nil"/>
            </w:tcBorders>
            <w:vAlign w:val="center"/>
            <w:hideMark/>
          </w:tcPr>
          <w:p w14:paraId="02561F69" w14:textId="2F511FA1"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{"citationItems":[{"id":"ITEM-1","itemData":{"ISBN":"0820-3946","ISSN":"1488-2329","abstract":"BACKGROUND: Most proton pump inhibitors inhibit the bioactivation of clopidogrel to its active metabolite. The clinical significance of this drug interaction is unknown., METHODS: We conducted a population-based nested case-control study among patients aged 66 years or older who commenced clopidogrel between Apr. 1, 2002, and Dec. 31, 2007, following hospital discharge after treatment of acute myocardial infarction. The cases in our study were those readmitted with acute myocardial infarction within 90 days after discharge. We performed a secondary analysis considering events within 1 year. Event-free controls (at a ratio of 3:1) were matched to cases on age, percutaneous coronary intervention and a validated risk score. We categorized exposure to proton pump inhibitors before the index date as current (within 30 days), previous (31-90 days) or remote (91-180 days)., RESULTS: Among 13 636 patients prescribed clopidogrel following acute myocardial infarction, we identified 734 cases readmitted with myocardial infarction and 2057 controls. After extensive multivariable adjustment, current use of proton pump inhibitors was associated with an increased risk of reinfarction (adjusted odds ratio [OR] 1.27, 95% confidence interval [CI] 1.03-1.57). We found no association with more distant exposure to proton pump inhibitors or in multiple sensitivity analyses. In a stratified analysis, pantoprazole, which does not inhibit cytochrome P450 2C19, had no association with readmission for myocardial infarction (adjusted OR 1.02, 95% CI 0.70-1.47)., INTERPRETATION: Among patients receiving clopidogrel following acute myocardial infarction, concomitant therapy with proton pump inhibitors other than pantoprazole was associated with a loss of the beneficial effects of clopidogrel and an increased risk of reinfarction.","author":[{"dropping-particle":"","family":"Juurlink","given":"David N","non-dropping-particle":"","parse-names":false,"suffix":""},{"dropping-particle":"","family":"Gomes","given":"Tara","non-dropping-particle":"","parse-names":false,"suffix":""},{"dropping-particle":"","family":"Ko","given":"Dennis T","non-dropping-particle":"","parse-names":false,"suffix":""},{"dropping-particle":"","family":"Szmitko","given":"Paul E","non-dropping-particle":"","parse-names":false,"suffix":""},{"dropping-particle":"","family":"Austin","given":"Peter C","non-dropping-particle":"","parse-names":false,"suffix":""},{"dropping-particle":"V","family":"Tu","given":"Jack","non-dropping-particle":"","parse-names":false,"suffix":""},{"dropping-particle":"","family":"Henry","given":"David A","non-dropping-particle":"","parse-names":false,"suffix":""},{"dropping-particle":"","family":"Kopp","given":"Alex","non-dropping-particle":"","parse-names":false,"suffix":""},{"dropping-particle":"","family":"Mamdani","given":"Muhammad M","non-dropping-particle":"","parse-names":false,"suffix":""}],"container-title":"CMAJ","id":"ITEM-1","issue":"7","issued":{"date-parts":[["2009"]]},"note":"800\n\nFrom Duplicate 1 (A population-based study of the drug interaction between proton pump inhibitors and clopidogrel. - Juurlink, David N; Gomes, Tara; Ko, Dennis T; Szmitko, Paul E; Austin, Peter C; Tu, Jack V; Henry, David A; Kopp, Alex; Mamdani, Muhammad M)\n\nComment in: CMAJ. 2009 Mar 31;180(7):699-700; PMID: 19332744, Comment in: CMAJ. 2009 Jun 9;180(12):1228; author reply 1229; PMID: 19506285, Comment in: CMAJ. 2009 Jun 9;180(12):1228-9; author reply 1229; PMID: 19506284, Comment in: Praxis (Bern 1994). 2010 Oct 20;99(21):1300-1; PMID: 20960402, Comment in: Evid Based Med. 2009 Oct;14(5):154; PMID: 19794029, Comment in: Ann Intern Med. 2009 Aug 18;151(4):JC2-13; PMID: 19687487","page":"713-718","publisher":"Juurlink,David N. Department of Medicine, Sunnybrook Health Sciences Centre and University of Toronto, 2075 Bayview Ave., Toronto, Ontario. dnj@ices.on.ca","publisher-place":"D. N. Juurlink, G Wing 106, Sunnybrook Health Sciences Centre, 2075 Bayview Ave., Toronto, ON M4N 3M5. E-mail: dnj@ices.on.ca","title":"A population-based study of the drug interaction between proton pump inhibitors and clopidogrel.","type":"article-journal","volume":"180"},"uris":["http://www.mendeley.com/documents/?uuid=6d7c211b-549c-4489-8f12-75f1348ee7b3"]}],"mendeley":{"formattedCitation":"(Juurlink et al. 2009)","plainTextFormattedCitation":"(Juurlink et al. 2009)","previouslyFormattedCitation":"(Juurlink et al. 2009)"},"properties":{"noteIndex":0},"schema":"https://github.com/citation-style-language/schema/raw/master/csl-citation.json"}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(Juurlink et al. 2009)</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3CFFB73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3923A78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27DF810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Prescription records</w:t>
            </w:r>
          </w:p>
        </w:tc>
        <w:tc>
          <w:tcPr>
            <w:tcW w:w="1714" w:type="dxa"/>
            <w:tcBorders>
              <w:top w:val="nil"/>
              <w:left w:val="nil"/>
              <w:bottom w:val="single" w:sz="4" w:space="0" w:color="808080"/>
              <w:right w:val="nil"/>
            </w:tcBorders>
            <w:vAlign w:val="center"/>
            <w:hideMark/>
          </w:tcPr>
          <w:p w14:paraId="4466855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(3 months)</w:t>
            </w:r>
            <w:r>
              <w:rPr>
                <w:rFonts w:ascii="Calibri" w:eastAsia="Times New Roman" w:hAnsi="Calibri" w:cs="Times New Roman"/>
                <w:color w:val="000000"/>
                <w:sz w:val="20"/>
                <w:szCs w:val="20"/>
                <w:lang w:eastAsia="en-CA"/>
              </w:rPr>
              <w:br/>
              <w:t>ACM (3 months)</w:t>
            </w:r>
          </w:p>
        </w:tc>
        <w:tc>
          <w:tcPr>
            <w:tcW w:w="2255" w:type="dxa"/>
            <w:tcBorders>
              <w:top w:val="nil"/>
              <w:left w:val="nil"/>
              <w:bottom w:val="single" w:sz="4" w:space="0" w:color="808080"/>
              <w:right w:val="nil"/>
            </w:tcBorders>
            <w:vAlign w:val="center"/>
            <w:hideMark/>
          </w:tcPr>
          <w:p w14:paraId="2C17697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Hospital admissions database</w:t>
            </w:r>
          </w:p>
        </w:tc>
        <w:tc>
          <w:tcPr>
            <w:tcW w:w="1010" w:type="dxa"/>
            <w:tcBorders>
              <w:top w:val="nil"/>
              <w:left w:val="nil"/>
              <w:bottom w:val="single" w:sz="4" w:space="0" w:color="808080"/>
              <w:right w:val="nil"/>
            </w:tcBorders>
            <w:vAlign w:val="center"/>
            <w:hideMark/>
          </w:tcPr>
          <w:p w14:paraId="193535C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2002-2009</w:t>
            </w:r>
          </w:p>
        </w:tc>
        <w:tc>
          <w:tcPr>
            <w:tcW w:w="1231" w:type="dxa"/>
            <w:tcBorders>
              <w:top w:val="nil"/>
              <w:left w:val="nil"/>
              <w:bottom w:val="single" w:sz="4" w:space="0" w:color="808080"/>
              <w:right w:val="nil"/>
            </w:tcBorders>
            <w:vAlign w:val="center"/>
            <w:hideMark/>
          </w:tcPr>
          <w:p w14:paraId="295BB97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68C290C4" w14:textId="77777777" w:rsidTr="00B842AC">
        <w:trPr>
          <w:trHeight w:val="1056"/>
        </w:trPr>
        <w:tc>
          <w:tcPr>
            <w:tcW w:w="1522" w:type="dxa"/>
            <w:tcBorders>
              <w:top w:val="nil"/>
              <w:left w:val="nil"/>
              <w:bottom w:val="single" w:sz="4" w:space="0" w:color="808080"/>
              <w:right w:val="nil"/>
            </w:tcBorders>
            <w:vAlign w:val="center"/>
            <w:hideMark/>
          </w:tcPr>
          <w:p w14:paraId="4BDC7382" w14:textId="0D8C648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{"citationItems":[{"id":"ITEM-1","itemData":{"ISSN":"1524-4628","abstract":"BACKGROUND AND PURPOSE: evidence suggests that some proton pump inhibitors can attenuate the antiplatelet effect of clopidogrel. The significance of this potential drug interaction in patients with cerebrovascular disease is unknown., METHODS: we conducted a nested case-control study of all Ontario residents aged &gt; 66 years newly treated with clopidogrel after a stroke between April 1, 2002, and September 30, 2008. In the primary analysis, case patients were those readmitted for stroke, and a secondary analysis examined all-cause mortality. For each case, up to 4 event-free control subjects were matched on age, gender, and outcome type (stroke or transient ischemic attack). Exposure to proton pump inhibitors was categorized as current (within 60 days), previous (61 to 180 days), or remote (181 to 365 days)., RESULTS: among 2765 patients entering the cohort, we identified 118 cases readmitted for stroke and 472 control subjects. After multivariable adjustment, current use of proton pump inhibitors was not associated with a significantly increased risk of recurrent stroke (adjusted odds ratio, 1.05; 95% CI, 0.60 to 1.82) or death (adjusted odds ratio, 1.84; 95% CI, 0.88 to 3.89)., CONCLUSIONS: as a class, proton pump inhibitors are not associated with an increased risk of recurrent stroke or death among older patients treated with clopidogrel after stroke.","author":[{"dropping-particle":"","family":"Juurlink","given":"David N","non-dropping-particle":"","parse-names":false,"suffix":""},{"dropping-particle":"","family":"Gomes","given":"Tara","non-dropping-particle":"","parse-names":false,"suffix":""},{"dropping-particle":"","family":"Mamdani","given":"Muhammad M","non-dropping-particle":"","parse-names":false,"suffix":""},{"dropping-particle":"","family":"Gladstone","given":"David J","non-dropping-particle":"","parse-names":false,"suffix":""},{"dropping-particle":"","family":"Kapral","given":"Moira K","non-dropping-particle":"","parse-names":false,"suffix":""}],"container-title":"Stroke; a journal of cerebral circulation","id":"ITEM-1","issue":"1","issued":{"date-parts":[["2011"]]},"note":"591","page":"128-132","publisher":"Juurlink,David N. Sunnybrook Research Institute, Toronto, Ontario, Canada. dnj@ices.on.ca","publisher-place":"United States","title":"The safety of proton pump inhibitors and clopidogrel in patients after stroke.","type":"article-journal","volume":"42"},"uris":["http://www.mendeley.com/documents/?uuid=040bdc27-b73b-440d-af55-30cd5842296b"]}],"mendeley":{"formattedCitation":"(Juurlink et al. 2011)","plainTextFormattedCitation":"(Juurlink et al. 2011)","previouslyFormattedCitation":"(Juurlink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(Juurlink et al. 2011)</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63480CB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5E1C445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7D7757A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Drug program database</w:t>
            </w:r>
          </w:p>
        </w:tc>
        <w:tc>
          <w:tcPr>
            <w:tcW w:w="1714" w:type="dxa"/>
            <w:tcBorders>
              <w:top w:val="nil"/>
              <w:left w:val="nil"/>
              <w:bottom w:val="single" w:sz="4" w:space="0" w:color="808080"/>
              <w:right w:val="nil"/>
            </w:tcBorders>
            <w:vAlign w:val="center"/>
            <w:hideMark/>
          </w:tcPr>
          <w:p w14:paraId="6669D65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Stroke (readmission) (up to 6 months)</w:t>
            </w:r>
            <w:r>
              <w:rPr>
                <w:rFonts w:ascii="Calibri" w:eastAsia="Times New Roman" w:hAnsi="Calibri" w:cs="Times New Roman"/>
                <w:color w:val="000000"/>
                <w:sz w:val="20"/>
                <w:szCs w:val="20"/>
                <w:lang w:eastAsia="en-CA"/>
              </w:rPr>
              <w:br/>
              <w:t>ACM (up to 6 months)</w:t>
            </w:r>
          </w:p>
        </w:tc>
        <w:tc>
          <w:tcPr>
            <w:tcW w:w="2255" w:type="dxa"/>
            <w:tcBorders>
              <w:top w:val="nil"/>
              <w:left w:val="nil"/>
              <w:bottom w:val="single" w:sz="4" w:space="0" w:color="808080"/>
              <w:right w:val="nil"/>
            </w:tcBorders>
            <w:vAlign w:val="center"/>
            <w:hideMark/>
          </w:tcPr>
          <w:p w14:paraId="0551990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Database</w:t>
            </w:r>
          </w:p>
        </w:tc>
        <w:tc>
          <w:tcPr>
            <w:tcW w:w="1010" w:type="dxa"/>
            <w:tcBorders>
              <w:top w:val="nil"/>
              <w:left w:val="nil"/>
              <w:bottom w:val="single" w:sz="4" w:space="0" w:color="808080"/>
              <w:right w:val="nil"/>
            </w:tcBorders>
            <w:vAlign w:val="center"/>
            <w:hideMark/>
          </w:tcPr>
          <w:p w14:paraId="2667B8C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2002-2008</w:t>
            </w:r>
          </w:p>
        </w:tc>
        <w:tc>
          <w:tcPr>
            <w:tcW w:w="1231" w:type="dxa"/>
            <w:tcBorders>
              <w:top w:val="nil"/>
              <w:left w:val="nil"/>
              <w:bottom w:val="single" w:sz="4" w:space="0" w:color="808080"/>
              <w:right w:val="nil"/>
            </w:tcBorders>
            <w:vAlign w:val="center"/>
            <w:hideMark/>
          </w:tcPr>
          <w:p w14:paraId="7429202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707E28E4" w14:textId="77777777" w:rsidTr="00B842AC">
        <w:trPr>
          <w:trHeight w:val="333"/>
        </w:trPr>
        <w:tc>
          <w:tcPr>
            <w:tcW w:w="1522" w:type="dxa"/>
            <w:tcBorders>
              <w:top w:val="nil"/>
              <w:left w:val="nil"/>
              <w:bottom w:val="single" w:sz="4" w:space="0" w:color="808080"/>
              <w:right w:val="nil"/>
            </w:tcBorders>
            <w:vAlign w:val="center"/>
            <w:hideMark/>
          </w:tcPr>
          <w:p w14:paraId="0B3895EF" w14:textId="2A059262"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{"citationItems":[{"id":"ITEM-1","itemData":{"ISBN":"1053-8569","abstract":"Background: Concomitant use of proton pump inhibitor (PPI) is recommended to reduce the gastrointestinal bleeding events in high risk patients received anti-platelet therapy. In recent years, some or all PPIs might decrease the platelet inhibitory effects of antiplatelet drugs there has been controversy about the impact of clinical outcomes. Case-based design accounted for confounding between patients such as the genetic and functional variability in the hepatic CYP P450 isoenzymes. Objectives: To investigate the association between use of PPI and risk of recurrent MI in patients receiving dual anti-platelet therapy (DAPT) consisting aspirin and clopidogrel. Methods: We conducted a population-based casecrossover study using the Korean Health Insurance Review and Assessment Service database in patients aged 30 to 99 years old, received DAPT from January 1, 2008 to December 31, 2010 after hospitalization for acute myocardial infarction (AMI). We identified recurrent MI cases as principal and subsidiary diagnosis of hospitalization or emergency department visit including AMI (I21) and subsidiary MI (I22). For each case, PPI use in 14 day period prior to the first recurrent date for MI was compared with PPI use in four earlier 14 day control period. Conditional logistic regression was used to calculate odds ratio (OR) and 95% confidence interval (CI), adjusting for concomitant medications that could affect recurrent MI. Results: We identified 43,822 AMI patients received DAPT consisting aspirin and clopidogrel. Among the AMI patients 3,583 cases were found. After adjustment, use of PPI was associated with an increased the risk of recurrent MI (adjusted OR 1.35, 95%CI, 1.05-1.75). In a stratified analysis, all PPIs except pantoprazole increased the risk of recurrent MI (1.56, 95%CI, 1.16-2.10). However, the aORs of recurrent MI for omeprazole, pantoprazole, lansoprazole, and esomeprazole were not statistically significant. Conclusions: The study result suggests careful monitorings are needed when concomitant use of PPI in AMI patients receiving DAPT particularly within 14 days after initiation.","author":[{"dropping-particle":"","family":"Kim","given":"MS","non-dropping-particle":"","parse-names":false,"suffix":""},{"dropping-particle":"","family":"Shin","given":"JY","non-dropping-particle":"","parse-names":false,"suffix":""},{"dropping-particle":"","family":"Jung","given":"SY","non-dropping-particle":"","parse-names":false,"suffix":""},{"dropping-particle":"","family":"Song","given":"HJ","non-dropping-particle":"","parse-names":false,"suffix":""},{"dropping-particle":"","family":"Park","given":"BJ","non-dropping-particle":"","parse-names":false,"suffix":""}],"collection-title":"30th International Conference on Pharmacoepidemiology and Therapeutic Risk Management Taipei Taiwan (Republic of China). Conference Start: 20141024 Conference End: 20141027","container-title":"Pharmacoepidemiology and Drug Safety","id":"ITEM-1","issued":{"date-parts":[["2014"]]},"note":"151cant find","page":"456-457","publisher":"John Wiley and Sons Ltd","publisher-place":"Y.-J. Kim, Department of Preventive Medicine, Seoul National University, College of Medicine, Seoul, South Korea","title":"Impact of concomitant use of proton pump inhibitors and dual antiplatelet therapy on recurrent myocardial infarction: A population-based case cross-over study","type":"article","volume":"23"},"uris":["http://www.mendeley.com/documents/?uuid=81f94e2e-b884-4201-965e-547ad0b8b3f4"]}],"mendeley":{"formattedCitation":"(Kim et al. 2014)","plainTextFormattedCitation":"(Kim et al. 2014)","previouslyFormattedCitation":"(Kim et al. 2014)"},"properties":{"noteIndex":0},"schema":"https://github.com/citation-style-language/schema/raw/master/csl-citation.json"}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(Kim et al. 2014)</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t xml:space="preserve"> </w:t>
            </w:r>
          </w:p>
          <w:p w14:paraId="14DCA66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[abstract]</w:t>
            </w:r>
          </w:p>
        </w:tc>
        <w:tc>
          <w:tcPr>
            <w:tcW w:w="1842" w:type="dxa"/>
            <w:tcBorders>
              <w:top w:val="nil"/>
              <w:left w:val="nil"/>
              <w:bottom w:val="single" w:sz="4" w:space="0" w:color="808080"/>
              <w:right w:val="nil"/>
            </w:tcBorders>
            <w:vAlign w:val="center"/>
            <w:hideMark/>
          </w:tcPr>
          <w:p w14:paraId="6FE96AB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68AF63B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vAlign w:val="center"/>
            <w:hideMark/>
          </w:tcPr>
          <w:p w14:paraId="2B90512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Database</w:t>
            </w:r>
          </w:p>
        </w:tc>
        <w:tc>
          <w:tcPr>
            <w:tcW w:w="1714" w:type="dxa"/>
            <w:tcBorders>
              <w:top w:val="nil"/>
              <w:left w:val="nil"/>
              <w:bottom w:val="single" w:sz="4" w:space="0" w:color="808080"/>
              <w:right w:val="nil"/>
            </w:tcBorders>
            <w:vAlign w:val="center"/>
            <w:hideMark/>
          </w:tcPr>
          <w:p w14:paraId="5A85DC1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recurrent MI (not reported)</w:t>
            </w:r>
          </w:p>
        </w:tc>
        <w:tc>
          <w:tcPr>
            <w:tcW w:w="2255" w:type="dxa"/>
            <w:tcBorders>
              <w:top w:val="nil"/>
              <w:left w:val="nil"/>
              <w:bottom w:val="single" w:sz="4" w:space="0" w:color="808080"/>
              <w:right w:val="nil"/>
            </w:tcBorders>
            <w:vAlign w:val="center"/>
            <w:hideMark/>
          </w:tcPr>
          <w:p w14:paraId="5C5974E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Database</w:t>
            </w:r>
          </w:p>
        </w:tc>
        <w:tc>
          <w:tcPr>
            <w:tcW w:w="1010" w:type="dxa"/>
            <w:tcBorders>
              <w:top w:val="nil"/>
              <w:left w:val="nil"/>
              <w:bottom w:val="single" w:sz="4" w:space="0" w:color="808080"/>
              <w:right w:val="nil"/>
            </w:tcBorders>
            <w:vAlign w:val="center"/>
            <w:hideMark/>
          </w:tcPr>
          <w:p w14:paraId="6EE5FF1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2008 - 2010</w:t>
            </w:r>
          </w:p>
        </w:tc>
        <w:tc>
          <w:tcPr>
            <w:tcW w:w="1231" w:type="dxa"/>
            <w:tcBorders>
              <w:top w:val="nil"/>
              <w:left w:val="nil"/>
              <w:bottom w:val="single" w:sz="4" w:space="0" w:color="808080"/>
              <w:right w:val="nil"/>
            </w:tcBorders>
            <w:vAlign w:val="center"/>
            <w:hideMark/>
          </w:tcPr>
          <w:p w14:paraId="0877A19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07C59020" w14:textId="77777777" w:rsidTr="00B842AC">
        <w:trPr>
          <w:trHeight w:val="51"/>
        </w:trPr>
        <w:tc>
          <w:tcPr>
            <w:tcW w:w="1522" w:type="dxa"/>
            <w:tcBorders>
              <w:top w:val="nil"/>
              <w:left w:val="nil"/>
              <w:bottom w:val="single" w:sz="4" w:space="0" w:color="808080"/>
              <w:right w:val="nil"/>
            </w:tcBorders>
            <w:vAlign w:val="center"/>
            <w:hideMark/>
          </w:tcPr>
          <w:p w14:paraId="32F39E47" w14:textId="2931D3CA"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{"citationItems":[{"id":"ITEM-1","itemData":{"ISBN":"0277-0008","ISSN":"1875-9114","abstract":"STUDY OBJECTIVE: To investigate the potential impact of proton pump inhibitors (PPIs) on the effectiveness of clopidogrel in preventing recurrent ischemic events after percutaneous coronary intervention (PCI) with stent placement., DESIGN: Population-based, retrospective cohort study., DATA SOURCE: National medical and pharmacy benefit claims database comprising approximately 19 million members., PATIENTS: A total of 16,690 patients who had undergone PCI with stent placement and who were highly adherent to clopidogrel therapy alone (9862 patients) or to clopidogrel with a PPI (6828 patients) between October 1, 2005, and September 30, 2006., MEASUREMENTS AND MAIN RESULTS: The primary end point was the occurrence of a major adverse cardiovascular event during the 12 months after stent placement. These events were defined as hospitalization for a cerebrovascular event (stroke or transient ischemic attack), an acute coronary syndrome (myocardial infarction or unstable angina), coronary revascularization (PCI or coronary artery bypass graft), or cardiovascular death. A composite event rate was compared between patients who received clopidogrel alone and those who received concomitant clopidogrel-PPI therapy. Baseline differences in covariates were adjusted by using Cox proportional hazards models. In the 9862 patients receiving clopidogrel alone, 1766 (17.9%) experienced a major adverse cardiovascular event compared with 1710 patients (25.0%) who received concomitant clopidogrel-PPI therapy (adjusted hazard ratio 1.51, 95% confidence interval 1.39-1.64, p&lt;0.0001). Similar associations of increased risk were observed for each PPI studied (omeprazole, esomeprazole, pantoprazole, and lansoprazole)., CONCLUSION: Concomitant use of a PPI and clopidogrel compared with clopidogrel alone was associated with a higher rate of major adverse cardiovascular events within 1 year after coronary stent placement.","author":[{"dropping-particle":"","family":"Kreutz","given":"Rolf P","non-dropping-particle":"","parse-names":false,"suffix":""},{"dropping-particle":"","family":"Stanek","given":"Eric J","non-dropping-particle":"","parse-names":false,"suffix":""},{"dropping-particle":"","family":"Aubert","given":"Ronald","non-dropping-particle":"","parse-names":false,"suffix":""},{"dropping-particle":"","family":"Yao","given":"Jianying","non-dropping-particle":"","parse-names":false,"suffix":""},{"dropping-particle":"","family":"Breall","given":"Jeffrey A","non-dropping-particle":"","parse-names":false,"suffix":""},{"dropping-particle":"","family":"Desta","given":"Zeruesenay","non-dropping-particle":"","parse-names":false,"suffix":""},{"dropping-particle":"","family":"Skaar","given":"Todd C","non-dropping-particle":"","parse-names":false,"suffix":""},{"dropping-particle":"","family":"Teagarden","given":"J Russell","non-dropping-particle":"","parse-names":false,"suffix":""},{"dropping-particle":"","family":"Frueh","given":"Felix W","non-dropping-particle":"","parse-names":false,"suffix":""},{"dropping-particle":"","family":"Epstein","given":"Robert S","non-dropping-particle":"","parse-names":false,"suffix":""},{"dropping-particle":"","family":"Flockhart","given":"David A","non-dropping-particle":"","parse-names":false,"suffix":""}],"container-title":"Pharmacotherapy","id":"ITEM-1","issue":"8","issued":{"date-parts":[["2010"]]},"note":"698","page":"787-796","publisher":"Pharmacotherapy Publications Inc. (750 Washington Street, Boston MA 02111, United States)","publisher-place":"J. R. Teagarden, Department of Medical and Analytical Affairs, Medco Health Solutions, Inc., Franklin Lakes, NJ, United States","title":"Impact of proton pump inhibitors on the effectiveness of clopidogrel after coronary stent placement: The clopidogrel Medco outcomes study","type":"article-journal","volume":"30"},"uris":["http://www.mendeley.com/documents/?uuid=970b230d-29aa-4b7b-b8c1-00f470adbdb6"]}],"mendeley":{"formattedCitation":"(Kreutz et al. 2010)","plainTextFormattedCitation":"(Kreutz et al. 2010)","previouslyFormattedCitation":"(Kreutz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(Kreutz et al. 2010)</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470BCF8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2B26322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7360065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Prescription claims database. </w:t>
            </w:r>
          </w:p>
        </w:tc>
        <w:tc>
          <w:tcPr>
            <w:tcW w:w="1714" w:type="dxa"/>
            <w:tcBorders>
              <w:top w:val="nil"/>
              <w:left w:val="nil"/>
              <w:bottom w:val="single" w:sz="4" w:space="0" w:color="808080"/>
              <w:right w:val="nil"/>
            </w:tcBorders>
            <w:vAlign w:val="center"/>
            <w:hideMark/>
          </w:tcPr>
          <w:p w14:paraId="45E1476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 year)</w:t>
            </w:r>
            <w:r>
              <w:rPr>
                <w:rFonts w:ascii="Calibri" w:eastAsia="Times New Roman" w:hAnsi="Calibri" w:cs="Times New Roman"/>
                <w:color w:val="000000"/>
                <w:sz w:val="20"/>
                <w:szCs w:val="20"/>
                <w:lang w:eastAsia="en-CA"/>
              </w:rPr>
              <w:br/>
              <w:t>CVD (1 year)</w:t>
            </w:r>
          </w:p>
        </w:tc>
        <w:tc>
          <w:tcPr>
            <w:tcW w:w="2255" w:type="dxa"/>
            <w:tcBorders>
              <w:top w:val="nil"/>
              <w:left w:val="nil"/>
              <w:bottom w:val="single" w:sz="4" w:space="0" w:color="808080"/>
              <w:right w:val="nil"/>
            </w:tcBorders>
            <w:vAlign w:val="center"/>
            <w:hideMark/>
          </w:tcPr>
          <w:p w14:paraId="6E7DDD1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Claims records</w:t>
            </w:r>
          </w:p>
        </w:tc>
        <w:tc>
          <w:tcPr>
            <w:tcW w:w="1010" w:type="dxa"/>
            <w:tcBorders>
              <w:top w:val="nil"/>
              <w:left w:val="nil"/>
              <w:bottom w:val="single" w:sz="4" w:space="0" w:color="808080"/>
              <w:right w:val="nil"/>
            </w:tcBorders>
            <w:vAlign w:val="center"/>
            <w:hideMark/>
          </w:tcPr>
          <w:p w14:paraId="6D969F0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2005-2006</w:t>
            </w:r>
          </w:p>
        </w:tc>
        <w:tc>
          <w:tcPr>
            <w:tcW w:w="1231" w:type="dxa"/>
            <w:tcBorders>
              <w:top w:val="nil"/>
              <w:left w:val="nil"/>
              <w:bottom w:val="single" w:sz="4" w:space="0" w:color="808080"/>
              <w:right w:val="nil"/>
            </w:tcBorders>
            <w:vAlign w:val="center"/>
            <w:hideMark/>
          </w:tcPr>
          <w:p w14:paraId="4660B9D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Industry and Public/non profit</w:t>
            </w:r>
          </w:p>
        </w:tc>
      </w:tr>
      <w:tr w:rsidR="00B842AC" w14:paraId="10FFC0EB" w14:textId="77777777" w:rsidTr="00B842AC">
        <w:trPr>
          <w:trHeight w:val="1095"/>
        </w:trPr>
        <w:tc>
          <w:tcPr>
            <w:tcW w:w="1522" w:type="dxa"/>
            <w:tcBorders>
              <w:top w:val="nil"/>
              <w:left w:val="nil"/>
              <w:bottom w:val="single" w:sz="4" w:space="0" w:color="808080"/>
              <w:right w:val="nil"/>
            </w:tcBorders>
            <w:vAlign w:val="center"/>
            <w:hideMark/>
          </w:tcPr>
          <w:p w14:paraId="4136BF24" w14:textId="01753B1D"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{"citationItems":[{"id":"ITEM-1","itemData":{"ISSN":"1473-4877","abstract":"OBJECTIVE: To examine the effect of concomitant use of clopidogrel and PPIs in a national sample of elderly Medicare beneficiaries (age &gt;65 years)., METHODS: A nested case-control design was employed. A cohort of Medicare beneficiaries who initiated clopidogrel and did not have any gap of &gt;30 days between clopidogrel fills between July 1, 2006 and December 31, 2008 was identified from a 5% national sample of Medicare claims data. Within this cohort, cases (beneficiaries who experienced any major cardiovascular event [MCE] [acute myocardial infarction, stroke, coronary artery bypass graft, or percutaneous coronary intervention] or all-cause mortality) and controls (beneficiaries who did not experience any MCE or all-cause mortality) were identified from inpatient and outpatient claims. Cases and controls were matched on age and the time to first clopidogrel fill. Conditional logistic regression was performed on the matched sample to evaluate the association between concomitant use of clopidogrel and PPIs and adverse health outcomes (MCEs and all-cause mortality)., RESULTS: A total of 43,159 clopidogrel users were identified. Among them, 15,415 (35.7%) received clopidogrel and a PPI concomitantly at any time during the study period, 3502 (8.1%) experienced a MCE, 7306 (17.1%) died, and a total of 9908 (22.8%) experienced the primary composite outcome (any MCE or all-cause mortality) during follow-up. The odds ratio (OR) for the primary composite outcome was 1.26 (95% confidence interval [CI]: 1.18-1.35). Secondary analyses indicated that elderly patients using clopidogrel and a PPI concomitantly were more likely to experience all-cause mortality (OR: 1.40; 95% CI: 1.29-1.53) as compared to those receiving clopidogrel only, but not MCEs (OR: 1.06; 95% CI: 0.95-1.18)., CONCLUSIONS: Concomitant use of clopidogrel and PPIs was associated with a slightly increased risk of all-cause mortality but not MCEs.","author":[{"dropping-particle":"","family":"Mahabaleshwarkar","given":"Rohan K","non-dropping-particle":"","parse-names":false,"suffix":""},{"dropping-particle":"","family":"Yang","given":"Yi","non-dropping-particle":"","parse-names":false,"suffix":""},{"dropping-particle":"V","family":"Datar","given":"Manasi","non-dropping-particle":"","parse-names":false,"suffix":""},{"dropping-particle":"","family":"Bentley","given":"John P","non-dropping-particle":"","parse-names":false,"suffix":""},{"dropping-particle":"","family":"Strum","given":"Matthew W","non-dropping-particle":"","parse-names":false,"suffix":""},{"dropping-particle":"","family":"Banahan","given":"Benjamin F","non-dropping-particle":"","parse-names":false,"suffix":""},{"dropping-particle":"","family":"Null","given":"Kyle D","non-dropping-particle":"","parse-names":false,"suffix":""}],"container-title":"Current medical research and opinion","id":"ITEM-1","issue":"4","issued":{"date-parts":[["2013"]]},"note":"284","page":"315-323","publisher":"Mahabaleshwarkar,Rohan K. The University of Mississippi, MS 38677, USA.","publisher-place":"England","title":"Risk of adverse cardiovascular outcomes and all-cause mortality associated with concomitant use of clopidogrel and proton pump inhibitors in elderly patients.","type":"article-journal","volume":"29"},"uris":["http://www.mendeley.com/documents/?uuid=c52b1f37-4718-493d-8061-e7e55155b183"]}],"mendeley":{"formattedCitation":"(Mahabaleshwarkar et al. 2013)","plainTextFormattedCitation":"(Mahabaleshwarkar et al. 2013)","previouslyFormattedCitation":"(Mahabaleshwarkar et al. 2013)"},"properties":{"noteIndex":0},"schema":"https://github.com/citation-style-language/schema/raw/master/csl-citation.json"}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(Mahabaleshwarkar et al. 2013)</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6C4FA5A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46933F9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19FADBE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Medicare drug event file </w:t>
            </w:r>
          </w:p>
        </w:tc>
        <w:tc>
          <w:tcPr>
            <w:tcW w:w="1714" w:type="dxa"/>
            <w:tcBorders>
              <w:top w:val="nil"/>
              <w:left w:val="nil"/>
              <w:bottom w:val="single" w:sz="4" w:space="0" w:color="808080"/>
              <w:right w:val="nil"/>
            </w:tcBorders>
            <w:vAlign w:val="center"/>
            <w:hideMark/>
          </w:tcPr>
          <w:p w14:paraId="47D3A75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MI </w:t>
            </w:r>
            <w:r>
              <w:rPr>
                <w:rFonts w:ascii="Calibri" w:eastAsia="Times New Roman" w:hAnsi="Calibri" w:cs="Times New Roman"/>
                <w:color w:val="000000"/>
                <w:sz w:val="20"/>
                <w:szCs w:val="20"/>
                <w:lang w:eastAsia="en-CA"/>
              </w:rPr>
              <w:br/>
              <w:t>Stroke</w:t>
            </w:r>
            <w:r>
              <w:rPr>
                <w:rFonts w:ascii="Calibri" w:eastAsia="Times New Roman" w:hAnsi="Calibri" w:cs="Times New Roman"/>
                <w:color w:val="000000"/>
                <w:sz w:val="20"/>
                <w:szCs w:val="20"/>
                <w:lang w:eastAsia="en-CA"/>
              </w:rPr>
              <w:br/>
              <w:t>ACM</w:t>
            </w:r>
            <w:r>
              <w:rPr>
                <w:rFonts w:ascii="Calibri" w:eastAsia="Times New Roman" w:hAnsi="Calibri" w:cs="Times New Roman"/>
                <w:color w:val="1F497D"/>
                <w:sz w:val="20"/>
                <w:szCs w:val="20"/>
                <w:lang w:eastAsia="en-CA"/>
              </w:rPr>
              <w:t xml:space="preserve"> </w:t>
            </w:r>
          </w:p>
        </w:tc>
        <w:tc>
          <w:tcPr>
            <w:tcW w:w="2255" w:type="dxa"/>
            <w:tcBorders>
              <w:top w:val="nil"/>
              <w:left w:val="nil"/>
              <w:bottom w:val="single" w:sz="4" w:space="0" w:color="808080"/>
              <w:right w:val="nil"/>
            </w:tcBorders>
            <w:vAlign w:val="center"/>
            <w:hideMark/>
          </w:tcPr>
          <w:p w14:paraId="1DC71D0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Inpatient claims (MI and stroke); </w:t>
            </w:r>
            <w:r>
              <w:rPr>
                <w:rFonts w:ascii="Calibri" w:eastAsia="Times New Roman" w:hAnsi="Calibri" w:cs="Times New Roman"/>
                <w:color w:val="000000"/>
                <w:sz w:val="20"/>
                <w:szCs w:val="20"/>
                <w:lang w:eastAsia="en-CA"/>
              </w:rPr>
              <w:br/>
              <w:t>Medicare Beneficiary Summary file (ACM).</w:t>
            </w:r>
          </w:p>
        </w:tc>
        <w:tc>
          <w:tcPr>
            <w:tcW w:w="1010" w:type="dxa"/>
            <w:tcBorders>
              <w:top w:val="nil"/>
              <w:left w:val="nil"/>
              <w:bottom w:val="single" w:sz="4" w:space="0" w:color="808080"/>
              <w:right w:val="nil"/>
            </w:tcBorders>
            <w:vAlign w:val="center"/>
            <w:hideMark/>
          </w:tcPr>
          <w:p w14:paraId="7AB080E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2006 - 2008</w:t>
            </w:r>
          </w:p>
        </w:tc>
        <w:tc>
          <w:tcPr>
            <w:tcW w:w="1231" w:type="dxa"/>
            <w:tcBorders>
              <w:top w:val="nil"/>
              <w:left w:val="nil"/>
              <w:bottom w:val="single" w:sz="4" w:space="0" w:color="808080"/>
              <w:right w:val="nil"/>
            </w:tcBorders>
            <w:vAlign w:val="center"/>
            <w:hideMark/>
          </w:tcPr>
          <w:p w14:paraId="604D4FE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05A3595F" w14:textId="77777777" w:rsidTr="00B842AC">
        <w:trPr>
          <w:trHeight w:val="288"/>
        </w:trPr>
        <w:tc>
          <w:tcPr>
            <w:tcW w:w="1522" w:type="dxa"/>
            <w:tcBorders>
              <w:top w:val="nil"/>
              <w:left w:val="nil"/>
              <w:bottom w:val="single" w:sz="4" w:space="0" w:color="808080"/>
              <w:right w:val="nil"/>
            </w:tcBorders>
            <w:vAlign w:val="center"/>
            <w:hideMark/>
          </w:tcPr>
          <w:p w14:paraId="3E98A2FB" w14:textId="087E2E09"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lastRenderedPageBreak/>
              <w:fldChar w:fldCharType="begin" w:fldLock="1"/>
            </w:r>
            <w:r w:rsidR="00D325C7">
              <w:rPr>
                <w:rFonts w:ascii="Calibri" w:eastAsia="Times New Roman" w:hAnsi="Calibri" w:cs="Times New Roman"/>
                <w:color w:val="000000"/>
                <w:sz w:val="20"/>
                <w:szCs w:val="20"/>
                <w:lang w:eastAsia="en-CA"/>
              </w:rPr>
              <w:instrText>ADDIN CSL_CITATION {"citationItems":[{"id":"ITEM-1","itemData":{"ISBN":"0160-2446","ISSN":"1533-4023","abstract":"BACKGROUND: Among patients receiving clopidogrel for coronary artery disease, concomitant therapy with proton pump inhibitors (PPIs) has been associated with an increased risk for recurrent coronary events., PATIENTS AND METHODS: Factores de Riesgo y ENfermedad Arterial (FRENA) is an ongoing, multicenter, observational registry of consecutive outpatients with coronary artery disease, cerebrovascular disease, or peripheral artery disease. We retrospectively examined the influence of concomitant use of PPIs on outcome in patients receiving clopidogrel., RESULTS: As of March 2009, 1222 patients were using clopidogrel: 595 had coronary artery disease, 329 cerebrovascular disease, and 298 had peripheral artery disease. Of these, 519 (42%) were concomitantly using PPIs. Over a mean follow-up of 15 months, 131 patients (11%) had 139 subsequent ischemic events: myocardial infarction 44, ischemic stroke 40, and critical limb ischemia 55. Seventeen of them (13%) died within 15 days of the subsequent event. PPI users had a higher incidence of myocardial infarction (rate ratio, 2.5; 95% confidence interval [CI], 1.3-4.8), ischemic stroke (rate ratio, 1.9; 95% CI, 1.03-3.7), and a nonsignificantly higher rate of critical limb ischemia (rate ratio, 1.6; 95% CI, 0.95-2.8) than nonusers. On multivariate analysis, concomitant use of clopidogrel and PPIs was independently associated with an increased risk for subsequent ischemic events both in the whole series of patients (hazard ratio, 1.8; 95% CI, 1.1-2.7) and in those with cerebrovascular disease or peripheral artery disease (hazard ratio, 1.5; 95% CI, 1.01-2.4)., CONCLUSIONS: In patients with established arterial disease, concomitant use of PPIs and clopidogrel was associated with a nearly doubling of the incidence of subsequent myocardial infarction or ischemic stroke. This higher incidence persisted after multivariate adjustment.","author":[{"dropping-particle":"","family":"Munoz-Torrero","given":"Juan Francisco Sanchez","non-dropping-particle":"","parse-names":false,"suffix":""},{"dropping-particle":"","family":"Escudero","given":"Domingo","non-dropping-particle":"","parse-names":false,"suffix":""},{"dropping-particle":"","family":"Suarez","given":"Carmen","non-dropping-particle":"","parse-names":false,"suffix":""},{"dropping-particle":"","family":"Sanclemente","given":"Carmen","non-dropping-particle":"","parse-names":false,"suffix":""},{"dropping-particle":"","family":"Pascual","given":"Ma Teresa","non-dropping-particle":"","parse-names":false,"suffix":""},{"dropping-particle":"","family":"Zamorano","given":"Jose","non-dropping-particle":"","parse-names":false,"suffix":""},{"dropping-particle":"","family":"Trujillo-Santos","given":"Javier","non-dropping-particle":"","parse-names":false,"suffix":""},{"dropping-particle":"","family":"Monreal","given":"Manuel","non-dropping-particle":"","parse-names":false,"suffix":""}],"container-title":"Journal of Cardiovascular Pharmacology","id":"ITEM-1","issue":"1","issued":{"date-parts":[["2011"]]},"note":"552","page":"13-19","publisher":"Munoz-Torrero,Juan Francisco Sanchez. Department of Internal Medicine, Hospital San Pedro de Alcantara, Caceres, Spain.","publisher-place":"United States","title":"Concomitant use of proton pump inhibitors and clopidogrel in patients with coronary, cerebrovascular, or peripheral artery disease in the factores de Riesgo y ENfermedad Arterial (FRENA) registry.","type":"article-journal","volume":"57"},"uris":["http://www.mendeley.com/documents/?uuid=7ccdd93e-d639-4d86-832e-ce5da21047ba"]}],"mendeley":{"formattedCitation":"(Munoz-Torrero et al. 2011)","plainTextFormattedCitation":"(Munoz-Torrero et al. 2011)","previouslyFormattedCitation":"(Munoz-Torrero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(Munoz-Torrero et al. 2011)</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00B1461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2BDA77BC" w14:textId="77777777" w:rsidR="00B842AC" w:rsidRDefault="00B842AC" w:rsidP="00B842AC">
            <w:pPr>
              <w:rPr>
                <w:rFonts w:ascii="Calibri" w:eastAsia="Times New Roman" w:hAnsi="Calibri" w:cs="Times New Roman"/>
                <w:sz w:val="20"/>
                <w:szCs w:val="20"/>
                <w:lang w:eastAsia="en-CA"/>
              </w:rPr>
            </w:pPr>
            <w:r>
              <w:rPr>
                <w:rFonts w:ascii="Calibri" w:eastAsia="Times New Roman" w:hAnsi="Calibri" w:cs="Times New Roman"/>
                <w:color w:val="000000"/>
                <w:sz w:val="20"/>
                <w:szCs w:val="20"/>
                <w:lang w:eastAsia="en-CA"/>
              </w:rPr>
              <w:t>No</w:t>
            </w:r>
            <w:r>
              <w:rPr>
                <w:rFonts w:ascii="Calibri" w:eastAsia="Times New Roman" w:hAnsi="Calibri" w:cs="Times New Roman"/>
                <w:sz w:val="20"/>
                <w:szCs w:val="20"/>
                <w:lang w:eastAsia="en-CA"/>
              </w:rPr>
              <w:t xml:space="preserve"> </w:t>
            </w:r>
          </w:p>
        </w:tc>
        <w:tc>
          <w:tcPr>
            <w:tcW w:w="2268" w:type="dxa"/>
            <w:tcBorders>
              <w:top w:val="nil"/>
              <w:left w:val="nil"/>
              <w:bottom w:val="single" w:sz="4" w:space="0" w:color="808080"/>
              <w:right w:val="nil"/>
            </w:tcBorders>
            <w:vAlign w:val="center"/>
            <w:hideMark/>
          </w:tcPr>
          <w:p w14:paraId="7730348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Collected info within 3 months of study entry.</w:t>
            </w:r>
          </w:p>
        </w:tc>
        <w:tc>
          <w:tcPr>
            <w:tcW w:w="1714" w:type="dxa"/>
            <w:tcBorders>
              <w:top w:val="nil"/>
              <w:left w:val="nil"/>
              <w:bottom w:val="single" w:sz="4" w:space="0" w:color="808080"/>
              <w:right w:val="nil"/>
            </w:tcBorders>
            <w:vAlign w:val="center"/>
            <w:hideMark/>
          </w:tcPr>
          <w:p w14:paraId="0F5CCE9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(at least 1 year)</w:t>
            </w:r>
            <w:r>
              <w:rPr>
                <w:rFonts w:ascii="Calibri" w:eastAsia="Times New Roman" w:hAnsi="Calibri" w:cs="Times New Roman"/>
                <w:color w:val="000000"/>
                <w:sz w:val="20"/>
                <w:szCs w:val="20"/>
                <w:lang w:eastAsia="en-CA"/>
              </w:rPr>
              <w:br/>
              <w:t>Stroke (at least 1 year)</w:t>
            </w:r>
            <w:r>
              <w:rPr>
                <w:rFonts w:ascii="Calibri" w:eastAsia="Times New Roman" w:hAnsi="Calibri" w:cs="Times New Roman"/>
                <w:color w:val="000000"/>
                <w:sz w:val="20"/>
                <w:szCs w:val="20"/>
                <w:lang w:eastAsia="en-CA"/>
              </w:rPr>
              <w:br/>
              <w:t>ACM (at least 1 year)</w:t>
            </w:r>
          </w:p>
        </w:tc>
        <w:tc>
          <w:tcPr>
            <w:tcW w:w="2255" w:type="dxa"/>
            <w:tcBorders>
              <w:top w:val="nil"/>
              <w:left w:val="nil"/>
              <w:bottom w:val="single" w:sz="4" w:space="0" w:color="808080"/>
              <w:right w:val="nil"/>
            </w:tcBorders>
            <w:vAlign w:val="center"/>
            <w:hideMark/>
          </w:tcPr>
          <w:p w14:paraId="766F46E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Case report forms</w:t>
            </w:r>
          </w:p>
        </w:tc>
        <w:tc>
          <w:tcPr>
            <w:tcW w:w="1010" w:type="dxa"/>
            <w:tcBorders>
              <w:top w:val="nil"/>
              <w:left w:val="nil"/>
              <w:bottom w:val="single" w:sz="4" w:space="0" w:color="808080"/>
              <w:right w:val="nil"/>
            </w:tcBorders>
            <w:vAlign w:val="center"/>
            <w:hideMark/>
          </w:tcPr>
          <w:p w14:paraId="2600255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2003-2009</w:t>
            </w:r>
          </w:p>
        </w:tc>
        <w:tc>
          <w:tcPr>
            <w:tcW w:w="1231" w:type="dxa"/>
            <w:tcBorders>
              <w:top w:val="nil"/>
              <w:left w:val="nil"/>
              <w:bottom w:val="single" w:sz="4" w:space="0" w:color="808080"/>
              <w:right w:val="nil"/>
            </w:tcBorders>
            <w:vAlign w:val="center"/>
            <w:hideMark/>
          </w:tcPr>
          <w:p w14:paraId="6EA6875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Industry </w:t>
            </w:r>
          </w:p>
        </w:tc>
      </w:tr>
      <w:tr w:rsidR="00B842AC" w14:paraId="38E7185E" w14:textId="77777777" w:rsidTr="00B842AC">
        <w:trPr>
          <w:trHeight w:val="790"/>
        </w:trPr>
        <w:tc>
          <w:tcPr>
            <w:tcW w:w="1522" w:type="dxa"/>
            <w:tcBorders>
              <w:top w:val="nil"/>
              <w:left w:val="nil"/>
              <w:bottom w:val="single" w:sz="4" w:space="0" w:color="808080"/>
              <w:right w:val="nil"/>
            </w:tcBorders>
            <w:vAlign w:val="center"/>
            <w:hideMark/>
          </w:tcPr>
          <w:p w14:paraId="66A844B0" w14:textId="0D364F86"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{"citationItems":[{"id":"ITEM-1","itemData":{"ISSN":"1474-547X","abstract":"BACKGROUND: Proton-pump inhibitors (PPIs) are often prescribed in combination with thienopyridines. Conflicting data exist as to whether PPIs diminish the efficacy of clopidogrel. We assessed the association between PPI use, measures of platelet function, and clinical outcomes for patients treated with clopidogrel or prasugrel., METHODS: In the PRINCIPLE-TIMI 44 trial, the primary outcome was inhibition of platelet aggregation at 6 h assessed by light-transmission aggregometry. In the TRITON-TIMI 38 trial, the primary endpoint was the composite of cardiovascular death, myocardial infarction, or stroke. In both studies, PPI use was at physician's discretion. We used a multivariable Cox model with propensity score to assess the association of PPI use with clinical outcomes., FINDINGS: In the PRINCIPLE-TIMI 44 trial, 201 patients undergoing elective percutaneous coronary intervention were randomly assigned to prasugrel (n=102) or high-dose clopidogrel (n=99). Mean inhibition of platelet aggregation was significantly lower for patients on a PPI than for those not on a PPI at 6 h after a 600 mg clopidogrel loading dose (23.2+/-19.5% vs 35.2+/-20.9%, p=0.02), whereas a more modest difference was seen with and without a PPI after a 60 mg loading dose of prasugrel (69.6+/-13.5% vs 76.7+/-12.4%, p=0.054). In the TRITON-TIMI 38 trial, 13,608 patients with an acute coronary syndrome were randomly assigned to prasugrel (n=6813) or clopidogrel (n=6795). In this study, 33% (n=4529) of patients were on a PPI at randomisation. No association existed between PPI use and risk of the primary endpoint for patients treated with clopidogrel (adjusted hazard ratio [HR] 0.94, 95% CI 0.80-1.11) or prasugrel (1.00, 0.84-1.20)., INTERPRETATION: The current findings do not support the need to avoid concomitant use of PPIs, when clinically indicated, in patients receiving clopidogrel or prasugrel., FUNDING: Daiichi Sankyo Company Limited and Eli Lilly and Company sponsored the trials. This analysis had no funding.","author":[{"dropping-particle":"","family":"O'Donoghue","given":"Michelle L","non-dropping-particle":"","parse-names":false,"suffix":""},{"dropping-particle":"","family":"Braunwald","given":"Eugene","non-dropping-particle":"","parse-names":false,"suffix":""},{"dropping-particle":"","family":"Antman","given":"Elliott M","non-dropping-particle":"","parse-names":false,"suffix":""},{"dropping-particle":"","family":"Murphy","given":"Sabina A","non-dropping-particle":"","parse-names":false,"suffix":""},{"dropping-particle":"","family":"Bates","given":"Eric R","non-dropping-particle":"","parse-names":false,"suffix":""},{"dropping-particle":"","family":"Rozenman","given":"Yoseph","non-dropping-particle":"","parse-names":false,"suffix":""},{"dropping-particle":"","family":"Michelson","given":"Alan D","non-dropping-particle":"","parse-names":false,"suffix":""},{"dropping-particle":"","family":"Hautvast","given":"Raymond W","non-dropping-particle":"","parse-names":false,"suffix":""},{"dropping-particle":"","family":"Lee","given":"Peter N","non-dropping-particle":"Ver","parse-names":false,"suffix":""},{"dropping-particle":"","family":"Close","given":"Sandra L","non-dropping-particle":"","parse-names":false,"suffix":""},{"dropping-particle":"","family":"Shen","given":"Lei","non-dropping-particle":"","parse-names":false,"suffix":""},{"dropping-particle":"","family":"Mega","given":"Jessica L","non-dropping-particle":"","parse-names":false,"suffix":""},{"dropping-particle":"","family":"Sabatine","given":"Marc S","non-dropping-particle":"","parse-names":false,"suffix":""},{"dropping-particle":"","family":"Wiviott","given":"Stephen D","non-dropping-particle":"","parse-names":false,"suffix":""}],"container-title":"Lancet","id":"ITEM-1","issue":"9694","issued":{"date-parts":[["2009"]]},"note":"From Duplicate 1 (Pharmacodynamic effect and clinical efficacy of clopidogrel and prasugrel with or without a proton-pump inhibitor: an analysis of two randomised trials. - O'Donoghue, Michelle L; Braunwald, Eugene; Antman, Elliott M; Murphy, Sabina A; Bates, Eric R; Rozenman, Yoseph; Michelson, Alan D; Hautvast, Raymond W; Ver Lee, Peter N; Close, Sandra L; Shen, Lei; Mega, Jessica L; Sabatine, Marc S; Wiviott, Stephen D)\n\nComment in: Lancet. 2010 Jan 2;375(9708):28; author reply 28-9; PMID: 20109858, Comment in: Lancet. 2009 Sep 19;374(9694):952-4; PMID: 19726077, Comment in: Lancet. 2010 Jan 2;375(9708):27-8; author reply 28-9; PMID: 20109855\n\nFrom Duplicate 2 (Pharmacodynamic effect and clinical efficacy of clopidogrel and prasugrel with or without a proton-pump inhibitor: an analysis of two randomised trials. - O'Donoghue, Michelle L; Braunwald, Eugene; Antman, Elliott M; Murphy, Sabina A; Bates, Eric R; Rozenman, Yoseph; Michelson, Alan D; Hautvast, Raymond W; Ver Lee, Peter N; Close, Sandra L; Shen, Lei; Mega, Jessica L; Sabatine, Marc S; Wiviott, Stephen D)\n\nComment in: Lancet. 2009 Sep 19;374(9694):952-4; PMID: 19726077, Comment in: Lancet. 2010 Jan 2;375(9708):27-8; author reply 28-9; PMID: 20109855, Comment in: Lancet. 2010 Jan 2;375(9708):28; author reply 28-9; PMID: 20109858","page":"989-997","publisher":"O'Donoghue,Michelle L. TIMI Study Group, Brigham and Women's Hospital, Boston, MA 02115, USA. modonoghue@partners.org","publisher-place":"England","title":"Pharmacodynamic effect and clinical efficacy of clopidogrel and prasugrel with or without a proton-pump inhibitor: an analysis of two randomised trials.","type":"article-journal","volume":"374"},"uris":["http://www.mendeley.com/documents/?uuid=4c8ff788-289a-4c43-b36e-2a2df4412ead"]}],"mendeley":{"formattedCitation":"(O’Donoghue et al. 2009)","plainTextFormattedCitation":"(O’Donoghue et al. 2009)","previouslyFormattedCitation":"(O’Donoghue et al. 2009)"},"properties":{"noteIndex":0},"schema":"https://github.com/citation-style-language/schema/raw/master/csl-citation.json"}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(O’Donoghue et al. 2009)</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605FF01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5B8AD8F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78B1FBB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exposure determined at study entry and  at follow up</w:t>
            </w:r>
          </w:p>
        </w:tc>
        <w:tc>
          <w:tcPr>
            <w:tcW w:w="1714" w:type="dxa"/>
            <w:tcBorders>
              <w:top w:val="nil"/>
              <w:left w:val="nil"/>
              <w:bottom w:val="single" w:sz="4" w:space="0" w:color="808080"/>
              <w:right w:val="nil"/>
            </w:tcBorders>
            <w:vAlign w:val="center"/>
            <w:hideMark/>
          </w:tcPr>
          <w:p w14:paraId="5F130EC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w:t>
            </w:r>
            <w:r>
              <w:rPr>
                <w:rFonts w:ascii="Calibri" w:eastAsia="Times New Roman" w:hAnsi="Calibri" w:cs="Times New Roman"/>
                <w:sz w:val="20"/>
                <w:szCs w:val="20"/>
                <w:lang w:eastAsia="en-CA"/>
              </w:rPr>
              <w:t>I (400 days)</w:t>
            </w:r>
            <w:r>
              <w:rPr>
                <w:rFonts w:ascii="Calibri" w:eastAsia="Times New Roman" w:hAnsi="Calibri" w:cs="Times New Roman"/>
                <w:color w:val="000000"/>
                <w:sz w:val="20"/>
                <w:szCs w:val="20"/>
                <w:lang w:eastAsia="en-CA"/>
              </w:rPr>
              <w:br/>
              <w:t>ACM (400 days)</w:t>
            </w:r>
            <w:r>
              <w:rPr>
                <w:rFonts w:ascii="Calibri" w:eastAsia="Times New Roman" w:hAnsi="Calibri" w:cs="Times New Roman"/>
                <w:color w:val="000000"/>
                <w:sz w:val="20"/>
                <w:szCs w:val="20"/>
                <w:lang w:eastAsia="en-CA"/>
              </w:rPr>
              <w:br/>
              <w:t>CVD mort (400 days)</w:t>
            </w:r>
          </w:p>
        </w:tc>
        <w:tc>
          <w:tcPr>
            <w:tcW w:w="2255" w:type="dxa"/>
            <w:tcBorders>
              <w:top w:val="nil"/>
              <w:left w:val="nil"/>
              <w:bottom w:val="single" w:sz="4" w:space="0" w:color="808080"/>
              <w:right w:val="nil"/>
            </w:tcBorders>
            <w:vAlign w:val="center"/>
            <w:hideMark/>
          </w:tcPr>
          <w:p w14:paraId="792A93A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Independent committee (blinded)</w:t>
            </w:r>
          </w:p>
        </w:tc>
        <w:tc>
          <w:tcPr>
            <w:tcW w:w="1010" w:type="dxa"/>
            <w:tcBorders>
              <w:top w:val="nil"/>
              <w:left w:val="nil"/>
              <w:bottom w:val="single" w:sz="4" w:space="0" w:color="808080"/>
              <w:right w:val="nil"/>
            </w:tcBorders>
            <w:vAlign w:val="center"/>
            <w:hideMark/>
          </w:tcPr>
          <w:p w14:paraId="7170343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2004-2007</w:t>
            </w:r>
          </w:p>
        </w:tc>
        <w:tc>
          <w:tcPr>
            <w:tcW w:w="1231" w:type="dxa"/>
            <w:tcBorders>
              <w:top w:val="nil"/>
              <w:left w:val="nil"/>
              <w:bottom w:val="single" w:sz="4" w:space="0" w:color="808080"/>
              <w:right w:val="nil"/>
            </w:tcBorders>
            <w:vAlign w:val="center"/>
            <w:hideMark/>
          </w:tcPr>
          <w:p w14:paraId="788F9F8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None for this analysis; trial funded by industry</w:t>
            </w:r>
          </w:p>
        </w:tc>
      </w:tr>
      <w:tr w:rsidR="00B842AC" w14:paraId="338644AD" w14:textId="77777777" w:rsidTr="00B842AC">
        <w:trPr>
          <w:trHeight w:val="1095"/>
        </w:trPr>
        <w:tc>
          <w:tcPr>
            <w:tcW w:w="1522" w:type="dxa"/>
            <w:tcBorders>
              <w:top w:val="nil"/>
              <w:left w:val="nil"/>
              <w:bottom w:val="single" w:sz="4" w:space="0" w:color="808080"/>
              <w:right w:val="nil"/>
            </w:tcBorders>
            <w:vAlign w:val="center"/>
            <w:hideMark/>
          </w:tcPr>
          <w:p w14:paraId="149E9569" w14:textId="6CDF8608"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{"citationItems":[{"id":"ITEM-1","itemData":{"ISBN":"1558-2027","ISSN":"1558-2035","abstract":"OBJECTIVES: We sought to compare the 1-year risk of re-hospitalization for acute coronary syndrome (ACS) between patients taking clopidogrel with proton pump inhibitors (PPIs) vs. clopidogrel without PPIs. MATERIALS AND METHODS: We conducted a retrospective cohort study among 3896 patients with ACS, at low risk for gastrointestinal bleeding, discharged from all hospitals of the Emilia-Romagna region of Italy during the period January-August 2008. Patients' consumption of clopidogrel and PPIs at hospital discharge and follow-up was based on pharmacy refill data. Of these 3896 patients, 90% (n=3519) were prescribed PPIs at hospital discharge and/or at some time during follow-up. RESULTS: At 1-year follow-up, hospitalization for ACS occurred in 15% of patients taking clopidogrel with PPIs vs. 3.4% of those taking clopidogrel without PPIs (P&lt;0.001). No difference in terms of all-cause mortality could be detected between the two groups. At multivariate regression analysis with PPI use as a time-varying covariate, periods of use of clopidogrel with PPIs were associated, at 1-year follow-up, with a significantly higher risk of hospitalization for ACS (hazard ratio 1.29, P=0.025). Notably, this event occurred mostly in patients who underwent revascularization during the index hospitalization (n=3045, hazard ratio 1.52, P=0.004). No significant effect of PPI prescription could be observed in terms of 1-year all-cause mortality and revascularization. CONCLUSION: This study suggests the hypothesis that a concomitant use of clopidogrel and PPIs in patients with ACS, at low risk for gastrointestinal bleeding, having mostly undergone coronary revascularization, is associated with an approximately 30% higher risk of nonfatal hospitalization for ACS. © 2012 Italian Federation of Cardiology.","author":[{"dropping-particle":"","family":"Ortolani","given":"Paolo","non-dropping-particle":"","parse-names":false,"suffix":""},{"dropping-particle":"","family":"Marino","given":"Massimiliano","non-dropping-particle":"","parse-names":false,"suffix":""},{"dropping-particle":"","family":"Marzocchi","given":"Antonio","non-dropping-particle":"","parse-names":false,"suffix":""},{"dropping-particle":"","family":"Palma","given":"Rossana","non-dropping-particle":"De","parse-names":false,"suffix":""},{"dropping-particle":"","family":"Branzi","given":"Angelo","non-dropping-particle":"","parse-names":false,"suffix":""}],"container-title":"Journal of cardiovascular medicine (Hagerstown, Md.)","id":"ITEM-1","issue":"12","issued":{"date-parts":[["2012"]]},"note":"422","page":"783-789","publisher":"Lippincott Williams and Wilkins (530 Walnut Street,P O Box 327, Philadelphia PA 19106-3621, United States)","publisher-place":"United States","title":"One-year clinical outcome in patients with acute coronary syndrome treated with concomitant use of clopidogrel and proton pump inhibitors: results from a regional cohort study.","type":"article-journal","volume":"13"},"uris":["http://www.mendeley.com/documents/?uuid=f8cd4866-4ce1-47a3-b04c-561100c103ee"]}],"mendeley":{"formattedCitation":"(Ortolani et al. 2012)","plainTextFormattedCitation":"(Ortolani et al. 2012)","previouslyFormattedCitation":"(Ortolani et al. 2012)"},"properties":{"noteIndex":0},"schema":"https://github.com/citation-style-language/schema/raw/master/csl-citation.json"}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(Ortolani et al. 2012)</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22D686A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1AF8A6A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501D794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Pharmacy refill data (dispensing date and the number of</w:t>
            </w:r>
            <w:r>
              <w:rPr>
                <w:rFonts w:ascii="Calibri" w:eastAsia="Times New Roman" w:hAnsi="Calibri" w:cs="Times New Roman"/>
                <w:color w:val="000000"/>
                <w:sz w:val="20"/>
                <w:szCs w:val="20"/>
                <w:lang w:eastAsia="en-CA"/>
              </w:rPr>
              <w:br/>
              <w:t>days supplied for each dispensed medication)</w:t>
            </w:r>
          </w:p>
        </w:tc>
        <w:tc>
          <w:tcPr>
            <w:tcW w:w="1714" w:type="dxa"/>
            <w:tcBorders>
              <w:top w:val="nil"/>
              <w:left w:val="nil"/>
              <w:bottom w:val="single" w:sz="4" w:space="0" w:color="808080"/>
              <w:right w:val="nil"/>
            </w:tcBorders>
            <w:vAlign w:val="center"/>
            <w:hideMark/>
          </w:tcPr>
          <w:p w14:paraId="15C19BBE" w14:textId="77777777" w:rsidR="00B842AC" w:rsidRDefault="00B842AC" w:rsidP="00B842AC">
            <w:pPr>
              <w:spacing w:after="0" w:line="240" w:lineRule="auto"/>
              <w:rPr>
                <w:rFonts w:ascii="Calibri" w:eastAsia="Times New Roman" w:hAnsi="Calibri" w:cs="Times New Roman"/>
                <w:sz w:val="20"/>
                <w:szCs w:val="20"/>
                <w:lang w:eastAsia="en-CA"/>
              </w:rPr>
            </w:pPr>
            <w:r>
              <w:rPr>
                <w:rFonts w:ascii="Calibri" w:eastAsia="Times New Roman" w:hAnsi="Calibri" w:cs="Times New Roman"/>
                <w:sz w:val="20"/>
                <w:szCs w:val="20"/>
                <w:lang w:eastAsia="en-CA"/>
              </w:rPr>
              <w:t>ACM (1 year)</w:t>
            </w:r>
          </w:p>
        </w:tc>
        <w:tc>
          <w:tcPr>
            <w:tcW w:w="2255" w:type="dxa"/>
            <w:tcBorders>
              <w:top w:val="nil"/>
              <w:left w:val="nil"/>
              <w:bottom w:val="single" w:sz="4" w:space="0" w:color="808080"/>
              <w:right w:val="nil"/>
            </w:tcBorders>
            <w:vAlign w:val="center"/>
            <w:hideMark/>
          </w:tcPr>
          <w:p w14:paraId="3F80756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Municipal registries and hospital discharge records.</w:t>
            </w:r>
          </w:p>
        </w:tc>
        <w:tc>
          <w:tcPr>
            <w:tcW w:w="1010" w:type="dxa"/>
            <w:tcBorders>
              <w:top w:val="nil"/>
              <w:left w:val="nil"/>
              <w:bottom w:val="single" w:sz="4" w:space="0" w:color="808080"/>
              <w:right w:val="nil"/>
            </w:tcBorders>
            <w:vAlign w:val="center"/>
            <w:hideMark/>
          </w:tcPr>
          <w:p w14:paraId="3E25D9A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2008</w:t>
            </w:r>
          </w:p>
        </w:tc>
        <w:tc>
          <w:tcPr>
            <w:tcW w:w="1231" w:type="dxa"/>
            <w:tcBorders>
              <w:top w:val="nil"/>
              <w:left w:val="nil"/>
              <w:bottom w:val="single" w:sz="4" w:space="0" w:color="808080"/>
              <w:right w:val="nil"/>
            </w:tcBorders>
            <w:vAlign w:val="center"/>
            <w:hideMark/>
          </w:tcPr>
          <w:p w14:paraId="4D1B833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46ACDEA0" w14:textId="77777777" w:rsidTr="00B842AC">
        <w:trPr>
          <w:trHeight w:val="989"/>
        </w:trPr>
        <w:tc>
          <w:tcPr>
            <w:tcW w:w="1522" w:type="dxa"/>
            <w:tcBorders>
              <w:top w:val="nil"/>
              <w:left w:val="nil"/>
              <w:bottom w:val="single" w:sz="4" w:space="0" w:color="808080"/>
              <w:right w:val="nil"/>
            </w:tcBorders>
            <w:vAlign w:val="center"/>
            <w:hideMark/>
          </w:tcPr>
          <w:p w14:paraId="41057D4F" w14:textId="56DF836F"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{"citationItems":[{"id":"ITEM-1","itemData":{"ISSN":"1524-4539","abstract":"BACKGROUND: Recent studies have raised concerns about the reduced efficacy of clopidogrel when used concurrently with proton pump inhibitors (PPIs), but those studies may have overestimated the risk., METHODS AND RESULTS: We studied the potential for increased risk of adverse cardiovascular events among users of clopidogrel with versus without concurrent use of PPIs in 3 large cohorts of patients &gt; or =65 years of age, treated between 2001 and 2005. All patients had undergone percutaneous coronary intervention or had been hospitalized for acute coronary syndrome in Pennsylvania, New Jersey, or British Columbia, and subsequently had initiated treatment with clopidogrel. We recorded myocardial infarction hospitalization, death, and revascularization among PPI users and nonusers. We assessed our primary end point of myocardial infarction hospitalization or death using cohort-specific and pooled regression analyses. We entered 18 565 clopidogrel users into our analysis. On a pooled basis, 2.6% of those who also initiated a PPI versus 2.1% of PPI nonusers had a myocardial infarction hospitalization; 1.5% versus 0.9% died; and 3.4% versus 3.1% underwent revascularization. The propensity score-adjusted rate ratio for the primary end point of myocardial infarction or death was 1.22 (95% confidence interval, 0.99 to 1.51); for death, 1.20 (95% confidence interval, 0.84 to 1.70); and for revascularization, 0.97 (95% confidence interval, 0.79 to 1.21). Matched analyses generally yielded similar results., CONCLUSIONS: Although point estimates indicated a slightly increased risk of myocardial infarction hospitalization or death in older patients initiating both clopidogrel and a PPI, we did not observe conclusive evidence of a clopidogrel-PPI interaction of major clinical relevance. Our data suggest that if this effect exists, it is unlikely to exceed a 20% risk increase.","author":[{"dropping-particle":"","family":"Rassen","given":"Jeremy A","non-dropping-particle":"","parse-names":false,"suffix":""},{"dropping-particle":"","family":"Choudhry","given":"Niteesh K","non-dropping-particle":"","parse-names":false,"suffix":""},{"dropping-particle":"","family":"Avorn","given":"Jerry","non-dropping-particle":"","parse-names":false,"suffix":""},{"dropping-particle":"","family":"Schneeweiss","given":"Sebastian","non-dropping-particle":"","parse-names":false,"suffix":""}],"container-title":"Circulation","id":"ITEM-1","issue":"23","issued":{"date-parts":[["2009"]]},"note":"778\n\nComment in: Circulation. 2010 Aug 3;122(5):e414; author reply e415; PMID: 20679578, Comment in: Circulation. 2009 Dec 8;120(23):2310-2; PMID: 19933929","page":"2322-2329","publisher":"Rassen,Jeremy A. Division of Pharmacoepidemiology and Pharmacoeconomics, Department of Medicine, Brigham and Women's Hospital, Harvard Medical School, 1620 Tremont Street, Boston, MA 02120, USA. jrassen@post.harvard.edu","publisher-place":"United States","title":"Cardiovascular outcomes and mortality in patients using clopidogrel with proton pump inhibitors after percutaneous coronary intervention or acute coronary syndrome.","type":"article-journal","volume":"120"},"uris":["http://www.mendeley.com/documents/?uuid=66bafee7-d23b-45d4-87f1-6a8c9d566f9c"]}],"mendeley":{"formattedCitation":"(Rassen et al. 2009)","plainTextFormattedCitation":"(Rassen et al. 2009)","previouslyFormattedCitation":"(Rassen et al. 2009)"},"properties":{"noteIndex":0},"schema":"https://github.com/citation-style-language/schema/raw/master/csl-citation.json"}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(Rassen et al. 2009)</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0AA51F1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7BA64B3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35A1182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Insurance claims records</w:t>
            </w:r>
          </w:p>
        </w:tc>
        <w:tc>
          <w:tcPr>
            <w:tcW w:w="1714" w:type="dxa"/>
            <w:tcBorders>
              <w:top w:val="nil"/>
              <w:left w:val="nil"/>
              <w:bottom w:val="single" w:sz="4" w:space="0" w:color="808080"/>
              <w:right w:val="nil"/>
            </w:tcBorders>
            <w:vAlign w:val="center"/>
            <w:hideMark/>
          </w:tcPr>
          <w:p w14:paraId="0027BA61" w14:textId="77777777" w:rsidR="00B842AC" w:rsidRDefault="00B842AC" w:rsidP="00B842AC">
            <w:pPr>
              <w:spacing w:after="0" w:line="240" w:lineRule="auto"/>
              <w:rPr>
                <w:rFonts w:ascii="Calibri" w:eastAsia="Times New Roman" w:hAnsi="Calibri" w:cs="Times New Roman"/>
                <w:sz w:val="20"/>
                <w:szCs w:val="20"/>
                <w:lang w:eastAsia="en-CA"/>
              </w:rPr>
            </w:pPr>
            <w:r>
              <w:rPr>
                <w:rFonts w:ascii="Calibri" w:eastAsia="Times New Roman" w:hAnsi="Calibri" w:cs="Times New Roman"/>
                <w:sz w:val="20"/>
                <w:szCs w:val="20"/>
                <w:lang w:eastAsia="en-CA"/>
              </w:rPr>
              <w:t>MI (6 months)</w:t>
            </w:r>
            <w:r>
              <w:rPr>
                <w:rFonts w:ascii="Calibri" w:eastAsia="Times New Roman" w:hAnsi="Calibri" w:cs="Times New Roman"/>
                <w:sz w:val="20"/>
                <w:szCs w:val="20"/>
                <w:lang w:eastAsia="en-CA"/>
              </w:rPr>
              <w:br/>
              <w:t>ACM (6 months)</w:t>
            </w:r>
          </w:p>
        </w:tc>
        <w:tc>
          <w:tcPr>
            <w:tcW w:w="2255" w:type="dxa"/>
            <w:tcBorders>
              <w:top w:val="nil"/>
              <w:left w:val="nil"/>
              <w:bottom w:val="single" w:sz="4" w:space="0" w:color="808080"/>
              <w:right w:val="nil"/>
            </w:tcBorders>
            <w:vAlign w:val="center"/>
            <w:hideMark/>
          </w:tcPr>
          <w:p w14:paraId="0F25CF8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Insurance claims records (MI); Vital statistics and government agencies (mortality)</w:t>
            </w:r>
          </w:p>
        </w:tc>
        <w:tc>
          <w:tcPr>
            <w:tcW w:w="1010" w:type="dxa"/>
            <w:tcBorders>
              <w:top w:val="nil"/>
              <w:left w:val="nil"/>
              <w:bottom w:val="single" w:sz="4" w:space="0" w:color="808080"/>
              <w:right w:val="nil"/>
            </w:tcBorders>
            <w:vAlign w:val="center"/>
            <w:hideMark/>
          </w:tcPr>
          <w:p w14:paraId="3897B2B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2001-2005</w:t>
            </w:r>
          </w:p>
        </w:tc>
        <w:tc>
          <w:tcPr>
            <w:tcW w:w="1231" w:type="dxa"/>
            <w:tcBorders>
              <w:top w:val="nil"/>
              <w:left w:val="nil"/>
              <w:bottom w:val="single" w:sz="4" w:space="0" w:color="808080"/>
              <w:right w:val="nil"/>
            </w:tcBorders>
            <w:vAlign w:val="center"/>
            <w:hideMark/>
          </w:tcPr>
          <w:p w14:paraId="2EB090B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405DB1CC" w14:textId="77777777" w:rsidTr="00B842AC">
        <w:trPr>
          <w:trHeight w:val="443"/>
        </w:trPr>
        <w:tc>
          <w:tcPr>
            <w:tcW w:w="1522" w:type="dxa"/>
            <w:tcBorders>
              <w:top w:val="nil"/>
              <w:left w:val="nil"/>
              <w:bottom w:val="single" w:sz="4" w:space="0" w:color="808080"/>
              <w:right w:val="nil"/>
            </w:tcBorders>
            <w:vAlign w:val="center"/>
            <w:hideMark/>
          </w:tcPr>
          <w:p w14:paraId="70E57CA9" w14:textId="7C38623D"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{"citationItems":[{"id":"ITEM-1","itemData":{"ISBN":"0003-4819","ISSN":"1539-3704","abstract":"Background: Proton-pump inhibitors (PPIs) and clopidogrel are frequently coprescribed, although the benefits and harms of their concurrent use are unclear. Objective: To examine the association between concurrent use of PPIs and clopidogrel and the risks for hospitalizations for gastroduodenal bleeding and serious cardiovascular disease. Design: Retrospective cohort study using automated data to identify patients who received clopidogrel between 1999 through 2005 after hospitalization for coronary heart disease. Setting: Tennessee Medicaid program. Patients: 20 596 patients (including 7593 concurrent users of clopidogrel and PPIs) hospitalized for myocardial infarction, coronary artery revascularization, or unstable angina pectoris. Measurements: Baseline and follow-up drug use was assessed from automated records of dispensed prescriptions. Primary outcomes were hospitalizations for gastroduodenal bleeding and serious cardiovascular disease (fatal or nonfatal myocardial infarction or sudden cardiac death, stroke, or other cardiovascular death). Results: Pantoprazole and omeprazole accounted for 62% and 9% of concurrent PPI use, respectively. Adjusted incidence of hospitalization for gastroduodenal bleeding in concurrent PPI users was 50% lower than that in nonusers (hazard ratio, 0.50 [95% CI, 0.39 to 0.65]). For patients at highest risk for bleeding, PPI use was associated with an absolute reduction of 28.5 (CI, 11.7 to 36.9) hospitalizations for gastroduodenal bleeding per 1000 person-years. The hazard ratio associated with concurrent PPI use for risk for serious cardiovascular disease was 0.99 (CI, 0.82 to 1.19) for the entire cohort and 1.01 (CI, 0.76 to 1.34) for the subgroup of patients who had percutaneous coronary interventions with stenting during the qualifying hospitalization. Limitations: Unmeasured confounding and misclassification of exposure (no information on adherence or over-the-counter use of drugs) and end points (not confirmed by medical record review) were possible. Because many patients entered the cohort from hospitals with relatively few cohort members, the analysis relied on the assumption that after adjustment for observed covariates, PPI users from one such hospital could be compared with nonusers from a different hospital. Conclusion: In patients with serious coronary heart disease treated with clopidogrel, concurrent PPI use was associated with reduced incidence of hospitalizations for gastroduodenal bleeding. The correspon…","author":[{"dropping-particle":"","family":"Ray","given":"Wayne A","non-dropping-particle":"","parse-names":false,"suffix":""},{"dropping-particle":"","family":"Murray","given":"Katherine T","non-dropping-particle":"","parse-names":false,"suffix":""},{"dropping-particle":"","family":"Griffin","given":"Marie R","non-dropping-particle":"","parse-names":false,"suffix":""},{"dropping-particle":"","family":"Chung","given":"Cecilia P","non-dropping-particle":"","parse-names":false,"suffix":""},{"dropping-particle":"","family":"Smalley","given":"Walter E","non-dropping-particle":"","parse-names":false,"suffix":""},{"dropping-particle":"","family":"Hall","given":"Kathi","non-dropping-particle":"","parse-names":false,"suffix":""},{"dropping-particle":"","family":"Daugherty","given":"James R","non-dropping-particle":"","parse-names":false,"suffix":""},{"dropping-particle":"","family":"Kaltenbach","given":"Lisa A","non-dropping-particle":"","parse-names":false,"suffix":""},{"dropping-particle":"","family":"Stein","given":"C Michael","non-dropping-particle":"","parse-names":false,"suffix":""}],"container-title":"Annals of Internal Medicine","id":"ITEM-1","issue":"6","issued":{"date-parts":[["2010"]]},"note":"676\nFrom Duplicate 2 (Outcomes with concurrent use of clopidogrel and proton-pump inhibitors: a cohort study. - Ray, Wayne A; Murray, Katherine T; Griffin, Marie R; Chung, Cecilia P; Smalley, Walter E; Hall, Kathi; Daugherty, James R; Kaltenbach, Lisa A; Stein, C Michael)\n\nComment in: Ann Intern Med. 2010 Mar 16;152(6):393-5; PMID: 20231571","page":"337-345","publisher":"American College of Physicians (190 N. Indenpence Mall West, Philadelphia PA 19106-1572, United States)","publisher-place":"W. A. Ray, Vanderbilt University School of Medicine, Department of Preventive Medicine, 1500 21st Avenue, 2600 Village at Vanderbilt, Nashville, TN 37212, United States. E-mail: Wayne.Ray@vanderbilt.edu","title":"Outcomes with concurrent use of clopidogrel and proton-pump inhibitors: A cohort study","type":"article-journal","volume":"152"},"uris":["http://www.mendeley.com/documents/?uuid=3e366836-7ecc-4761-9369-57207ff5de1e"]}],"mendeley":{"formattedCitation":"(Ray et al. 2010)","plainTextFormattedCitation":"(Ray et al. 2010)","previouslyFormattedCitation":"(Ray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(Ray et al. 2010)</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2EEC45B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393C8F0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vAlign w:val="center"/>
            <w:hideMark/>
          </w:tcPr>
          <w:p w14:paraId="63479C7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Medicaid files of medications dispensed at the pharmacy;</w:t>
            </w:r>
          </w:p>
        </w:tc>
        <w:tc>
          <w:tcPr>
            <w:tcW w:w="1714" w:type="dxa"/>
            <w:tcBorders>
              <w:top w:val="nil"/>
              <w:left w:val="nil"/>
              <w:bottom w:val="single" w:sz="4" w:space="0" w:color="808080"/>
              <w:right w:val="nil"/>
            </w:tcBorders>
            <w:vAlign w:val="center"/>
            <w:hideMark/>
          </w:tcPr>
          <w:p w14:paraId="4D4A5F6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Stroke (6 years)</w:t>
            </w:r>
            <w:r>
              <w:rPr>
                <w:rFonts w:ascii="Calibri" w:eastAsia="Times New Roman" w:hAnsi="Calibri" w:cs="Times New Roman"/>
                <w:color w:val="000000"/>
                <w:sz w:val="20"/>
                <w:szCs w:val="20"/>
                <w:lang w:eastAsia="en-CA"/>
              </w:rPr>
              <w:br/>
              <w:t>CVD mort (6 years)</w:t>
            </w:r>
          </w:p>
        </w:tc>
        <w:tc>
          <w:tcPr>
            <w:tcW w:w="2255" w:type="dxa"/>
            <w:tcBorders>
              <w:top w:val="nil"/>
              <w:left w:val="nil"/>
              <w:bottom w:val="single" w:sz="4" w:space="0" w:color="808080"/>
              <w:right w:val="nil"/>
            </w:tcBorders>
            <w:vAlign w:val="center"/>
            <w:hideMark/>
          </w:tcPr>
          <w:p w14:paraId="393B4BB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Hospital admissions data; Death certificates (CVD mortality);</w:t>
            </w:r>
          </w:p>
        </w:tc>
        <w:tc>
          <w:tcPr>
            <w:tcW w:w="1010" w:type="dxa"/>
            <w:tcBorders>
              <w:top w:val="nil"/>
              <w:left w:val="nil"/>
              <w:bottom w:val="single" w:sz="4" w:space="0" w:color="808080"/>
              <w:right w:val="nil"/>
            </w:tcBorders>
            <w:vAlign w:val="center"/>
            <w:hideMark/>
          </w:tcPr>
          <w:p w14:paraId="32D455A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1999-2005</w:t>
            </w:r>
          </w:p>
        </w:tc>
        <w:tc>
          <w:tcPr>
            <w:tcW w:w="1231" w:type="dxa"/>
            <w:tcBorders>
              <w:top w:val="nil"/>
              <w:left w:val="nil"/>
              <w:bottom w:val="single" w:sz="4" w:space="0" w:color="808080"/>
              <w:right w:val="nil"/>
            </w:tcBorders>
            <w:vAlign w:val="center"/>
            <w:hideMark/>
          </w:tcPr>
          <w:p w14:paraId="16E73EB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7E56C828" w14:textId="77777777" w:rsidTr="00B842AC">
        <w:trPr>
          <w:trHeight w:val="1095"/>
        </w:trPr>
        <w:tc>
          <w:tcPr>
            <w:tcW w:w="1522" w:type="dxa"/>
            <w:tcBorders>
              <w:top w:val="nil"/>
              <w:left w:val="nil"/>
              <w:bottom w:val="single" w:sz="4" w:space="0" w:color="808080"/>
              <w:right w:val="nil"/>
            </w:tcBorders>
            <w:vAlign w:val="center"/>
            <w:hideMark/>
          </w:tcPr>
          <w:p w14:paraId="657AA53E" w14:textId="3C29143F"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{"citationItems":[{"id":"ITEM-1","itemData":{"ISSN":"1473-5830","abstract":"OBJECTIVE: A pharmacodynamic interaction between clopidogrel and proton pump inhibitors (PPIs) has been suggested, leading to reduced clopidogrel-induced platelet inhibitory effects. However, data from clinical studies are conflicting. The aim of this study was to evaluate the safety of long-term clopidogrel and PPI therapy., METHODS: A total of 1328 consecutive patients (age 63+/-11 years; 81% male) undergoing drug-eluting stent implantation and 1-year follow-up were included. All patients were treated with a standard aspirin and clopidogrel treatment regimen for 12 months. The concomitant PPI therapy for the same duration was at the discretion of the clinical cardiologist. PPI therapy included lansoprazole (30 mg/day), pantoprazole (20 mg/day), or omeprazole (20 mg/day). At 1-year follow-up, major adverse cardiac events (MACE), defined as death, myocardial infarction (MI), acute coronary syndrome leading to hospitalization and nonfatal stroke, were recorded. All cause death, any stent thrombosis (ST), and bleeding (Thrombolysis in MI major and minor) were also assessed., RESULTS: Lansoprazole, pantoprazole, and omeprazole were administered to 855, 178, and 125 patients, whereas 170 were not prescribed any PPI therapy. Among patients treated with PPIs, those on pantoprazole had more often prior MI, multivessel coronary artery disease, and chronic kidney disease, whereas earlier peptic ulcer was more frequent among patients treated with omeprazole. The incidence of 1-year MACE was not statistically different between patients in the PPI and no-PPI groups (7.5 vs. 5.0%; P=0.26). Similarly, 1-year rates of all cause death, ST, and Thrombolysis in MI major and minor bleedings did not significantly differ. After statistical adjustment for potential confounders, the concomitant use of clopidogrel and PPIs was not associated with the risk of 1-year MACE [odds ratio (OR) 1.54, P=0.38], death (OR: 0.97, P=0.961), and ST (OR: 1.01, P=0.998). No differences across the three PPI types were found., CONCLUSION: The association of clopidogrel and PPIs after drug-eluting stent implantation, prescribed on clinical judgement, seems safe.","author":[{"dropping-particle":"","family":"Rossini","given":"Roberta","non-dropping-particle":"","parse-names":false,"suffix":""},{"dropping-particle":"","family":"Capodanno","given":"Davide","non-dropping-particle":"","parse-names":false,"suffix":""},{"dropping-particle":"","family":"Musumeci","given":"Giuseppe","non-dropping-particle":"","parse-names":false,"suffix":""},{"dropping-particle":"","family":"Lettieri","given":"Corrado","non-dropping-particle":"","parse-names":false,"suffix":""},{"dropping-particle":"","family":"Lortkipanidze","given":"Nikoloz","non-dropping-particle":"","parse-names":false,"suffix":""},{"dropping-particle":"","family":"Romano","given":"Michele","non-dropping-particle":"","parse-names":false,"suffix":""},{"dropping-particle":"","family":"Nijaradze","given":"Tamar","non-dropping-particle":"","parse-names":false,"suffix":""},{"dropping-particle":"","family":"Tarantini","given":"Giuseppe","non-dropping-particle":"","parse-names":false,"suffix":""},{"dropping-particle":"","family":"Cicorella","given":"Nicola","non-dropping-particle":"","parse-names":false,"suffix":""},{"dropping-particle":"","family":"Sirbu","given":"Vasile","non-dropping-particle":"","parse-names":false,"suffix":""},{"dropping-particle":"","family":"Guagliumi","given":"Giulio","non-dropping-particle":"","parse-names":false,"suffix":""},{"dropping-particle":"","family":"Rosiello","given":"Renato","non-dropping-particle":"","parse-names":false,"suffix":""},{"dropping-particle":"","family":"Valsecchi","given":"Orazio","non-dropping-particle":"","parse-names":false,"suffix":""},{"dropping-particle":"","family":"Gavazzi","given":"Antonello","non-dropping-particle":"","parse-names":false,"suffix":""}],"container-title":"Coronary artery disease","id":"ITEM-1","issue":"3","issued":{"date-parts":[["2011"]]},"note":"554","page":"199-205","publisher":"Rossini,Roberta. Cardiovascular Department, Ospedali Riuniti di Bergamo, Bergamo, Italy. roberta_rossini@yahoo.it","publisher-place":"England","title":"Safety of clopidogrel and proton pump inhibitors in patients undergoing drug-eluting stent implantation.","type":"article-journal","volume":"22"},"uris":["http://www.mendeley.com/documents/?uuid=cb1adf70-6288-4608-8463-e920f5ad4929"]}],"mendeley":{"formattedCitation":"(Rossini et al. 2011)","plainTextFormattedCitation":"(Rossini et al. 2011)","previouslyFormattedCitation":"(Rossini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(Rossini et al. 2011)</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2D2215F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0FB1616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vAlign w:val="center"/>
            <w:hideMark/>
          </w:tcPr>
          <w:p w14:paraId="22F34B0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Telephone contact or outpatient clinical visits at 1, 6, and 12 months after the index procedure.</w:t>
            </w:r>
          </w:p>
        </w:tc>
        <w:tc>
          <w:tcPr>
            <w:tcW w:w="1714" w:type="dxa"/>
            <w:tcBorders>
              <w:top w:val="nil"/>
              <w:left w:val="nil"/>
              <w:bottom w:val="single" w:sz="4" w:space="0" w:color="808080"/>
              <w:right w:val="nil"/>
            </w:tcBorders>
            <w:vAlign w:val="center"/>
            <w:hideMark/>
          </w:tcPr>
          <w:p w14:paraId="6A91D009" w14:textId="77777777" w:rsidR="00B842AC" w:rsidRDefault="00B842AC" w:rsidP="00B842AC">
            <w:pPr>
              <w:spacing w:after="0" w:line="240" w:lineRule="auto"/>
              <w:rPr>
                <w:rFonts w:ascii="Calibri" w:eastAsia="Times New Roman" w:hAnsi="Calibri" w:cs="Times New Roman"/>
                <w:sz w:val="20"/>
                <w:szCs w:val="20"/>
                <w:lang w:eastAsia="en-CA"/>
              </w:rPr>
            </w:pPr>
            <w:r>
              <w:rPr>
                <w:rFonts w:ascii="Calibri" w:eastAsia="Times New Roman" w:hAnsi="Calibri" w:cs="Times New Roman"/>
                <w:sz w:val="20"/>
                <w:szCs w:val="20"/>
                <w:lang w:eastAsia="en-CA"/>
              </w:rPr>
              <w:t>ACM (1  year)</w:t>
            </w:r>
          </w:p>
        </w:tc>
        <w:tc>
          <w:tcPr>
            <w:tcW w:w="2255" w:type="dxa"/>
            <w:tcBorders>
              <w:top w:val="nil"/>
              <w:left w:val="nil"/>
              <w:bottom w:val="single" w:sz="4" w:space="0" w:color="808080"/>
              <w:right w:val="nil"/>
            </w:tcBorders>
            <w:vAlign w:val="center"/>
            <w:hideMark/>
          </w:tcPr>
          <w:p w14:paraId="76E6E59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In-hospital death</w:t>
            </w:r>
          </w:p>
        </w:tc>
        <w:tc>
          <w:tcPr>
            <w:tcW w:w="1010" w:type="dxa"/>
            <w:tcBorders>
              <w:top w:val="nil"/>
              <w:left w:val="nil"/>
              <w:bottom w:val="single" w:sz="4" w:space="0" w:color="808080"/>
              <w:right w:val="nil"/>
            </w:tcBorders>
            <w:vAlign w:val="center"/>
            <w:hideMark/>
          </w:tcPr>
          <w:p w14:paraId="13021F5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231" w:type="dxa"/>
            <w:tcBorders>
              <w:top w:val="nil"/>
              <w:left w:val="nil"/>
              <w:bottom w:val="single" w:sz="4" w:space="0" w:color="808080"/>
              <w:right w:val="nil"/>
            </w:tcBorders>
            <w:vAlign w:val="center"/>
            <w:hideMark/>
          </w:tcPr>
          <w:p w14:paraId="5379AFB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3D06E5D8" w14:textId="77777777" w:rsidTr="00B842AC">
        <w:trPr>
          <w:trHeight w:val="461"/>
        </w:trPr>
        <w:tc>
          <w:tcPr>
            <w:tcW w:w="1522" w:type="dxa"/>
            <w:tcBorders>
              <w:top w:val="nil"/>
              <w:left w:val="nil"/>
              <w:bottom w:val="single" w:sz="4" w:space="0" w:color="808080"/>
              <w:right w:val="nil"/>
            </w:tcBorders>
            <w:noWrap/>
            <w:vAlign w:val="center"/>
            <w:hideMark/>
          </w:tcPr>
          <w:p w14:paraId="6249AE13" w14:textId="2478AD06"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{"citationItems":[{"id":"ITEM-1","itemData":{"ISBN":"0340-6245","ISSN":"0340-6245","abstract":"Clopidogrel is a prodrug that is converted via the hepatic cytochrome P450 system into its active thiol metabolite. Evidence is accumulating that proton pump inhibitors (PPIs) inhibit this enzymatic pathway and may therefore attenuate the antiplatelet effect of clopidogrel. The objective of this study was to investigate whether patients on clopidogrel therapy after drug-eluting stent (DES) placement who also receive a PPI are at higher risk of stent thrombosis (ST). This is a retrospective analysis of patients who received dual antiplatelet treatment including clopidogrel after DES placement. Outcomes were compared according to PPI therapy. The primary endpoint was the incidence of definite ST at 30 days. Secondary endpoints were death, combined death or ST and myocardial infarction (MI). The study population included 3,338 patients and 698 patients (20.9%) received PPIs. Patients receiving a PPI had a higher risk profile at baseline. Multivariate analysis showed that PPI treatment was not independently associated with the occurrence of ST [adjusted HR 1.8 (95% CI: 0.7-4.7), p=0.23] or MI [adjusted HR 1.3 (0.8-2.3), p=0.11]. PPI treatment was significantly associated with death [adjusted HR 2.2 (1.1-4.3), p=0.02] and death or ST [adjusted HR 3.3(1.7-6.7), p=0.02]. Concomitant treatment with a PPI in patients receiving dual antiplatelet treatment after coronary stenting is not an independent predictor of ST. The higher mortality is probably due to confounding as patients on PPIs had a higher risk profile at baseline. © Schattauer 2010.","author":[{"dropping-particle":"","family":"Sarafoff","given":"Nikolaus","non-dropping-particle":"","parse-names":false,"suffix":""},{"dropping-particle":"","family":"Sibbing","given":"Dirk","non-dropping-particle":"","parse-names":false,"suffix":""},{"dropping-particle":"","family":"Sonntag","given":"Ulrich","non-dropping-particle":"","parse-names":false,"suffix":""},{"dropping-particle":"","family":"Ellert","given":"Julia","non-dropping-particle":"","parse-names":false,"suffix":""},{"dropping-particle":"","family":"Schulz","given":"Stefanie","non-dropping-particle":"","parse-names":false,"suffix":""},{"dropping-particle":"","family":"Byrne","given":"Robert A","non-dropping-particle":"","parse-names":false,"suffix":""},{"dropping-particle":"","family":"Mehilli","given":"Julinda","non-dropping-particle":"","parse-names":false,"suffix":""},{"dropping-particle":"","family":"Schomig","given":"Albert","non-dropping-particle":"","parse-names":false,"suffix":""},{"dropping-particle":"","family":"Kastrati","given":"Adnan","non-dropping-particle":"","parse-names":false,"suffix":""}],"container-title":"Thrombosis and haemostasis","id":"ITEM-1","issue":"3","issued":{"date-parts":[["2010"]]},"note":"673","page":"626-632","publisher":"Sarafoff,Nikolaus. Deutsches Herzzentrum Munchen, Klinik fur Herz und Kreislauferkrankungen Lazarettstr. 3680636 Munich, Germany. n.sarafoff@googlemail.com","publisher-place":"Germany","title":"Risk of drug-eluting stent thrombosis in patients receiving proton pump inhibitors.","type":"article-journal","volume":"104"},"uris":["http://www.mendeley.com/documents/?uuid=88a6b5cb-88ed-4628-8457-3d2a7997fa87"]}],"mendeley":{"formattedCitation":"(Sarafoff et al. 2010)","plainTextFormattedCitation":"(Sarafoff et al. 2010)","previouslyFormattedCitation":"(Sarafoff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(Sarafoff et al. 2010)</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noWrap/>
            <w:vAlign w:val="center"/>
            <w:hideMark/>
          </w:tcPr>
          <w:p w14:paraId="3FA7FF5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 (77% of patients were on pantroprazole)</w:t>
            </w:r>
          </w:p>
        </w:tc>
        <w:tc>
          <w:tcPr>
            <w:tcW w:w="1418" w:type="dxa"/>
            <w:tcBorders>
              <w:top w:val="nil"/>
              <w:left w:val="nil"/>
              <w:bottom w:val="single" w:sz="4" w:space="0" w:color="808080"/>
              <w:right w:val="nil"/>
            </w:tcBorders>
            <w:noWrap/>
            <w:vAlign w:val="center"/>
            <w:hideMark/>
          </w:tcPr>
          <w:p w14:paraId="2AFCABA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noWrap/>
            <w:vAlign w:val="center"/>
            <w:hideMark/>
          </w:tcPr>
          <w:p w14:paraId="3A517B0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Hospital charts and discharge data</w:t>
            </w:r>
          </w:p>
        </w:tc>
        <w:tc>
          <w:tcPr>
            <w:tcW w:w="1714" w:type="dxa"/>
            <w:tcBorders>
              <w:top w:val="nil"/>
              <w:left w:val="nil"/>
              <w:bottom w:val="single" w:sz="4" w:space="0" w:color="808080"/>
              <w:right w:val="nil"/>
            </w:tcBorders>
            <w:noWrap/>
            <w:vAlign w:val="center"/>
            <w:hideMark/>
          </w:tcPr>
          <w:p w14:paraId="62E9D48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(30 days)</w:t>
            </w:r>
            <w:r>
              <w:rPr>
                <w:rFonts w:ascii="Calibri" w:eastAsia="Times New Roman" w:hAnsi="Calibri" w:cs="Times New Roman"/>
                <w:color w:val="000000"/>
                <w:sz w:val="20"/>
                <w:szCs w:val="20"/>
                <w:lang w:eastAsia="en-CA"/>
              </w:rPr>
              <w:br/>
              <w:t>ACM (30 days)</w:t>
            </w:r>
          </w:p>
        </w:tc>
        <w:tc>
          <w:tcPr>
            <w:tcW w:w="2255" w:type="dxa"/>
            <w:tcBorders>
              <w:top w:val="nil"/>
              <w:left w:val="nil"/>
              <w:bottom w:val="single" w:sz="4" w:space="0" w:color="808080"/>
              <w:right w:val="nil"/>
            </w:tcBorders>
            <w:noWrap/>
            <w:vAlign w:val="center"/>
            <w:hideMark/>
          </w:tcPr>
          <w:p w14:paraId="3F8BD54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Phone/in person interview. </w:t>
            </w:r>
          </w:p>
        </w:tc>
        <w:tc>
          <w:tcPr>
            <w:tcW w:w="1010" w:type="dxa"/>
            <w:tcBorders>
              <w:top w:val="nil"/>
              <w:left w:val="nil"/>
              <w:bottom w:val="single" w:sz="4" w:space="0" w:color="808080"/>
              <w:right w:val="nil"/>
            </w:tcBorders>
            <w:noWrap/>
            <w:vAlign w:val="center"/>
            <w:hideMark/>
          </w:tcPr>
          <w:p w14:paraId="7280E2A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2002-2006</w:t>
            </w:r>
          </w:p>
        </w:tc>
        <w:tc>
          <w:tcPr>
            <w:tcW w:w="1231" w:type="dxa"/>
            <w:tcBorders>
              <w:top w:val="nil"/>
              <w:left w:val="nil"/>
              <w:bottom w:val="single" w:sz="4" w:space="0" w:color="808080"/>
              <w:right w:val="nil"/>
            </w:tcBorders>
            <w:noWrap/>
            <w:vAlign w:val="center"/>
            <w:hideMark/>
          </w:tcPr>
          <w:p w14:paraId="5583D17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1BAFB545" w14:textId="77777777" w:rsidTr="00B842AC">
        <w:trPr>
          <w:trHeight w:val="1095"/>
        </w:trPr>
        <w:tc>
          <w:tcPr>
            <w:tcW w:w="1522" w:type="dxa"/>
            <w:tcBorders>
              <w:top w:val="nil"/>
              <w:left w:val="nil"/>
              <w:bottom w:val="single" w:sz="4" w:space="0" w:color="808080"/>
              <w:right w:val="nil"/>
            </w:tcBorders>
            <w:vAlign w:val="center"/>
            <w:hideMark/>
          </w:tcPr>
          <w:p w14:paraId="4CAC6ABB" w14:textId="18ABE6F5"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lastRenderedPageBreak/>
              <w:fldChar w:fldCharType="begin" w:fldLock="1"/>
            </w:r>
            <w:r w:rsidR="00D325C7">
              <w:rPr>
                <w:rFonts w:ascii="Calibri" w:eastAsia="Times New Roman" w:hAnsi="Calibri" w:cs="Times New Roman"/>
                <w:color w:val="000000"/>
                <w:sz w:val="20"/>
                <w:szCs w:val="20"/>
                <w:lang w:eastAsia="en-CA"/>
              </w:rPr>
              <w:instrText>ADDIN CSL_CITATION {"citationItems":[{"id":"ITEM-1","itemData":{"ISBN":"0009-7322","ISSN":"1524-4539","abstract":"Background-Clopidogrel requires metabolic activation by cytochrome P450 2C19 (CYP2C19). Proton pump inhibitors (PPIs) that inhibit CYP2C19 are commonly coadministered with clopidogrel to reduce the risk of gastrointestinal bleeding. This analysis compares treatment outcomes for patients in the French Registry of Acute ST-Elevation and Non-ST-Elevation Myocardial Infarction (FAST-MI) who did or did not receive clopidogrel and/or PPIs. Methods and Results-The FAST-MI registry included 3670 patients (2744 clopidogrel- and PPI-naive patients) presenting with definite MI. Patients were categorized according to use of clopidogrel and/or PPI within 48 hours after hospital admission. PPI use was not associated with an increased risk for any of the main in-hospital events (in-hospital survival, reinfarction, stroke, bleeding, and transfusion). Likewise, PPI treatment was not an independent predictor of 1-year survival (hazard ratio, 0.97; 95% confidence interval [CI], 0.87 to 1.08; P=0.57) or 1-year MI, stroke, or death (hazard ratio, 0.98; 95% CI, 0.90 to 1.08; P=0.72). No differences were seen when the type of PPI or CYP2C19 genotype was taken into account. In the propensity-matched cohorts, the odds ratios for major in-hospital events in PPI versus no PPI were 0.29 (95% CI, 0.06 to 1.44) and 1.70 (95% CI, 0.10 to 30.3) for patients with 1 and 2 variant alleles, respectively. Similarly, the hazard ratio for 1-year events in hospital survivors was 0.68 (95% CI, 0.26 to 1.79) and 0.55 (95% CI, 0.06 to 5.30), respectively. Conclusion-PPI use was not associated with an increased risk of cardiovascular events or mortality in patients administered clopidogrel for recent MI, whatever the CYP2C19 genotype, although harm could not be formally excluded in patients with 2 loss-of-function alleles. © 2011 American Heart Association, Inc.","author":[{"dropping-particle":"","family":"Simon","given":"Tabassome","non-dropping-particle":"","parse-names":false,"suffix":""},{"dropping-particle":"","family":"Steg","given":"Philippe Gabriel","non-dropping-particle":"","parse-names":false,"suffix":""},{"dropping-particle":"","family":"Gilard","given":"Martine","non-dropping-particle":"","parse-names":false,"suffix":""},{"dropping-particle":"","family":"Blanchard","given":"Didier","non-dropping-particle":"","parse-names":false,"suffix":""},{"dropping-particle":"","family":"Bonello","given":"Laurent","non-dropping-particle":"","parse-names":false,"suffix":""},{"dropping-particle":"","family":"Hanssen","given":"Michel","non-dropping-particle":"","parse-names":false,"suffix":""},{"dropping-particle":"","family":"Lardoux","given":"Herve","non-dropping-particle":"","parse-names":false,"suffix":""},{"dropping-particle":"","family":"Coste","given":"Pierre","non-dropping-particle":"","parse-names":false,"suffix":""},{"dropping-particle":"","family":"Lefevre","given":"Thierry","non-dropping-particle":"","parse-names":false,"suffix":""},{"dropping-particle":"","family":"Drouet","given":"Elodie","non-dropping-particle":"","parse-names":false,"suffix":""},{"dropping-particle":"","family":"Mulak","given":"Genevieve","non-dropping-particle":"","parse-names":false,"suffix":""},{"dropping-particle":"","family":"Bataille","given":"Vincent","non-dropping-particle":"","parse-names":false,"suffix":""},{"dropping-particle":"","family":"Ferrieres","given":"Jean","non-dropping-particle":"","parse-names":false,"suffix":""},{"dropping-particle":"","family":"Verstuyft","given":"Celine","non-dropping-particle":"","parse-names":false,"suffix":""},{"dropping-particle":"","family":"Danchin","given":"Nicolas","non-dropping-particle":"","parse-names":false,"suffix":""}],"container-title":"Circulation","id":"ITEM-1","issue":"5","issued":{"date-parts":[["2011"]]},"note":"548\n\nFrom Duplicate 1 (Clinical events as a function of proton pump inhibitor use, clopidogrel use, and cytochrome P450 2C19 genotype in a large nationwide cohort of acute myocardial infarction: results from the French Registry of Acute ST-Elevation and Non-ST-Elevation Myocardial Infarction (FAST-MI) registry. - Simon, Tabassome; Steg, Philippe Gabriel; Gilard, Martine; Blanchard, Didier; Bonello, Laurent; Hanssen, Michel; Lardoux, Herve; Coste, Pierre; Lefevre, Thierry; Drouet, Elodie; Mulak, Genevieve; Bataille, Vincent; Ferrieres, Jean; Verstuyft, Celine; Danchin, Nicolas)\n\nComment in: Circulation. 2011 Sep 13;124(11):e297; PMID: 21911791, Comment in: Circulation. 2011 Feb 8;123(5):468-70; PMID: 21262991","page":"474-482","publisher":"Simon,Tabassome. Department of Pharmacology, Clinical Research Unit, APHP, St. Antoine Hospital, UMPC-Paris 06 University, 27 Rue Chaligny, Paris, France. tabassome.simon@sat.aphp.fr","publisher-place":"T. Simon, Department of Pharmacology, St. Antoine Hospital, Paris 06 University, 27 Rue Chaligny, 75012, Paris, France. E-mail: tabassome.simon@sat.aphp.fr","title":"Clinical events as a function of proton pump inhibitor use, clopidogrel use, and cytochrome P450 2C19 genotype in a large nationwide cohort of acute myocardial infarction: results from the French Registry of Acute ST-Elevation and Non-ST-Elevation Myocard","type":"article-journal","volume":"123"},"uris":["http://www.mendeley.com/documents/?uuid=512b8704-9b8f-4f71-afc3-3647a3c4953d"]}],"mendeley":{"formattedCitation":"(Simon et al. 2011)","plainTextFormattedCitation":"(Simon et al. 2011)","previouslyFormattedCitation":"(Simon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(Simon et al. 2011)</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0D876AEB" w14:textId="77777777" w:rsidR="00B842AC" w:rsidRPr="008558D2" w:rsidRDefault="00B842AC" w:rsidP="00B842AC">
            <w:pPr>
              <w:spacing w:after="0" w:line="240" w:lineRule="auto"/>
              <w:rPr>
                <w:rFonts w:ascii="Calibri" w:eastAsia="Times New Roman" w:hAnsi="Calibri" w:cs="Times New Roman"/>
                <w:color w:val="000000"/>
                <w:sz w:val="20"/>
                <w:szCs w:val="20"/>
                <w:lang w:eastAsia="en-CA"/>
              </w:rPr>
            </w:pPr>
            <w:r w:rsidRPr="008558D2">
              <w:rPr>
                <w:rFonts w:ascii="Calibri" w:eastAsia="Times New Roman" w:hAnsi="Calibri" w:cs="Times New Roman"/>
                <w:color w:val="000000"/>
                <w:sz w:val="20"/>
                <w:szCs w:val="20"/>
                <w:lang w:eastAsia="en-CA"/>
              </w:rPr>
              <w:t>PPIs (general)</w:t>
            </w:r>
            <w:r w:rsidRPr="008558D2">
              <w:rPr>
                <w:rFonts w:ascii="Calibri" w:eastAsia="Times New Roman" w:hAnsi="Calibri" w:cs="Times New Roman"/>
                <w:color w:val="000000"/>
                <w:sz w:val="20"/>
                <w:szCs w:val="20"/>
                <w:lang w:eastAsia="en-CA"/>
              </w:rPr>
              <w:br/>
              <w:t>Omeprazole</w:t>
            </w:r>
            <w:r w:rsidRPr="008558D2">
              <w:rPr>
                <w:rFonts w:ascii="Calibri" w:eastAsia="Times New Roman" w:hAnsi="Calibri" w:cs="Times New Roman"/>
                <w:color w:val="000000"/>
                <w:sz w:val="20"/>
                <w:szCs w:val="20"/>
                <w:lang w:eastAsia="en-CA"/>
              </w:rPr>
              <w:br/>
              <w:t xml:space="preserve">Lansoprazole </w:t>
            </w:r>
            <w:r w:rsidRPr="008558D2">
              <w:rPr>
                <w:rFonts w:ascii="Calibri" w:eastAsia="Times New Roman" w:hAnsi="Calibri" w:cs="Times New Roman"/>
                <w:color w:val="000000"/>
                <w:sz w:val="20"/>
                <w:szCs w:val="20"/>
                <w:lang w:eastAsia="en-CA"/>
              </w:rPr>
              <w:br/>
              <w:t>Omeprazole</w:t>
            </w:r>
            <w:r w:rsidRPr="008558D2">
              <w:rPr>
                <w:rFonts w:ascii="Calibri" w:eastAsia="Times New Roman" w:hAnsi="Calibri" w:cs="Times New Roman"/>
                <w:color w:val="000000"/>
                <w:sz w:val="20"/>
                <w:szCs w:val="20"/>
                <w:lang w:eastAsia="en-CA"/>
              </w:rPr>
              <w:br/>
              <w:t>Pantoprazole</w:t>
            </w:r>
          </w:p>
        </w:tc>
        <w:tc>
          <w:tcPr>
            <w:tcW w:w="1418" w:type="dxa"/>
            <w:tcBorders>
              <w:top w:val="nil"/>
              <w:left w:val="nil"/>
              <w:bottom w:val="single" w:sz="4" w:space="0" w:color="808080"/>
              <w:right w:val="nil"/>
            </w:tcBorders>
            <w:vAlign w:val="center"/>
            <w:hideMark/>
          </w:tcPr>
          <w:p w14:paraId="1F1D6AD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4697F5F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EMR</w:t>
            </w:r>
          </w:p>
        </w:tc>
        <w:tc>
          <w:tcPr>
            <w:tcW w:w="1714" w:type="dxa"/>
            <w:tcBorders>
              <w:top w:val="nil"/>
              <w:left w:val="nil"/>
              <w:bottom w:val="single" w:sz="4" w:space="0" w:color="808080"/>
              <w:right w:val="nil"/>
            </w:tcBorders>
            <w:vAlign w:val="center"/>
            <w:hideMark/>
          </w:tcPr>
          <w:p w14:paraId="4EC50D3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 year)</w:t>
            </w:r>
            <w:r>
              <w:rPr>
                <w:rFonts w:ascii="Calibri" w:eastAsia="Times New Roman" w:hAnsi="Calibri" w:cs="Times New Roman"/>
                <w:color w:val="000000"/>
                <w:sz w:val="20"/>
                <w:szCs w:val="20"/>
                <w:lang w:eastAsia="en-CA"/>
              </w:rPr>
              <w:br/>
              <w:t>Stroke (1 year)</w:t>
            </w:r>
            <w:r>
              <w:rPr>
                <w:rFonts w:ascii="Calibri" w:eastAsia="Times New Roman" w:hAnsi="Calibri" w:cs="Times New Roman"/>
                <w:color w:val="000000"/>
                <w:sz w:val="20"/>
                <w:szCs w:val="20"/>
                <w:lang w:eastAsia="en-CA"/>
              </w:rPr>
              <w:br/>
              <w:t>ACM (1 year)</w:t>
            </w:r>
          </w:p>
        </w:tc>
        <w:tc>
          <w:tcPr>
            <w:tcW w:w="2255" w:type="dxa"/>
            <w:tcBorders>
              <w:top w:val="nil"/>
              <w:left w:val="nil"/>
              <w:bottom w:val="single" w:sz="4" w:space="0" w:color="808080"/>
              <w:right w:val="nil"/>
            </w:tcBorders>
            <w:vAlign w:val="center"/>
            <w:hideMark/>
          </w:tcPr>
          <w:p w14:paraId="78986E5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EMRs</w:t>
            </w:r>
          </w:p>
        </w:tc>
        <w:tc>
          <w:tcPr>
            <w:tcW w:w="1010" w:type="dxa"/>
            <w:tcBorders>
              <w:top w:val="nil"/>
              <w:left w:val="nil"/>
              <w:bottom w:val="single" w:sz="4" w:space="0" w:color="808080"/>
              <w:right w:val="nil"/>
            </w:tcBorders>
            <w:vAlign w:val="center"/>
            <w:hideMark/>
          </w:tcPr>
          <w:p w14:paraId="0ACEC3E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2005</w:t>
            </w:r>
          </w:p>
        </w:tc>
        <w:tc>
          <w:tcPr>
            <w:tcW w:w="1231" w:type="dxa"/>
            <w:tcBorders>
              <w:top w:val="nil"/>
              <w:left w:val="nil"/>
              <w:bottom w:val="single" w:sz="4" w:space="0" w:color="808080"/>
              <w:right w:val="nil"/>
            </w:tcBorders>
            <w:vAlign w:val="center"/>
            <w:hideMark/>
          </w:tcPr>
          <w:p w14:paraId="393E076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Industry and Public/non profit</w:t>
            </w:r>
          </w:p>
        </w:tc>
      </w:tr>
      <w:tr w:rsidR="00B842AC" w14:paraId="2630C090" w14:textId="77777777" w:rsidTr="00B842AC">
        <w:trPr>
          <w:trHeight w:val="298"/>
        </w:trPr>
        <w:tc>
          <w:tcPr>
            <w:tcW w:w="1522" w:type="dxa"/>
            <w:tcBorders>
              <w:top w:val="nil"/>
              <w:left w:val="nil"/>
              <w:bottom w:val="single" w:sz="4" w:space="0" w:color="808080"/>
              <w:right w:val="nil"/>
            </w:tcBorders>
            <w:vAlign w:val="center"/>
            <w:hideMark/>
          </w:tcPr>
          <w:p w14:paraId="3EC9D549" w14:textId="09472811"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{"citationItems":[{"id":"ITEM-1","itemData":{"ISBN":"0003-9926","ISSN":"1538-3679","abstract":"Background: Recent pharmacodynamic and retrospective clinical analyses have suggested that proton pump inhibitors (PPIs) may modify the antiplatelet effects of clopidogrel bisulfate. Methods: We conducted a retrospective cohort study of persons enrolled in a multistate health insurance plan with commercial and Medicare clients to evaluate adverse clinical outcomes in patients using clopidogrel plus a PPI compared with clopidogrel alone. Patients who were discharged from the hospital after myocardial infarction (MI) or coronary stent placement and treated with clopidogrel plus a PPI (n = 1033) were matched 1:1 (using propensity scoring) with patients with similar cardiovascular risk factors treated with clopidogrel alone. Rehospitalizations for MI or coronary stent placement were evaluated for up to 360 days. A subanalysis was conducted to study the impact of pantoprazole sodium, the most used PPI. Results: Patients who received clopidogrel plus a PPI had a 93% higher risk of rehospitalization for MI (adjusted hazard ratio, 1.93; 95% confidence interval, 1.05-3.54; P = .03) and a 64% higher risk of rehospitalization for MI or coronary stent placement (1.64; 1.16-2.32; P = .005) than did patients receiving clopidogrel alone. Increased risk of rehospitalization for MI or coronary stent placement was also observed for the subgroup of patients receiving clopidogrel plus pantoprazole (adjusted hazard ratio, 1.91; 95% confidence interval, 1.19-3.06; P = .008). Conclusions: Patients who received clopidogrel plus a PPI had a significantly higher risk of rehospitalization for MI or coronary stent placement than did patients receiving clopidogrel alone. Prospective clinical trials and laboratory analyses of biochemical interactions are warranted to further evaluate the potential impact of PPIs on the efficacy of clopidogrel. ©2010 American Medical Association. All rights reserved.","author":[{"dropping-particle":"","family":"Stockl","given":"Karen M","non-dropping-particle":"","parse-names":false,"suffix":""},{"dropping-particle":"","family":"Le","given":"Lisa","non-dropping-particle":"","parse-names":false,"suffix":""},{"dropping-particle":"","family":"Zakharyan","given":"Armen","non-dropping-particle":"","parse-names":false,"suffix":""},{"dropping-particle":"","family":"Harada","given":"Ann S M","non-dropping-particle":"","parse-names":false,"suffix":""},{"dropping-particle":"","family":"Solow","given":"Brian K","non-dropping-particle":"","parse-names":false,"suffix":""},{"dropping-particle":"","family":"Addiego","given":"Joseph E","non-dropping-particle":"","parse-names":false,"suffix":""},{"dropping-particle":"","family":"Ramsey","given":"Scott","non-dropping-particle":"","parse-names":false,"suffix":""}],"container-title":"Archives of internal medicine","id":"ITEM-1","issue":"8","issued":{"date-parts":[["2010"]]},"note":"666\n\nFrom Duplicate 2 (Risk of rehospitalization for patients using clopidogrel with a proton pump inhibitor. - Stockl, Karen M; Le, Lisa; Zakharyan, Armen; Harada, Ann S M; Solow, Brian K; Addiego, Joseph E; Ramsey, Scott)\n\nComment in: Arch Intern Med. 2010 Sep 27;170(17):1604-5; PMID: 20876414, Comment in: Arch Intern Med. 2010 Sep 13;170(16):1507-8; author reply 1508; PMID: 20837843","page":"704-710","publisher":"American Medical Association (515 North State Street, Chicago IL 60654, United States)","publisher-place":"United States","title":"Risk of rehospitalization for patients using clopidogrel with a proton pump inhibitor.","type":"article-journal","volume":"170"},"uris":["http://www.mendeley.com/documents/?uuid=2438d66b-1636-4c67-ad86-05d62e654e74"]}],"mendeley":{"formattedCitation":"(Stockl et al. 2010)","plainTextFormattedCitation":"(Stockl et al. 2010)","previouslyFormattedCitation":"(Stockl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(Stockl et al. 2010)</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6008145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r>
              <w:rPr>
                <w:rFonts w:ascii="Calibri" w:eastAsia="Times New Roman" w:hAnsi="Calibri" w:cs="Times New Roman"/>
                <w:color w:val="000000"/>
                <w:sz w:val="20"/>
                <w:szCs w:val="20"/>
                <w:lang w:eastAsia="en-CA"/>
              </w:rPr>
              <w:br/>
              <w:t>Pantoprazole</w:t>
            </w:r>
          </w:p>
        </w:tc>
        <w:tc>
          <w:tcPr>
            <w:tcW w:w="1418" w:type="dxa"/>
            <w:tcBorders>
              <w:top w:val="nil"/>
              <w:left w:val="nil"/>
              <w:bottom w:val="single" w:sz="4" w:space="0" w:color="808080"/>
              <w:right w:val="nil"/>
            </w:tcBorders>
            <w:vAlign w:val="center"/>
            <w:hideMark/>
          </w:tcPr>
          <w:p w14:paraId="3101C1C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2B7487A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Prescription records</w:t>
            </w:r>
          </w:p>
        </w:tc>
        <w:tc>
          <w:tcPr>
            <w:tcW w:w="1714" w:type="dxa"/>
            <w:tcBorders>
              <w:top w:val="nil"/>
              <w:left w:val="nil"/>
              <w:bottom w:val="single" w:sz="4" w:space="0" w:color="808080"/>
              <w:right w:val="nil"/>
            </w:tcBorders>
            <w:vAlign w:val="center"/>
            <w:hideMark/>
          </w:tcPr>
          <w:p w14:paraId="3085C62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 year)</w:t>
            </w:r>
          </w:p>
        </w:tc>
        <w:tc>
          <w:tcPr>
            <w:tcW w:w="2255" w:type="dxa"/>
            <w:tcBorders>
              <w:top w:val="nil"/>
              <w:left w:val="nil"/>
              <w:bottom w:val="single" w:sz="4" w:space="0" w:color="808080"/>
              <w:right w:val="nil"/>
            </w:tcBorders>
            <w:vAlign w:val="center"/>
            <w:hideMark/>
          </w:tcPr>
          <w:p w14:paraId="170F728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Database claims</w:t>
            </w:r>
          </w:p>
        </w:tc>
        <w:tc>
          <w:tcPr>
            <w:tcW w:w="1010" w:type="dxa"/>
            <w:tcBorders>
              <w:top w:val="nil"/>
              <w:left w:val="nil"/>
              <w:bottom w:val="single" w:sz="4" w:space="0" w:color="808080"/>
              <w:right w:val="nil"/>
            </w:tcBorders>
            <w:vAlign w:val="center"/>
            <w:hideMark/>
          </w:tcPr>
          <w:p w14:paraId="46A96CE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2004-2006</w:t>
            </w:r>
          </w:p>
        </w:tc>
        <w:tc>
          <w:tcPr>
            <w:tcW w:w="1231" w:type="dxa"/>
            <w:tcBorders>
              <w:top w:val="nil"/>
              <w:left w:val="nil"/>
              <w:bottom w:val="single" w:sz="4" w:space="0" w:color="808080"/>
              <w:right w:val="nil"/>
            </w:tcBorders>
            <w:vAlign w:val="center"/>
            <w:hideMark/>
          </w:tcPr>
          <w:p w14:paraId="6CC394C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359BADE3" w14:textId="77777777" w:rsidTr="00B842AC">
        <w:trPr>
          <w:trHeight w:val="411"/>
        </w:trPr>
        <w:tc>
          <w:tcPr>
            <w:tcW w:w="1522" w:type="dxa"/>
            <w:tcBorders>
              <w:top w:val="nil"/>
              <w:left w:val="nil"/>
              <w:bottom w:val="single" w:sz="4" w:space="0" w:color="808080"/>
              <w:right w:val="nil"/>
            </w:tcBorders>
            <w:vAlign w:val="center"/>
            <w:hideMark/>
          </w:tcPr>
          <w:p w14:paraId="3758156D" w14:textId="51EB759F"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author":[{"dropping-particle":"","family":"Sweeny","given":"JM","non-dropping-particle":"","parse-names":false,"suffix":""},{"dropping-particle":"","family":"Kini","given":"A","non-dropping-particle":"","parse-names":false,"suffix":""},{"dropping-particle":"","family":"Muntner","given":"P","non-dropping-particle":"","parse-names":false,"suffix":""},{"dropping-particle":"","family":"Jakkula","given":"M","non-dropping-particle":"","parse-names":false,"suffix":""},{"dropping-particle":"","family":"Farkouh","given":"M","non-dropping-particle":"","parse-names":false,"suffix":""},{"dropping-particle":"","family":"Sharma","given":"S","non-dropping-particle":"","parse-names":false,"suffix":""}],"container-title":"Circulation2","id":"ITEM-1","issued":{"date-parts":[["2009"]]},"note":"NULL","page":"S936","title":"Mortality associated with proton pump inhibitors following percuta- neous coronary interventions with drug eluting stents","type":"article-journal","volume":"120"},"uris":["http://www.mendeley.com/documents/?uuid=08f6c959-a7ec-44ac-8544-121c73ac549a"]}],"mendeley":{"formattedCitation":"(Sweeny et al. 2009)","plainTextFormattedCitation":"(Sweeny et al. 2009)","previouslyFormattedCitation":"(Sweeny et al. 2009)"},"properties":{"noteIndex":0},"schema":"https://github.com/citation-style-language/schema/raw/master/csl-citation.json"}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(Sweeny et al. 2009)</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t xml:space="preserve"> </w:t>
            </w:r>
          </w:p>
          <w:p w14:paraId="493ACA8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[abstract]</w:t>
            </w:r>
          </w:p>
        </w:tc>
        <w:tc>
          <w:tcPr>
            <w:tcW w:w="1842" w:type="dxa"/>
            <w:tcBorders>
              <w:top w:val="nil"/>
              <w:left w:val="nil"/>
              <w:bottom w:val="single" w:sz="4" w:space="0" w:color="808080"/>
              <w:right w:val="nil"/>
            </w:tcBorders>
            <w:vAlign w:val="center"/>
            <w:hideMark/>
          </w:tcPr>
          <w:p w14:paraId="6F78149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6CBA377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3EEE0DE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Database</w:t>
            </w:r>
          </w:p>
        </w:tc>
        <w:tc>
          <w:tcPr>
            <w:tcW w:w="1714" w:type="dxa"/>
            <w:tcBorders>
              <w:top w:val="nil"/>
              <w:left w:val="nil"/>
              <w:bottom w:val="single" w:sz="4" w:space="0" w:color="808080"/>
              <w:right w:val="nil"/>
            </w:tcBorders>
            <w:vAlign w:val="center"/>
            <w:hideMark/>
          </w:tcPr>
          <w:p w14:paraId="4D98D3C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(mean 2 years)</w:t>
            </w:r>
          </w:p>
        </w:tc>
        <w:tc>
          <w:tcPr>
            <w:tcW w:w="2255" w:type="dxa"/>
            <w:tcBorders>
              <w:top w:val="nil"/>
              <w:left w:val="nil"/>
              <w:bottom w:val="single" w:sz="4" w:space="0" w:color="808080"/>
              <w:right w:val="nil"/>
            </w:tcBorders>
            <w:vAlign w:val="center"/>
            <w:hideMark/>
          </w:tcPr>
          <w:p w14:paraId="7B023AB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Social Security Index</w:t>
            </w:r>
          </w:p>
        </w:tc>
        <w:tc>
          <w:tcPr>
            <w:tcW w:w="1010" w:type="dxa"/>
            <w:tcBorders>
              <w:top w:val="nil"/>
              <w:left w:val="nil"/>
              <w:bottom w:val="single" w:sz="4" w:space="0" w:color="808080"/>
              <w:right w:val="nil"/>
            </w:tcBorders>
            <w:vAlign w:val="center"/>
            <w:hideMark/>
          </w:tcPr>
          <w:p w14:paraId="1F94214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2003-2007</w:t>
            </w:r>
          </w:p>
        </w:tc>
        <w:tc>
          <w:tcPr>
            <w:tcW w:w="1231" w:type="dxa"/>
            <w:tcBorders>
              <w:top w:val="nil"/>
              <w:left w:val="nil"/>
              <w:bottom w:val="single" w:sz="4" w:space="0" w:color="808080"/>
              <w:right w:val="nil"/>
            </w:tcBorders>
            <w:vAlign w:val="center"/>
            <w:hideMark/>
          </w:tcPr>
          <w:p w14:paraId="10CD78B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7297A352" w14:textId="77777777" w:rsidTr="00B842AC">
        <w:trPr>
          <w:trHeight w:val="615"/>
        </w:trPr>
        <w:tc>
          <w:tcPr>
            <w:tcW w:w="1522" w:type="dxa"/>
            <w:tcBorders>
              <w:top w:val="nil"/>
              <w:left w:val="nil"/>
              <w:bottom w:val="single" w:sz="4" w:space="0" w:color="808080"/>
              <w:right w:val="nil"/>
            </w:tcBorders>
            <w:vAlign w:val="center"/>
            <w:hideMark/>
          </w:tcPr>
          <w:p w14:paraId="306AAEEA" w14:textId="22C7B566"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{"citationItems":[{"id":"ITEM-1","itemData":{"ISSN":"0340-6245","abstract":"The aim of the study was to evaluate the effect of the concomitant treatment with proton-pump inhibitors (PPIs) and clopidogrel on the incidence of stent thrombosis, acute coronary syndrome (ACS) and death in patients who underwent percutaneous coronary intervention (PCI) and stent implantation. In total, 1,210 patients under dual antiplatelet therapy, who underwent PCI and stent implantation, were included in a prospective registry from January 2003 until December 2006. The patients were divided retrospectively into those with or without long-term PPI treatment (for the duration of dual antiplatelet therapy). All-cause mortality, cardiovascular death, re-hospitalisation for re-ACS, stent thrombosis, as well as the combined endpoint all-cause death, re-ACS or stent thrombosis were evaluated over a mean follow-up period of 7.8 (+/- 3.63) months (range 1-12 months). Propensity score analysis was performed to reduce potential selection bias and exhibited no significant difference between the two study groups with respect to all-cause mortality, cardiovascular death, re-ACS, stent thrombosis and the combined endpoint. In pre-specified subgroup analyses performed in patients presenting with ACS and referred for acute PCI or for stable patients referred for elective PCI, receiving drug-eluting stents or bare metal stents, in diabetics or non-diabetics, in males or females, and in patients older than 75 years or &lt;75 years of age use of PPIs had no significant impact on clinical outcome. Our data suggest that a combined use of clopidogrel as part of dual antiplatelet therapy (DAPT) after coronary stenting and PPIs does not significantly influence the clinical outcome.","author":[{"dropping-particle":"","family":"Tentzeris","given":"Ioannis","non-dropping-particle":"","parse-names":false,"suffix":""},{"dropping-particle":"","family":"Jarai","given":"Rudolf","non-dropping-particle":"","parse-names":false,"suffix":""},{"dropping-particle":"","family":"Farhan","given":"Serdar","non-dropping-particle":"","parse-names":false,"suffix":""},{"dropping-particle":"","family":"Brozovic","given":"Ivan","non-dropping-particle":"","parse-names":false,"suffix":""},{"dropping-particle":"","family":"Smetana","given":"Peter","non-dropping-particle":"","parse-names":false,"suffix":""},{"dropping-particle":"","family":"Geppert","given":"Alexander","non-dropping-particle":"","parse-names":false,"suffix":""},{"dropping-particle":"","family":"Wojta","given":"Johann","non-dropping-particle":"","parse-names":false,"suffix":""},{"dropping-particle":"","family":"Siller-Matula","given":"Jolanta","non-dropping-particle":"","parse-names":false,"suffix":""},{"dropping-particle":"","family":"Huber","given":"Kurt","non-dropping-particle":"","parse-names":false,"suffix":""}],"container-title":"Thrombosis and haemostasis","id":"ITEM-1","issue":"6","issued":{"date-parts":[["2010"]]},"note":"662","page":"1211-1218","publisher":"Tentzeris,Ioannis. 3rd Medical Department with Cardiology and Emergency Medicine, Wilhelminen Hospital, Vienna, Austria. i_tentzeris@gmx.net","publisher-place":"Germany","title":"Impact of concomitant treatment with proton pump inhibitors and clopidogrel on clinical outcome in patients after coronary stent implantation.","type":"article-journal","volume":"104"},"uris":["http://www.mendeley.com/documents/?uuid=14134196-6918-489d-bc28-2679db5b8ab8"]}],"mendeley":{"formattedCitation":"(Tentzeris et al. 2010)","plainTextFormattedCitation":"(Tentzeris et al. 2010)","previouslyFormattedCitation":"(Tentzeris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(Tentzeris et al. 2010)</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07C50B7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2D56BB5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vAlign w:val="center"/>
            <w:hideMark/>
          </w:tcPr>
          <w:p w14:paraId="735EA96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Discharge summaries. </w:t>
            </w:r>
          </w:p>
        </w:tc>
        <w:tc>
          <w:tcPr>
            <w:tcW w:w="1714" w:type="dxa"/>
            <w:tcBorders>
              <w:top w:val="nil"/>
              <w:left w:val="nil"/>
              <w:bottom w:val="single" w:sz="4" w:space="0" w:color="808080"/>
              <w:right w:val="nil"/>
            </w:tcBorders>
            <w:vAlign w:val="center"/>
            <w:hideMark/>
          </w:tcPr>
          <w:p w14:paraId="11961E0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(mean 7.8 months)</w:t>
            </w:r>
            <w:r>
              <w:rPr>
                <w:rFonts w:ascii="Calibri" w:eastAsia="Times New Roman" w:hAnsi="Calibri" w:cs="Times New Roman"/>
                <w:color w:val="000000"/>
                <w:sz w:val="20"/>
                <w:szCs w:val="20"/>
                <w:lang w:eastAsia="en-CA"/>
              </w:rPr>
              <w:br/>
              <w:t>CVD mort  (mean 7.8 months)</w:t>
            </w:r>
          </w:p>
        </w:tc>
        <w:tc>
          <w:tcPr>
            <w:tcW w:w="2255" w:type="dxa"/>
            <w:tcBorders>
              <w:top w:val="nil"/>
              <w:left w:val="nil"/>
              <w:bottom w:val="single" w:sz="4" w:space="0" w:color="808080"/>
              <w:right w:val="nil"/>
            </w:tcBorders>
            <w:vAlign w:val="center"/>
            <w:hideMark/>
          </w:tcPr>
          <w:p w14:paraId="470BAAC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Follow up; Statistics Austria (mortality)</w:t>
            </w:r>
          </w:p>
        </w:tc>
        <w:tc>
          <w:tcPr>
            <w:tcW w:w="1010" w:type="dxa"/>
            <w:tcBorders>
              <w:top w:val="nil"/>
              <w:left w:val="nil"/>
              <w:bottom w:val="single" w:sz="4" w:space="0" w:color="808080"/>
              <w:right w:val="nil"/>
            </w:tcBorders>
            <w:vAlign w:val="center"/>
            <w:hideMark/>
          </w:tcPr>
          <w:p w14:paraId="25A31D7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2003-2006</w:t>
            </w:r>
          </w:p>
        </w:tc>
        <w:tc>
          <w:tcPr>
            <w:tcW w:w="1231" w:type="dxa"/>
            <w:tcBorders>
              <w:top w:val="nil"/>
              <w:left w:val="nil"/>
              <w:bottom w:val="single" w:sz="4" w:space="0" w:color="808080"/>
              <w:right w:val="nil"/>
            </w:tcBorders>
            <w:vAlign w:val="center"/>
            <w:hideMark/>
          </w:tcPr>
          <w:p w14:paraId="7DAD0B4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14F9364F" w14:textId="77777777" w:rsidTr="00B842AC">
        <w:trPr>
          <w:trHeight w:val="378"/>
        </w:trPr>
        <w:tc>
          <w:tcPr>
            <w:tcW w:w="1522" w:type="dxa"/>
            <w:tcBorders>
              <w:top w:val="nil"/>
              <w:left w:val="nil"/>
              <w:bottom w:val="single" w:sz="4" w:space="0" w:color="808080"/>
              <w:right w:val="nil"/>
            </w:tcBorders>
            <w:vAlign w:val="center"/>
            <w:hideMark/>
          </w:tcPr>
          <w:p w14:paraId="3E6187E3" w14:textId="4A9F8964"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DOI":"10.1002/clc.20978","author":[{"dropping-particle":"","family":"Ulhaq","given":"Inam","non-dropping-particle":"","parse-names":false,"suffix":""},{"dropping-particle":"","family":"Sood","given":"Ruchit","non-dropping-particle":"","parse-names":false,"suffix":""},{"dropping-particle":"","family":"Hegade","given":"Vinod","non-dropping-particle":"","parse-names":false,"suffix":""},{"dropping-particle":"","family":"Moreea","given":"Sulleman","non-dropping-particle":"","parse-names":false,"suffix":""},{"dropping-particle":"","family":"Bulugahapitiya","given":"Sudantha","non-dropping-particle":"","parse-names":false,"suffix":""}],"container-title":"Clinical cardiology","id":"ITEM-1","issue":"11","issued":{"date-parts":[["2011"]]},"note":"NULL","page":"721","title":"Response to Clopidogrel With Proton Pump Inhibitors: Safe or Not? -Letter to the Editor","type":"article-journal","volume":"34"},"uris":["http://www.mendeley.com/documents/?uuid=6213be15-af23-4dd5-8360-df7368992afa"]}],"mendeley":{"formattedCitation":"(Ulhaq et al. 2011)","plainTextFormattedCitation":"(Ulhaq et al. 2011)","previouslyFormattedCitation":"(Ulhaq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(Ulhaq et al. 2011)</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br/>
            </w:r>
          </w:p>
        </w:tc>
        <w:tc>
          <w:tcPr>
            <w:tcW w:w="1842" w:type="dxa"/>
            <w:tcBorders>
              <w:top w:val="nil"/>
              <w:left w:val="nil"/>
              <w:bottom w:val="single" w:sz="4" w:space="0" w:color="808080"/>
              <w:right w:val="nil"/>
            </w:tcBorders>
            <w:vAlign w:val="center"/>
            <w:hideMark/>
          </w:tcPr>
          <w:p w14:paraId="3EA6D61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(general)</w:t>
            </w:r>
          </w:p>
        </w:tc>
        <w:tc>
          <w:tcPr>
            <w:tcW w:w="1418" w:type="dxa"/>
            <w:tcBorders>
              <w:top w:val="nil"/>
              <w:left w:val="nil"/>
              <w:bottom w:val="single" w:sz="4" w:space="0" w:color="808080"/>
              <w:right w:val="nil"/>
            </w:tcBorders>
            <w:vAlign w:val="center"/>
            <w:hideMark/>
          </w:tcPr>
          <w:p w14:paraId="2171481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vAlign w:val="center"/>
            <w:hideMark/>
          </w:tcPr>
          <w:p w14:paraId="11E86D1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714" w:type="dxa"/>
            <w:tcBorders>
              <w:top w:val="nil"/>
              <w:left w:val="nil"/>
              <w:bottom w:val="single" w:sz="4" w:space="0" w:color="808080"/>
              <w:right w:val="nil"/>
            </w:tcBorders>
            <w:vAlign w:val="center"/>
            <w:hideMark/>
          </w:tcPr>
          <w:p w14:paraId="1CAE863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 year)</w:t>
            </w:r>
          </w:p>
        </w:tc>
        <w:tc>
          <w:tcPr>
            <w:tcW w:w="2255" w:type="dxa"/>
            <w:tcBorders>
              <w:top w:val="nil"/>
              <w:left w:val="nil"/>
              <w:bottom w:val="single" w:sz="4" w:space="0" w:color="808080"/>
              <w:right w:val="nil"/>
            </w:tcBorders>
            <w:vAlign w:val="center"/>
            <w:hideMark/>
          </w:tcPr>
          <w:p w14:paraId="6E5FCAE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reported</w:t>
            </w:r>
          </w:p>
        </w:tc>
        <w:tc>
          <w:tcPr>
            <w:tcW w:w="1010" w:type="dxa"/>
            <w:tcBorders>
              <w:top w:val="nil"/>
              <w:left w:val="nil"/>
              <w:bottom w:val="single" w:sz="4" w:space="0" w:color="808080"/>
              <w:right w:val="nil"/>
            </w:tcBorders>
            <w:vAlign w:val="center"/>
            <w:hideMark/>
          </w:tcPr>
          <w:p w14:paraId="6BF8522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reported (1 year)</w:t>
            </w:r>
          </w:p>
        </w:tc>
        <w:tc>
          <w:tcPr>
            <w:tcW w:w="1231" w:type="dxa"/>
            <w:tcBorders>
              <w:top w:val="nil"/>
              <w:left w:val="nil"/>
              <w:bottom w:val="single" w:sz="4" w:space="0" w:color="808080"/>
              <w:right w:val="nil"/>
            </w:tcBorders>
            <w:vAlign w:val="center"/>
            <w:hideMark/>
          </w:tcPr>
          <w:p w14:paraId="3075097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w:t>
            </w:r>
          </w:p>
        </w:tc>
      </w:tr>
      <w:tr w:rsidR="00B842AC" w14:paraId="1BDC45BC" w14:textId="77777777" w:rsidTr="00B842AC">
        <w:trPr>
          <w:trHeight w:val="1095"/>
        </w:trPr>
        <w:tc>
          <w:tcPr>
            <w:tcW w:w="1522" w:type="dxa"/>
            <w:tcBorders>
              <w:top w:val="nil"/>
              <w:left w:val="nil"/>
              <w:bottom w:val="single" w:sz="4" w:space="0" w:color="808080"/>
              <w:right w:val="nil"/>
            </w:tcBorders>
            <w:vAlign w:val="center"/>
            <w:hideMark/>
          </w:tcPr>
          <w:p w14:paraId="37A535E3" w14:textId="5321E220"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{"citationItems":[{"id":"ITEM-1","itemData":{"ISBN":"0269-2813","ISSN":"1365-2036","abstract":"BACKGROUND: The association between myocardial infarction (MI) and co-administration of proton pump inhibitors (PPIs) and clopidogrel remains controversial., AIM: To quantify the association between concomitant use of PPIs and clopidogrel and occurrence of recurrent MI., METHODS: We conducted a case-control study within a cohort of acute MI patients in PHARMO Record Linkage System (1999-2008). The cases were patients readmitted for MI. PPI exposure was categorized as current (3-1 days before MI), past (30-3 days before MI), or no use (&gt;30 days before MI). We used conditional logistic regression analyses., RESULTS: Among 23 655 patients hospitalized following MI, we identified 1247 patients readmitted for MI. Among clopidogrel users, current PPI use was associated with an increased risk of recurrent MI (OR: 1.62, 95% CI: 1.15-2.27) when compared with no PPI use, but not when compared with past PPI use (OR: 0.95, 95% CI: 0.38-2.41). Among clopidogrel non-users, current PPI use was associated with an increased risk of recurrent MI (OR: 1.38, 95% CI: 1.18-1.61) when compared with no PPI use., CONCLUSIONS: The apparent association between recurrent MI and use of PPIs with clopidogrel depends on the design, and is affected by confounding by indication. The association is not present when (un)measured confounding is addressed by design.Copyright © 2010 Blackwell Publishing Ltd.","author":[{"dropping-particle":"","family":"Valkhoff","given":"V E","non-dropping-particle":"","parse-names":false,"suffix":""},{"dropping-particle":"","family":"'t Jong","given":"G W","non-dropping-particle":"","parse-names":false,"suffix":""},{"dropping-particle":"","family":"Soest","given":"E M","non-dropping-particle":"Van","parse-names":false,"suffix":""},{"dropping-particle":"","family":"Kuipers","given":"E J","non-dropping-particle":"","parse-names":false,"suffix":""},{"dropping-particle":"","family":"Sturkenboom","given":"M C J M","non-dropping-particle":"","parse-names":false,"suffix":""}],"container-title":"Alimentary pharmacology &amp; therapeutics","id":"ITEM-1","issue":"1","issued":{"date-parts":[["2011"]]},"note":"NULL","page":"77-88","publisher":"Blackwell Publishing Ltd (9600 Garsington Road, Oxford OX4 2XG, United Kingdom)","publisher-place":"England","title":"Risk of recurrent myocardial infarction with the concomitant use of clopidogrel and proton pump inhibitors.","type":"article-journal","volume":"33"},"uris":["http://www.mendeley.com/documents/?uuid=9cdc9a9f-8bb6-4c06-a39a-f950907df585"]}],"mendeley":{"formattedCitation":"(Valkhoff et al. 2011)","plainTextFormattedCitation":"(Valkhoff et al. 2011)","previouslyFormattedCitation":"(Valkhoff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(Valkhoff et al. 2011)</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br/>
            </w:r>
          </w:p>
        </w:tc>
        <w:tc>
          <w:tcPr>
            <w:tcW w:w="1842" w:type="dxa"/>
            <w:tcBorders>
              <w:top w:val="nil"/>
              <w:left w:val="nil"/>
              <w:bottom w:val="single" w:sz="4" w:space="0" w:color="808080"/>
              <w:right w:val="nil"/>
            </w:tcBorders>
            <w:vAlign w:val="center"/>
            <w:hideMark/>
          </w:tcPr>
          <w:p w14:paraId="5811205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2413033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086E819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Electronic health records, outpatient drug dispensing files of pharmacies.</w:t>
            </w:r>
          </w:p>
        </w:tc>
        <w:tc>
          <w:tcPr>
            <w:tcW w:w="1714" w:type="dxa"/>
            <w:tcBorders>
              <w:top w:val="nil"/>
              <w:left w:val="nil"/>
              <w:bottom w:val="single" w:sz="4" w:space="0" w:color="808080"/>
              <w:right w:val="nil"/>
            </w:tcBorders>
            <w:vAlign w:val="center"/>
            <w:hideMark/>
          </w:tcPr>
          <w:p w14:paraId="126E2AF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recurrent MI </w:t>
            </w:r>
            <w:r>
              <w:rPr>
                <w:rFonts w:ascii="Calibri" w:eastAsia="Times New Roman" w:hAnsi="Calibri" w:cs="Times New Roman"/>
                <w:color w:val="1F497D"/>
                <w:sz w:val="20"/>
                <w:szCs w:val="20"/>
                <w:lang w:eastAsia="en-CA"/>
              </w:rPr>
              <w:t xml:space="preserve"> </w:t>
            </w:r>
            <w:r>
              <w:rPr>
                <w:rFonts w:ascii="Calibri" w:eastAsia="Times New Roman" w:hAnsi="Calibri" w:cs="Times New Roman"/>
                <w:sz w:val="20"/>
                <w:szCs w:val="20"/>
                <w:lang w:eastAsia="en-CA"/>
              </w:rPr>
              <w:t>(up to 9 years; median: 3.6 years)</w:t>
            </w:r>
          </w:p>
        </w:tc>
        <w:tc>
          <w:tcPr>
            <w:tcW w:w="2255" w:type="dxa"/>
            <w:tcBorders>
              <w:top w:val="nil"/>
              <w:left w:val="nil"/>
              <w:bottom w:val="single" w:sz="4" w:space="0" w:color="808080"/>
              <w:right w:val="nil"/>
            </w:tcBorders>
            <w:vAlign w:val="center"/>
            <w:hideMark/>
          </w:tcPr>
          <w:p w14:paraId="2773068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Hospital records</w:t>
            </w:r>
          </w:p>
        </w:tc>
        <w:tc>
          <w:tcPr>
            <w:tcW w:w="1010" w:type="dxa"/>
            <w:tcBorders>
              <w:top w:val="nil"/>
              <w:left w:val="nil"/>
              <w:bottom w:val="single" w:sz="4" w:space="0" w:color="808080"/>
              <w:right w:val="nil"/>
            </w:tcBorders>
            <w:vAlign w:val="center"/>
            <w:hideMark/>
          </w:tcPr>
          <w:p w14:paraId="02CEE0E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1999-2008</w:t>
            </w:r>
          </w:p>
        </w:tc>
        <w:tc>
          <w:tcPr>
            <w:tcW w:w="1231" w:type="dxa"/>
            <w:tcBorders>
              <w:top w:val="nil"/>
              <w:left w:val="nil"/>
              <w:bottom w:val="single" w:sz="4" w:space="0" w:color="808080"/>
              <w:right w:val="nil"/>
            </w:tcBorders>
            <w:vAlign w:val="center"/>
            <w:hideMark/>
          </w:tcPr>
          <w:p w14:paraId="5596F90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2C4B50F6" w14:textId="77777777" w:rsidTr="00B842AC">
        <w:trPr>
          <w:trHeight w:val="430"/>
        </w:trPr>
        <w:tc>
          <w:tcPr>
            <w:tcW w:w="1522" w:type="dxa"/>
            <w:tcBorders>
              <w:top w:val="nil"/>
              <w:left w:val="nil"/>
              <w:bottom w:val="single" w:sz="4" w:space="0" w:color="808080"/>
              <w:right w:val="nil"/>
            </w:tcBorders>
            <w:vAlign w:val="center"/>
            <w:hideMark/>
          </w:tcPr>
          <w:p w14:paraId="6C6BECA6" w14:textId="48315103"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{"citationItems":[{"id":"ITEM-1","itemData":{"ISBN":"0002-9270","ISSN":"1572-0241","abstract":"Objectives: Recent studies have raised concerns on the clinical effectiveness of clopidogrel when taken in combination with proton pump inhibitors (PPIs), demonstrating an increase in the occurrence of cardiovascular events. In this study, the association between the co-administration of a PPI and clopidogrel and the occurrence of cardiovascular and gastrointestinal (GI) events in a large cohort in the Netherlands was investigated. Methods: A retrospective study was conducted using data from 4 million individuals. New clopidogrel users were identified between January 2006 and December 2007 and followed over time. The Kaplan-Meier method and cyclo-oxygenase proportional hazard regression analysis were used to calculate the risk of cardiovascular and GI outcomes in clopidogrel patients with or without PPI use. Results: A total of 18,139 new clopidogrel users were identified; 5,734 subjects (32%) used PPIs concurrently. Patients on PPIs were significantly older, used more co-medications and suffered from more comorbidities. Use of clopidogrel and PPIs was associated with an increased risk of myocardial infarction (hazard ratio (HR) 1.93, 95% confidence interval (CI) 1.40-2.65), unstable angina pectoris (HR 1.79, 95% CI 1.60-2.03), and the composite endpoint (HR 1.75, 95% CI 1.58-1.94) compared with clopidogrel users without PPIs. PPI users also had an increased risk of GI events compared with non-PPI users (HR 4.76, 95% CI 1.18-19.17). Conclusions: New clopidogrel users on PPIs are at an increased risk of cardiovascular and GI complications compared with those who are not using a PPI. The inferior cardiovascular profile of clopidogrel users on PPIs and the occurrence of channeling bias may be important factors underlying this observation. © 2010 by the American College of Gastroenterology.","author":[{"dropping-particle":"","family":"Boxel","given":"Ofke S","non-dropping-particle":"van","parse-names":false,"suffix":""},{"dropping-particle":"","family":"Oijen","given":"Martijn G H","non-dropping-particle":"van","parse-names":false,"suffix":""},{"dropping-particle":"","family":"Hagenaars","given":"Matthijs P","non-dropping-particle":"","parse-names":false,"suffix":""},{"dropping-particle":"","family":"Smout","given":"A J P M","non-dropping-particle":"","parse-names":false,"suffix":""},{"dropping-particle":"","family":"Siersema","given":"Peter D","non-dropping-particle":"","parse-names":false,"suffix":""}],"collection-title":"[Erratum appears in Am J Gastroenterol. 2010 Nov;105(11):2516]","container-title":"The American journal of gastroenterology","id":"ITEM-1","issue":"11","issued":{"date-parts":[["2010"]]},"note":"655\n\nFrom Duplicate 2 (Cardiovascular and gastrointestinal outcomes in clopidogrel users on proton pump inhibitors: results of a large Dutch cohort study. - van Boxel, Ofke S; van Oijen, Martijn G H; Hagenaars, Matthijs P; Smout, A J P M; Siersema, Peter D)\n\nComment in: Am J Gastroenterol. 2010 Nov;105(11):2438-9; PMID: 21048683","page":"2430-2436","publisher":"Nature Publishing Group (Houndmills, Basingstoke, Hampshire RG21 6XS, United Kingdom)","publisher-place":"United States","title":"Cardiovascular and gastrointestinal outcomes in clopidogrel users on proton pump inhibitors: Results of a large dutch cohort study","type":"article-journal","volume":"105"},"uris":["http://www.mendeley.com/documents/?uuid=581eb207-96ea-4fd1-a6a0-30c088a7d559"]}],"mendeley":{"formattedCitation":"(van Boxel et al. 2010)","plainTextFormattedCitation":"(van Boxel et al. 2010)","previouslyFormattedCitation":"(van Boxel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(van Boxel et al. 2010)</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036294B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77F0066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4E33442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Prescriptions records from insurance database</w:t>
            </w:r>
          </w:p>
        </w:tc>
        <w:tc>
          <w:tcPr>
            <w:tcW w:w="1714" w:type="dxa"/>
            <w:tcBorders>
              <w:top w:val="nil"/>
              <w:left w:val="nil"/>
              <w:bottom w:val="single" w:sz="4" w:space="0" w:color="808080"/>
              <w:right w:val="nil"/>
            </w:tcBorders>
            <w:vAlign w:val="center"/>
            <w:hideMark/>
          </w:tcPr>
          <w:p w14:paraId="1FCBAF1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(750 days)</w:t>
            </w:r>
            <w:r>
              <w:rPr>
                <w:rFonts w:ascii="Calibri" w:eastAsia="Times New Roman" w:hAnsi="Calibri" w:cs="Times New Roman"/>
                <w:color w:val="000000"/>
                <w:sz w:val="20"/>
                <w:szCs w:val="20"/>
                <w:lang w:eastAsia="en-CA"/>
              </w:rPr>
              <w:br/>
              <w:t>Stroke (750 days)</w:t>
            </w:r>
            <w:r>
              <w:rPr>
                <w:rFonts w:ascii="Calibri" w:eastAsia="Times New Roman" w:hAnsi="Calibri" w:cs="Times New Roman"/>
                <w:color w:val="000000"/>
                <w:sz w:val="20"/>
                <w:szCs w:val="20"/>
                <w:lang w:eastAsia="en-CA"/>
              </w:rPr>
              <w:br/>
              <w:t>ACM (750 days)</w:t>
            </w:r>
          </w:p>
        </w:tc>
        <w:tc>
          <w:tcPr>
            <w:tcW w:w="2255" w:type="dxa"/>
            <w:tcBorders>
              <w:top w:val="nil"/>
              <w:left w:val="nil"/>
              <w:bottom w:val="single" w:sz="4" w:space="0" w:color="808080"/>
              <w:right w:val="nil"/>
            </w:tcBorders>
            <w:vAlign w:val="center"/>
            <w:hideMark/>
          </w:tcPr>
          <w:p w14:paraId="6408F46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Database</w:t>
            </w:r>
          </w:p>
        </w:tc>
        <w:tc>
          <w:tcPr>
            <w:tcW w:w="1010" w:type="dxa"/>
            <w:tcBorders>
              <w:top w:val="nil"/>
              <w:left w:val="nil"/>
              <w:bottom w:val="single" w:sz="4" w:space="0" w:color="808080"/>
              <w:right w:val="nil"/>
            </w:tcBorders>
            <w:vAlign w:val="center"/>
            <w:hideMark/>
          </w:tcPr>
          <w:p w14:paraId="4694CE3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2004-2007</w:t>
            </w:r>
          </w:p>
        </w:tc>
        <w:tc>
          <w:tcPr>
            <w:tcW w:w="1231" w:type="dxa"/>
            <w:tcBorders>
              <w:top w:val="nil"/>
              <w:left w:val="nil"/>
              <w:bottom w:val="single" w:sz="4" w:space="0" w:color="808080"/>
              <w:right w:val="nil"/>
            </w:tcBorders>
            <w:vAlign w:val="center"/>
            <w:hideMark/>
          </w:tcPr>
          <w:p w14:paraId="55B8C43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Industry</w:t>
            </w:r>
          </w:p>
        </w:tc>
      </w:tr>
      <w:tr w:rsidR="00B842AC" w14:paraId="7BE010F0" w14:textId="77777777" w:rsidTr="00B842AC">
        <w:trPr>
          <w:trHeight w:val="572"/>
        </w:trPr>
        <w:tc>
          <w:tcPr>
            <w:tcW w:w="1522" w:type="dxa"/>
            <w:tcBorders>
              <w:top w:val="nil"/>
              <w:left w:val="nil"/>
              <w:bottom w:val="single" w:sz="4" w:space="0" w:color="808080"/>
              <w:right w:val="nil"/>
            </w:tcBorders>
            <w:vAlign w:val="center"/>
            <w:hideMark/>
          </w:tcPr>
          <w:p w14:paraId="606DB9F1" w14:textId="7094EBF0" w:rsidR="00B842AC" w:rsidRPr="00E5015F" w:rsidRDefault="00B842AC" w:rsidP="00B842AC">
            <w:pPr>
              <w:spacing w:after="0" w:line="240" w:lineRule="auto"/>
              <w:rPr>
                <w:rFonts w:asciiTheme="majorHAnsi" w:eastAsia="Times New Roman" w:hAnsiTheme="majorHAnsi" w:cstheme="majorHAnsi"/>
                <w:color w:val="000000"/>
                <w:sz w:val="20"/>
                <w:szCs w:val="20"/>
                <w:lang w:eastAsia="en-CA"/>
              </w:rPr>
            </w:pPr>
            <w:r w:rsidRPr="00E5015F">
              <w:rPr>
                <w:rFonts w:asciiTheme="majorHAnsi" w:eastAsia="Times New Roman" w:hAnsiTheme="majorHAnsi" w:cstheme="majorHAnsi"/>
                <w:color w:val="000000"/>
                <w:sz w:val="20"/>
                <w:szCs w:val="20"/>
                <w:lang w:eastAsia="en-CA"/>
              </w:rPr>
              <w:fldChar w:fldCharType="begin" w:fldLock="1"/>
            </w:r>
            <w:r w:rsidR="00D325C7" w:rsidRPr="00E5015F">
              <w:rPr>
                <w:rFonts w:asciiTheme="majorHAnsi" w:eastAsia="Times New Roman" w:hAnsiTheme="majorHAnsi" w:cstheme="majorHAnsi"/>
                <w:color w:val="000000"/>
                <w:sz w:val="20"/>
                <w:szCs w:val="20"/>
                <w:lang w:eastAsia="en-CA"/>
              </w:rPr>
              <w:instrText>ADDIN CSL_CITATION {"citationItems":[{"id":"ITEM-1","itemData":{"ISSN":"2050-6511","abstract":"BACKGROUND: It is unclear whether concomitant use of clopidogrel and proton-pump inhibitors (PPIs) increases the risk of recurrence of cardiovascular disease or death in patients at high risk of upper gastrointestinal (GI) bleeding., METHODS: Based on the Swedish Patient Register, a cohort of cardiovascular disease (including acute myocardial infarction, stroke and angina, from 2006 to 2008) was selected from a population with any diagnosis of upper GI bleeding. Data on drug prescription was retrieved from the Prescribed Drug Register. Patients entered into the cohort after their first discharge for cardiovascular disease and were followed up to death, recurrence of cardiovascular disease, or 90 days. A Cox regression model was conducted and hazard ratios (HRs) with 95% confidence intervals (CIs) were estimated to evaluate the risks among users of different drug prescriptions., RESULTS: Patients who were current users of only PPIs (HR 2.02, 95% CI 1.19-3.44), only clopidogrel (HR 1.14, 95% CI 0.53-2.45) and nonusers of both (HR 2.36, 95% CI 1.39-4.00) were at a higher risk of death compared with patients with a concomitant use. Results were similar among 1779 patients who had any history of upper GI bleeding (HR 2.05, 95% CI 1.18-3.54; HR 1.25, 95% CI 0.57-2.72; HR 2.30, 95% CI 1.33-3.98, respectively)., CONCLUSION: Among patients at high risk of upper GI bleeding, those with a concomitant use of PPIs and clopidogrel were at a decreased risk of mortality, and possibly also a decreased risk of recurrence of cardiovascular disease.","author":[{"dropping-particle":"","family":"Wang","given":"Qing","non-dropping-particle":"","parse-names":false,"suffix":""},{"dropping-particle":"","family":"Ljung","given":"Rickard","non-dropping-particle":"","parse-names":false,"suffix":""},{"dropping-particle":"","family":"Lagergren","given":"Jesper","non-dropping-particle":"","parse-names":false,"suffix":""},{"dropping-particle":"","family":"Lu","given":"Yunxia","non-dropping-particle":"","parse-names":false,"suffix":""}],"container-title":"BMC pharmacology &amp; toxicology","id":"ITEM-1","issued":{"date-parts":[["2014"]]},"note":"85","page":"22","publisher":"Lu,Yunxia. Department of Molecular Medicine and Surgery, Karolinska Institutet, SE-171 76 Stockholm, Sweden. yunxia.lu@ki.se.","publisher-place":"England","title":"Prognosis of concomitant users of clopidogrel and proton-pump inhibitors in a high-risk population for upper gastrointestinal bleeding.","type":"article-journal","volume":"15"},"uris":["http://www.mendeley.com/documents/?uuid=7a752c7f-f948-4778-9d80-5ca778582776"]}],"mendeley":{"formattedCitation":"(Wang et al. 2014)","plainTextFormattedCitation":"(Wang et al. 2014)","previouslyFormattedCitation":"(Wang et al. 2014)"},"properties":{"noteIndex":0},"schema":"https://github.com/citation-style-language/schema/raw/master/csl-citation.json"}</w:instrText>
            </w:r>
            <w:r w:rsidRPr="00E5015F">
              <w:rPr>
                <w:rFonts w:asciiTheme="majorHAnsi" w:eastAsia="Times New Roman" w:hAnsiTheme="majorHAnsi" w:cstheme="majorHAnsi"/>
                <w:color w:val="000000"/>
                <w:sz w:val="20"/>
                <w:szCs w:val="20"/>
                <w:lang w:eastAsia="en-CA"/>
              </w:rPr>
              <w:fldChar w:fldCharType="separate"/>
            </w:r>
            <w:r w:rsidRPr="00E5015F">
              <w:rPr>
                <w:rFonts w:asciiTheme="majorHAnsi" w:eastAsia="Times New Roman" w:hAnsiTheme="majorHAnsi" w:cstheme="majorHAnsi"/>
                <w:noProof/>
                <w:color w:val="000000"/>
                <w:sz w:val="20"/>
                <w:szCs w:val="20"/>
                <w:lang w:eastAsia="en-CA"/>
              </w:rPr>
              <w:t>(Wang et al. 2014)</w:t>
            </w:r>
            <w:r w:rsidRPr="00E5015F">
              <w:rPr>
                <w:rFonts w:asciiTheme="majorHAnsi" w:eastAsia="Times New Roman" w:hAnsiTheme="majorHAnsi" w:cstheme="majorHAnsi"/>
                <w:color w:val="000000"/>
                <w:sz w:val="20"/>
                <w:szCs w:val="20"/>
                <w:lang w:eastAsia="en-CA"/>
              </w:rPr>
              <w:fldChar w:fldCharType="end"/>
            </w:r>
            <w:r w:rsidRPr="00E5015F">
              <w:rPr>
                <w:rFonts w:asciiTheme="majorHAnsi" w:eastAsia="Times New Roman" w:hAnsiTheme="majorHAnsi" w:cstheme="majorHAnsi"/>
                <w:color w:val="000000"/>
                <w:sz w:val="20"/>
                <w:szCs w:val="20"/>
                <w:lang w:eastAsia="en-CA"/>
              </w:rPr>
              <w:br/>
            </w:r>
          </w:p>
        </w:tc>
        <w:tc>
          <w:tcPr>
            <w:tcW w:w="1842" w:type="dxa"/>
            <w:tcBorders>
              <w:top w:val="nil"/>
              <w:left w:val="nil"/>
              <w:bottom w:val="single" w:sz="4" w:space="0" w:color="808080"/>
              <w:right w:val="nil"/>
            </w:tcBorders>
            <w:vAlign w:val="center"/>
            <w:hideMark/>
          </w:tcPr>
          <w:p w14:paraId="6C8344D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02F3DFD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60DF13B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Swedish Prescribed</w:t>
            </w:r>
            <w:r>
              <w:rPr>
                <w:rFonts w:ascii="Calibri" w:eastAsia="Times New Roman" w:hAnsi="Calibri" w:cs="Times New Roman"/>
                <w:color w:val="000000"/>
                <w:sz w:val="20"/>
                <w:szCs w:val="20"/>
                <w:lang w:eastAsia="en-CA"/>
              </w:rPr>
              <w:br/>
              <w:t>Drug Register</w:t>
            </w:r>
          </w:p>
        </w:tc>
        <w:tc>
          <w:tcPr>
            <w:tcW w:w="1714" w:type="dxa"/>
            <w:tcBorders>
              <w:top w:val="nil"/>
              <w:left w:val="nil"/>
              <w:bottom w:val="single" w:sz="4" w:space="0" w:color="808080"/>
              <w:right w:val="nil"/>
            </w:tcBorders>
            <w:vAlign w:val="center"/>
            <w:hideMark/>
          </w:tcPr>
          <w:p w14:paraId="69055BA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(3 months)</w:t>
            </w:r>
          </w:p>
        </w:tc>
        <w:tc>
          <w:tcPr>
            <w:tcW w:w="2255" w:type="dxa"/>
            <w:tcBorders>
              <w:top w:val="nil"/>
              <w:left w:val="nil"/>
              <w:bottom w:val="single" w:sz="4" w:space="0" w:color="808080"/>
              <w:right w:val="nil"/>
            </w:tcBorders>
            <w:vAlign w:val="center"/>
            <w:hideMark/>
          </w:tcPr>
          <w:p w14:paraId="0D9A21A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Swedish Cause of Death Register</w:t>
            </w:r>
          </w:p>
        </w:tc>
        <w:tc>
          <w:tcPr>
            <w:tcW w:w="1010" w:type="dxa"/>
            <w:tcBorders>
              <w:top w:val="nil"/>
              <w:left w:val="nil"/>
              <w:bottom w:val="single" w:sz="4" w:space="0" w:color="808080"/>
              <w:right w:val="nil"/>
            </w:tcBorders>
            <w:vAlign w:val="center"/>
            <w:hideMark/>
          </w:tcPr>
          <w:p w14:paraId="6D09296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2006-2008</w:t>
            </w:r>
          </w:p>
        </w:tc>
        <w:tc>
          <w:tcPr>
            <w:tcW w:w="1231" w:type="dxa"/>
            <w:tcBorders>
              <w:top w:val="nil"/>
              <w:left w:val="nil"/>
              <w:bottom w:val="single" w:sz="4" w:space="0" w:color="808080"/>
              <w:right w:val="nil"/>
            </w:tcBorders>
            <w:vAlign w:val="center"/>
            <w:hideMark/>
          </w:tcPr>
          <w:p w14:paraId="13854CC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7D12B138" w14:textId="77777777" w:rsidTr="00B842AC">
        <w:trPr>
          <w:trHeight w:val="341"/>
        </w:trPr>
        <w:tc>
          <w:tcPr>
            <w:tcW w:w="1522" w:type="dxa"/>
            <w:tcBorders>
              <w:top w:val="nil"/>
              <w:left w:val="nil"/>
              <w:bottom w:val="single" w:sz="4" w:space="0" w:color="808080"/>
              <w:right w:val="nil"/>
            </w:tcBorders>
            <w:vAlign w:val="center"/>
            <w:hideMark/>
          </w:tcPr>
          <w:p w14:paraId="5DF6B76E" w14:textId="57E6EB66"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{"citationItems":[{"id":"ITEM-1","itemData":{"DOI":"10.1161/CIRCINTERVENTIONS.114.001952","ISSN":"19417632","abstract":"Background—Certain proton pump inhibitors (PPIs) interfere with clopidogrel metabolism, potentially attenuating P2Y12 receptor inhibition. Previous observational and randomized trials report conflicting results regarding the clinical significance of this pharmacological interaction. We examined the interaction between concomitant administration of PPI and clopidogrel on platelet reactivity and clinical outcomes in the large-scale, prospective Assessment of Dual AntiPlatelet Therapy With Drug-Eluting Stents study. Methods and Results—On-treatment P2Y12 platelet reactivity testing was performed using the VerifyNow assay after clopidogrel loading and successful drug-eluting stent implantation at 11 sites in the United States and Germany. PPIs were prescribed at the discretion of treating physicians; patients were followed for 2 years. High platelet reactivity was defined as P2Y12 reactivity units &gt;208. Of 8582 enrolled patients, 2697 (31.4%) were taking a PPI at the time of coronary intervention. After adjustment for differences in baseline characteristics, PPI use was independently associated with high platelet reactivity (odds ratio, 1.38: 95% confidence interval, 1.25–1.52, P=0.0001). A total of 2162 (25.2%) patients were prescribed a PPI at hospital discharge. In a propensity-adjusted multivariable analysis, discharge PPI use was independently associated with increased risk for postdischarge major adverse cardiac events (cardiac death, myocardial infarction, or ischemia-driven target lesion revascularization) at 2-year follow-up (hazard ratio, 1.21; 95% confidence interval, 1.04–1.42, P=0.02). Conclusions—In patients treated with clopidogrel after successful drug-eluting stents implantation, the concomitant administration of PPI was associated with high platelet reactivity and a greater rate of adverse outcomes during long-term follow-up. Additional studies are warranted to determine the risk–benefit ratio of PPIs in patients with drug-eluting stents treated with clopidogrel. Clinical Trial Registration—URL: http://www.clinicaltrials.gov. Unique identifier: NCT00433966. (Circ Cardiovasc Interv. 2015;8:e001952. DOI: 10.1161/CIRCINTERVENTIONS.114.001952.)","author":[{"dropping-particle":"","family":"Weisz","given":"Giora","non-dropping-particle":"","parse-names":false,"suffix":""},{"dropping-particle":"","family":"Smilowitz","given":"Nathaniel R.","non-dropping-particle":"","parse-names":false,"suffix":""},{"dropping-particle":"","family":"Kirtane","given":"Ajay J.","non-dropping-particle":"","parse-names":false,"suffix":""},{"dropping-particle":"","family":"Rinaldi","given":"Michael J.","non-dropping-particle":"","parse-names":false,"suffix":""},{"dropping-particle":"","family":"Parvataneni","given":"Rupa","non-dropping-particle":"","parse-names":false,"suffix":""},{"dropping-particle":"","family":"Xu","given":"Ke","non-dropping-particle":"","parse-names":false,"suffix":""},{"dropping-particle":"","family":"Stuckey","given":"Thomas D.","non-dropping-particle":"","parse-names":false,"suffix":""},{"dropping-particle":"","family":"Maehara","given":"Akiko","non-dropping-particle":"","parse-names":false,"suffix":""},{"dropping-particle":"","family":"Witzenbichler","given":"Bernhard","non-dropping-particle":"","parse-names":false,"suffix":""},{"dropping-particle":"","family":"Neumann","given":"Franz Josef","non-dropping-particle":"","parse-names":false,"suffix":""},{"dropping-particle":"","family":"Metzger","given":"D. Christopher","non-dropping-particle":"","parse-names":false,"suffix":""},{"dropping-particle":"","family":"Henry","given":"Timothy D.","non-dropping-particle":"","parse-names":false,"suffix":""},{"dropping-particle":"","family":"Cox","given":"David A.","non-dropping-particle":"","parse-names":false,"suffix":""},{"dropping-particle":"","family":"Duffy","given":"Peter L.","non-dropping-particle":"","parse-names":false,"suffix":""},{"dropping-particle":"","family":"Brodie","given":"Bruce R.","non-dropping-particle":"","parse-names":false,"suffix":""},{"dropping-particle":"","family":"Mazzaferri","given":"Ernest L.","non-dropping-particle":"","parse-names":false,"suffix":""},{"dropping-particle":"","family":"Mehran","given":"Roxana","non-dropping-particle":"","parse-names":false,"suffix":""},{"dropping-particle":"","family":"Stone","given":"Gregg W.","non-dropping-particle":"","parse-names":false,"suffix":""}],"container-title":"Circulation: Cardiovascular Interventions","id":"ITEM-1","issue":"10","issued":{"date-parts":[["2015"]]},"note":"1267","page":"1-8","title":"Proton Pump Inhibitors, Platelet Reactivity, and Cardiovascular Outcomes after Drug-Eluting Stents in Clopidogrel-Treated Patients: The ADAPT-DES Study","type":"article-journal","volume":"8"},"uris":["http://www.mendeley.com/documents/?uuid=a31f64a0-3b68-4350-8593-baa0168b2818"]}],"mendeley":{"formattedCitation":"(Weisz et al. 2015)","plainTextFormattedCitation":"(Weisz et al. 2015)","previouslyFormattedCitation":"(Weisz et al. 2015)"},"properties":{"noteIndex":0},"schema":"https://github.com/citation-style-language/schema/raw/master/csl-citation.json"}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(Weisz et al. 2015)</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5CE7D4B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44D7936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vAlign w:val="center"/>
            <w:hideMark/>
          </w:tcPr>
          <w:p w14:paraId="1D3F592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Case report forms and hospital discharge data.</w:t>
            </w:r>
          </w:p>
        </w:tc>
        <w:tc>
          <w:tcPr>
            <w:tcW w:w="1714" w:type="dxa"/>
            <w:tcBorders>
              <w:top w:val="nil"/>
              <w:left w:val="nil"/>
              <w:bottom w:val="single" w:sz="4" w:space="0" w:color="808080"/>
              <w:right w:val="nil"/>
            </w:tcBorders>
            <w:vAlign w:val="center"/>
            <w:hideMark/>
          </w:tcPr>
          <w:p w14:paraId="224BC22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(2 years)</w:t>
            </w:r>
            <w:r>
              <w:rPr>
                <w:rFonts w:ascii="Calibri" w:eastAsia="Times New Roman" w:hAnsi="Calibri" w:cs="Times New Roman"/>
                <w:color w:val="000000"/>
                <w:sz w:val="20"/>
                <w:szCs w:val="20"/>
                <w:lang w:eastAsia="en-CA"/>
              </w:rPr>
              <w:br/>
              <w:t>ACM (2 years)</w:t>
            </w:r>
          </w:p>
        </w:tc>
        <w:tc>
          <w:tcPr>
            <w:tcW w:w="2255" w:type="dxa"/>
            <w:tcBorders>
              <w:top w:val="nil"/>
              <w:left w:val="nil"/>
              <w:bottom w:val="single" w:sz="4" w:space="0" w:color="808080"/>
              <w:right w:val="nil"/>
            </w:tcBorders>
            <w:vAlign w:val="center"/>
            <w:hideMark/>
          </w:tcPr>
          <w:p w14:paraId="4F64004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Follow up</w:t>
            </w:r>
          </w:p>
        </w:tc>
        <w:tc>
          <w:tcPr>
            <w:tcW w:w="1010" w:type="dxa"/>
            <w:tcBorders>
              <w:top w:val="nil"/>
              <w:left w:val="nil"/>
              <w:bottom w:val="single" w:sz="4" w:space="0" w:color="808080"/>
              <w:right w:val="nil"/>
            </w:tcBorders>
            <w:vAlign w:val="center"/>
            <w:hideMark/>
          </w:tcPr>
          <w:p w14:paraId="4A6A65E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2008-2010</w:t>
            </w:r>
          </w:p>
        </w:tc>
        <w:tc>
          <w:tcPr>
            <w:tcW w:w="1231" w:type="dxa"/>
            <w:tcBorders>
              <w:top w:val="nil"/>
              <w:left w:val="nil"/>
              <w:bottom w:val="single" w:sz="4" w:space="0" w:color="808080"/>
              <w:right w:val="nil"/>
            </w:tcBorders>
            <w:vAlign w:val="center"/>
            <w:hideMark/>
          </w:tcPr>
          <w:p w14:paraId="6ED5044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10EC4091" w14:textId="77777777" w:rsidTr="00B842AC">
        <w:trPr>
          <w:trHeight w:val="419"/>
        </w:trPr>
        <w:tc>
          <w:tcPr>
            <w:tcW w:w="1522" w:type="dxa"/>
            <w:tcBorders>
              <w:top w:val="nil"/>
              <w:left w:val="nil"/>
              <w:bottom w:val="single" w:sz="4" w:space="0" w:color="808080"/>
              <w:right w:val="nil"/>
            </w:tcBorders>
            <w:vAlign w:val="center"/>
            <w:hideMark/>
          </w:tcPr>
          <w:p w14:paraId="5125BAD6" w14:textId="3BAA181D"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{"citationItems":[{"id":"ITEM-1","itemData":{"ISSN":"1528-0012","abstract":"BACKGROUND &amp; AIMS: Previous observational studies reported that concomitant use of clopidogrel and proton pump inhibitors (PPIs) in patients with prior acute coronary syndrome (ACS) was associated with adverse cardiovascular outcomes. We investigated whether H(2)-receptor antagonist (H(2)RA) is an alternative to PPI in patients with ACS., METHODS: We conducted a population-based retrospective cohort study of 6552 patients in Taiwan discharged for ACS between 2002 and 2005. Patients were divided into 5 cohorts: clopidogrel plus H(2)RA (n = 252), clopidogrel plus PPI (n = 311), clopidogrel alone (n = 5551), H(2)RA alone (n = 235), and PPI alone (n = 203). The primary outcome was rehospitalization for ACS or all-cause mortality within 3 month of rehospitalization., RESULTS: The 1-year cumulative incidence of the primary outcome was 26.8% (95% CI: 21.5%-33.0%) in the clopidogrel plus H(2)RA cohort and 33.2% (95% CI: 27.8%-39.4%) in the clopidogrel plus PPI cohort, compared with 11.6% (95% CI: 10.8%-12.5%) in the clopidogrel alone cohort (P &lt; .0001). No significant difference was observed between the PPI alone cohort (11.0%; 95% CI: 7.1%-16.8%), the H(2)RA alone cohort (11.8%; 95% CI: 8.2%-16.8%), and the clopidogrel alone cohort in terms of the primary outcome. The number needed to harm was 7 with concomitant H(2)RA and 5 with concomitant PPI. On multivariate analysis, concomitant H(2)RA and PPI were independent risk factors predicting adverse outcomes (adjusted hazard ratios, 2.48 and 3.20, respectively; P &lt; .0001)., CONCLUSIONS: Concomitant use of clopidogrel and H(2)RA or PPI after hospital discharge for ACS is associated with increased risk of adverse outcomes.Copyright © 2010 AGA Institute. Published by Elsevier Inc. All rights reserved.","author":[{"dropping-particle":"","family":"Wu","given":"Chun-Ying","non-dropping-particle":"","parse-names":false,"suffix":""},{"dropping-particle":"","family":"Chan","given":"Francis Ka-Leung","non-dropping-particle":"","parse-names":false,"suffix":""},{"dropping-particle":"","family":"Wu","given":"Ming-Shiang","non-dropping-particle":"","parse-names":false,"suffix":""},{"dropping-particle":"","family":"Kuo","given":"Ken N","non-dropping-particle":"","parse-names":false,"suffix":""},{"dropping-particle":"","family":"Wang","given":"Chang-Bi","non-dropping-particle":"","parse-names":false,"suffix":""},{"dropping-particle":"","family":"Tsao","given":"Chen-Rong","non-dropping-particle":"","parse-names":false,"suffix":""},{"dropping-particle":"","family":"Lin","given":"Jaw-Town","non-dropping-particle":"","parse-names":false,"suffix":""}],"container-title":"Gastroenterology","id":"ITEM-1","issue":"4","issued":{"date-parts":[["2010"]]},"note":"646","page":"1165-1171","publisher":"Wu,Chun-Ying. Division of Gastroenterology, Taichung Veterans General Hospital, Taichung, Taiwan. chun@vghtc.gov.tw","publisher-place":"United States","title":"Histamine2-receptor antagonists are an alternative to proton pump inhibitor in patients receiving clopidogrel.","type":"article-journal","volume":"139"},"uris":["http://www.mendeley.com/documents/?uuid=bc840fd0-d6c4-42bf-b6c1-b25560fc59d5"]}],"mendeley":{"formattedCitation":"(Wu et al. 2010)","plainTextFormattedCitation":"(Wu et al. 2010)","previouslyFormattedCitation":"(Wu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(Wu et al. 2010)</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2F7D899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1418" w:type="dxa"/>
            <w:tcBorders>
              <w:top w:val="nil"/>
              <w:left w:val="nil"/>
              <w:bottom w:val="single" w:sz="4" w:space="0" w:color="808080"/>
              <w:right w:val="nil"/>
            </w:tcBorders>
            <w:vAlign w:val="center"/>
            <w:hideMark/>
          </w:tcPr>
          <w:p w14:paraId="7E137A1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4C40565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Prescription records </w:t>
            </w:r>
          </w:p>
        </w:tc>
        <w:tc>
          <w:tcPr>
            <w:tcW w:w="1714" w:type="dxa"/>
            <w:tcBorders>
              <w:top w:val="nil"/>
              <w:left w:val="nil"/>
              <w:bottom w:val="single" w:sz="4" w:space="0" w:color="808080"/>
              <w:right w:val="nil"/>
            </w:tcBorders>
            <w:vAlign w:val="center"/>
            <w:hideMark/>
          </w:tcPr>
          <w:p w14:paraId="5B3E380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(3 months)</w:t>
            </w:r>
          </w:p>
        </w:tc>
        <w:tc>
          <w:tcPr>
            <w:tcW w:w="2255" w:type="dxa"/>
            <w:tcBorders>
              <w:top w:val="nil"/>
              <w:left w:val="nil"/>
              <w:bottom w:val="single" w:sz="4" w:space="0" w:color="808080"/>
              <w:right w:val="nil"/>
            </w:tcBorders>
            <w:vAlign w:val="center"/>
            <w:hideMark/>
          </w:tcPr>
          <w:p w14:paraId="7CF84340"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Database</w:t>
            </w:r>
          </w:p>
        </w:tc>
        <w:tc>
          <w:tcPr>
            <w:tcW w:w="1010" w:type="dxa"/>
            <w:tcBorders>
              <w:top w:val="nil"/>
              <w:left w:val="nil"/>
              <w:bottom w:val="single" w:sz="4" w:space="0" w:color="808080"/>
              <w:right w:val="nil"/>
            </w:tcBorders>
            <w:vAlign w:val="center"/>
            <w:hideMark/>
          </w:tcPr>
          <w:p w14:paraId="5B38DED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2002-2005</w:t>
            </w:r>
          </w:p>
        </w:tc>
        <w:tc>
          <w:tcPr>
            <w:tcW w:w="1231" w:type="dxa"/>
            <w:tcBorders>
              <w:top w:val="nil"/>
              <w:left w:val="nil"/>
              <w:bottom w:val="single" w:sz="4" w:space="0" w:color="808080"/>
              <w:right w:val="nil"/>
            </w:tcBorders>
            <w:vAlign w:val="center"/>
            <w:hideMark/>
          </w:tcPr>
          <w:p w14:paraId="2FCAC4C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E5015F" w:rsidRPr="00E5015F" w14:paraId="4200EF5B" w14:textId="77777777" w:rsidTr="002F0260">
        <w:trPr>
          <w:trHeight w:val="841"/>
        </w:trPr>
        <w:tc>
          <w:tcPr>
            <w:tcW w:w="1522" w:type="dxa"/>
            <w:tcBorders>
              <w:top w:val="nil"/>
              <w:left w:val="nil"/>
              <w:bottom w:val="single" w:sz="4" w:space="0" w:color="808080"/>
              <w:right w:val="nil"/>
            </w:tcBorders>
            <w:shd w:val="clear" w:color="auto" w:fill="auto"/>
            <w:vAlign w:val="center"/>
          </w:tcPr>
          <w:p w14:paraId="25371D32" w14:textId="3C70B9BA"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lastRenderedPageBreak/>
              <w:t>(Yan et al 2016)</w:t>
            </w:r>
          </w:p>
        </w:tc>
        <w:tc>
          <w:tcPr>
            <w:tcW w:w="1842" w:type="dxa"/>
            <w:tcBorders>
              <w:top w:val="nil"/>
              <w:left w:val="nil"/>
              <w:bottom w:val="single" w:sz="4" w:space="0" w:color="808080"/>
              <w:right w:val="nil"/>
            </w:tcBorders>
            <w:shd w:val="clear" w:color="auto" w:fill="auto"/>
            <w:vAlign w:val="center"/>
          </w:tcPr>
          <w:p w14:paraId="4E67D696" w14:textId="4B91E365"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PPIs (general)</w:t>
            </w:r>
          </w:p>
        </w:tc>
        <w:tc>
          <w:tcPr>
            <w:tcW w:w="1418" w:type="dxa"/>
            <w:tcBorders>
              <w:top w:val="nil"/>
              <w:left w:val="nil"/>
              <w:bottom w:val="single" w:sz="4" w:space="0" w:color="808080"/>
              <w:right w:val="nil"/>
            </w:tcBorders>
            <w:shd w:val="clear" w:color="auto" w:fill="auto"/>
            <w:vAlign w:val="center"/>
          </w:tcPr>
          <w:p w14:paraId="00A02704" w14:textId="2AFE54E9"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eastAsia="Times New Roman" w:hAnsi="Calibri" w:cs="Times New Roman"/>
                <w:color w:val="000000"/>
                <w:sz w:val="20"/>
                <w:szCs w:val="20"/>
                <w:lang w:eastAsia="en-CA"/>
              </w:rPr>
              <w:t>Some patients</w:t>
            </w:r>
          </w:p>
        </w:tc>
        <w:tc>
          <w:tcPr>
            <w:tcW w:w="2268" w:type="dxa"/>
            <w:tcBorders>
              <w:top w:val="nil"/>
              <w:left w:val="nil"/>
              <w:bottom w:val="single" w:sz="4" w:space="0" w:color="808080"/>
              <w:right w:val="nil"/>
            </w:tcBorders>
            <w:shd w:val="clear" w:color="auto" w:fill="auto"/>
            <w:vAlign w:val="center"/>
          </w:tcPr>
          <w:p w14:paraId="1B0574DC" w14:textId="0E8E836B"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Discharge records</w:t>
            </w:r>
          </w:p>
        </w:tc>
        <w:tc>
          <w:tcPr>
            <w:tcW w:w="1714" w:type="dxa"/>
            <w:tcBorders>
              <w:top w:val="nil"/>
              <w:left w:val="nil"/>
              <w:bottom w:val="single" w:sz="4" w:space="0" w:color="808080"/>
              <w:right w:val="nil"/>
            </w:tcBorders>
            <w:shd w:val="clear" w:color="auto" w:fill="auto"/>
            <w:vAlign w:val="center"/>
          </w:tcPr>
          <w:p w14:paraId="3B60DC70" w14:textId="0C544A22"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ACM (1 year);</w:t>
            </w:r>
            <w:r w:rsidRPr="00E5015F">
              <w:rPr>
                <w:rFonts w:ascii="Calibri" w:hAnsi="Calibri" w:cs="Calibri"/>
                <w:color w:val="000000"/>
                <w:sz w:val="20"/>
                <w:szCs w:val="20"/>
              </w:rPr>
              <w:br/>
              <w:t>MI (1 year);</w:t>
            </w:r>
          </w:p>
        </w:tc>
        <w:tc>
          <w:tcPr>
            <w:tcW w:w="2255" w:type="dxa"/>
            <w:tcBorders>
              <w:top w:val="nil"/>
              <w:left w:val="nil"/>
              <w:bottom w:val="single" w:sz="4" w:space="0" w:color="808080"/>
              <w:right w:val="nil"/>
            </w:tcBorders>
            <w:shd w:val="clear" w:color="auto" w:fill="auto"/>
            <w:vAlign w:val="center"/>
          </w:tcPr>
          <w:p w14:paraId="0DF582BB" w14:textId="18ACBEEA"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Telephone or in person interviews; medical records</w:t>
            </w:r>
          </w:p>
        </w:tc>
        <w:tc>
          <w:tcPr>
            <w:tcW w:w="1010" w:type="dxa"/>
            <w:tcBorders>
              <w:top w:val="nil"/>
              <w:left w:val="nil"/>
              <w:bottom w:val="single" w:sz="4" w:space="0" w:color="808080"/>
              <w:right w:val="nil"/>
            </w:tcBorders>
            <w:shd w:val="clear" w:color="auto" w:fill="auto"/>
            <w:vAlign w:val="center"/>
          </w:tcPr>
          <w:p w14:paraId="1EA4E70C" w14:textId="3624D234"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2003-2014</w:t>
            </w:r>
          </w:p>
        </w:tc>
        <w:tc>
          <w:tcPr>
            <w:tcW w:w="1231" w:type="dxa"/>
            <w:tcBorders>
              <w:top w:val="nil"/>
              <w:left w:val="nil"/>
              <w:bottom w:val="single" w:sz="4" w:space="0" w:color="808080"/>
              <w:right w:val="nil"/>
            </w:tcBorders>
            <w:shd w:val="clear" w:color="auto" w:fill="auto"/>
            <w:vAlign w:val="center"/>
          </w:tcPr>
          <w:p w14:paraId="37408A28" w14:textId="5F0DAEF8"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NR</w:t>
            </w:r>
          </w:p>
        </w:tc>
      </w:tr>
      <w:tr w:rsidR="00E5015F" w:rsidRPr="00E5015F" w14:paraId="2E5F1218" w14:textId="77777777" w:rsidTr="002F0260">
        <w:trPr>
          <w:trHeight w:val="430"/>
        </w:trPr>
        <w:tc>
          <w:tcPr>
            <w:tcW w:w="1522" w:type="dxa"/>
            <w:tcBorders>
              <w:top w:val="nil"/>
              <w:left w:val="nil"/>
              <w:bottom w:val="single" w:sz="4" w:space="0" w:color="808080"/>
              <w:right w:val="nil"/>
            </w:tcBorders>
            <w:shd w:val="clear" w:color="auto" w:fill="auto"/>
            <w:vAlign w:val="center"/>
          </w:tcPr>
          <w:p w14:paraId="3ADD64D8" w14:textId="563EFC15"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(Yi et al 2018)</w:t>
            </w:r>
          </w:p>
        </w:tc>
        <w:tc>
          <w:tcPr>
            <w:tcW w:w="1842" w:type="dxa"/>
            <w:tcBorders>
              <w:top w:val="nil"/>
              <w:left w:val="nil"/>
              <w:bottom w:val="single" w:sz="4" w:space="0" w:color="808080"/>
              <w:right w:val="nil"/>
            </w:tcBorders>
            <w:shd w:val="clear" w:color="auto" w:fill="auto"/>
            <w:vAlign w:val="center"/>
          </w:tcPr>
          <w:p w14:paraId="5A727707" w14:textId="49599A74"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PPIs (general)</w:t>
            </w:r>
          </w:p>
        </w:tc>
        <w:tc>
          <w:tcPr>
            <w:tcW w:w="1418" w:type="dxa"/>
            <w:tcBorders>
              <w:top w:val="nil"/>
              <w:left w:val="nil"/>
              <w:bottom w:val="single" w:sz="4" w:space="0" w:color="808080"/>
              <w:right w:val="nil"/>
            </w:tcBorders>
            <w:shd w:val="clear" w:color="auto" w:fill="auto"/>
            <w:vAlign w:val="center"/>
          </w:tcPr>
          <w:p w14:paraId="744D2919" w14:textId="0AF21362"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eastAsia="Times New Roman" w:hAnsi="Calibri" w:cs="Times New Roman"/>
                <w:color w:val="000000"/>
                <w:sz w:val="20"/>
                <w:szCs w:val="20"/>
                <w:lang w:eastAsia="en-CA"/>
              </w:rPr>
              <w:t>Not clear</w:t>
            </w:r>
          </w:p>
        </w:tc>
        <w:tc>
          <w:tcPr>
            <w:tcW w:w="2268" w:type="dxa"/>
            <w:tcBorders>
              <w:top w:val="nil"/>
              <w:left w:val="nil"/>
              <w:bottom w:val="single" w:sz="4" w:space="0" w:color="808080"/>
              <w:right w:val="nil"/>
            </w:tcBorders>
            <w:shd w:val="clear" w:color="auto" w:fill="auto"/>
            <w:vAlign w:val="center"/>
          </w:tcPr>
          <w:p w14:paraId="4F2E90F4" w14:textId="357E3D68"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BR</w:t>
            </w:r>
          </w:p>
        </w:tc>
        <w:tc>
          <w:tcPr>
            <w:tcW w:w="1714" w:type="dxa"/>
            <w:tcBorders>
              <w:top w:val="nil"/>
              <w:left w:val="nil"/>
              <w:bottom w:val="single" w:sz="4" w:space="0" w:color="808080"/>
              <w:right w:val="nil"/>
            </w:tcBorders>
            <w:shd w:val="clear" w:color="auto" w:fill="auto"/>
            <w:vAlign w:val="center"/>
          </w:tcPr>
          <w:p w14:paraId="487BB7A2" w14:textId="470686DD"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MI, recurrent stroke, Cardiovascular mortality</w:t>
            </w:r>
          </w:p>
        </w:tc>
        <w:tc>
          <w:tcPr>
            <w:tcW w:w="2255" w:type="dxa"/>
            <w:tcBorders>
              <w:top w:val="nil"/>
              <w:left w:val="nil"/>
              <w:bottom w:val="single" w:sz="4" w:space="0" w:color="808080"/>
              <w:right w:val="nil"/>
            </w:tcBorders>
            <w:shd w:val="clear" w:color="auto" w:fill="auto"/>
            <w:vAlign w:val="center"/>
          </w:tcPr>
          <w:p w14:paraId="4D409745" w14:textId="04DA45EC" w:rsidR="00E5015F" w:rsidRPr="00E5015F" w:rsidRDefault="00E5015F" w:rsidP="00E5015F">
            <w:pPr>
              <w:spacing w:after="0" w:line="240" w:lineRule="auto"/>
              <w:rPr>
                <w:rFonts w:ascii="Calibri" w:eastAsia="Times New Roman" w:hAnsi="Calibri" w:cs="Times New Roman"/>
                <w:color w:val="000000"/>
                <w:sz w:val="20"/>
                <w:szCs w:val="20"/>
                <w:lang w:eastAsia="en-CA"/>
              </w:rPr>
            </w:pPr>
            <w:r>
              <w:rPr>
                <w:rFonts w:ascii="Calibri" w:hAnsi="Calibri" w:cs="Calibri"/>
                <w:color w:val="000000"/>
                <w:sz w:val="20"/>
                <w:szCs w:val="20"/>
              </w:rPr>
              <w:t>M</w:t>
            </w:r>
            <w:r w:rsidRPr="00E5015F">
              <w:rPr>
                <w:rFonts w:ascii="Calibri" w:hAnsi="Calibri" w:cs="Calibri"/>
                <w:color w:val="000000"/>
                <w:sz w:val="20"/>
                <w:szCs w:val="20"/>
              </w:rPr>
              <w:t>edical chart review, interviews, and adjudication by independent committee</w:t>
            </w:r>
          </w:p>
        </w:tc>
        <w:tc>
          <w:tcPr>
            <w:tcW w:w="1010" w:type="dxa"/>
            <w:tcBorders>
              <w:top w:val="nil"/>
              <w:left w:val="nil"/>
              <w:bottom w:val="single" w:sz="4" w:space="0" w:color="808080"/>
              <w:right w:val="nil"/>
            </w:tcBorders>
            <w:shd w:val="clear" w:color="auto" w:fill="auto"/>
            <w:vAlign w:val="center"/>
          </w:tcPr>
          <w:p w14:paraId="41F80E9A" w14:textId="5B20BCA0" w:rsidR="00E5015F" w:rsidRPr="00E5015F" w:rsidRDefault="00E5015F" w:rsidP="00E5015F">
            <w:pPr>
              <w:spacing w:after="0" w:line="240" w:lineRule="auto"/>
              <w:rPr>
                <w:rFonts w:ascii="Calibri" w:eastAsia="Times New Roman" w:hAnsi="Calibri" w:cs="Times New Roman"/>
                <w:color w:val="000000"/>
                <w:sz w:val="20"/>
                <w:szCs w:val="20"/>
                <w:lang w:eastAsia="en-CA"/>
              </w:rPr>
            </w:pPr>
            <w:r w:rsidRPr="00E5015F">
              <w:rPr>
                <w:rFonts w:ascii="Calibri" w:hAnsi="Calibri" w:cs="Calibri"/>
                <w:color w:val="000000"/>
                <w:sz w:val="20"/>
                <w:szCs w:val="20"/>
              </w:rPr>
              <w:t>2014-2015</w:t>
            </w:r>
          </w:p>
        </w:tc>
        <w:tc>
          <w:tcPr>
            <w:tcW w:w="1231" w:type="dxa"/>
            <w:tcBorders>
              <w:top w:val="nil"/>
              <w:left w:val="nil"/>
              <w:bottom w:val="single" w:sz="4" w:space="0" w:color="808080"/>
              <w:right w:val="nil"/>
            </w:tcBorders>
            <w:shd w:val="clear" w:color="auto" w:fill="auto"/>
            <w:vAlign w:val="center"/>
          </w:tcPr>
          <w:p w14:paraId="6455104C" w14:textId="0D53E3F0" w:rsidR="00E5015F" w:rsidRPr="00E5015F" w:rsidRDefault="00E5015F" w:rsidP="00E5015F">
            <w:pPr>
              <w:spacing w:after="0" w:line="240" w:lineRule="auto"/>
              <w:rPr>
                <w:rFonts w:ascii="Calibri" w:eastAsia="Times New Roman" w:hAnsi="Calibri" w:cs="Times New Roman"/>
                <w:color w:val="000000"/>
                <w:sz w:val="20"/>
                <w:szCs w:val="20"/>
                <w:lang w:eastAsia="en-CA"/>
              </w:rPr>
            </w:pPr>
            <w:r>
              <w:rPr>
                <w:rFonts w:ascii="Calibri" w:hAnsi="Calibri" w:cs="Calibri"/>
                <w:color w:val="000000"/>
                <w:sz w:val="20"/>
                <w:szCs w:val="20"/>
              </w:rPr>
              <w:t>Pu</w:t>
            </w:r>
            <w:r w:rsidRPr="00E5015F">
              <w:rPr>
                <w:rFonts w:ascii="Calibri" w:hAnsi="Calibri" w:cs="Calibri"/>
                <w:color w:val="000000"/>
                <w:sz w:val="20"/>
                <w:szCs w:val="20"/>
              </w:rPr>
              <w:t>blic/non profit</w:t>
            </w:r>
          </w:p>
        </w:tc>
      </w:tr>
      <w:tr w:rsidR="00B842AC" w14:paraId="14A23D56" w14:textId="77777777" w:rsidTr="002F0260">
        <w:trPr>
          <w:trHeight w:val="430"/>
        </w:trPr>
        <w:tc>
          <w:tcPr>
            <w:tcW w:w="1522" w:type="dxa"/>
            <w:tcBorders>
              <w:top w:val="nil"/>
              <w:left w:val="nil"/>
              <w:bottom w:val="single" w:sz="4" w:space="0" w:color="808080"/>
              <w:right w:val="nil"/>
            </w:tcBorders>
            <w:shd w:val="clear" w:color="auto" w:fill="auto"/>
            <w:vAlign w:val="center"/>
            <w:hideMark/>
          </w:tcPr>
          <w:p w14:paraId="5275C395" w14:textId="7D8FFB75"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{"citationItems":[{"id":"ITEM-1","itemData":{"ISSN":"1916-7075","abstract":"BACKGROUND: Because clopidogrel is converted to its active metabolite by P450 isoenzymes, which are also involved in the metabolism of omeprazole, there is concern regarding whether the action of clopidogrel would be reduced in patients also taking omeprazole., OBJECTIVE: To evaluate the impact of omeprazole administration on the effectiveness of clopidogrel drug therapy during the first year following successful coronary stenting (CS)., METHODS: A total of 588 consecutive patients who underwent successful CS for stable or unstable coronary artery disease were studied. Patients were classified into those who were treated (group A, n=340) or not treated (group B, n=248) with omeprazole for seven or more consecutive days during the entire observation period. The composite of cardiac death or rehospitalization for nonfatal myocardial infarction during the first year was the prespecified primary study end point., RESULTS: Baseline characteristics, and dual clopidogrel and acetylsalicylic acid drug therapy were well balanced between the study groups. By one year, the primary end point was reached by 58 (9.9%) patients, including 20 (3.4%) who died due to cardiac reasons and 38 (6.5%) who were rehospitalized because of a nonfatal myocardial infarction. Patients in groups A and B, respectively, were at similar risk of the primary composite end point (10% versus 9.7%, hazard ratio 1.1 [95% CI 0.6 to 1.8]; P=0.89)., CONCLUSIONS: According to the results of the present study, treatment with omeprazole had no impact on the clinical efficacy of clopidogrel drug therapy during the first year after successful CS.","author":[{"dropping-particle":"","family":"Zairis","given":"Michael N","non-dropping-particle":"","parse-names":false,"suffix":""},{"dropping-particle":"","family":"Tsiaousis","given":"George Z","non-dropping-particle":"","parse-names":false,"suffix":""},{"dropping-particle":"","family":"Patsourakos","given":"Nikolaos G","non-dropping-particle":"","parse-names":false,"suffix":""},{"dropping-particle":"","family":"Georgilas","given":"Anastassios Theodossis","non-dropping-particle":"","parse-names":false,"suffix":""},{"dropping-particle":"","family":"Kontos","given":"Constantinos F","non-dropping-particle":"","parse-names":false,"suffix":""},{"dropping-particle":"","family":"Adamopoulou","given":"Evdokia N","non-dropping-particle":"","parse-names":false,"suffix":""},{"dropping-particle":"","family":"Vogiatzidis","given":"Konstantinos","non-dropping-particle":"","parse-names":false,"suffix":""},{"dropping-particle":"","family":"Argyrakis","given":"Spyros K","non-dropping-particle":"","parse-names":false,"suffix":""},{"dropping-particle":"","family":"Fakiolas","given":"Constantine N","non-dropping-particle":"","parse-names":false,"suffix":""},{"dropping-particle":"","family":"Foussas","given":"Stefanos G","non-dropping-particle":"","parse-names":false,"suffix":""}],"container-title":"The Canadian journal of cardiology","id":"ITEM-1","issue":"2","issued":{"date-parts":[["2010"]]},"note":"643","page":"e54-7","publisher":"Zairis,Michael N. Department of Cardiology, Tzanio Hospital, Piraeus, Greece. zairis66@otenet.gr","publisher-place":"Canada","title":"The impact of treatment with omeprazole on the effectiveness of clopidogrel drug therapy during the first year after successful coronary stenting.","type":"article-journal","volume":"26"},"uris":["http://www.mendeley.com/documents/?uuid=5958e7ed-7d43-4827-b8fb-123bdbfb928c"]}],"mendeley":{"formattedCitation":"(Zairis et al. 2010)","plainTextFormattedCitation":"(Zairis et al. 2010)","previouslyFormattedCitation":"(Zairis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(Zairis et al. 2010)</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shd w:val="clear" w:color="auto" w:fill="auto"/>
            <w:vAlign w:val="center"/>
            <w:hideMark/>
          </w:tcPr>
          <w:p w14:paraId="0ADCFAD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1418" w:type="dxa"/>
            <w:tcBorders>
              <w:top w:val="nil"/>
              <w:left w:val="nil"/>
              <w:bottom w:val="single" w:sz="4" w:space="0" w:color="808080"/>
              <w:right w:val="nil"/>
            </w:tcBorders>
            <w:shd w:val="clear" w:color="auto" w:fill="auto"/>
            <w:vAlign w:val="center"/>
            <w:hideMark/>
          </w:tcPr>
          <w:p w14:paraId="5A90613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shd w:val="clear" w:color="auto" w:fill="auto"/>
            <w:vAlign w:val="center"/>
            <w:hideMark/>
          </w:tcPr>
          <w:p w14:paraId="6FEEB45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Follow up data collected prospectively, at 1, 6, 9 and 12 months after discharge. </w:t>
            </w:r>
          </w:p>
        </w:tc>
        <w:tc>
          <w:tcPr>
            <w:tcW w:w="1714" w:type="dxa"/>
            <w:tcBorders>
              <w:top w:val="nil"/>
              <w:left w:val="nil"/>
              <w:bottom w:val="single" w:sz="4" w:space="0" w:color="808080"/>
              <w:right w:val="nil"/>
            </w:tcBorders>
            <w:shd w:val="clear" w:color="auto" w:fill="auto"/>
            <w:vAlign w:val="center"/>
            <w:hideMark/>
          </w:tcPr>
          <w:p w14:paraId="3389C91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 year)</w:t>
            </w:r>
            <w:r>
              <w:rPr>
                <w:rFonts w:ascii="Calibri" w:eastAsia="Times New Roman" w:hAnsi="Calibri" w:cs="Times New Roman"/>
                <w:color w:val="000000"/>
                <w:sz w:val="20"/>
                <w:szCs w:val="20"/>
                <w:lang w:eastAsia="en-CA"/>
              </w:rPr>
              <w:br/>
              <w:t>CVD mort</w:t>
            </w:r>
            <w:r w:rsidRPr="002F2A9F">
              <w:rPr>
                <w:rFonts w:ascii="Calibri" w:eastAsia="Times New Roman" w:hAnsi="Calibri" w:cs="Times New Roman"/>
                <w:color w:val="000000"/>
                <w:sz w:val="20"/>
                <w:szCs w:val="20"/>
                <w:vertAlign w:val="superscript"/>
                <w:lang w:eastAsia="en-CA"/>
              </w:rPr>
              <w:t>1</w:t>
            </w:r>
            <w:r>
              <w:rPr>
                <w:rFonts w:ascii="Calibri" w:eastAsia="Times New Roman" w:hAnsi="Calibri" w:cs="Times New Roman"/>
                <w:color w:val="000000"/>
                <w:sz w:val="20"/>
                <w:szCs w:val="20"/>
                <w:lang w:eastAsia="en-CA"/>
              </w:rPr>
              <w:t xml:space="preserve"> (1 year) </w:t>
            </w:r>
          </w:p>
        </w:tc>
        <w:tc>
          <w:tcPr>
            <w:tcW w:w="2255" w:type="dxa"/>
            <w:tcBorders>
              <w:top w:val="nil"/>
              <w:left w:val="nil"/>
              <w:bottom w:val="single" w:sz="4" w:space="0" w:color="808080"/>
              <w:right w:val="nil"/>
            </w:tcBorders>
            <w:shd w:val="clear" w:color="auto" w:fill="auto"/>
            <w:vAlign w:val="center"/>
            <w:hideMark/>
          </w:tcPr>
          <w:p w14:paraId="47F3926D"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Discharge reports, physician contact, death certifications. </w:t>
            </w:r>
          </w:p>
        </w:tc>
        <w:tc>
          <w:tcPr>
            <w:tcW w:w="1010" w:type="dxa"/>
            <w:tcBorders>
              <w:top w:val="nil"/>
              <w:left w:val="nil"/>
              <w:bottom w:val="single" w:sz="4" w:space="0" w:color="808080"/>
              <w:right w:val="nil"/>
            </w:tcBorders>
            <w:shd w:val="clear" w:color="auto" w:fill="auto"/>
            <w:vAlign w:val="center"/>
            <w:hideMark/>
          </w:tcPr>
          <w:p w14:paraId="6645461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2003-2005</w:t>
            </w:r>
          </w:p>
        </w:tc>
        <w:tc>
          <w:tcPr>
            <w:tcW w:w="1231" w:type="dxa"/>
            <w:tcBorders>
              <w:top w:val="nil"/>
              <w:left w:val="nil"/>
              <w:bottom w:val="single" w:sz="4" w:space="0" w:color="808080"/>
              <w:right w:val="nil"/>
            </w:tcBorders>
            <w:shd w:val="clear" w:color="auto" w:fill="auto"/>
            <w:vAlign w:val="center"/>
            <w:hideMark/>
          </w:tcPr>
          <w:p w14:paraId="0A9F198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B842AC" w14:paraId="754D5F27" w14:textId="77777777" w:rsidTr="00B842AC">
        <w:trPr>
          <w:trHeight w:val="1095"/>
        </w:trPr>
        <w:tc>
          <w:tcPr>
            <w:tcW w:w="1522" w:type="dxa"/>
            <w:tcBorders>
              <w:top w:val="nil"/>
              <w:left w:val="nil"/>
              <w:bottom w:val="single" w:sz="4" w:space="0" w:color="808080"/>
              <w:right w:val="nil"/>
            </w:tcBorders>
            <w:vAlign w:val="center"/>
            <w:hideMark/>
          </w:tcPr>
          <w:p w14:paraId="2F17CD0E" w14:textId="08FAD2D9"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{"citationItems":[{"id":"ITEM-1","itemData":{"ISSN":"1932-6203","abstract":"Background: Some clinical studies have demonstrated that the proton pump inhibitor (PPI) could decrease clopidogrel platelet response and increase major adverse cardiovascular events (MACE) in white or black subjects. However, that remains to be determined in Chinese patients. In this study, we sought to determine whether there could be an increased risk for developing MACE after concomitant use of dual antiplatelet therapy (DAT) and a PPI in Chinese patients treated with percutaneous coronary intervention (PCI) and stenting. Methods: This study was a 5-year, single-center, retrospective cohort analysis of eligible patients (n = 6188) who received DAT and a PPI concomitantly (defined as PPI users) before discharge and/or 12-month follow-up after discharge as compared with those who received DAT alone (also defined as non-PPI users, n = 1465). The incidence of recurrent MACE, such as myocardial infarction (MI), definite stent thromboses (ST), or cardiovascular death, was compared between the PPI users and non-users. Results: PPI users had a significantly higher incidence of the MACE than non-users (13.9% vs. 10.6%; adjusted HR: 1.33; 95% CI: 1.12 - 1.57, P = 0.007). Stratified analysis revealed that concurrent use of DAT and a PPI was associated with a significantly increased risk for developing ST compared with DAT alone (1% vs. 0.4%; adjusted HR: 2.66, 95% CI: 1.16 - 5.87, P = 0.012). However, there were no significant differences in the risk of MI, cardiovascular death and other adverse events, regardless of combination of clopidogrel and a PPI. Conclusions: The study further suggests that concomitant use of DAT and a PPI may be associated with an increased risk for developing MACE, in particular definite ST, in Chinese PCI patients after discharge as compared with use of DAT alone. © 2014 Zou et al.","author":[{"dropping-particle":"","family":"Zou","given":"Jian-Jun","non-dropping-particle":"","parse-names":false,"suffix":""},{"dropping-particle":"","family":"Chen","given":"Shao-Liang","non-dropping-particle":"","parse-names":false,"suffix":""},{"dropping-particle":"","family":"Tan","given":"Jie","non-dropping-particle":"","parse-names":false,"suffix":""},{"dropping-particle":"","family":"Lin","given":"Ling","non-dropping-particle":"","parse-names":false,"suffix":""},{"dropping-particle":"","family":"Zhao","given":"Ying-Ying","non-dropping-particle":"","parse-names":false,"suffix":""},{"dropping-particle":"","family":"Xu","given":"Hai-Mei","non-dropping-particle":"","parse-names":false,"suffix":""},{"dropping-particle":"","family":"Lin","given":"Song","non-dropping-particle":"","parse-names":false,"suffix":""},{"dropping-particle":"","family":"Zhang","given":"Juan","non-dropping-particle":"","parse-names":false,"suffix":""},{"dropping-particle":"","family":"Fan","given":"Hong-Wei","non-dropping-particle":"","parse-names":false,"suffix":""},{"dropping-particle":"","family":"Xie","given":"Hong-Guang","non-dropping-particle":"","parse-names":false,"suffix":""}],"container-title":"PLoS ONE","id":"ITEM-1","issue":"1","issued":{"date-parts":[["2014"]]},"note":"76","page":"e84985","publisher":"Public Library of Science","publisher-place":"United States","title":"Increased risk for developing major adverse cardiovascular events in stented Chinese patients treated with dual antiplatelet therapy after concomitant use of the proton pump inhibitor.","type":"article-journal","volume":"9"},"uris":["http://www.mendeley.com/documents/?uuid=be73ac0e-d497-496b-97d6-1c6b34fa4c91"]}],"mendeley":{"formattedCitation":"(Zou et al. 2014)","plainTextFormattedCitation":"(Zou et al. 2014)","previouslyFormattedCitation":"(Zou et al. 2014)"},"properties":{"noteIndex":0},"schema":"https://github.com/citation-style-language/schema/raw/master/csl-citation.json"}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(Zou et al. 2014)</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br/>
            </w:r>
          </w:p>
        </w:tc>
        <w:tc>
          <w:tcPr>
            <w:tcW w:w="1842" w:type="dxa"/>
            <w:tcBorders>
              <w:top w:val="nil"/>
              <w:left w:val="nil"/>
              <w:bottom w:val="single" w:sz="4" w:space="0" w:color="808080"/>
              <w:right w:val="nil"/>
            </w:tcBorders>
            <w:vAlign w:val="center"/>
            <w:hideMark/>
          </w:tcPr>
          <w:p w14:paraId="3F22707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PPIs (general) </w:t>
            </w:r>
            <w:r>
              <w:rPr>
                <w:rFonts w:ascii="Calibri" w:eastAsia="Times New Roman" w:hAnsi="Calibri" w:cs="Times New Roman"/>
                <w:color w:val="000000"/>
                <w:sz w:val="20"/>
                <w:szCs w:val="20"/>
                <w:lang w:eastAsia="en-CA"/>
              </w:rPr>
              <w:br/>
              <w:t>(90.% of patients on omeprazole)</w:t>
            </w:r>
          </w:p>
        </w:tc>
        <w:tc>
          <w:tcPr>
            <w:tcW w:w="1418" w:type="dxa"/>
            <w:tcBorders>
              <w:top w:val="nil"/>
              <w:left w:val="nil"/>
              <w:bottom w:val="single" w:sz="4" w:space="0" w:color="808080"/>
              <w:right w:val="nil"/>
            </w:tcBorders>
            <w:vAlign w:val="center"/>
            <w:hideMark/>
          </w:tcPr>
          <w:p w14:paraId="27428CE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vAlign w:val="center"/>
            <w:hideMark/>
          </w:tcPr>
          <w:p w14:paraId="3F237E4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Hospital discharge records, outpatient clinical visits, questionnaires or telephone interviews </w:t>
            </w:r>
          </w:p>
        </w:tc>
        <w:tc>
          <w:tcPr>
            <w:tcW w:w="1714" w:type="dxa"/>
            <w:tcBorders>
              <w:top w:val="nil"/>
              <w:left w:val="nil"/>
              <w:bottom w:val="single" w:sz="4" w:space="0" w:color="808080"/>
              <w:right w:val="nil"/>
            </w:tcBorders>
            <w:vAlign w:val="center"/>
            <w:hideMark/>
          </w:tcPr>
          <w:p w14:paraId="4FB09B9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MI (1 year) </w:t>
            </w:r>
            <w:r>
              <w:rPr>
                <w:rFonts w:ascii="Calibri" w:eastAsia="Times New Roman" w:hAnsi="Calibri" w:cs="Times New Roman"/>
                <w:color w:val="000000"/>
                <w:sz w:val="20"/>
                <w:szCs w:val="20"/>
                <w:lang w:eastAsia="en-CA"/>
              </w:rPr>
              <w:br/>
              <w:t>CVD mort (1 year)</w:t>
            </w:r>
          </w:p>
        </w:tc>
        <w:tc>
          <w:tcPr>
            <w:tcW w:w="2255" w:type="dxa"/>
            <w:tcBorders>
              <w:top w:val="nil"/>
              <w:left w:val="nil"/>
              <w:bottom w:val="single" w:sz="4" w:space="0" w:color="808080"/>
              <w:right w:val="nil"/>
            </w:tcBorders>
            <w:vAlign w:val="center"/>
            <w:hideMark/>
          </w:tcPr>
          <w:p w14:paraId="454E17B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Hospital records, outpatient clinical visits, written questionnaires, and telephone interviews</w:t>
            </w:r>
          </w:p>
        </w:tc>
        <w:tc>
          <w:tcPr>
            <w:tcW w:w="1010" w:type="dxa"/>
            <w:tcBorders>
              <w:top w:val="nil"/>
              <w:left w:val="nil"/>
              <w:bottom w:val="single" w:sz="4" w:space="0" w:color="808080"/>
              <w:right w:val="nil"/>
            </w:tcBorders>
            <w:vAlign w:val="center"/>
            <w:hideMark/>
          </w:tcPr>
          <w:p w14:paraId="5FEFDCB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2005-2010</w:t>
            </w:r>
          </w:p>
        </w:tc>
        <w:tc>
          <w:tcPr>
            <w:tcW w:w="1231" w:type="dxa"/>
            <w:tcBorders>
              <w:top w:val="nil"/>
              <w:left w:val="nil"/>
              <w:bottom w:val="single" w:sz="4" w:space="0" w:color="808080"/>
              <w:right w:val="nil"/>
            </w:tcBorders>
            <w:vAlign w:val="center"/>
            <w:hideMark/>
          </w:tcPr>
          <w:p w14:paraId="0FF2EBD1"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37D5FB5B" w14:textId="77777777" w:rsidTr="00B842AC">
        <w:trPr>
          <w:trHeight w:val="532"/>
        </w:trPr>
        <w:tc>
          <w:tcPr>
            <w:tcW w:w="3364" w:type="dxa"/>
            <w:gridSpan w:val="2"/>
            <w:tcBorders>
              <w:top w:val="nil"/>
              <w:left w:val="nil"/>
              <w:bottom w:val="single" w:sz="4" w:space="0" w:color="808080"/>
              <w:right w:val="nil"/>
            </w:tcBorders>
            <w:shd w:val="clear" w:color="auto" w:fill="DEEAF6" w:themeFill="accent1" w:themeFillTint="33"/>
            <w:noWrap/>
            <w:vAlign w:val="center"/>
            <w:hideMark/>
          </w:tcPr>
          <w:p w14:paraId="34485E25" w14:textId="77777777" w:rsidR="00B842AC" w:rsidRPr="001B1380" w:rsidRDefault="00B842AC" w:rsidP="00B842AC">
            <w:pPr>
              <w:spacing w:after="0" w:line="240" w:lineRule="auto"/>
              <w:rPr>
                <w:rFonts w:ascii="Calibri" w:eastAsia="Times New Roman" w:hAnsi="Calibri" w:cs="Times New Roman"/>
                <w:b/>
                <w:bCs/>
                <w:i/>
                <w:iCs/>
                <w:color w:val="000000"/>
                <w:sz w:val="20"/>
                <w:szCs w:val="20"/>
                <w:lang w:eastAsia="en-CA"/>
              </w:rPr>
            </w:pPr>
            <w:r>
              <w:rPr>
                <w:rFonts w:ascii="Calibri" w:eastAsia="Times New Roman" w:hAnsi="Calibri" w:cs="Times New Roman"/>
                <w:b/>
                <w:bCs/>
                <w:i/>
                <w:iCs/>
                <w:color w:val="000000"/>
                <w:sz w:val="20"/>
                <w:szCs w:val="20"/>
                <w:lang w:eastAsia="en-CA"/>
              </w:rPr>
              <w:t>Intervention studies</w:t>
            </w:r>
          </w:p>
        </w:tc>
        <w:tc>
          <w:tcPr>
            <w:tcW w:w="1418" w:type="dxa"/>
            <w:tcBorders>
              <w:top w:val="nil"/>
              <w:left w:val="nil"/>
              <w:bottom w:val="single" w:sz="4" w:space="0" w:color="808080"/>
              <w:right w:val="nil"/>
            </w:tcBorders>
            <w:shd w:val="clear" w:color="auto" w:fill="DEEAF6" w:themeFill="accent1" w:themeFillTint="33"/>
            <w:vAlign w:val="center"/>
            <w:hideMark/>
          </w:tcPr>
          <w:p w14:paraId="5750786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w:t>
            </w:r>
          </w:p>
        </w:tc>
        <w:tc>
          <w:tcPr>
            <w:tcW w:w="2268" w:type="dxa"/>
            <w:tcBorders>
              <w:top w:val="nil"/>
              <w:left w:val="nil"/>
              <w:bottom w:val="single" w:sz="4" w:space="0" w:color="808080"/>
              <w:right w:val="nil"/>
            </w:tcBorders>
            <w:shd w:val="clear" w:color="auto" w:fill="DEEAF6" w:themeFill="accent1" w:themeFillTint="33"/>
            <w:vAlign w:val="center"/>
            <w:hideMark/>
          </w:tcPr>
          <w:p w14:paraId="4527BB6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w:t>
            </w:r>
          </w:p>
        </w:tc>
        <w:tc>
          <w:tcPr>
            <w:tcW w:w="1714" w:type="dxa"/>
            <w:tcBorders>
              <w:top w:val="nil"/>
              <w:left w:val="nil"/>
              <w:bottom w:val="single" w:sz="4" w:space="0" w:color="808080"/>
              <w:right w:val="nil"/>
            </w:tcBorders>
            <w:shd w:val="clear" w:color="auto" w:fill="DEEAF6" w:themeFill="accent1" w:themeFillTint="33"/>
            <w:vAlign w:val="center"/>
            <w:hideMark/>
          </w:tcPr>
          <w:p w14:paraId="204DD3F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w:t>
            </w:r>
          </w:p>
        </w:tc>
        <w:tc>
          <w:tcPr>
            <w:tcW w:w="2255" w:type="dxa"/>
            <w:tcBorders>
              <w:top w:val="nil"/>
              <w:left w:val="nil"/>
              <w:bottom w:val="single" w:sz="4" w:space="0" w:color="808080"/>
              <w:right w:val="nil"/>
            </w:tcBorders>
            <w:shd w:val="clear" w:color="auto" w:fill="DEEAF6" w:themeFill="accent1" w:themeFillTint="33"/>
            <w:vAlign w:val="center"/>
            <w:hideMark/>
          </w:tcPr>
          <w:p w14:paraId="64C940E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w:t>
            </w:r>
          </w:p>
        </w:tc>
        <w:tc>
          <w:tcPr>
            <w:tcW w:w="1010" w:type="dxa"/>
            <w:tcBorders>
              <w:top w:val="nil"/>
              <w:left w:val="nil"/>
              <w:bottom w:val="single" w:sz="4" w:space="0" w:color="808080"/>
              <w:right w:val="nil"/>
            </w:tcBorders>
            <w:shd w:val="clear" w:color="auto" w:fill="DEEAF6" w:themeFill="accent1" w:themeFillTint="33"/>
            <w:vAlign w:val="center"/>
            <w:hideMark/>
          </w:tcPr>
          <w:p w14:paraId="17CBFB7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w:t>
            </w:r>
          </w:p>
        </w:tc>
        <w:tc>
          <w:tcPr>
            <w:tcW w:w="1231" w:type="dxa"/>
            <w:tcBorders>
              <w:top w:val="nil"/>
              <w:left w:val="nil"/>
              <w:bottom w:val="single" w:sz="4" w:space="0" w:color="808080"/>
              <w:right w:val="nil"/>
            </w:tcBorders>
            <w:shd w:val="clear" w:color="auto" w:fill="DEEAF6" w:themeFill="accent1" w:themeFillTint="33"/>
            <w:vAlign w:val="center"/>
            <w:hideMark/>
          </w:tcPr>
          <w:p w14:paraId="077BEA3E"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w:t>
            </w:r>
          </w:p>
        </w:tc>
      </w:tr>
      <w:tr w:rsidR="00B842AC" w14:paraId="632D5503" w14:textId="77777777" w:rsidTr="00B842AC">
        <w:trPr>
          <w:trHeight w:val="1095"/>
        </w:trPr>
        <w:tc>
          <w:tcPr>
            <w:tcW w:w="1522" w:type="dxa"/>
            <w:tcBorders>
              <w:top w:val="nil"/>
              <w:left w:val="nil"/>
              <w:bottom w:val="single" w:sz="4" w:space="0" w:color="808080"/>
              <w:right w:val="nil"/>
            </w:tcBorders>
            <w:vAlign w:val="center"/>
            <w:hideMark/>
          </w:tcPr>
          <w:p w14:paraId="271899B1" w14:textId="2036172E"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{"citationItems":[{"id":"ITEM-1","itemData":{"ISBN":"0028-4793","ISSN":"1533-4406","abstract":"BACKGROUND: Gastrointestinal complications are an important problem of antithrombotic therapy. Proton-pump inhibitors (PPIs) are believed to decrease the risk of such complications, though no randomized trial has proved this in patients receiving dual antiplatelet therapy. Recently, concerns have been raised about the potential for PPIs to blunt the efficacy of clopidogrel., METHODS: We randomly assigned patients with an indication for dual antiplatelet therapy to receive clopidogrel in combination with either omeprazole or placebo, in addition to aspirin. The primary gastrointestinal end point was a composite of overt or occult bleeding, symptomatic gastroduodenal ulcers or erosions, obstruction, or perforation. The primary cardiovascular end point was a composite of death from cardiovascular causes, nonfatal myocardial infarction, revascularization, or stroke. The trial was terminated prematurely when the sponsor lost financing., RESULTS: We planned to enroll about 5000 patients; a total of 3873 were randomly assigned and 3761 were included in analyses. In all, 51 patients had a gastrointestinal event; the event rate was 1.1% with omeprazole and 2.9% with placebo at 180 days (hazard ratio with omeprazole, 0.34, 95% confidence interval [CI], 0.18 to 0.63; P&lt;0.001). The rate of overt upper gastrointestinal bleeding was also reduced with omeprazole as compared with placebo (hazard ratio, 0.13; 95% CI, 0.03 to 0.56; P = 0.001). A total of 109 patients had a cardiovascular event, with event rates of 4.9% with omeprazole and 5.7% with placebo (hazard ratio with omeprazole, 0.99; 95% CI, 0.68 to 1.44; P = 0.96); high-risk subgroups did not show significant heterogeneity. The two groups did not differ significantly in the rate of serious adverse events, though the risk of diarrhea was increased with omeprazole., CONCLUSIONS: Among patients receiving aspirin and clopidogrel, prophylactic use of a PPI reduced the rate of upper gastrointestinal bleeding. There was no apparent cardiovascular interaction between clopidogrel and omeprazole, but our results do not rule out a clinically meaningful difference in cardiovascular events due to use of a PPI. (Funded by Cogentus Pharmaceuticals; ClinicalTrials.gov number, NCT00557921.).","author":[{"dropping-particle":"","family":"Bhatt","given":"DL","non-dropping-particle":"","parse-names":false,"suffix":""},{"dropping-particle":"","family":"Contant","given":"CL","non-dropping-particle":"","parse-names":false,"suffix":""},{"dropping-particle":"","family":"Cohen","given":"M","non-dropping-particle":"","parse-names":false,"suffix":""},{"dropping-particle":"","family":"Lanas","given":"A","non-dropping-particle":"","parse-names":false,"suffix":""},{"dropping-particle":"","family":"Schnitzer","given":"TJ","non-dropping-particle":"","parse-names":false,"suffix":""},{"dropping-particle":"","family":"Shook","given":"TL","non-dropping-particle":"","parse-names":false,"suffix":""},{"dropping-particle":"","family":"Lapuerta","given":"P","non-dropping-particle":"","parse-names":false,"suffix":""},{"dropping-particle":"","family":"Goldsmith","given":"MA","non-dropping-particle":"","parse-names":false,"suffix":""},{"dropping-particle":"","family":"Laine","given":"L","non-dropping-particle":"","parse-names":false,"suffix":""},{"dropping-particle":"","family":"Scirica","given":"BM","non-dropping-particle":"","parse-names":false,"suffix":""},{"dropping-particle":"","family":"Murphy","given":"SA","non-dropping-particle":"","parse-names":false,"suffix":""},{"dropping-particle":"","family":"Cannon","given":"CP","non-dropping-particle":"","parse-names":false,"suffix":""},{"dropping-particle":"","family":"Cryer","given":"B L","non-dropping-particle":"","parse-names":false,"suffix":""}],"container-title":"New England Journal of Medicine","id":"ITEM-1","issue":"20","issued":{"date-parts":[["2010"]]},"note":"745\n\n\nFrom Duplicate 1 (Clopidogrel with or without omeprazole in coronary artery disease. - Bhatt, Deepak L; Cryer, Byron L; Contant, Charles F; Cohen, Marc; Lanas, Angel; Schnitzer, Thomas J; Shook, Thomas L; Lapuerta, Pablo; Goldsmith, Mark A; Laine, Loren; Scirica, Benjamin M; Murphy, Sabina A; Cannon, Christopher P; Investigators, COGENT)\n\nComment in: Evid Based Med. 2011 Oct;16(5):144-5; PMID: 21558563, Comment in: Ann Intern Med. 2011 Mar 15;154(6):JC3-7; PMID: 21403070, Comment in: N Engl J Med. 2011 Feb 17;364(7):681; author reply 682-3; PMID: 21323549, Comment in: Intern Emerg Med. 2011 Apr;6(2):159-60; PMID: 21369851, Comment in: N Engl J Med. 2011 Feb 17;364(7):681-2; author reply 682-3; PMID: 21323548, Comment in: N Engl J Med. 2010 Nov 11;363(20):1977; PMID: 21067412","page":"1909-1917","publisher":"Massachussetts Medical Society (860 Winter Street, Waltham MA 02451-1413, United States)","publisher-place":"United States","title":"Clopidogrel with or without omeprazole in coronary artery disease.","type":"article-journal","volume":"363"},"uris":["http://www.mendeley.com/documents/?uuid=a5736f52-75be-48eb-af60-5a3b5b5e5a44"]}],"mendeley":{"formattedCitation":"(Bhatt et al. 2010)","plainTextFormattedCitation":"(Bhatt et al. 2010)","previouslyFormattedCitation":"(Bhatt et al. 2010)"},"properties":{"noteIndex":0},"schema":"https://github.com/citation-style-language/schema/raw/master/csl-citation.json"}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(Bhatt et al. 2010)</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75CCE7A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1418" w:type="dxa"/>
            <w:tcBorders>
              <w:top w:val="nil"/>
              <w:left w:val="nil"/>
              <w:bottom w:val="single" w:sz="4" w:space="0" w:color="808080"/>
              <w:right w:val="nil"/>
            </w:tcBorders>
            <w:vAlign w:val="center"/>
            <w:hideMark/>
          </w:tcPr>
          <w:p w14:paraId="50DFCF0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4" w:space="0" w:color="808080"/>
              <w:right w:val="nil"/>
            </w:tcBorders>
            <w:vAlign w:val="center"/>
            <w:hideMark/>
          </w:tcPr>
          <w:p w14:paraId="351625F9"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 (stratified permuted blocks)</w:t>
            </w:r>
          </w:p>
        </w:tc>
        <w:tc>
          <w:tcPr>
            <w:tcW w:w="1714" w:type="dxa"/>
            <w:tcBorders>
              <w:top w:val="nil"/>
              <w:left w:val="nil"/>
              <w:bottom w:val="single" w:sz="4" w:space="0" w:color="808080"/>
              <w:right w:val="nil"/>
            </w:tcBorders>
            <w:vAlign w:val="center"/>
            <w:hideMark/>
          </w:tcPr>
          <w:p w14:paraId="2DBB808C"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(6 months)</w:t>
            </w:r>
            <w:r>
              <w:rPr>
                <w:rFonts w:ascii="Calibri" w:eastAsia="Times New Roman" w:hAnsi="Calibri" w:cs="Times New Roman"/>
                <w:color w:val="000000"/>
                <w:sz w:val="20"/>
                <w:szCs w:val="20"/>
                <w:lang w:eastAsia="en-CA"/>
              </w:rPr>
              <w:br/>
              <w:t>Stroke (6 months)</w:t>
            </w:r>
            <w:r>
              <w:rPr>
                <w:rFonts w:ascii="Calibri" w:eastAsia="Times New Roman" w:hAnsi="Calibri" w:cs="Times New Roman"/>
                <w:color w:val="000000"/>
                <w:sz w:val="20"/>
                <w:szCs w:val="20"/>
                <w:lang w:eastAsia="en-CA"/>
              </w:rPr>
              <w:br/>
              <w:t>ACM (6 months)</w:t>
            </w:r>
            <w:r>
              <w:rPr>
                <w:rFonts w:ascii="Calibri" w:eastAsia="Times New Roman" w:hAnsi="Calibri" w:cs="Times New Roman"/>
                <w:color w:val="000000"/>
                <w:sz w:val="20"/>
                <w:szCs w:val="20"/>
                <w:lang w:eastAsia="en-CA"/>
              </w:rPr>
              <w:br/>
              <w:t>CVD mort (6 months)</w:t>
            </w:r>
          </w:p>
        </w:tc>
        <w:tc>
          <w:tcPr>
            <w:tcW w:w="2255" w:type="dxa"/>
            <w:tcBorders>
              <w:top w:val="nil"/>
              <w:left w:val="nil"/>
              <w:bottom w:val="single" w:sz="4" w:space="0" w:color="808080"/>
              <w:right w:val="nil"/>
            </w:tcBorders>
            <w:vAlign w:val="center"/>
            <w:hideMark/>
          </w:tcPr>
          <w:p w14:paraId="0D3F527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Independent cardiologists (blinded)</w:t>
            </w:r>
          </w:p>
        </w:tc>
        <w:tc>
          <w:tcPr>
            <w:tcW w:w="1010" w:type="dxa"/>
            <w:tcBorders>
              <w:top w:val="nil"/>
              <w:left w:val="nil"/>
              <w:bottom w:val="single" w:sz="4" w:space="0" w:color="808080"/>
              <w:right w:val="nil"/>
            </w:tcBorders>
            <w:vAlign w:val="center"/>
            <w:hideMark/>
          </w:tcPr>
          <w:p w14:paraId="514AEC94"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2008</w:t>
            </w:r>
          </w:p>
        </w:tc>
        <w:tc>
          <w:tcPr>
            <w:tcW w:w="1231" w:type="dxa"/>
            <w:tcBorders>
              <w:top w:val="nil"/>
              <w:left w:val="nil"/>
              <w:bottom w:val="single" w:sz="4" w:space="0" w:color="808080"/>
              <w:right w:val="nil"/>
            </w:tcBorders>
            <w:vAlign w:val="center"/>
            <w:hideMark/>
          </w:tcPr>
          <w:p w14:paraId="4262CBB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Industry</w:t>
            </w:r>
          </w:p>
        </w:tc>
      </w:tr>
      <w:tr w:rsidR="00B842AC" w14:paraId="51833313" w14:textId="77777777" w:rsidTr="00B842AC">
        <w:trPr>
          <w:trHeight w:val="548"/>
        </w:trPr>
        <w:tc>
          <w:tcPr>
            <w:tcW w:w="1522" w:type="dxa"/>
            <w:tcBorders>
              <w:top w:val="nil"/>
              <w:left w:val="nil"/>
              <w:bottom w:val="single" w:sz="4" w:space="0" w:color="808080"/>
              <w:right w:val="nil"/>
            </w:tcBorders>
            <w:vAlign w:val="center"/>
            <w:hideMark/>
          </w:tcPr>
          <w:p w14:paraId="5D233CC3" w14:textId="39C100AB"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{"citationItems":[{"id":"ITEM-1","itemData":{"DOI":"10.1053/j.gastro.2010.11.056","ISSN":"0016-5085","author":[{"dropping-particle":"","family":"Hsu","given":"Ping I","non-dropping-particle":"","parse-names":false,"suffix":""},{"dropping-particle":"","family":"Lai","given":"Kwok Hung","non-dropping-particle":"","parse-names":false,"suffix":""},{"dropping-particle":"","family":"Liu","given":"Chun Peng","non-dropping-particle":"","parse-names":false,"suffix":""}],"container-title":"Gastroenterology","id":"ITEM-1","issue":"3","issued":{"date-parts":[["2011"]]},"page":"791-798","publisher":"Elsevier Inc.","title":"Esomeprazole With Clopidogrel Reduces Peptic Ulcer Recurrence , Compared With Clopidogrel Alone, in Patients With Atherosclerosis","type":"article-journal","volume":"140"},"uris":["http://www.mendeley.com/documents/?uuid=1c8407c6-7bfc-4efa-bd5e-8779cfc698dc"]}],"mendeley":{"formattedCitation":"(Hsu et al. 2011)","plainTextFormattedCitation":"(Hsu et al. 2011)","previouslyFormattedCitation":"(Hsu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(Hsu et al. 2011)</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4" w:space="0" w:color="808080"/>
              <w:right w:val="nil"/>
            </w:tcBorders>
            <w:vAlign w:val="center"/>
            <w:hideMark/>
          </w:tcPr>
          <w:p w14:paraId="2BDEFB8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Esomeprazole</w:t>
            </w:r>
          </w:p>
        </w:tc>
        <w:tc>
          <w:tcPr>
            <w:tcW w:w="1418" w:type="dxa"/>
            <w:tcBorders>
              <w:top w:val="nil"/>
              <w:left w:val="nil"/>
              <w:bottom w:val="single" w:sz="4" w:space="0" w:color="808080"/>
              <w:right w:val="nil"/>
            </w:tcBorders>
            <w:vAlign w:val="center"/>
            <w:hideMark/>
          </w:tcPr>
          <w:p w14:paraId="24643918"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w:t>
            </w:r>
          </w:p>
        </w:tc>
        <w:tc>
          <w:tcPr>
            <w:tcW w:w="2268" w:type="dxa"/>
            <w:tcBorders>
              <w:top w:val="nil"/>
              <w:left w:val="nil"/>
              <w:bottom w:val="single" w:sz="4" w:space="0" w:color="808080"/>
              <w:right w:val="nil"/>
            </w:tcBorders>
            <w:vAlign w:val="center"/>
            <w:hideMark/>
          </w:tcPr>
          <w:p w14:paraId="33EF196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exposure randomized.</w:t>
            </w:r>
          </w:p>
        </w:tc>
        <w:tc>
          <w:tcPr>
            <w:tcW w:w="1714" w:type="dxa"/>
            <w:tcBorders>
              <w:top w:val="nil"/>
              <w:left w:val="nil"/>
              <w:bottom w:val="single" w:sz="4" w:space="0" w:color="808080"/>
              <w:right w:val="nil"/>
            </w:tcBorders>
            <w:vAlign w:val="center"/>
            <w:hideMark/>
          </w:tcPr>
          <w:p w14:paraId="76AE2310" w14:textId="77777777" w:rsidR="00B842AC" w:rsidRDefault="00B842AC" w:rsidP="00B842AC">
            <w:pPr>
              <w:spacing w:after="0" w:line="240" w:lineRule="auto"/>
              <w:rPr>
                <w:rFonts w:ascii="Calibri" w:eastAsia="Times New Roman" w:hAnsi="Calibri" w:cs="Times New Roman"/>
                <w:sz w:val="20"/>
                <w:szCs w:val="20"/>
                <w:lang w:eastAsia="en-CA"/>
              </w:rPr>
            </w:pPr>
            <w:r>
              <w:rPr>
                <w:rFonts w:ascii="Calibri" w:eastAsia="Times New Roman" w:hAnsi="Calibri" w:cs="Times New Roman"/>
                <w:sz w:val="20"/>
                <w:szCs w:val="20"/>
                <w:lang w:eastAsia="en-CA"/>
              </w:rPr>
              <w:t>MI (6 months)</w:t>
            </w:r>
            <w:r>
              <w:rPr>
                <w:rFonts w:ascii="Calibri" w:eastAsia="Times New Roman" w:hAnsi="Calibri" w:cs="Times New Roman"/>
                <w:sz w:val="20"/>
                <w:szCs w:val="20"/>
                <w:lang w:eastAsia="en-CA"/>
              </w:rPr>
              <w:br/>
              <w:t>Stroke (6 months)</w:t>
            </w:r>
            <w:r>
              <w:rPr>
                <w:rFonts w:ascii="Calibri" w:eastAsia="Times New Roman" w:hAnsi="Calibri" w:cs="Times New Roman"/>
                <w:sz w:val="20"/>
                <w:szCs w:val="20"/>
                <w:lang w:eastAsia="en-CA"/>
              </w:rPr>
              <w:br/>
              <w:t>CVD mort (6 months)</w:t>
            </w:r>
          </w:p>
        </w:tc>
        <w:tc>
          <w:tcPr>
            <w:tcW w:w="2255" w:type="dxa"/>
            <w:tcBorders>
              <w:top w:val="nil"/>
              <w:left w:val="nil"/>
              <w:bottom w:val="single" w:sz="4" w:space="0" w:color="808080"/>
              <w:right w:val="nil"/>
            </w:tcBorders>
            <w:vAlign w:val="center"/>
            <w:hideMark/>
          </w:tcPr>
          <w:p w14:paraId="118401D2"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Independent committee</w:t>
            </w:r>
          </w:p>
        </w:tc>
        <w:tc>
          <w:tcPr>
            <w:tcW w:w="1010" w:type="dxa"/>
            <w:tcBorders>
              <w:top w:val="nil"/>
              <w:left w:val="nil"/>
              <w:bottom w:val="single" w:sz="4" w:space="0" w:color="808080"/>
              <w:right w:val="nil"/>
            </w:tcBorders>
            <w:vAlign w:val="center"/>
            <w:hideMark/>
          </w:tcPr>
          <w:p w14:paraId="1046831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2008-2010</w:t>
            </w:r>
          </w:p>
        </w:tc>
        <w:tc>
          <w:tcPr>
            <w:tcW w:w="1231" w:type="dxa"/>
            <w:tcBorders>
              <w:top w:val="nil"/>
              <w:left w:val="nil"/>
              <w:bottom w:val="single" w:sz="4" w:space="0" w:color="808080"/>
              <w:right w:val="nil"/>
            </w:tcBorders>
            <w:vAlign w:val="center"/>
            <w:hideMark/>
          </w:tcPr>
          <w:p w14:paraId="7C1F22B3"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B842AC" w14:paraId="6424BC71" w14:textId="77777777" w:rsidTr="00B842AC">
        <w:trPr>
          <w:trHeight w:val="578"/>
        </w:trPr>
        <w:tc>
          <w:tcPr>
            <w:tcW w:w="1522" w:type="dxa"/>
            <w:tcBorders>
              <w:top w:val="nil"/>
              <w:left w:val="nil"/>
              <w:bottom w:val="single" w:sz="8" w:space="0" w:color="auto"/>
              <w:right w:val="nil"/>
            </w:tcBorders>
            <w:vAlign w:val="center"/>
            <w:hideMark/>
          </w:tcPr>
          <w:p w14:paraId="314B3818" w14:textId="78A7590A"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{"citationItems":[{"id":"ITEM-1","itemData":{"ISBN":"0883-9441","ISSN":"1557-8615","abstract":"PURPOSE: The aim of this study is to evaluate the preventive effect of proton pump inhibitors on gastrointestinal (GI) bleeding in patients with acute coronary syndromes (ACS) who are at high risk for GI bleeding., MATERIALS AND METHODS: We enrolled 665 patients with ACS who had one or more of the following risk factors for GI bleeding: 75 years of age or older, history of peptic ulcer disease, history of GI bleeding, cardiogenic shock, and chronic renal dysfunction (serum creatinine, &gt;2 mg/dL). Patients were randomly assigned to receive 40 mg of pantoprazole or placebo twice daily for 7 days, in addition to standard treatment of ACS. The primary end point was the occurrence of GI bleeding during hospitalization., RESULTS: During a median time of hospitalization of 12 days, 12 (3.6%) of 332 patients in the placebo group had an occurrence of GI bleeding, as compared with 4 (1.2%) of the 333 patients in the pantoprazole group (P = .046, Fisher exact test). The log-rank test showed a significant difference between the 2 groups in the time to the occurrence of GI bleeding (P = .015). Major GI bleeding occurred in 5 (1.5%) patients in the placebo group but only in 1 (0.3%) in the pantoprazole group (P = .12). Pneumonia developed in 22 (6.6%) patients in the placebo group and 24 (7.2%) in the pantoprazole group (chi(2) = 0.077, P = .88). The 30-day mortality was 10.2% (34/332) in the placebo group and 10.5% (35/333) in the pantoprazole group., CONCLUSIONS: In patients with ACS who are at high risk for GI hemorrhage, prophylactic treatment with pantoprazole could reduce the risk of GI bleeding with no significant effects on the incidence of hospital-acquired pneumonia and 30-day mortality.Copyright © 2011 Elsevier Inc. All rights reserved.","author":[{"dropping-particle":"","family":"Wu","given":"H","non-dropping-particle":"","parse-names":false,"suffix":""},{"dropping-particle":"","family":"Wang","given":"J","non-dropping-particle":"","parse-names":false,"suffix":""},{"dropping-particle":"","family":"Guo","given":"X","non-dropping-particle":"","parse-names":false,"suffix":""},{"dropping-particle":"","family":"Jing","given":"Q","non-dropping-particle":"","parse-names":false,"suffix":""}],"container-title":"Journal of critical care","id":"ITEM-1","issue":"4","issued":{"date-parts":[["2011"]]},"note":"530","page":"434","publisher":"W.B. Saunders (Independence Square West, Philadelphia PA 19106-3399, United States)","publisher-place":"United States","title":"Pantoprazole for the prevention of gastrointestinal bleeding in high-risk patients with acute coronary syndromes.","type":"article-journal","volume":"26"},"uris":["http://www.mendeley.com/documents/?uuid=c6d6ee7c-f1fc-49de-b264-e1078d8fc775"]}],"mendeley":{"formattedCitation":"(Wu et al. 2011)","plainTextFormattedCitation":"(Wu et al. 2011)","previouslyFormattedCitation":"(Wu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(Wu et al. 2011)</w:t>
            </w:r>
            <w:r>
              <w:rPr>
                <w:rFonts w:ascii="Calibri" w:eastAsia="Times New Roman" w:hAnsi="Calibri" w:cs="Times New Roman"/>
                <w:color w:val="000000"/>
                <w:sz w:val="20"/>
                <w:szCs w:val="20"/>
                <w:lang w:eastAsia="en-CA"/>
              </w:rPr>
              <w:fldChar w:fldCharType="end"/>
            </w:r>
          </w:p>
        </w:tc>
        <w:tc>
          <w:tcPr>
            <w:tcW w:w="1842" w:type="dxa"/>
            <w:tcBorders>
              <w:top w:val="nil"/>
              <w:left w:val="nil"/>
              <w:bottom w:val="single" w:sz="8" w:space="0" w:color="auto"/>
              <w:right w:val="nil"/>
            </w:tcBorders>
            <w:vAlign w:val="center"/>
            <w:hideMark/>
          </w:tcPr>
          <w:p w14:paraId="2DB3C28B"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Pantoprazole</w:t>
            </w:r>
          </w:p>
        </w:tc>
        <w:tc>
          <w:tcPr>
            <w:tcW w:w="1418" w:type="dxa"/>
            <w:tcBorders>
              <w:top w:val="nil"/>
              <w:left w:val="nil"/>
              <w:bottom w:val="single" w:sz="8" w:space="0" w:color="auto"/>
              <w:right w:val="nil"/>
            </w:tcBorders>
            <w:vAlign w:val="center"/>
            <w:hideMark/>
          </w:tcPr>
          <w:p w14:paraId="643B0F75"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Yes</w:t>
            </w:r>
          </w:p>
        </w:tc>
        <w:tc>
          <w:tcPr>
            <w:tcW w:w="2268" w:type="dxa"/>
            <w:tcBorders>
              <w:top w:val="nil"/>
              <w:left w:val="nil"/>
              <w:bottom w:val="single" w:sz="8" w:space="0" w:color="auto"/>
              <w:right w:val="nil"/>
            </w:tcBorders>
            <w:vAlign w:val="center"/>
            <w:hideMark/>
          </w:tcPr>
          <w:p w14:paraId="48CCE7DA"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randomized.</w:t>
            </w:r>
          </w:p>
        </w:tc>
        <w:tc>
          <w:tcPr>
            <w:tcW w:w="1714" w:type="dxa"/>
            <w:tcBorders>
              <w:top w:val="nil"/>
              <w:left w:val="nil"/>
              <w:bottom w:val="single" w:sz="8" w:space="0" w:color="auto"/>
              <w:right w:val="nil"/>
            </w:tcBorders>
            <w:vAlign w:val="center"/>
            <w:hideMark/>
          </w:tcPr>
          <w:p w14:paraId="77E762B2" w14:textId="77777777" w:rsidR="00B842AC" w:rsidRDefault="00B842AC" w:rsidP="00B842AC">
            <w:pPr>
              <w:spacing w:after="0" w:line="240" w:lineRule="auto"/>
              <w:rPr>
                <w:rFonts w:ascii="Calibri" w:eastAsia="Times New Roman" w:hAnsi="Calibri" w:cs="Times New Roman"/>
                <w:sz w:val="20"/>
                <w:szCs w:val="20"/>
                <w:lang w:eastAsia="en-CA"/>
              </w:rPr>
            </w:pPr>
            <w:r>
              <w:rPr>
                <w:rFonts w:ascii="Calibri" w:eastAsia="Times New Roman" w:hAnsi="Calibri" w:cs="Times New Roman"/>
                <w:sz w:val="20"/>
                <w:szCs w:val="20"/>
                <w:lang w:eastAsia="en-CA"/>
              </w:rPr>
              <w:t>ACM (1 month)</w:t>
            </w:r>
          </w:p>
        </w:tc>
        <w:tc>
          <w:tcPr>
            <w:tcW w:w="2255" w:type="dxa"/>
            <w:tcBorders>
              <w:top w:val="nil"/>
              <w:left w:val="nil"/>
              <w:bottom w:val="single" w:sz="8" w:space="0" w:color="auto"/>
              <w:right w:val="nil"/>
            </w:tcBorders>
            <w:vAlign w:val="center"/>
            <w:hideMark/>
          </w:tcPr>
          <w:p w14:paraId="02C231F7"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Medical records and telephone contact with relatives. </w:t>
            </w:r>
          </w:p>
        </w:tc>
        <w:tc>
          <w:tcPr>
            <w:tcW w:w="1010" w:type="dxa"/>
            <w:tcBorders>
              <w:top w:val="nil"/>
              <w:left w:val="nil"/>
              <w:bottom w:val="single" w:sz="8" w:space="0" w:color="auto"/>
              <w:right w:val="nil"/>
            </w:tcBorders>
            <w:vAlign w:val="center"/>
            <w:hideMark/>
          </w:tcPr>
          <w:p w14:paraId="6F038866"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2008-2010</w:t>
            </w:r>
          </w:p>
        </w:tc>
        <w:tc>
          <w:tcPr>
            <w:tcW w:w="1231" w:type="dxa"/>
            <w:tcBorders>
              <w:top w:val="nil"/>
              <w:left w:val="nil"/>
              <w:bottom w:val="single" w:sz="8" w:space="0" w:color="auto"/>
              <w:right w:val="nil"/>
            </w:tcBorders>
            <w:vAlign w:val="center"/>
            <w:hideMark/>
          </w:tcPr>
          <w:p w14:paraId="7594AFAF" w14:textId="77777777" w:rsidR="00B842AC" w:rsidRDefault="00B842AC" w:rsidP="00B842AC">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bl>
    <w:p w14:paraId="705E1C3B" w14:textId="77777777" w:rsidR="00B842AC" w:rsidRDefault="00B842AC" w:rsidP="00B842AC">
      <w:pPr>
        <w:rPr>
          <w:rFonts w:eastAsia="Batang"/>
        </w:rPr>
      </w:pPr>
      <w:r w:rsidRPr="002F2A9F">
        <w:rPr>
          <w:rFonts w:ascii="Calibri" w:eastAsia="Times New Roman" w:hAnsi="Calibri" w:cs="Times New Roman"/>
          <w:i/>
          <w:iCs/>
          <w:color w:val="000000"/>
          <w:sz w:val="18"/>
          <w:szCs w:val="18"/>
          <w:vertAlign w:val="superscript"/>
          <w:lang w:eastAsia="en-CA"/>
        </w:rPr>
        <w:t>1</w:t>
      </w:r>
      <w:r>
        <w:rPr>
          <w:rFonts w:ascii="Calibri" w:eastAsia="Times New Roman" w:hAnsi="Calibri" w:cs="Times New Roman"/>
          <w:i/>
          <w:iCs/>
          <w:color w:val="000000"/>
          <w:sz w:val="18"/>
          <w:szCs w:val="18"/>
          <w:lang w:eastAsia="en-CA"/>
        </w:rPr>
        <w:t>(Cardiac death defined as sudden unexplained death, death due to fatal myocardial infarction, or death after rehospitalisation because of heart failure or possible acute myocardial ischemia</w:t>
      </w:r>
    </w:p>
    <w:p w14:paraId="798FB198" w14:textId="2A8B332E" w:rsidR="009462F4" w:rsidRDefault="009462F4" w:rsidP="00E73B88">
      <w:pPr>
        <w:pStyle w:val="Heading4"/>
        <w:rPr>
          <w:rFonts w:ascii="Calibri" w:eastAsia="Times New Roman" w:hAnsi="Calibri" w:cs="Times New Roman"/>
          <w:color w:val="000000"/>
          <w:sz w:val="20"/>
          <w:szCs w:val="20"/>
          <w:lang w:eastAsia="en-CA"/>
        </w:rPr>
      </w:pPr>
      <w:bookmarkStart w:id="22" w:name="_Toc457995709"/>
      <w:bookmarkStart w:id="23" w:name="_Toc510634442"/>
      <w:r>
        <w:lastRenderedPageBreak/>
        <w:t xml:space="preserve">Table </w:t>
      </w:r>
      <w:r w:rsidR="00B842AC">
        <w:t>S5</w:t>
      </w:r>
      <w:r>
        <w:t xml:space="preserve">. </w:t>
      </w:r>
      <w:r w:rsidR="00E73B88">
        <w:t>Characteristics of s</w:t>
      </w:r>
      <w:r>
        <w:t>tudy design and patient population of studies that assessed the effect of concomitant treatment of PPIs and other drugs vs other drugs alone (Group C).</w:t>
      </w:r>
      <w:bookmarkEnd w:id="22"/>
      <w:bookmarkEnd w:id="23"/>
    </w:p>
    <w:tbl>
      <w:tblPr>
        <w:tblW w:w="13469" w:type="dxa"/>
        <w:tblLayout w:type="fixed"/>
        <w:tblLook w:val="04A0" w:firstRow="1" w:lastRow="0" w:firstColumn="1" w:lastColumn="0" w:noHBand="0" w:noVBand="1"/>
      </w:tblPr>
      <w:tblGrid>
        <w:gridCol w:w="1242"/>
        <w:gridCol w:w="1551"/>
        <w:gridCol w:w="1460"/>
        <w:gridCol w:w="1035"/>
        <w:gridCol w:w="3784"/>
        <w:gridCol w:w="1278"/>
        <w:gridCol w:w="850"/>
        <w:gridCol w:w="1276"/>
        <w:gridCol w:w="993"/>
      </w:tblGrid>
      <w:tr w:rsidR="009462F4" w14:paraId="0876F198" w14:textId="77777777" w:rsidTr="00181CD0">
        <w:trPr>
          <w:trHeight w:val="259"/>
          <w:tblHeader/>
        </w:trPr>
        <w:tc>
          <w:tcPr>
            <w:tcW w:w="1242" w:type="dxa"/>
            <w:tcBorders>
              <w:top w:val="single" w:sz="4" w:space="0" w:color="auto"/>
              <w:left w:val="nil"/>
              <w:bottom w:val="single" w:sz="4" w:space="0" w:color="auto"/>
              <w:right w:val="nil"/>
            </w:tcBorders>
            <w:shd w:val="clear" w:color="auto" w:fill="FFFFFF"/>
            <w:vAlign w:val="center"/>
            <w:hideMark/>
          </w:tcPr>
          <w:p w14:paraId="373815A9" w14:textId="77777777" w:rsidR="009462F4" w:rsidRDefault="009462F4">
            <w:pPr>
              <w:spacing w:after="0" w:line="240" w:lineRule="auto"/>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Citation</w:t>
            </w:r>
            <w:r>
              <w:rPr>
                <w:rFonts w:ascii="Calibri" w:eastAsia="Times New Roman" w:hAnsi="Calibri" w:cs="Times New Roman"/>
                <w:b/>
                <w:bCs/>
                <w:color w:val="000000"/>
                <w:sz w:val="20"/>
                <w:szCs w:val="20"/>
                <w:lang w:eastAsia="en-CA"/>
              </w:rPr>
              <w:br/>
              <w:t>(Location)</w:t>
            </w:r>
          </w:p>
        </w:tc>
        <w:tc>
          <w:tcPr>
            <w:tcW w:w="1551" w:type="dxa"/>
            <w:tcBorders>
              <w:top w:val="single" w:sz="4" w:space="0" w:color="auto"/>
              <w:left w:val="nil"/>
              <w:bottom w:val="single" w:sz="4" w:space="0" w:color="auto"/>
              <w:right w:val="nil"/>
            </w:tcBorders>
            <w:shd w:val="clear" w:color="auto" w:fill="FFFFFF"/>
            <w:vAlign w:val="center"/>
            <w:hideMark/>
          </w:tcPr>
          <w:p w14:paraId="7DA3C64A" w14:textId="77777777" w:rsidR="009462F4" w:rsidRDefault="009462F4">
            <w:pPr>
              <w:spacing w:after="0" w:line="240" w:lineRule="auto"/>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Study design</w:t>
            </w:r>
            <w:r>
              <w:rPr>
                <w:rFonts w:ascii="Calibri" w:eastAsia="Times New Roman" w:hAnsi="Calibri" w:cs="Times New Roman"/>
                <w:b/>
                <w:bCs/>
                <w:color w:val="000000"/>
                <w:sz w:val="20"/>
                <w:szCs w:val="20"/>
                <w:lang w:eastAsia="en-CA"/>
              </w:rPr>
              <w:br/>
              <w:t>(Setting)</w:t>
            </w:r>
          </w:p>
        </w:tc>
        <w:tc>
          <w:tcPr>
            <w:tcW w:w="1460" w:type="dxa"/>
            <w:tcBorders>
              <w:top w:val="single" w:sz="4" w:space="0" w:color="auto"/>
              <w:left w:val="nil"/>
              <w:bottom w:val="single" w:sz="4" w:space="0" w:color="auto"/>
              <w:right w:val="nil"/>
            </w:tcBorders>
            <w:shd w:val="clear" w:color="auto" w:fill="FFFFFF"/>
            <w:vAlign w:val="center"/>
            <w:hideMark/>
          </w:tcPr>
          <w:p w14:paraId="0EFAF32E" w14:textId="77777777" w:rsidR="009462F4" w:rsidRDefault="009462F4">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Database/cohort name or NCT identifier</w:t>
            </w:r>
          </w:p>
        </w:tc>
        <w:tc>
          <w:tcPr>
            <w:tcW w:w="1035" w:type="dxa"/>
            <w:tcBorders>
              <w:top w:val="single" w:sz="4" w:space="0" w:color="auto"/>
              <w:left w:val="nil"/>
              <w:bottom w:val="single" w:sz="4" w:space="0" w:color="auto"/>
              <w:right w:val="nil"/>
            </w:tcBorders>
            <w:shd w:val="clear" w:color="auto" w:fill="FFFFFF"/>
            <w:vAlign w:val="center"/>
            <w:hideMark/>
          </w:tcPr>
          <w:p w14:paraId="4C4FED93" w14:textId="77777777" w:rsidR="009462F4" w:rsidRDefault="009462F4">
            <w:pPr>
              <w:spacing w:after="0" w:line="240" w:lineRule="auto"/>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Patient population</w:t>
            </w:r>
          </w:p>
        </w:tc>
        <w:tc>
          <w:tcPr>
            <w:tcW w:w="3784" w:type="dxa"/>
            <w:tcBorders>
              <w:top w:val="single" w:sz="4" w:space="0" w:color="auto"/>
              <w:left w:val="nil"/>
              <w:bottom w:val="single" w:sz="4" w:space="0" w:color="auto"/>
              <w:right w:val="nil"/>
            </w:tcBorders>
            <w:shd w:val="clear" w:color="auto" w:fill="FFFFFF"/>
            <w:vAlign w:val="center"/>
            <w:hideMark/>
          </w:tcPr>
          <w:p w14:paraId="3159ED48" w14:textId="77777777" w:rsidR="009462F4" w:rsidRDefault="009462F4">
            <w:pPr>
              <w:spacing w:after="0" w:line="240" w:lineRule="auto"/>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Selection Criteria</w:t>
            </w:r>
          </w:p>
        </w:tc>
        <w:tc>
          <w:tcPr>
            <w:tcW w:w="1278" w:type="dxa"/>
            <w:tcBorders>
              <w:top w:val="single" w:sz="4" w:space="0" w:color="auto"/>
              <w:left w:val="nil"/>
              <w:bottom w:val="single" w:sz="4" w:space="0" w:color="auto"/>
              <w:right w:val="nil"/>
            </w:tcBorders>
            <w:shd w:val="clear" w:color="auto" w:fill="FFFFFF"/>
            <w:vAlign w:val="center"/>
            <w:hideMark/>
          </w:tcPr>
          <w:p w14:paraId="61F0A491" w14:textId="77777777" w:rsidR="009462F4" w:rsidRDefault="009462F4">
            <w:pPr>
              <w:spacing w:after="0" w:line="240" w:lineRule="auto"/>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Study sample size</w:t>
            </w:r>
          </w:p>
        </w:tc>
        <w:tc>
          <w:tcPr>
            <w:tcW w:w="850" w:type="dxa"/>
            <w:tcBorders>
              <w:top w:val="single" w:sz="4" w:space="0" w:color="auto"/>
              <w:left w:val="nil"/>
              <w:bottom w:val="single" w:sz="4" w:space="0" w:color="auto"/>
              <w:right w:val="nil"/>
            </w:tcBorders>
            <w:shd w:val="clear" w:color="auto" w:fill="FFFFFF"/>
            <w:vAlign w:val="center"/>
            <w:hideMark/>
          </w:tcPr>
          <w:p w14:paraId="67E63E77" w14:textId="77777777" w:rsidR="009462F4" w:rsidRDefault="009462F4">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Mean age (years) (sd)</w:t>
            </w:r>
          </w:p>
        </w:tc>
        <w:tc>
          <w:tcPr>
            <w:tcW w:w="1276" w:type="dxa"/>
            <w:tcBorders>
              <w:top w:val="single" w:sz="4" w:space="0" w:color="auto"/>
              <w:left w:val="nil"/>
              <w:bottom w:val="single" w:sz="4" w:space="0" w:color="auto"/>
              <w:right w:val="nil"/>
            </w:tcBorders>
            <w:shd w:val="clear" w:color="auto" w:fill="FFFFFF"/>
            <w:vAlign w:val="center"/>
            <w:hideMark/>
          </w:tcPr>
          <w:p w14:paraId="06F75BBC" w14:textId="77777777" w:rsidR="009462F4" w:rsidRDefault="009462F4">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 Males</w:t>
            </w:r>
          </w:p>
        </w:tc>
        <w:tc>
          <w:tcPr>
            <w:tcW w:w="993" w:type="dxa"/>
            <w:tcBorders>
              <w:top w:val="single" w:sz="4" w:space="0" w:color="auto"/>
              <w:left w:val="nil"/>
              <w:bottom w:val="single" w:sz="4" w:space="0" w:color="auto"/>
              <w:right w:val="nil"/>
            </w:tcBorders>
            <w:shd w:val="clear" w:color="auto" w:fill="FFFFFF"/>
            <w:vAlign w:val="center"/>
            <w:hideMark/>
          </w:tcPr>
          <w:p w14:paraId="5A87027A" w14:textId="77777777" w:rsidR="009462F4" w:rsidRDefault="009462F4">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Ethnicity</w:t>
            </w:r>
          </w:p>
        </w:tc>
      </w:tr>
      <w:tr w:rsidR="001B1380" w14:paraId="6627A8EB" w14:textId="77777777" w:rsidTr="001B1380">
        <w:trPr>
          <w:trHeight w:val="565"/>
        </w:trPr>
        <w:tc>
          <w:tcPr>
            <w:tcW w:w="4253" w:type="dxa"/>
            <w:gridSpan w:val="3"/>
            <w:tcBorders>
              <w:top w:val="nil"/>
              <w:left w:val="nil"/>
              <w:bottom w:val="single" w:sz="4" w:space="0" w:color="808080"/>
              <w:right w:val="nil"/>
            </w:tcBorders>
            <w:shd w:val="clear" w:color="auto" w:fill="DEEAF6" w:themeFill="accent1" w:themeFillTint="33"/>
            <w:vAlign w:val="center"/>
          </w:tcPr>
          <w:p w14:paraId="1DF8AED4" w14:textId="527D9A25" w:rsidR="001B1380" w:rsidRDefault="001B1380">
            <w:pPr>
              <w:spacing w:after="0" w:line="240" w:lineRule="auto"/>
              <w:rPr>
                <w:rFonts w:ascii="Calibri" w:eastAsia="Times New Roman" w:hAnsi="Calibri" w:cs="Times New Roman"/>
                <w:color w:val="000000"/>
                <w:sz w:val="20"/>
                <w:szCs w:val="20"/>
                <w:lang w:eastAsia="en-CA"/>
              </w:rPr>
            </w:pPr>
            <w:r w:rsidRPr="001B1380">
              <w:rPr>
                <w:rFonts w:ascii="Calibri" w:eastAsia="Times New Roman" w:hAnsi="Calibri" w:cs="Times New Roman"/>
                <w:b/>
                <w:bCs/>
                <w:color w:val="000000"/>
                <w:sz w:val="20"/>
                <w:szCs w:val="20"/>
                <w:lang w:eastAsia="en-CA"/>
              </w:rPr>
              <w:t>Observational studies  </w:t>
            </w:r>
          </w:p>
        </w:tc>
        <w:tc>
          <w:tcPr>
            <w:tcW w:w="1035" w:type="dxa"/>
            <w:tcBorders>
              <w:top w:val="nil"/>
              <w:left w:val="nil"/>
              <w:bottom w:val="single" w:sz="4" w:space="0" w:color="808080"/>
              <w:right w:val="nil"/>
            </w:tcBorders>
            <w:shd w:val="clear" w:color="auto" w:fill="DEEAF6" w:themeFill="accent1" w:themeFillTint="33"/>
            <w:vAlign w:val="center"/>
          </w:tcPr>
          <w:p w14:paraId="6857C8DD" w14:textId="77777777" w:rsidR="001B1380" w:rsidRDefault="001B1380">
            <w:pPr>
              <w:spacing w:after="0" w:line="240" w:lineRule="auto"/>
              <w:rPr>
                <w:rFonts w:ascii="Calibri" w:eastAsia="Times New Roman" w:hAnsi="Calibri" w:cs="Times New Roman"/>
                <w:color w:val="000000"/>
                <w:sz w:val="20"/>
                <w:szCs w:val="20"/>
                <w:lang w:eastAsia="en-CA"/>
              </w:rPr>
            </w:pPr>
          </w:p>
        </w:tc>
        <w:tc>
          <w:tcPr>
            <w:tcW w:w="3784" w:type="dxa"/>
            <w:tcBorders>
              <w:top w:val="nil"/>
              <w:left w:val="nil"/>
              <w:bottom w:val="single" w:sz="4" w:space="0" w:color="808080"/>
              <w:right w:val="nil"/>
            </w:tcBorders>
            <w:shd w:val="clear" w:color="auto" w:fill="DEEAF6" w:themeFill="accent1" w:themeFillTint="33"/>
            <w:vAlign w:val="center"/>
          </w:tcPr>
          <w:p w14:paraId="0AC1BBED" w14:textId="77777777" w:rsidR="001B1380" w:rsidRDefault="001B1380">
            <w:pPr>
              <w:spacing w:after="0" w:line="240" w:lineRule="auto"/>
              <w:rPr>
                <w:rFonts w:ascii="Calibri" w:eastAsia="Times New Roman" w:hAnsi="Calibri" w:cs="Times New Roman"/>
                <w:color w:val="000000"/>
                <w:sz w:val="20"/>
                <w:szCs w:val="20"/>
                <w:lang w:eastAsia="en-CA"/>
              </w:rPr>
            </w:pPr>
          </w:p>
        </w:tc>
        <w:tc>
          <w:tcPr>
            <w:tcW w:w="1278" w:type="dxa"/>
            <w:tcBorders>
              <w:top w:val="nil"/>
              <w:left w:val="nil"/>
              <w:bottom w:val="single" w:sz="4" w:space="0" w:color="808080"/>
              <w:right w:val="nil"/>
            </w:tcBorders>
            <w:shd w:val="clear" w:color="auto" w:fill="DEEAF6" w:themeFill="accent1" w:themeFillTint="33"/>
            <w:vAlign w:val="center"/>
          </w:tcPr>
          <w:p w14:paraId="45532D51" w14:textId="77777777" w:rsidR="001B1380" w:rsidRDefault="001B1380">
            <w:pPr>
              <w:spacing w:after="0" w:line="240" w:lineRule="auto"/>
              <w:rPr>
                <w:rFonts w:ascii="Calibri" w:eastAsia="Times New Roman" w:hAnsi="Calibri" w:cs="Times New Roman"/>
                <w:color w:val="000000"/>
                <w:sz w:val="20"/>
                <w:szCs w:val="20"/>
                <w:lang w:eastAsia="en-CA"/>
              </w:rPr>
            </w:pPr>
          </w:p>
        </w:tc>
        <w:tc>
          <w:tcPr>
            <w:tcW w:w="850" w:type="dxa"/>
            <w:tcBorders>
              <w:top w:val="nil"/>
              <w:left w:val="nil"/>
              <w:bottom w:val="single" w:sz="4" w:space="0" w:color="808080"/>
              <w:right w:val="nil"/>
            </w:tcBorders>
            <w:shd w:val="clear" w:color="auto" w:fill="DEEAF6" w:themeFill="accent1" w:themeFillTint="33"/>
            <w:vAlign w:val="center"/>
          </w:tcPr>
          <w:p w14:paraId="22FE5B70" w14:textId="77777777" w:rsidR="001B1380" w:rsidRDefault="001B1380">
            <w:pPr>
              <w:spacing w:after="0" w:line="240" w:lineRule="auto"/>
              <w:rPr>
                <w:rFonts w:ascii="Calibri" w:eastAsia="Times New Roman" w:hAnsi="Calibri" w:cs="Times New Roman"/>
                <w:color w:val="000000"/>
                <w:sz w:val="20"/>
                <w:szCs w:val="20"/>
                <w:lang w:eastAsia="en-CA"/>
              </w:rPr>
            </w:pPr>
          </w:p>
        </w:tc>
        <w:tc>
          <w:tcPr>
            <w:tcW w:w="1276" w:type="dxa"/>
            <w:tcBorders>
              <w:top w:val="nil"/>
              <w:left w:val="nil"/>
              <w:bottom w:val="single" w:sz="4" w:space="0" w:color="808080"/>
              <w:right w:val="nil"/>
            </w:tcBorders>
            <w:shd w:val="clear" w:color="auto" w:fill="DEEAF6" w:themeFill="accent1" w:themeFillTint="33"/>
            <w:vAlign w:val="center"/>
          </w:tcPr>
          <w:p w14:paraId="13069774" w14:textId="77777777" w:rsidR="001B1380" w:rsidRDefault="001B1380">
            <w:pPr>
              <w:spacing w:after="0" w:line="240" w:lineRule="auto"/>
              <w:rPr>
                <w:rFonts w:ascii="Calibri" w:eastAsia="Times New Roman" w:hAnsi="Calibri" w:cs="Times New Roman"/>
                <w:color w:val="000000"/>
                <w:sz w:val="20"/>
                <w:szCs w:val="20"/>
                <w:lang w:eastAsia="en-CA"/>
              </w:rPr>
            </w:pPr>
          </w:p>
        </w:tc>
        <w:tc>
          <w:tcPr>
            <w:tcW w:w="993" w:type="dxa"/>
            <w:tcBorders>
              <w:top w:val="nil"/>
              <w:left w:val="nil"/>
              <w:bottom w:val="single" w:sz="4" w:space="0" w:color="808080"/>
              <w:right w:val="nil"/>
            </w:tcBorders>
            <w:shd w:val="clear" w:color="auto" w:fill="DEEAF6" w:themeFill="accent1" w:themeFillTint="33"/>
            <w:vAlign w:val="center"/>
          </w:tcPr>
          <w:p w14:paraId="7EED06B7" w14:textId="77777777" w:rsidR="001B1380" w:rsidRDefault="001B1380">
            <w:pPr>
              <w:spacing w:after="0" w:line="240" w:lineRule="auto"/>
              <w:rPr>
                <w:rFonts w:ascii="Calibri" w:eastAsia="Times New Roman" w:hAnsi="Calibri" w:cs="Times New Roman"/>
                <w:color w:val="000000"/>
                <w:sz w:val="20"/>
                <w:szCs w:val="20"/>
                <w:lang w:eastAsia="en-CA"/>
              </w:rPr>
            </w:pPr>
          </w:p>
        </w:tc>
      </w:tr>
      <w:tr w:rsidR="009462F4" w14:paraId="1880C713" w14:textId="77777777" w:rsidTr="00181CD0">
        <w:trPr>
          <w:trHeight w:val="924"/>
        </w:trPr>
        <w:tc>
          <w:tcPr>
            <w:tcW w:w="1242" w:type="dxa"/>
            <w:tcBorders>
              <w:top w:val="nil"/>
              <w:left w:val="nil"/>
              <w:bottom w:val="single" w:sz="4" w:space="0" w:color="808080"/>
              <w:right w:val="nil"/>
            </w:tcBorders>
            <w:shd w:val="clear" w:color="auto" w:fill="FFFFFF"/>
            <w:vAlign w:val="center"/>
            <w:hideMark/>
          </w:tcPr>
          <w:p w14:paraId="34011127" w14:textId="00CCBAD4"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{"citationItems":[{"id":"ITEM-1","itemData":{"ISSN":"1756-1833","abstract":"OBJECTIVE: To examine the effect of proton pump inhibitors on adverse cardiovascular events in aspirin treated patients with first time myocardial infarction., DESIGN: Retrospective nationwide propensity score matched study based on administrative data. Setting All hospitals in Denmark., PARTICIPANTS: All aspirin treated patients surviving 30 days after a first myocardial infarction from 1997 to 2006, with follow-up for one year. Patients treated with clopidogrel were excluded., MAIN OUTCOME MEASURES: The risk of the combined end point of cardiovascular death, myocardial infarction, or stroke associated with use of proton pump inhibitors was analysed using Kaplan-Meier analysis, Cox proportional hazard models, and propensity score matched Cox proportional hazard models. Results 3366 of 19,925 (16.9%) aspirin treated patients experienced recurrent myocardial infarction, stroke, or cardiovascular death. The hazard ratio for the combined end point in patients receiving proton pump inhibitors based on the time dependent Cox proportional hazard model was 1.46 (1.33 to 1.61; P&lt;0.001) and for the propensity score matched model based on 8318 patients it was 1.61 (1.45 to 1.79; P&lt;0.001). A sensitivity analysis showed no increase in risk related to use of H(2) receptor blockers (1.04, 0.79 to 1.38; P=0.78). Conclusion In aspirin treated patients with first time myocardial infarction, treatment with proton pump inhibitors was associated with an increased risk of adverse cardiovascular events.","author":[{"dropping-particle":"","family":"Charlot","given":"M","non-dropping-particle":"","parse-names":false,"suffix":""},{"dropping-particle":"","family":"Grove","given":"G","non-dropping-particle":"","parse-names":false,"suffix":""},{"dropping-particle":"","family":"Hansen","given":"P","non-dropping-particle":"","parse-names":false,"suffix":""},{"dropping-particle":"","family":"Olesen","given":"J","non-dropping-particle":"","parse-names":false,"suffix":""},{"dropping-particle":"","family":"Ahlehoff","given":"O","non-dropping-particle":"","parse-names":false,"suffix":""},{"dropping-particle":"","family":"Selmer","given":"C","non-dropping-particle":"","parse-names":false,"suffix":""},{"dropping-particle":"","family":"Lindhardsen","given":"J","non-dropping-particle":"","parse-names":false,"suffix":""},{"dropping-particle":"","family":"Madsen","given":"J","non-dropping-particle":"","parse-names":false,"suffix":""},{"dropping-particle":"","family":"Kober","given":"L","non-dropping-particle":"","parse-names":false,"suffix":""},{"dropping-particle":"","family":"Torp-Pedersen","given":"C","non-dropping-particle":"","parse-names":false,"suffix":""},{"dropping-particle":"","family":"Gislason","given":"G","non-dropping-particle":"","parse-names":false,"suffix":""}],"container-title":"BMJ (Clinical research ed.)","id":"ITEM-1","issue":"7807","issued":{"date-parts":[["2011"]]},"note":"623\n\nFrom Duplicate 1 (Proton pump inhibitor use and risk of adverse cardiovascular events in aspirin treated patients with first time myocardial infarction: nationwide propensity score matched study. - Charlot, Mette; Grove, Erik L; Hansen, Peter Riis; Olesen, Jonas B; Ahlehoff, Ole; Selmer, Christian; Lindhardsen, Jesper; Madsen, Jan Kyst; Kober, Lars; Torp-Pedersen, Christian; Gislason, Gunnar H)\n\nComment in: Evid Based Med. 2012 Feb;17(1):33-4; PMID: 22108076","page":"d2690","publisher":"Charlot,Mette. Department of Cardiology, Copenhagen University Hospital Gentofte, Post 635, Niels Andersens Vej 65, 2900 Hellerup, Denmark. mc@heart.dk","publisher-place":"England","title":"Proton pump inhibitor use and risk of adverse cardiovascular events in aspirin treated patients with first time myocardial infarction: nationwide propensity score matched study.","type":"article-journal","volume":"342"},"uris":["http://www.mendeley.com/documents/?uuid=d72f3c9d-85c8-46e7-92be-56831867e69a"]}],"mendeley":{"formattedCitation":"(Charlot et al. 2011)","plainTextFormattedCitation":"(Charlot et al. 2011)","previouslyFormattedCitation":"(Charlot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(Charlot et al. 2011)</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br/>
              <w:t>(Denmark)</w:t>
            </w:r>
          </w:p>
        </w:tc>
        <w:tc>
          <w:tcPr>
            <w:tcW w:w="1551" w:type="dxa"/>
            <w:tcBorders>
              <w:top w:val="nil"/>
              <w:left w:val="nil"/>
              <w:bottom w:val="single" w:sz="4" w:space="0" w:color="808080"/>
              <w:right w:val="nil"/>
            </w:tcBorders>
            <w:shd w:val="clear" w:color="auto" w:fill="FFFFFF"/>
            <w:vAlign w:val="center"/>
            <w:hideMark/>
          </w:tcPr>
          <w:p w14:paraId="27FBE647"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Retrospective cohort</w:t>
            </w:r>
            <w:r>
              <w:rPr>
                <w:rFonts w:ascii="Calibri" w:eastAsia="Times New Roman" w:hAnsi="Calibri" w:cs="Times New Roman"/>
                <w:color w:val="000000"/>
                <w:sz w:val="20"/>
                <w:szCs w:val="20"/>
                <w:lang w:eastAsia="en-CA"/>
              </w:rPr>
              <w:br/>
              <w:t>(database analysis, hospitals)</w:t>
            </w:r>
          </w:p>
        </w:tc>
        <w:tc>
          <w:tcPr>
            <w:tcW w:w="1460" w:type="dxa"/>
            <w:tcBorders>
              <w:top w:val="nil"/>
              <w:left w:val="nil"/>
              <w:bottom w:val="single" w:sz="4" w:space="0" w:color="808080"/>
              <w:right w:val="nil"/>
            </w:tcBorders>
            <w:shd w:val="clear" w:color="auto" w:fill="FFFFFF"/>
            <w:vAlign w:val="center"/>
            <w:hideMark/>
          </w:tcPr>
          <w:p w14:paraId="05BDF4DC"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Danish national patient registry, National prescription registry, Danish civil registry</w:t>
            </w:r>
          </w:p>
        </w:tc>
        <w:tc>
          <w:tcPr>
            <w:tcW w:w="1035" w:type="dxa"/>
            <w:tcBorders>
              <w:top w:val="nil"/>
              <w:left w:val="nil"/>
              <w:bottom w:val="single" w:sz="4" w:space="0" w:color="808080"/>
              <w:right w:val="nil"/>
            </w:tcBorders>
            <w:shd w:val="clear" w:color="auto" w:fill="FFFFFF"/>
            <w:vAlign w:val="center"/>
            <w:hideMark/>
          </w:tcPr>
          <w:p w14:paraId="63673ED6"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w:t>
            </w:r>
          </w:p>
        </w:tc>
        <w:tc>
          <w:tcPr>
            <w:tcW w:w="3784" w:type="dxa"/>
            <w:tcBorders>
              <w:top w:val="nil"/>
              <w:left w:val="nil"/>
              <w:bottom w:val="single" w:sz="4" w:space="0" w:color="808080"/>
              <w:right w:val="nil"/>
            </w:tcBorders>
            <w:shd w:val="clear" w:color="auto" w:fill="FFFFFF"/>
            <w:vAlign w:val="center"/>
            <w:hideMark/>
          </w:tcPr>
          <w:p w14:paraId="0AE28A50" w14:textId="5E743E82" w:rsidR="009462F4" w:rsidRDefault="009462F4" w:rsidP="00DE19B3">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Inclusion:</w:t>
            </w:r>
            <w:r>
              <w:rPr>
                <w:rFonts w:ascii="Calibri" w:eastAsia="Times New Roman" w:hAnsi="Calibri" w:cs="Times New Roman"/>
                <w:color w:val="000000"/>
                <w:sz w:val="20"/>
                <w:szCs w:val="20"/>
                <w:lang w:eastAsia="en-CA"/>
              </w:rPr>
              <w:br/>
              <w:t>-consecutive patients &gt;30 years</w:t>
            </w:r>
            <w:r>
              <w:rPr>
                <w:rFonts w:ascii="Calibri" w:eastAsia="Times New Roman" w:hAnsi="Calibri" w:cs="Times New Roman"/>
                <w:color w:val="000000"/>
                <w:sz w:val="20"/>
                <w:szCs w:val="20"/>
                <w:lang w:eastAsia="en-CA"/>
              </w:rPr>
              <w:br/>
              <w:t>-admitted with first MI (1ry or 2nd diagnosis) between 1997-2006</w:t>
            </w:r>
            <w:r>
              <w:rPr>
                <w:rFonts w:ascii="Calibri" w:eastAsia="Times New Roman" w:hAnsi="Calibri" w:cs="Times New Roman"/>
                <w:color w:val="000000"/>
                <w:sz w:val="20"/>
                <w:szCs w:val="20"/>
                <w:lang w:eastAsia="en-CA"/>
              </w:rPr>
              <w:br/>
              <w:t>-filled prescription for aspirin within 30 days of discharge</w:t>
            </w:r>
            <w:r>
              <w:rPr>
                <w:rFonts w:ascii="Calibri" w:eastAsia="Times New Roman" w:hAnsi="Calibri" w:cs="Times New Roman"/>
                <w:color w:val="000000"/>
                <w:sz w:val="20"/>
                <w:szCs w:val="20"/>
                <w:lang w:eastAsia="en-CA"/>
              </w:rPr>
              <w:br/>
              <w:t>Exclusion:</w:t>
            </w:r>
            <w:r>
              <w:rPr>
                <w:rFonts w:ascii="Calibri" w:eastAsia="Times New Roman" w:hAnsi="Calibri" w:cs="Times New Roman"/>
                <w:color w:val="000000"/>
                <w:sz w:val="20"/>
                <w:szCs w:val="20"/>
                <w:lang w:eastAsia="en-CA"/>
              </w:rPr>
              <w:br/>
              <w:t>- treated with clopidogrel</w:t>
            </w:r>
            <w:r>
              <w:rPr>
                <w:rFonts w:ascii="Calibri" w:eastAsia="Times New Roman" w:hAnsi="Calibri" w:cs="Times New Roman"/>
                <w:color w:val="000000"/>
                <w:sz w:val="20"/>
                <w:szCs w:val="20"/>
                <w:lang w:eastAsia="en-CA"/>
              </w:rPr>
              <w:br/>
              <w:t xml:space="preserve">- partially missing data </w:t>
            </w:r>
            <w:r>
              <w:rPr>
                <w:rFonts w:ascii="Calibri" w:eastAsia="Times New Roman" w:hAnsi="Calibri" w:cs="Times New Roman"/>
                <w:color w:val="000000"/>
                <w:sz w:val="20"/>
                <w:szCs w:val="20"/>
                <w:lang w:eastAsia="en-CA"/>
              </w:rPr>
              <w:br/>
              <w:t>- emigrating patients censored at time of emigration</w:t>
            </w:r>
          </w:p>
        </w:tc>
        <w:tc>
          <w:tcPr>
            <w:tcW w:w="1278" w:type="dxa"/>
            <w:tcBorders>
              <w:top w:val="nil"/>
              <w:left w:val="nil"/>
              <w:bottom w:val="single" w:sz="4" w:space="0" w:color="808080"/>
              <w:right w:val="nil"/>
            </w:tcBorders>
            <w:shd w:val="clear" w:color="auto" w:fill="FFFFFF"/>
            <w:vAlign w:val="center"/>
            <w:hideMark/>
          </w:tcPr>
          <w:p w14:paraId="2FE0C820"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19,925</w:t>
            </w:r>
            <w:r>
              <w:rPr>
                <w:rFonts w:ascii="Calibri" w:eastAsia="Times New Roman" w:hAnsi="Calibri" w:cs="Times New Roman"/>
                <w:color w:val="000000"/>
                <w:sz w:val="20"/>
                <w:szCs w:val="20"/>
                <w:lang w:eastAsia="en-CA"/>
              </w:rPr>
              <w:br/>
              <w:t>(PPI: 4,306; No PPI: 15,619)</w:t>
            </w:r>
          </w:p>
        </w:tc>
        <w:tc>
          <w:tcPr>
            <w:tcW w:w="850" w:type="dxa"/>
            <w:tcBorders>
              <w:top w:val="nil"/>
              <w:left w:val="nil"/>
              <w:bottom w:val="single" w:sz="4" w:space="0" w:color="808080"/>
              <w:right w:val="nil"/>
            </w:tcBorders>
            <w:shd w:val="clear" w:color="auto" w:fill="FFFFFF"/>
            <w:vAlign w:val="center"/>
            <w:hideMark/>
          </w:tcPr>
          <w:p w14:paraId="5D6A3BC8"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PPI: 73 (12) </w:t>
            </w:r>
            <w:r>
              <w:rPr>
                <w:rFonts w:ascii="Calibri" w:eastAsia="Times New Roman" w:hAnsi="Calibri" w:cs="Times New Roman"/>
                <w:color w:val="000000"/>
                <w:sz w:val="20"/>
                <w:szCs w:val="20"/>
                <w:lang w:eastAsia="en-CA"/>
              </w:rPr>
              <w:br/>
              <w:t>no PPI: 70 (13)</w:t>
            </w:r>
          </w:p>
        </w:tc>
        <w:tc>
          <w:tcPr>
            <w:tcW w:w="1276" w:type="dxa"/>
            <w:tcBorders>
              <w:top w:val="nil"/>
              <w:left w:val="nil"/>
              <w:bottom w:val="single" w:sz="4" w:space="0" w:color="808080"/>
              <w:right w:val="nil"/>
            </w:tcBorders>
            <w:shd w:val="clear" w:color="auto" w:fill="FFFFFF"/>
            <w:vAlign w:val="center"/>
            <w:hideMark/>
          </w:tcPr>
          <w:p w14:paraId="4F843E6C"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54</w:t>
            </w:r>
            <w:r>
              <w:rPr>
                <w:rFonts w:ascii="Calibri" w:eastAsia="Times New Roman" w:hAnsi="Calibri" w:cs="Times New Roman"/>
                <w:color w:val="000000"/>
                <w:sz w:val="20"/>
                <w:szCs w:val="20"/>
                <w:lang w:eastAsia="en-CA"/>
              </w:rPr>
              <w:br/>
              <w:t>no PPI: 61</w:t>
            </w:r>
          </w:p>
        </w:tc>
        <w:tc>
          <w:tcPr>
            <w:tcW w:w="993" w:type="dxa"/>
            <w:tcBorders>
              <w:top w:val="nil"/>
              <w:left w:val="nil"/>
              <w:bottom w:val="single" w:sz="4" w:space="0" w:color="808080"/>
              <w:right w:val="nil"/>
            </w:tcBorders>
            <w:shd w:val="clear" w:color="auto" w:fill="FFFFFF"/>
            <w:vAlign w:val="center"/>
            <w:hideMark/>
          </w:tcPr>
          <w:p w14:paraId="1F5B9C1D"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reported</w:t>
            </w:r>
          </w:p>
        </w:tc>
      </w:tr>
      <w:tr w:rsidR="009462F4" w14:paraId="213AA8DE" w14:textId="77777777" w:rsidTr="002B686E">
        <w:trPr>
          <w:trHeight w:val="430"/>
        </w:trPr>
        <w:tc>
          <w:tcPr>
            <w:tcW w:w="1242" w:type="dxa"/>
            <w:tcBorders>
              <w:top w:val="nil"/>
              <w:left w:val="nil"/>
              <w:bottom w:val="single" w:sz="4" w:space="0" w:color="808080"/>
              <w:right w:val="nil"/>
            </w:tcBorders>
            <w:shd w:val="clear" w:color="auto" w:fill="FFFFFF"/>
            <w:vAlign w:val="center"/>
            <w:hideMark/>
          </w:tcPr>
          <w:p w14:paraId="45D7246A" w14:textId="0759748F"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{"citationItems":[{"id":"ITEM-1","itemData":{"ISBN":"0009-7322","ISSN":"1524-4539","abstract":"BACKGROUND: The clinical significance of the interaction between clopidogrel and proton pump inhibitors (PPIs) remains unclear., METHODS AND RESULTS: We examined the relationship between PPI use and 1-year cardiovascular events (cardiovascular death, myocardial infarction, or stroke) in patients with acute coronary syndrome randomized to clopidogrel or ticagrelor in a prespecified, nonrandomized subgroup analysis of the Platelet Inhibition and Patient Outcomes (PLATO) trial. The primary end point rates were higher for individuals on a PPI (n=6539) compared with those not on a PPI (n=12 060) at randomization in both the clopidogrel (13.0% versus 10.9%; adjusted hazard ratio [HR], 1.20; 95% confidence interval [CI], 1.04-1.38) and ticagrelor (11.0% versus 9.2%; HR, 1.24; 95% CI, 1.07-1.45) groups. Patients on non-PPI gastrointestinal drugs had similar primary end point rates compared with those on a PPI (PPI versus non-PPI gastrointestinal treatment: clopidogrel, HR, 0.98; 95% CI, 0.79-1.23; ticagrelor, HR, 0.89; 95% CI, 0.73-1.10). In contrast, patients on no gastric therapy had a significantly lower primary end point rate (PPI versus no gastrointestinal treatment: clopidogrel, HR, 1.29; 95% CI, 1.12-1.49; ticagrelor, HR, 1.30; 95% CI, 1.14-1.49)., CONCLUSIONS: The use of a PPI was independently associated with a higher rate of cardiovascular events in patients with acute coronary syndrome receiving clopidogrel. However, a similar association was observed between cardiovascular events and PPI use during ticagrelor treatment and with other non-PPI gastrointestinal treatment. Therefore, in the PLATO trial, the association between PPI use and adverse events may be due to confounding, with PPI use more of a marker for, than a cause of, higher rates of cardiovascular events., CLINICAL TRIAL REGISTRATION: http://www.clinicaltrials.gov. Unique identifier: NCT00391872.","author":[{"dropping-particle":"","family":"Goodman","given":"Shaun G","non-dropping-particle":"","parse-names":false,"suffix":""},{"dropping-particle":"","family":"Clare","given":"Robert","non-dropping-particle":"","parse-names":false,"suffix":""},{"dropping-particle":"","family":"Pieper","given":"Karen S","non-dropping-particle":"","parse-names":false,"suffix":""},{"dropping-particle":"","family":"Nicolau","given":"Jose C","non-dropping-particle":"","parse-names":false,"suffix":""},{"dropping-particle":"","family":"Storey","given":"Robert F","non-dropping-particle":"","parse-names":false,"suffix":""},{"dropping-particle":"","family":"Cantor","given":"Warren J","non-dropping-particle":"","parse-names":false,"suffix":""},{"dropping-particle":"","family":"Mahaffey","given":"Kenneth W","non-dropping-particle":"","parse-names":false,"suffix":""},{"dropping-particle":"","family":"Angiolillo","given":"Dominick J","non-dropping-particle":"","parse-names":false,"suffix":""},{"dropping-particle":"","family":"Husted","given":"Steen","non-dropping-particle":"","parse-names":false,"suffix":""},{"dropping-particle":"","family":"Cannon","given":"Christopher P","non-dropping-particle":"","parse-names":false,"suffix":""},{"dropping-particle":"","family":"James","given":"Stefan K","non-dropping-particle":"","parse-names":false,"suffix":""},{"dropping-particle":"","family":"Kilhamn","given":"Jan","non-dropping-particle":"","parse-names":false,"suffix":""},{"dropping-particle":"","family":"Steg","given":"P Gabriel","non-dropping-particle":"","parse-names":false,"suffix":""},{"dropping-particle":"","family":"Harrington","given":"Robert A","non-dropping-particle":"","parse-names":false,"suffix":""},{"dropping-particle":"","family":"Wallentin","given":"Lars","non-dropping-particle":"","parse-names":false,"suffix":""}],"container-title":"Circulation","id":"ITEM-1","issue":"8","issued":{"date-parts":[["2012"]]},"note":"471\n\nFrom Duplicate 1 (Association of proton pump inhibitor use on cardiovascular outcomes with clopidogrel and ticagrelor: insights from the platelet inhibition and patient outcomes trial. - Goodman, Shaun G; Clare, Robert; Pieper, Karen S; Nicolau, Jose C; Storey, Robert F; Cantor, Warren J; Mahaffey, Kenneth W; Angiolillo, Dominick J; Husted, Steen; Cannon, Christopher P; James, Stefan K; Kilhamn, Jan; Steg, P Gabriel; Harrington, Robert A; Wallentin, Lars; Investigators, Platelet Inhibition and Patient Outcomes Trial)\n\nComment in: Circulation. 2012 Sep 11;126(11):e170; author reply e171-2; PMID: 22965784","page":"978-986","publisher":"Goodman,Shaun G. MSc, Division of Cardiology, St. Michael's Hospital, 30 Bond St, Room 6-034, Queen, Toronto, Ontario, Canada M5B 1W8. goodmans@chrc.net","publisher-place":"United States","title":"Association of proton pump inhibitor use on cardiovascular outcomes with clopidogrel and ticagrelor: insights from the platelet inhibition and patient outcomes trial.","type":"article-journal","volume":"125"},"uris":["http://www.mendeley.com/documents/?uuid=be410982-3fcc-42e5-a1c3-ce2959b51931"]}],"mendeley":{"formattedCitation":"(Goodman et al. 2012)","plainTextFormattedCitation":"(Goodman et al. 2012)","previouslyFormattedCitation":"(Goodman et al. 2012)"},"properties":{"noteIndex":0},"schema":"https://github.com/citation-style-language/schema/raw/master/csl-citation.json"}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(Goodman et al. 2012)</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br/>
              <w:t>(43 countries)</w:t>
            </w:r>
          </w:p>
        </w:tc>
        <w:tc>
          <w:tcPr>
            <w:tcW w:w="1551" w:type="dxa"/>
            <w:tcBorders>
              <w:top w:val="nil"/>
              <w:left w:val="nil"/>
              <w:bottom w:val="single" w:sz="4" w:space="0" w:color="808080"/>
              <w:right w:val="nil"/>
            </w:tcBorders>
            <w:shd w:val="clear" w:color="auto" w:fill="FFFFFF"/>
            <w:vAlign w:val="center"/>
            <w:hideMark/>
          </w:tcPr>
          <w:p w14:paraId="699CD750"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Post-hoc analyses of RCT</w:t>
            </w:r>
            <w:r>
              <w:rPr>
                <w:rFonts w:ascii="Calibri" w:eastAsia="Times New Roman" w:hAnsi="Calibri" w:cs="Times New Roman"/>
                <w:color w:val="000000"/>
                <w:sz w:val="20"/>
                <w:szCs w:val="20"/>
                <w:lang w:eastAsia="en-CA"/>
              </w:rPr>
              <w:br/>
              <w:t>(hospitals (3 centers))</w:t>
            </w:r>
          </w:p>
        </w:tc>
        <w:tc>
          <w:tcPr>
            <w:tcW w:w="1460" w:type="dxa"/>
            <w:tcBorders>
              <w:top w:val="nil"/>
              <w:left w:val="nil"/>
              <w:bottom w:val="single" w:sz="4" w:space="0" w:color="808080"/>
              <w:right w:val="nil"/>
            </w:tcBorders>
            <w:shd w:val="clear" w:color="auto" w:fill="FFFFFF"/>
            <w:vAlign w:val="center"/>
            <w:hideMark/>
          </w:tcPr>
          <w:p w14:paraId="40FD0BFA"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PLATO trial (post-hoc analysis)</w:t>
            </w:r>
          </w:p>
        </w:tc>
        <w:tc>
          <w:tcPr>
            <w:tcW w:w="1035" w:type="dxa"/>
            <w:tcBorders>
              <w:top w:val="nil"/>
              <w:left w:val="nil"/>
              <w:bottom w:val="single" w:sz="4" w:space="0" w:color="808080"/>
              <w:right w:val="nil"/>
            </w:tcBorders>
            <w:shd w:val="clear" w:color="auto" w:fill="FFFFFF"/>
            <w:vAlign w:val="center"/>
            <w:hideMark/>
          </w:tcPr>
          <w:p w14:paraId="46C14F96"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ACS</w:t>
            </w:r>
          </w:p>
        </w:tc>
        <w:tc>
          <w:tcPr>
            <w:tcW w:w="3784" w:type="dxa"/>
            <w:tcBorders>
              <w:top w:val="nil"/>
              <w:left w:val="nil"/>
              <w:bottom w:val="single" w:sz="4" w:space="0" w:color="808080"/>
              <w:right w:val="nil"/>
            </w:tcBorders>
            <w:shd w:val="clear" w:color="auto" w:fill="FFFFFF"/>
            <w:vAlign w:val="center"/>
            <w:hideMark/>
          </w:tcPr>
          <w:p w14:paraId="0116F833"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Inclusion:</w:t>
            </w:r>
            <w:r>
              <w:rPr>
                <w:rFonts w:ascii="Calibri" w:eastAsia="Times New Roman" w:hAnsi="Calibri" w:cs="Times New Roman"/>
                <w:color w:val="000000"/>
                <w:sz w:val="20"/>
                <w:szCs w:val="20"/>
                <w:lang w:eastAsia="en-CA"/>
              </w:rPr>
              <w:br/>
              <w:t xml:space="preserve">- hospitalized for ACS and had ST segment elevation or new left bundle branch block and were to undergo PCI </w:t>
            </w:r>
            <w:r>
              <w:rPr>
                <w:rFonts w:ascii="Calibri" w:eastAsia="Times New Roman" w:hAnsi="Calibri" w:cs="Times New Roman"/>
                <w:color w:val="000000"/>
                <w:sz w:val="20"/>
                <w:szCs w:val="20"/>
                <w:lang w:eastAsia="en-CA"/>
              </w:rPr>
              <w:br/>
              <w:t xml:space="preserve">- or had at least 2 of the following: ST-segment deviation; positive biomarker indicating myocardial necrosis; age 60 years; prior MI or coronary artery bypass grafting; coronary artery disease; prior ischemic stroke, transient ischemic attack, carotid stenosis, or cerebral revascularization; diabetes mellitus; peripheral arterial disease; or chronic renal dysfunction </w:t>
            </w:r>
            <w:r>
              <w:rPr>
                <w:rFonts w:ascii="Calibri" w:eastAsia="Times New Roman" w:hAnsi="Calibri" w:cs="Times New Roman"/>
                <w:color w:val="000000"/>
                <w:sz w:val="20"/>
                <w:szCs w:val="20"/>
                <w:lang w:eastAsia="en-CA"/>
              </w:rPr>
              <w:br/>
              <w:t>Exclusion:</w:t>
            </w:r>
            <w:r>
              <w:rPr>
                <w:rFonts w:ascii="Calibri" w:eastAsia="Times New Roman" w:hAnsi="Calibri" w:cs="Times New Roman"/>
                <w:color w:val="000000"/>
                <w:sz w:val="20"/>
                <w:szCs w:val="20"/>
                <w:lang w:eastAsia="en-CA"/>
              </w:rPr>
              <w:br/>
              <w:t>- increased risk of bleeding</w:t>
            </w:r>
            <w:r>
              <w:rPr>
                <w:rFonts w:ascii="Calibri" w:eastAsia="Times New Roman" w:hAnsi="Calibri" w:cs="Times New Roman"/>
                <w:color w:val="000000"/>
                <w:sz w:val="20"/>
                <w:szCs w:val="20"/>
                <w:lang w:eastAsia="en-CA"/>
              </w:rPr>
              <w:br/>
              <w:t>- clinically important anemia or thrombocytopenia</w:t>
            </w:r>
            <w:r>
              <w:rPr>
                <w:rFonts w:ascii="Calibri" w:eastAsia="Times New Roman" w:hAnsi="Calibri" w:cs="Times New Roman"/>
                <w:color w:val="000000"/>
                <w:sz w:val="20"/>
                <w:szCs w:val="20"/>
                <w:lang w:eastAsia="en-CA"/>
              </w:rPr>
              <w:br/>
            </w:r>
            <w:r>
              <w:rPr>
                <w:rFonts w:ascii="Calibri" w:eastAsia="Times New Roman" w:hAnsi="Calibri" w:cs="Times New Roman"/>
                <w:color w:val="000000"/>
                <w:sz w:val="20"/>
                <w:szCs w:val="20"/>
                <w:lang w:eastAsia="en-CA"/>
              </w:rPr>
              <w:lastRenderedPageBreak/>
              <w:t>- need for ongoing oral anticoagulation therapy</w:t>
            </w:r>
            <w:r>
              <w:rPr>
                <w:rFonts w:ascii="Calibri" w:eastAsia="Times New Roman" w:hAnsi="Calibri" w:cs="Times New Roman"/>
                <w:color w:val="000000"/>
                <w:sz w:val="20"/>
                <w:szCs w:val="20"/>
                <w:lang w:eastAsia="en-CA"/>
              </w:rPr>
              <w:br/>
              <w:t>- moderate/severe liver disease.</w:t>
            </w:r>
          </w:p>
        </w:tc>
        <w:tc>
          <w:tcPr>
            <w:tcW w:w="1278" w:type="dxa"/>
            <w:tcBorders>
              <w:top w:val="nil"/>
              <w:left w:val="nil"/>
              <w:bottom w:val="single" w:sz="4" w:space="0" w:color="808080"/>
              <w:right w:val="nil"/>
            </w:tcBorders>
            <w:shd w:val="clear" w:color="auto" w:fill="FFFFFF"/>
            <w:vAlign w:val="center"/>
            <w:hideMark/>
          </w:tcPr>
          <w:p w14:paraId="693C73AC"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lastRenderedPageBreak/>
              <w:t>18,601</w:t>
            </w:r>
            <w:r>
              <w:rPr>
                <w:rFonts w:ascii="Calibri" w:eastAsia="Times New Roman" w:hAnsi="Calibri" w:cs="Times New Roman"/>
                <w:color w:val="000000"/>
                <w:sz w:val="20"/>
                <w:szCs w:val="20"/>
                <w:lang w:eastAsia="en-CA"/>
              </w:rPr>
              <w:br/>
              <w:t>(PPI: 6,539; No PPI: 12,060)</w:t>
            </w:r>
          </w:p>
        </w:tc>
        <w:tc>
          <w:tcPr>
            <w:tcW w:w="850" w:type="dxa"/>
            <w:tcBorders>
              <w:top w:val="nil"/>
              <w:left w:val="nil"/>
              <w:bottom w:val="single" w:sz="4" w:space="0" w:color="808080"/>
              <w:right w:val="nil"/>
            </w:tcBorders>
            <w:shd w:val="clear" w:color="auto" w:fill="FFFFFF"/>
            <w:vAlign w:val="center"/>
            <w:hideMark/>
          </w:tcPr>
          <w:p w14:paraId="4F2E81B3"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63</w:t>
            </w:r>
            <w:r>
              <w:rPr>
                <w:rFonts w:ascii="Calibri" w:eastAsia="Times New Roman" w:hAnsi="Calibri" w:cs="Times New Roman"/>
                <w:color w:val="000000"/>
                <w:sz w:val="20"/>
                <w:szCs w:val="20"/>
                <w:lang w:eastAsia="en-CA"/>
              </w:rPr>
              <w:br/>
              <w:t>no PPI: 62</w:t>
            </w:r>
          </w:p>
        </w:tc>
        <w:tc>
          <w:tcPr>
            <w:tcW w:w="1276" w:type="dxa"/>
            <w:tcBorders>
              <w:top w:val="nil"/>
              <w:left w:val="nil"/>
              <w:bottom w:val="single" w:sz="4" w:space="0" w:color="808080"/>
              <w:right w:val="nil"/>
            </w:tcBorders>
            <w:shd w:val="clear" w:color="auto" w:fill="FFFFFF"/>
            <w:vAlign w:val="center"/>
            <w:hideMark/>
          </w:tcPr>
          <w:p w14:paraId="46328AC4"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72</w:t>
            </w:r>
            <w:r>
              <w:rPr>
                <w:rFonts w:ascii="Calibri" w:eastAsia="Times New Roman" w:hAnsi="Calibri" w:cs="Times New Roman"/>
                <w:color w:val="000000"/>
                <w:sz w:val="20"/>
                <w:szCs w:val="20"/>
                <w:lang w:eastAsia="en-CA"/>
              </w:rPr>
              <w:br/>
              <w:t>no PPI: 71</w:t>
            </w:r>
          </w:p>
        </w:tc>
        <w:tc>
          <w:tcPr>
            <w:tcW w:w="993" w:type="dxa"/>
            <w:tcBorders>
              <w:top w:val="nil"/>
              <w:left w:val="nil"/>
              <w:bottom w:val="single" w:sz="4" w:space="0" w:color="808080"/>
              <w:right w:val="nil"/>
            </w:tcBorders>
            <w:shd w:val="clear" w:color="auto" w:fill="FFFFFF"/>
            <w:vAlign w:val="center"/>
            <w:hideMark/>
          </w:tcPr>
          <w:p w14:paraId="1C0259C5"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Caucasian, Asian, African American, Other</w:t>
            </w:r>
            <w:r>
              <w:rPr>
                <w:rFonts w:ascii="Calibri" w:eastAsia="Times New Roman" w:hAnsi="Calibri" w:cs="Times New Roman"/>
                <w:color w:val="000000"/>
                <w:sz w:val="20"/>
                <w:szCs w:val="20"/>
                <w:lang w:eastAsia="en-CA"/>
              </w:rPr>
              <w:br/>
              <w:t>(&gt;90% Caucasian)</w:t>
            </w:r>
          </w:p>
        </w:tc>
      </w:tr>
      <w:tr w:rsidR="009462F4" w14:paraId="66759A33" w14:textId="77777777" w:rsidTr="00181CD0">
        <w:trPr>
          <w:trHeight w:val="924"/>
        </w:trPr>
        <w:tc>
          <w:tcPr>
            <w:tcW w:w="1242" w:type="dxa"/>
            <w:tcBorders>
              <w:top w:val="nil"/>
              <w:left w:val="nil"/>
              <w:bottom w:val="single" w:sz="4" w:space="0" w:color="808080"/>
              <w:right w:val="nil"/>
            </w:tcBorders>
            <w:shd w:val="clear" w:color="auto" w:fill="FFFFFF"/>
            <w:vAlign w:val="center"/>
            <w:hideMark/>
          </w:tcPr>
          <w:p w14:paraId="6F13C267" w14:textId="72FC2762"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{"citationItems":[{"id":"ITEM-1","itemData":{"ISBN":"1868-4300","abstract":"Previous studies have shown inconsistent results regarding the effects of concomitant use of clopidogrel and proton pump inhibitors (PPI) on cardiovascular outcomes. We sought to evaluate the clinical impact of PPI-use in patients treated with thienopyridines after percutaneous coronary intervention (PCI) in a large Japanese observational database. Among 12446 patients discharged alive on thienopyridines (ticlopidine 90. 4% and clopidogrel 9. 6%), 3223 patients were treated with PPIs and 9223 patients without PPI at the time of hospital discharge. The PPI group included more patients with co-morbidities than the non-PPI group. The adjusted hazard ratio (HR) of PPI-use for a composite of cardiovascular death, myocardial infarction, and stroke was 1. 26 (95% confidence interval (CI) 1. 09-1. 47, p = 0. 002). The adjusted HR of PPI-use for bleeding was 1. 26 (95% CI 1. 05-1. 52, p = 0. 013). Cardiovascular and bleeding outcomes were not different among the three groups receiving three different types of PPI. The negative effect of PPI on cardiovascular outcome was consistently seen in both drug-eluting stent (DES) [HR 1. 31 (95% CI 1. 07-1. 6, p = 0. 0097)] and non-DES strata [HR 1. 25 (95% CI: 0. 99-1. 57, p = 0. 057)] (Interaction p = 0. 79) despite the fact that the duration of thienopyridine administration was significantly longer in patients receiving DES. In conclusion, cardiovascular outcomes after PCI were significantly worse in patients with PPI than in patients without PPI in the Japanese real clinical practice. However, the observed poorer cardiovascular outcome in patients receiving PPI was most likely to be related to residual confounding and seemed not causally related to attenuation of antiplatelet effect of thienopyridine through interaction with PPI. © 2011 Japanese Association of Cardiovascular Intervention and Therapeutics.","author":[{"dropping-particle":"","family":"Kimura","given":"T","non-dropping-particle":"","parse-names":false,"suffix":""},{"dropping-particle":"","family":"Morimoto","given":"T","non-dropping-particle":"","parse-names":false,"suffix":""},{"dropping-particle":"","family":"Furukawa","given":"Y","non-dropping-particle":"","parse-names":false,"suffix":""},{"dropping-particle":"","family":"Nakagawa","given":"Y","non-dropping-particle":"","parse-names":false,"suffix":""},{"dropping-particle":"","family":"Kadota","given":"K","non-dropping-particle":"","parse-names":false,"suffix":""},{"dropping-particle":"","family":"Iwabuchi","given":"M","non-dropping-particle":"","parse-names":false,"suffix":""},{"dropping-particle":"","family":"Shizuta","given":"S","non-dropping-particle":"","parse-names":false,"suffix":""},{"dropping-particle":"","family":"Shiomi","given":"H","non-dropping-particle":"","parse-names":false,"suffix":""},{"dropping-particle":"","family":"Tada","given":"T","non-dropping-particle":"","parse-names":false,"suffix":""},{"dropping-particle":"","family":"Tazaki","given":"J","non-dropping-particle":"","parse-names":false,"suffix":""},{"dropping-particle":"","family":"Kato","given":"Y","non-dropping-particle":"","parse-names":false,"suffix":""},{"dropping-particle":"","family":"Hayano","given":"M","non-dropping-particle":"","parse-names":false,"suffix":""},{"dropping-particle":"","family":"Abe","given":"M","non-dropping-particle":"","parse-names":false,"suffix":""},{"dropping-particle":"","family":"Tamura","given":"T","non-dropping-particle":"","parse-names":false,"suffix":""},{"dropping-particle":"","family":"Shirotani","given":"M","non-dropping-particle":"","parse-names":false,"suffix":""},{"dropping-particle":"","family":"Miki","given":"S","non-dropping-particle":"","parse-names":false,"suffix":""},{"dropping-particle":"","family":"Matsuda","given":"M","non-dropping-particle":"","parse-names":false,"suffix":""},{"dropping-particle":"","family":"Ishii","given":"K","non-dropping-particle":"","parse-names":false,"suffix":""},{"dropping-particle":"","family":"Tanaka","given":"M","non-dropping-particle":"","parse-names":false,"suffix":""},{"dropping-particle":"","family":"Aoyama","given":"T","non-dropping-particle":"","parse-names":false,"suffix":""},{"dropping-particle":"","family":"Doi","given":"O","non-dropping-particle":"","parse-names":false,"suffix":""},{"dropping-particle":"","family":"Hattori","given":"R","non-dropping-particle":"","parse-names":false,"suffix":""},{"dropping-particle":"","family":"Tatami","given":"R","non-dropping-particle":"","parse-names":false,"suffix":""},{"dropping-particle":"","family":"Suwa","given":"S","non-dropping-particle":"","parse-names":false,"suffix":""},{"dropping-particle":"","family":"Takizawa","given":"A","non-dropping-particle":"","parse-names":false,"suffix":""},{"dropping-particle":"","family":"Takatsu","given":"Y","non-dropping-particle":"","parse-names":false,"suffix":""},{"dropping-particle":"","family":"Takahashi","given":"M","non-dropping-particle":"","parse-names":false,"suffix":""},{"dropping-particle":"","family":"Kato","given":"H","non-dropping-particle":"","parse-names":false,"suffix":""},{"dropping-particle":"","family":"Takeda","given":"T","non-dropping-particle":"","parse-names":false,"suffix":""},{"dropping-particle":"","family":"Lee","given":"JD","non-dropping-particle":"","parse-names":false,"suffix":""},{"dropping-particle":"","family":"Nohara","given":"R","non-dropping-particle":"","parse-names":false,"suffix":""},{"dropping-particle":"","family":"Tei","given":"C","non-dropping-particle":"","parse-names":false,"suffix":""},{"dropping-particle":"","family":"Horie","given":"M","non-dropping-particle":"","parse-names":false,"suffix":""},{"dropping-particle":"","family":"Kambara","given":"H","non-dropping-particle":"","parse-names":false,"suffix":""},{"dropping-particle":"","family":"Fujiwara","given":"H","non-dropping-particle":"","parse-names":false,"suffix":""},{"dropping-particle":"","family":"Mitsudo","given":"K","non-dropping-particle":"","parse-names":false,"suffix":""},{"dropping-particle":"","family":"Nobuyoshi","given":"M","non-dropping-particle":"","parse-names":false,"suffix":""},{"dropping-particle":"","family":"Kita","given":"T","non-dropping-particle":"","parse-names":false,"suffix":""}],"container-title":"Cardiovascular Intervention and Therapeutics","id":"ITEM-1","issue":"3","issued":{"date-parts":[["2011"]]},"note":"587","page":"222-233","publisher":"Springer Japan (1-11-11 Kudan-kita, Chiyoda-ku, No. 2 Funato Bldg., Tokyo 102-0073, Japan)","publisher-place":"T. Kimura, Department of Cardiovascular Medicine, Graduate School of Medicine, Kyoto University, 54 Shogoin Kawahara-cho, Sakyo-ku, Kyoto, 606-8507, Japan. E-mail: taketaka@kuhp.kyoto-u.ac.jp","title":"Association of the use of proton pump inhibitors with adverse cardiovascular and bleeding outcomes after percutaneous coronary intervention in the Japanese real world clinical practice","type":"article","volume":"26"},"uris":["http://www.mendeley.com/documents/?uuid=44631a34-9be1-434c-a691-b151e3954466"]}],"mendeley":{"formattedCitation":"(Kimura et al. 2011)","plainTextFormattedCitation":"(Kimura et al. 2011)","previouslyFormattedCitation":"(Kimura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(Kimura et al. 2011)</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br/>
              <w:t>(Japan)</w:t>
            </w:r>
          </w:p>
        </w:tc>
        <w:tc>
          <w:tcPr>
            <w:tcW w:w="1551" w:type="dxa"/>
            <w:tcBorders>
              <w:top w:val="nil"/>
              <w:left w:val="nil"/>
              <w:bottom w:val="single" w:sz="4" w:space="0" w:color="808080"/>
              <w:right w:val="nil"/>
            </w:tcBorders>
            <w:shd w:val="clear" w:color="auto" w:fill="FFFFFF"/>
            <w:vAlign w:val="center"/>
            <w:hideMark/>
          </w:tcPr>
          <w:p w14:paraId="6415E0C7"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Retrospective cohort</w:t>
            </w:r>
            <w:r>
              <w:rPr>
                <w:rFonts w:ascii="Calibri" w:eastAsia="Times New Roman" w:hAnsi="Calibri" w:cs="Times New Roman"/>
                <w:color w:val="000000"/>
                <w:sz w:val="20"/>
                <w:szCs w:val="20"/>
                <w:lang w:eastAsia="en-CA"/>
              </w:rPr>
              <w:br/>
              <w:t>(database analysis, hospitals -26 centers)</w:t>
            </w:r>
          </w:p>
        </w:tc>
        <w:tc>
          <w:tcPr>
            <w:tcW w:w="1460" w:type="dxa"/>
            <w:tcBorders>
              <w:top w:val="nil"/>
              <w:left w:val="nil"/>
              <w:bottom w:val="single" w:sz="4" w:space="0" w:color="808080"/>
              <w:right w:val="nil"/>
            </w:tcBorders>
            <w:shd w:val="clear" w:color="auto" w:fill="FFFFFF"/>
            <w:vAlign w:val="center"/>
            <w:hideMark/>
          </w:tcPr>
          <w:p w14:paraId="365D19C5"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CREDO-Kyoto (Coronary REvascularization Demonstrating Outcome Study in Kyoto) PCI/CABG registry Cohort-2</w:t>
            </w:r>
          </w:p>
        </w:tc>
        <w:tc>
          <w:tcPr>
            <w:tcW w:w="1035" w:type="dxa"/>
            <w:tcBorders>
              <w:top w:val="nil"/>
              <w:left w:val="nil"/>
              <w:bottom w:val="single" w:sz="4" w:space="0" w:color="808080"/>
              <w:right w:val="nil"/>
            </w:tcBorders>
            <w:shd w:val="clear" w:color="auto" w:fill="FFFFFF"/>
            <w:vAlign w:val="center"/>
            <w:hideMark/>
          </w:tcPr>
          <w:p w14:paraId="2CB26E7D"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PCI</w:t>
            </w:r>
          </w:p>
        </w:tc>
        <w:tc>
          <w:tcPr>
            <w:tcW w:w="3784" w:type="dxa"/>
            <w:tcBorders>
              <w:top w:val="nil"/>
              <w:left w:val="nil"/>
              <w:bottom w:val="single" w:sz="4" w:space="0" w:color="808080"/>
              <w:right w:val="nil"/>
            </w:tcBorders>
            <w:shd w:val="clear" w:color="auto" w:fill="FFFFFF"/>
            <w:vAlign w:val="center"/>
            <w:hideMark/>
          </w:tcPr>
          <w:p w14:paraId="544575AB" w14:textId="2C8EEE06" w:rsidR="009462F4" w:rsidRDefault="009462F4" w:rsidP="00DE19B3">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Inclusion:</w:t>
            </w:r>
            <w:r>
              <w:rPr>
                <w:rFonts w:ascii="Calibri" w:eastAsia="Times New Roman" w:hAnsi="Calibri" w:cs="Times New Roman"/>
                <w:color w:val="000000"/>
                <w:sz w:val="20"/>
                <w:szCs w:val="20"/>
                <w:lang w:eastAsia="en-CA"/>
              </w:rPr>
              <w:br/>
              <w:t>- PCI or CABG as first coronary revascularization between Jan 2005- Dec 2007</w:t>
            </w:r>
            <w:r>
              <w:rPr>
                <w:rFonts w:ascii="Calibri" w:eastAsia="Times New Roman" w:hAnsi="Calibri" w:cs="Times New Roman"/>
                <w:color w:val="000000"/>
                <w:sz w:val="20"/>
                <w:szCs w:val="20"/>
                <w:lang w:eastAsia="en-CA"/>
              </w:rPr>
              <w:br/>
              <w:t>-discharged on thienopyridines</w:t>
            </w:r>
            <w:r>
              <w:rPr>
                <w:rFonts w:ascii="Calibri" w:eastAsia="Times New Roman" w:hAnsi="Calibri" w:cs="Times New Roman"/>
                <w:color w:val="000000"/>
                <w:sz w:val="20"/>
                <w:szCs w:val="20"/>
                <w:lang w:eastAsia="en-CA"/>
              </w:rPr>
              <w:br/>
              <w:t>Exclusion:</w:t>
            </w:r>
            <w:r>
              <w:rPr>
                <w:rFonts w:ascii="Calibri" w:eastAsia="Times New Roman" w:hAnsi="Calibri" w:cs="Times New Roman"/>
                <w:color w:val="000000"/>
                <w:sz w:val="20"/>
                <w:szCs w:val="20"/>
                <w:lang w:eastAsia="en-CA"/>
              </w:rPr>
              <w:br/>
              <w:t>-refused participation in study upon follow-up</w:t>
            </w:r>
            <w:r>
              <w:rPr>
                <w:rFonts w:ascii="Calibri" w:eastAsia="Times New Roman" w:hAnsi="Calibri" w:cs="Times New Roman"/>
                <w:color w:val="000000"/>
                <w:sz w:val="20"/>
                <w:szCs w:val="20"/>
                <w:lang w:eastAsia="en-CA"/>
              </w:rPr>
              <w:br/>
              <w:t>-in-hospital deaths</w:t>
            </w:r>
          </w:p>
        </w:tc>
        <w:tc>
          <w:tcPr>
            <w:tcW w:w="1278" w:type="dxa"/>
            <w:tcBorders>
              <w:top w:val="nil"/>
              <w:left w:val="nil"/>
              <w:bottom w:val="single" w:sz="4" w:space="0" w:color="808080"/>
              <w:right w:val="nil"/>
            </w:tcBorders>
            <w:shd w:val="clear" w:color="auto" w:fill="FFFFFF"/>
            <w:vAlign w:val="center"/>
            <w:hideMark/>
          </w:tcPr>
          <w:p w14:paraId="07C00D2C"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12,446 </w:t>
            </w:r>
            <w:r>
              <w:rPr>
                <w:rFonts w:ascii="Calibri" w:eastAsia="Times New Roman" w:hAnsi="Calibri" w:cs="Times New Roman"/>
                <w:color w:val="000000"/>
                <w:sz w:val="20"/>
                <w:szCs w:val="20"/>
                <w:lang w:eastAsia="en-CA"/>
              </w:rPr>
              <w:br/>
              <w:t>(PPI: 3223; No PPI: 9223)</w:t>
            </w:r>
          </w:p>
        </w:tc>
        <w:tc>
          <w:tcPr>
            <w:tcW w:w="850" w:type="dxa"/>
            <w:tcBorders>
              <w:top w:val="nil"/>
              <w:left w:val="nil"/>
              <w:bottom w:val="single" w:sz="4" w:space="0" w:color="808080"/>
              <w:right w:val="nil"/>
            </w:tcBorders>
            <w:shd w:val="clear" w:color="auto" w:fill="FFFFFF"/>
            <w:vAlign w:val="center"/>
            <w:hideMark/>
          </w:tcPr>
          <w:p w14:paraId="6DC6019C"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69 (11)</w:t>
            </w:r>
            <w:r>
              <w:rPr>
                <w:rFonts w:ascii="Calibri" w:eastAsia="Times New Roman" w:hAnsi="Calibri" w:cs="Times New Roman"/>
                <w:color w:val="000000"/>
                <w:sz w:val="20"/>
                <w:szCs w:val="20"/>
                <w:lang w:eastAsia="en-CA"/>
              </w:rPr>
              <w:br/>
              <w:t>no PPI: 68 (11)</w:t>
            </w:r>
          </w:p>
        </w:tc>
        <w:tc>
          <w:tcPr>
            <w:tcW w:w="1276" w:type="dxa"/>
            <w:tcBorders>
              <w:top w:val="nil"/>
              <w:left w:val="nil"/>
              <w:bottom w:val="single" w:sz="4" w:space="0" w:color="808080"/>
              <w:right w:val="nil"/>
            </w:tcBorders>
            <w:shd w:val="clear" w:color="auto" w:fill="FFFFFF"/>
            <w:vAlign w:val="center"/>
            <w:hideMark/>
          </w:tcPr>
          <w:p w14:paraId="6038B974"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69</w:t>
            </w:r>
            <w:r>
              <w:rPr>
                <w:rFonts w:ascii="Calibri" w:eastAsia="Times New Roman" w:hAnsi="Calibri" w:cs="Times New Roman"/>
                <w:color w:val="000000"/>
                <w:sz w:val="20"/>
                <w:szCs w:val="20"/>
                <w:lang w:eastAsia="en-CA"/>
              </w:rPr>
              <w:br/>
              <w:t>no PPI: 73</w:t>
            </w:r>
          </w:p>
        </w:tc>
        <w:tc>
          <w:tcPr>
            <w:tcW w:w="993" w:type="dxa"/>
            <w:tcBorders>
              <w:top w:val="nil"/>
              <w:left w:val="nil"/>
              <w:bottom w:val="single" w:sz="4" w:space="0" w:color="808080"/>
              <w:right w:val="nil"/>
            </w:tcBorders>
            <w:shd w:val="clear" w:color="auto" w:fill="FFFFFF"/>
            <w:vAlign w:val="center"/>
            <w:hideMark/>
          </w:tcPr>
          <w:p w14:paraId="7B2F73AC"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reported</w:t>
            </w:r>
          </w:p>
        </w:tc>
      </w:tr>
      <w:tr w:rsidR="009462F4" w14:paraId="476A8F99" w14:textId="77777777" w:rsidTr="00181CD0">
        <w:trPr>
          <w:trHeight w:val="924"/>
        </w:trPr>
        <w:tc>
          <w:tcPr>
            <w:tcW w:w="1242" w:type="dxa"/>
            <w:tcBorders>
              <w:top w:val="nil"/>
              <w:left w:val="nil"/>
              <w:bottom w:val="single" w:sz="4" w:space="0" w:color="808080"/>
              <w:right w:val="nil"/>
            </w:tcBorders>
            <w:shd w:val="clear" w:color="auto" w:fill="FFFFFF"/>
            <w:vAlign w:val="center"/>
            <w:hideMark/>
          </w:tcPr>
          <w:p w14:paraId="388FA5AF" w14:textId="71A64E0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{"citationItems":[{"id":"ITEM-1","itemData":{"ISSN":"1474-547X","abstract":"BACKGROUND: Proton-pump inhibitors (PPIs) are often prescribed in combination with thienopyridines. Conflicting data exist as to whether PPIs diminish the efficacy of clopidogrel. We assessed the association between PPI use, measures of platelet function, and clinical outcomes for patients treated with clopidogrel or prasugrel., METHODS: In the PRINCIPLE-TIMI 44 trial, the primary outcome was inhibition of platelet aggregation at 6 h assessed by light-transmission aggregometry. In the TRITON-TIMI 38 trial, the primary endpoint was the composite of cardiovascular death, myocardial infarction, or stroke. In both studies, PPI use was at physician's discretion. We used a multivariable Cox model with propensity score to assess the association of PPI use with clinical outcomes., FINDINGS: In the PRINCIPLE-TIMI 44 trial, 201 patients undergoing elective percutaneous coronary intervention were randomly assigned to prasugrel (n=102) or high-dose clopidogrel (n=99). Mean inhibition of platelet aggregation was significantly lower for patients on a PPI than for those not on a PPI at 6 h after a 600 mg clopidogrel loading dose (23.2+/-19.5% vs 35.2+/-20.9%, p=0.02), whereas a more modest difference was seen with and without a PPI after a 60 mg loading dose of prasugrel (69.6+/-13.5% vs 76.7+/-12.4%, p=0.054). In the TRITON-TIMI 38 trial, 13,608 patients with an acute coronary syndrome were randomly assigned to prasugrel (n=6813) or clopidogrel (n=6795). In this study, 33% (n=4529) of patients were on a PPI at randomisation. No association existed between PPI use and risk of the primary endpoint for patients treated with clopidogrel (adjusted hazard ratio [HR] 0.94, 95% CI 0.80-1.11) or prasugrel (1.00, 0.84-1.20)., INTERPRETATION: The current findings do not support the need to avoid concomitant use of PPIs, when clinically indicated, in patients receiving clopidogrel or prasugrel., FUNDING: Daiichi Sankyo Company Limited and Eli Lilly and Company sponsored the trials. This analysis had no funding.","author":[{"dropping-particle":"","family":"O'Donoghue","given":"Michelle L","non-dropping-particle":"","parse-names":false,"suffix":""},{"dropping-particle":"","family":"Braunwald","given":"Eugene","non-dropping-particle":"","parse-names":false,"suffix":""},{"dropping-particle":"","family":"Antman","given":"Elliott M","non-dropping-particle":"","parse-names":false,"suffix":""},{"dropping-particle":"","family":"Murphy","given":"Sabina A","non-dropping-particle":"","parse-names":false,"suffix":""},{"dropping-particle":"","family":"Bates","given":"Eric R","non-dropping-particle":"","parse-names":false,"suffix":""},{"dropping-particle":"","family":"Rozenman","given":"Yoseph","non-dropping-particle":"","parse-names":false,"suffix":""},{"dropping-particle":"","family":"Michelson","given":"Alan D","non-dropping-particle":"","parse-names":false,"suffix":""},{"dropping-particle":"","family":"Hautvast","given":"Raymond W","non-dropping-particle":"","parse-names":false,"suffix":""},{"dropping-particle":"","family":"Lee","given":"Peter N","non-dropping-particle":"Ver","parse-names":false,"suffix":""},{"dropping-particle":"","family":"Close","given":"Sandra L","non-dropping-particle":"","parse-names":false,"suffix":""},{"dropping-particle":"","family":"Shen","given":"Lei","non-dropping-particle":"","parse-names":false,"suffix":""},{"dropping-particle":"","family":"Mega","given":"Jessica L","non-dropping-particle":"","parse-names":false,"suffix":""},{"dropping-particle":"","family":"Sabatine","given":"Marc S","non-dropping-particle":"","parse-names":false,"suffix":""},{"dropping-particle":"","family":"Wiviott","given":"Stephen D","non-dropping-particle":"","parse-names":false,"suffix":""}],"container-title":"Lancet","id":"ITEM-1","issue":"9694","issued":{"date-parts":[["2009"]]},"note":"From Duplicate 1 (Pharmacodynamic effect and clinical efficacy of clopidogrel and prasugrel with or without a proton-pump inhibitor: an analysis of two randomised trials. - O'Donoghue, Michelle L; Braunwald, Eugene; Antman, Elliott M; Murphy, Sabina A; Bates, Eric R; Rozenman, Yoseph; Michelson, Alan D; Hautvast, Raymond W; Ver Lee, Peter N; Close, Sandra L; Shen, Lei; Mega, Jessica L; Sabatine, Marc S; Wiviott, Stephen D)\n\nComment in: Lancet. 2010 Jan 2;375(9708):28; author reply 28-9; PMID: 20109858, Comment in: Lancet. 2009 Sep 19;374(9694):952-4; PMID: 19726077, Comment in: Lancet. 2010 Jan 2;375(9708):27-8; author reply 28-9; PMID: 20109855\n\nFrom Duplicate 2 (Pharmacodynamic effect and clinical efficacy of clopidogrel and prasugrel with or without a proton-pump inhibitor: an analysis of two randomised trials. - O'Donoghue, Michelle L; Braunwald, Eugene; Antman, Elliott M; Murphy, Sabina A; Bates, Eric R; Rozenman, Yoseph; Michelson, Alan D; Hautvast, Raymond W; Ver Lee, Peter N; Close, Sandra L; Shen, Lei; Mega, Jessica L; Sabatine, Marc S; Wiviott, Stephen D)\n\nComment in: Lancet. 2009 Sep 19;374(9694):952-4; PMID: 19726077, Comment in: Lancet. 2010 Jan 2;375(9708):27-8; author reply 28-9; PMID: 20109855, Comment in: Lancet. 2010 Jan 2;375(9708):28; author reply 28-9; PMID: 20109858","page":"989-997","publisher":"O'Donoghue,Michelle L. TIMI Study Group, Brigham and Women's Hospital, Boston, MA 02115, USA. modonoghue@partners.org","publisher-place":"England","title":"Pharmacodynamic effect and clinical efficacy of clopidogrel and prasugrel with or without a proton-pump inhibitor: an analysis of two randomised trials.","type":"article-journal","volume":"374"},"uris":["http://www.mendeley.com/documents/?uuid=4c8ff788-289a-4c43-b36e-2a2df4412ead"]}],"mendeley":{"formattedCitation":"(O’Donoghue et al. 2009)","plainTextFormattedCitation":"(O’Donoghue et al. 2009)","previouslyFormattedCitation":"(O’Donoghue et al. 2009)"},"properties":{"noteIndex":0},"schema":"https://github.com/citation-style-language/schema/raw/master/csl-citation.json"}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(O’Donoghue et al. 2009)</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br/>
              <w:t>(30 countries)</w:t>
            </w:r>
          </w:p>
        </w:tc>
        <w:tc>
          <w:tcPr>
            <w:tcW w:w="1551" w:type="dxa"/>
            <w:tcBorders>
              <w:top w:val="nil"/>
              <w:left w:val="nil"/>
              <w:bottom w:val="single" w:sz="4" w:space="0" w:color="808080"/>
              <w:right w:val="nil"/>
            </w:tcBorders>
            <w:shd w:val="clear" w:color="auto" w:fill="FFFFFF"/>
            <w:vAlign w:val="center"/>
            <w:hideMark/>
          </w:tcPr>
          <w:p w14:paraId="79D3EA69"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Post-hoc analyses of RCT</w:t>
            </w:r>
            <w:r>
              <w:rPr>
                <w:rFonts w:ascii="Calibri" w:eastAsia="Times New Roman" w:hAnsi="Calibri" w:cs="Times New Roman"/>
                <w:color w:val="000000"/>
                <w:sz w:val="20"/>
                <w:szCs w:val="20"/>
                <w:lang w:eastAsia="en-CA"/>
              </w:rPr>
              <w:br/>
              <w:t>(hospitals)</w:t>
            </w:r>
          </w:p>
        </w:tc>
        <w:tc>
          <w:tcPr>
            <w:tcW w:w="1460" w:type="dxa"/>
            <w:tcBorders>
              <w:top w:val="nil"/>
              <w:left w:val="nil"/>
              <w:bottom w:val="single" w:sz="4" w:space="0" w:color="808080"/>
              <w:right w:val="nil"/>
            </w:tcBorders>
            <w:shd w:val="clear" w:color="auto" w:fill="FFFFFF"/>
            <w:vAlign w:val="center"/>
            <w:hideMark/>
          </w:tcPr>
          <w:p w14:paraId="51D4B50E"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TRITON-Timi 38 trial (post-hoc)</w:t>
            </w:r>
          </w:p>
        </w:tc>
        <w:tc>
          <w:tcPr>
            <w:tcW w:w="1035" w:type="dxa"/>
            <w:tcBorders>
              <w:top w:val="nil"/>
              <w:left w:val="nil"/>
              <w:bottom w:val="single" w:sz="4" w:space="0" w:color="808080"/>
              <w:right w:val="nil"/>
            </w:tcBorders>
            <w:shd w:val="clear" w:color="auto" w:fill="FFFFFF"/>
            <w:vAlign w:val="center"/>
            <w:hideMark/>
          </w:tcPr>
          <w:p w14:paraId="6832BE1D"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ACS with PCI</w:t>
            </w:r>
          </w:p>
        </w:tc>
        <w:tc>
          <w:tcPr>
            <w:tcW w:w="3784" w:type="dxa"/>
            <w:tcBorders>
              <w:top w:val="nil"/>
              <w:left w:val="nil"/>
              <w:bottom w:val="single" w:sz="4" w:space="0" w:color="808080"/>
              <w:right w:val="nil"/>
            </w:tcBorders>
            <w:shd w:val="clear" w:color="auto" w:fill="FFFFFF"/>
            <w:vAlign w:val="center"/>
            <w:hideMark/>
          </w:tcPr>
          <w:p w14:paraId="7DB44B2E" w14:textId="024E2C22" w:rsidR="009462F4" w:rsidRDefault="009462F4" w:rsidP="00DE19B3">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Inclusion:</w:t>
            </w:r>
            <w:r>
              <w:rPr>
                <w:rFonts w:ascii="Calibri" w:eastAsia="Times New Roman" w:hAnsi="Calibri" w:cs="Times New Roman"/>
                <w:color w:val="000000"/>
                <w:sz w:val="20"/>
                <w:szCs w:val="20"/>
                <w:lang w:eastAsia="en-CA"/>
              </w:rPr>
              <w:br/>
              <w:t>- ACS patients undergoing planned PCI</w:t>
            </w:r>
            <w:r>
              <w:rPr>
                <w:rFonts w:ascii="Calibri" w:eastAsia="Times New Roman" w:hAnsi="Calibri" w:cs="Times New Roman"/>
                <w:color w:val="000000"/>
                <w:sz w:val="20"/>
                <w:szCs w:val="20"/>
                <w:lang w:eastAsia="en-CA"/>
              </w:rPr>
              <w:br/>
              <w:t>- randomized to either prasugrel or clopidogrel</w:t>
            </w:r>
            <w:r>
              <w:rPr>
                <w:rFonts w:ascii="Calibri" w:eastAsia="Times New Roman" w:hAnsi="Calibri" w:cs="Times New Roman"/>
                <w:color w:val="000000"/>
                <w:sz w:val="20"/>
                <w:szCs w:val="20"/>
                <w:lang w:eastAsia="en-CA"/>
              </w:rPr>
              <w:br/>
              <w:t>Exclusion:</w:t>
            </w:r>
            <w:r>
              <w:rPr>
                <w:rFonts w:ascii="Calibri" w:eastAsia="Times New Roman" w:hAnsi="Calibri" w:cs="Times New Roman"/>
                <w:color w:val="000000"/>
                <w:sz w:val="20"/>
                <w:szCs w:val="20"/>
                <w:lang w:eastAsia="en-CA"/>
              </w:rPr>
              <w:br/>
              <w:t>- high risk of bleeding</w:t>
            </w:r>
            <w:r>
              <w:rPr>
                <w:rFonts w:ascii="Calibri" w:eastAsia="Times New Roman" w:hAnsi="Calibri" w:cs="Times New Roman"/>
                <w:color w:val="000000"/>
                <w:sz w:val="20"/>
                <w:szCs w:val="20"/>
                <w:lang w:eastAsia="en-CA"/>
              </w:rPr>
              <w:br/>
              <w:t>- history of anemia, thrombocytopenia, pathological intracranial findings</w:t>
            </w:r>
            <w:r>
              <w:rPr>
                <w:rFonts w:ascii="Calibri" w:eastAsia="Times New Roman" w:hAnsi="Calibri" w:cs="Times New Roman"/>
                <w:color w:val="000000"/>
                <w:sz w:val="20"/>
                <w:szCs w:val="20"/>
                <w:lang w:eastAsia="en-CA"/>
              </w:rPr>
              <w:br/>
              <w:t>- use of thienopyridine within 5 days before randomization</w:t>
            </w:r>
          </w:p>
        </w:tc>
        <w:tc>
          <w:tcPr>
            <w:tcW w:w="1278" w:type="dxa"/>
            <w:tcBorders>
              <w:top w:val="nil"/>
              <w:left w:val="nil"/>
              <w:bottom w:val="single" w:sz="4" w:space="0" w:color="808080"/>
              <w:right w:val="nil"/>
            </w:tcBorders>
            <w:shd w:val="clear" w:color="auto" w:fill="FFFFFF"/>
            <w:vAlign w:val="center"/>
            <w:hideMark/>
          </w:tcPr>
          <w:p w14:paraId="08B50C17"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4,529; No PPI: 9,079)</w:t>
            </w:r>
          </w:p>
        </w:tc>
        <w:tc>
          <w:tcPr>
            <w:tcW w:w="850" w:type="dxa"/>
            <w:tcBorders>
              <w:top w:val="nil"/>
              <w:left w:val="nil"/>
              <w:bottom w:val="single" w:sz="4" w:space="0" w:color="808080"/>
              <w:right w:val="nil"/>
            </w:tcBorders>
            <w:shd w:val="clear" w:color="auto" w:fill="FFFFFF"/>
            <w:vAlign w:val="center"/>
            <w:hideMark/>
          </w:tcPr>
          <w:p w14:paraId="249D82E2"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62</w:t>
            </w:r>
            <w:r>
              <w:rPr>
                <w:rFonts w:ascii="Calibri" w:eastAsia="Times New Roman" w:hAnsi="Calibri" w:cs="Times New Roman"/>
                <w:color w:val="000000"/>
                <w:sz w:val="20"/>
                <w:szCs w:val="20"/>
                <w:lang w:eastAsia="en-CA"/>
              </w:rPr>
              <w:br/>
              <w:t>no PPI: 61</w:t>
            </w:r>
          </w:p>
        </w:tc>
        <w:tc>
          <w:tcPr>
            <w:tcW w:w="1276" w:type="dxa"/>
            <w:tcBorders>
              <w:top w:val="nil"/>
              <w:left w:val="nil"/>
              <w:bottom w:val="single" w:sz="4" w:space="0" w:color="808080"/>
              <w:right w:val="nil"/>
            </w:tcBorders>
            <w:shd w:val="clear" w:color="auto" w:fill="FFFFFF"/>
            <w:vAlign w:val="center"/>
            <w:hideMark/>
          </w:tcPr>
          <w:p w14:paraId="49B2D83D"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CP users:</w:t>
            </w:r>
            <w:r>
              <w:rPr>
                <w:rFonts w:ascii="Calibri" w:eastAsia="Times New Roman" w:hAnsi="Calibri" w:cs="Times New Roman"/>
                <w:color w:val="000000"/>
                <w:sz w:val="20"/>
                <w:szCs w:val="20"/>
                <w:lang w:eastAsia="en-CA"/>
              </w:rPr>
              <w:br/>
              <w:t>PPI: 70</w:t>
            </w:r>
            <w:r>
              <w:rPr>
                <w:rFonts w:ascii="Calibri" w:eastAsia="Times New Roman" w:hAnsi="Calibri" w:cs="Times New Roman"/>
                <w:color w:val="000000"/>
                <w:sz w:val="20"/>
                <w:szCs w:val="20"/>
                <w:lang w:eastAsia="en-CA"/>
              </w:rPr>
              <w:br/>
              <w:t>no PPI: 75</w:t>
            </w:r>
            <w:r>
              <w:rPr>
                <w:rFonts w:ascii="Calibri" w:eastAsia="Times New Roman" w:hAnsi="Calibri" w:cs="Times New Roman"/>
                <w:color w:val="000000"/>
                <w:sz w:val="20"/>
                <w:szCs w:val="20"/>
                <w:lang w:eastAsia="en-CA"/>
              </w:rPr>
              <w:br/>
            </w:r>
            <w:r>
              <w:rPr>
                <w:rFonts w:ascii="Calibri" w:eastAsia="Times New Roman" w:hAnsi="Calibri" w:cs="Times New Roman"/>
                <w:color w:val="000000"/>
                <w:sz w:val="20"/>
                <w:szCs w:val="20"/>
                <w:lang w:eastAsia="en-CA"/>
              </w:rPr>
              <w:br/>
              <w:t>Prasugrel users:</w:t>
            </w:r>
            <w:r>
              <w:rPr>
                <w:rFonts w:ascii="Calibri" w:eastAsia="Times New Roman" w:hAnsi="Calibri" w:cs="Times New Roman"/>
                <w:color w:val="000000"/>
                <w:sz w:val="20"/>
                <w:szCs w:val="20"/>
                <w:lang w:eastAsia="en-CA"/>
              </w:rPr>
              <w:br/>
              <w:t>PPI: 73</w:t>
            </w:r>
            <w:r>
              <w:rPr>
                <w:rFonts w:ascii="Calibri" w:eastAsia="Times New Roman" w:hAnsi="Calibri" w:cs="Times New Roman"/>
                <w:color w:val="000000"/>
                <w:sz w:val="20"/>
                <w:szCs w:val="20"/>
                <w:lang w:eastAsia="en-CA"/>
              </w:rPr>
              <w:br/>
              <w:t>no PPI 76;</w:t>
            </w:r>
          </w:p>
        </w:tc>
        <w:tc>
          <w:tcPr>
            <w:tcW w:w="993" w:type="dxa"/>
            <w:tcBorders>
              <w:top w:val="nil"/>
              <w:left w:val="nil"/>
              <w:bottom w:val="single" w:sz="4" w:space="0" w:color="808080"/>
              <w:right w:val="nil"/>
            </w:tcBorders>
            <w:shd w:val="clear" w:color="auto" w:fill="FFFFFF"/>
            <w:vAlign w:val="center"/>
            <w:hideMark/>
          </w:tcPr>
          <w:p w14:paraId="6D1E8894"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reported</w:t>
            </w:r>
          </w:p>
        </w:tc>
      </w:tr>
      <w:tr w:rsidR="00D87E93" w14:paraId="10C9C8E3" w14:textId="77777777" w:rsidTr="002F0260">
        <w:trPr>
          <w:trHeight w:val="924"/>
        </w:trPr>
        <w:tc>
          <w:tcPr>
            <w:tcW w:w="1242" w:type="dxa"/>
            <w:tcBorders>
              <w:top w:val="nil"/>
              <w:left w:val="nil"/>
              <w:bottom w:val="single" w:sz="4" w:space="0" w:color="808080"/>
              <w:right w:val="nil"/>
            </w:tcBorders>
            <w:shd w:val="clear" w:color="auto" w:fill="auto"/>
            <w:vAlign w:val="center"/>
          </w:tcPr>
          <w:p w14:paraId="653DC555" w14:textId="0D518B75"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Yan et al 2016</w:t>
            </w:r>
            <w:r w:rsidRPr="00D87E93">
              <w:rPr>
                <w:rFonts w:ascii="Calibri" w:hAnsi="Calibri" w:cs="Calibri"/>
                <w:color w:val="000000"/>
                <w:sz w:val="20"/>
                <w:szCs w:val="20"/>
              </w:rPr>
              <w:br/>
              <w:t>(Multiple countries)</w:t>
            </w:r>
          </w:p>
        </w:tc>
        <w:tc>
          <w:tcPr>
            <w:tcW w:w="1551" w:type="dxa"/>
            <w:tcBorders>
              <w:top w:val="nil"/>
              <w:left w:val="nil"/>
              <w:bottom w:val="single" w:sz="4" w:space="0" w:color="808080"/>
              <w:right w:val="nil"/>
            </w:tcBorders>
            <w:shd w:val="clear" w:color="auto" w:fill="auto"/>
            <w:vAlign w:val="center"/>
          </w:tcPr>
          <w:p w14:paraId="0DC8459E" w14:textId="0C5FAFAB"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Retrospective cohort</w:t>
            </w:r>
            <w:r w:rsidRPr="00D87E93">
              <w:rPr>
                <w:rFonts w:ascii="Calibri" w:hAnsi="Calibri" w:cs="Calibri"/>
                <w:color w:val="000000"/>
                <w:sz w:val="20"/>
                <w:szCs w:val="20"/>
              </w:rPr>
              <w:br/>
              <w:t>(Registry analysis)</w:t>
            </w:r>
          </w:p>
        </w:tc>
        <w:tc>
          <w:tcPr>
            <w:tcW w:w="1460" w:type="dxa"/>
            <w:tcBorders>
              <w:top w:val="nil"/>
              <w:left w:val="nil"/>
              <w:bottom w:val="single" w:sz="4" w:space="0" w:color="808080"/>
              <w:right w:val="nil"/>
            </w:tcBorders>
            <w:shd w:val="clear" w:color="auto" w:fill="auto"/>
            <w:vAlign w:val="center"/>
          </w:tcPr>
          <w:p w14:paraId="57237BEA" w14:textId="4DE2F462"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BleeMACS registry NCT02466854</w:t>
            </w:r>
          </w:p>
        </w:tc>
        <w:tc>
          <w:tcPr>
            <w:tcW w:w="1035" w:type="dxa"/>
            <w:tcBorders>
              <w:top w:val="nil"/>
              <w:left w:val="nil"/>
              <w:bottom w:val="single" w:sz="4" w:space="0" w:color="808080"/>
              <w:right w:val="nil"/>
            </w:tcBorders>
            <w:shd w:val="clear" w:color="auto" w:fill="auto"/>
            <w:vAlign w:val="center"/>
          </w:tcPr>
          <w:p w14:paraId="07559EB9" w14:textId="16C63576"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ACS, PCI</w:t>
            </w:r>
          </w:p>
        </w:tc>
        <w:tc>
          <w:tcPr>
            <w:tcW w:w="3784" w:type="dxa"/>
            <w:tcBorders>
              <w:top w:val="nil"/>
              <w:left w:val="nil"/>
              <w:bottom w:val="single" w:sz="4" w:space="0" w:color="808080"/>
              <w:right w:val="nil"/>
            </w:tcBorders>
            <w:shd w:val="clear" w:color="auto" w:fill="auto"/>
            <w:vAlign w:val="center"/>
          </w:tcPr>
          <w:p w14:paraId="7AB6C318" w14:textId="4CFDABE2"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Inclusion criteria:</w:t>
            </w:r>
            <w:r w:rsidRPr="00D87E93">
              <w:rPr>
                <w:rFonts w:ascii="Calibri" w:hAnsi="Calibri" w:cs="Calibri"/>
                <w:color w:val="000000"/>
                <w:sz w:val="20"/>
                <w:szCs w:val="20"/>
              </w:rPr>
              <w:br/>
              <w:t>- 18 years of age or older</w:t>
            </w:r>
            <w:r w:rsidRPr="00D87E93">
              <w:rPr>
                <w:rFonts w:ascii="Calibri" w:hAnsi="Calibri" w:cs="Calibri"/>
                <w:color w:val="000000"/>
                <w:sz w:val="20"/>
                <w:szCs w:val="20"/>
              </w:rPr>
              <w:br/>
              <w:t>- discharged alive with a diagnosis of ACS and treated with PCI</w:t>
            </w:r>
            <w:r w:rsidRPr="00D87E93">
              <w:rPr>
                <w:rFonts w:ascii="Calibri" w:hAnsi="Calibri" w:cs="Calibri"/>
                <w:color w:val="000000"/>
                <w:sz w:val="20"/>
                <w:szCs w:val="20"/>
              </w:rPr>
              <w:br/>
              <w:t>- users of  ticagrelor or clopidogrel</w:t>
            </w:r>
          </w:p>
        </w:tc>
        <w:tc>
          <w:tcPr>
            <w:tcW w:w="1278" w:type="dxa"/>
            <w:tcBorders>
              <w:top w:val="nil"/>
              <w:left w:val="nil"/>
              <w:bottom w:val="single" w:sz="4" w:space="0" w:color="808080"/>
              <w:right w:val="nil"/>
            </w:tcBorders>
            <w:shd w:val="clear" w:color="auto" w:fill="auto"/>
            <w:vAlign w:val="center"/>
          </w:tcPr>
          <w:p w14:paraId="50677025" w14:textId="3AB7E9E6"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Cohort size: 9,429;</w:t>
            </w:r>
            <w:r w:rsidRPr="00D87E93">
              <w:rPr>
                <w:rFonts w:ascii="Calibri" w:hAnsi="Calibri" w:cs="Calibri"/>
                <w:color w:val="000000"/>
                <w:sz w:val="20"/>
                <w:szCs w:val="20"/>
              </w:rPr>
              <w:br/>
              <w:t>PPIs: 5,165;</w:t>
            </w:r>
            <w:r w:rsidRPr="00D87E93">
              <w:rPr>
                <w:rFonts w:ascii="Calibri" w:hAnsi="Calibri" w:cs="Calibri"/>
                <w:color w:val="000000"/>
                <w:sz w:val="20"/>
                <w:szCs w:val="20"/>
              </w:rPr>
              <w:br/>
              <w:t>No PPI: 4265;</w:t>
            </w:r>
          </w:p>
        </w:tc>
        <w:tc>
          <w:tcPr>
            <w:tcW w:w="850" w:type="dxa"/>
            <w:tcBorders>
              <w:top w:val="nil"/>
              <w:left w:val="nil"/>
              <w:bottom w:val="single" w:sz="4" w:space="0" w:color="808080"/>
              <w:right w:val="nil"/>
            </w:tcBorders>
            <w:shd w:val="clear" w:color="auto" w:fill="auto"/>
            <w:vAlign w:val="center"/>
          </w:tcPr>
          <w:p w14:paraId="2B46222B" w14:textId="3C94EC81"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PPI: 66.2;</w:t>
            </w:r>
            <w:r w:rsidRPr="00D87E93">
              <w:rPr>
                <w:rFonts w:ascii="Calibri" w:hAnsi="Calibri" w:cs="Calibri"/>
                <w:color w:val="000000"/>
                <w:sz w:val="20"/>
                <w:szCs w:val="20"/>
              </w:rPr>
              <w:br/>
              <w:t>No PPI: 61.3;</w:t>
            </w:r>
          </w:p>
        </w:tc>
        <w:tc>
          <w:tcPr>
            <w:tcW w:w="1276" w:type="dxa"/>
            <w:tcBorders>
              <w:top w:val="nil"/>
              <w:left w:val="nil"/>
              <w:bottom w:val="single" w:sz="4" w:space="0" w:color="808080"/>
              <w:right w:val="nil"/>
            </w:tcBorders>
            <w:shd w:val="clear" w:color="auto" w:fill="auto"/>
            <w:vAlign w:val="center"/>
          </w:tcPr>
          <w:p w14:paraId="3C99A696" w14:textId="3841E36F"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PPI: 75%;</w:t>
            </w:r>
            <w:r w:rsidRPr="00D87E93">
              <w:rPr>
                <w:rFonts w:ascii="Calibri" w:hAnsi="Calibri" w:cs="Calibri"/>
                <w:color w:val="000000"/>
                <w:sz w:val="20"/>
                <w:szCs w:val="20"/>
              </w:rPr>
              <w:br/>
              <w:t>No PPI: 79%;</w:t>
            </w:r>
          </w:p>
        </w:tc>
        <w:tc>
          <w:tcPr>
            <w:tcW w:w="993" w:type="dxa"/>
            <w:tcBorders>
              <w:top w:val="nil"/>
              <w:left w:val="nil"/>
              <w:bottom w:val="single" w:sz="4" w:space="0" w:color="808080"/>
              <w:right w:val="nil"/>
            </w:tcBorders>
            <w:shd w:val="clear" w:color="auto" w:fill="auto"/>
            <w:vAlign w:val="center"/>
          </w:tcPr>
          <w:p w14:paraId="6D988F99" w14:textId="52BEF99B"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NR</w:t>
            </w:r>
          </w:p>
        </w:tc>
      </w:tr>
      <w:tr w:rsidR="009462F4" w14:paraId="1CE9BB6B" w14:textId="77777777" w:rsidTr="001B1380">
        <w:trPr>
          <w:trHeight w:val="516"/>
        </w:trPr>
        <w:tc>
          <w:tcPr>
            <w:tcW w:w="2793" w:type="dxa"/>
            <w:gridSpan w:val="2"/>
            <w:shd w:val="clear" w:color="auto" w:fill="DEEAF6" w:themeFill="accent1" w:themeFillTint="33"/>
            <w:vAlign w:val="center"/>
            <w:hideMark/>
          </w:tcPr>
          <w:p w14:paraId="000A1BFF"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b/>
                <w:bCs/>
                <w:color w:val="000000"/>
                <w:sz w:val="20"/>
                <w:szCs w:val="20"/>
                <w:lang w:eastAsia="en-CA"/>
              </w:rPr>
              <w:t>Intervention studies</w:t>
            </w:r>
          </w:p>
        </w:tc>
        <w:tc>
          <w:tcPr>
            <w:tcW w:w="1460" w:type="dxa"/>
            <w:shd w:val="clear" w:color="auto" w:fill="DEEAF6" w:themeFill="accent1" w:themeFillTint="33"/>
            <w:vAlign w:val="center"/>
          </w:tcPr>
          <w:p w14:paraId="1EE0A436" w14:textId="77777777" w:rsidR="009462F4" w:rsidRDefault="009462F4">
            <w:pPr>
              <w:spacing w:after="0" w:line="240" w:lineRule="auto"/>
              <w:rPr>
                <w:rFonts w:ascii="Calibri" w:eastAsia="Times New Roman" w:hAnsi="Calibri" w:cs="Times New Roman"/>
                <w:color w:val="000000"/>
                <w:sz w:val="20"/>
                <w:szCs w:val="20"/>
                <w:lang w:eastAsia="en-CA"/>
              </w:rPr>
            </w:pPr>
          </w:p>
        </w:tc>
        <w:tc>
          <w:tcPr>
            <w:tcW w:w="1035" w:type="dxa"/>
            <w:shd w:val="clear" w:color="auto" w:fill="DEEAF6" w:themeFill="accent1" w:themeFillTint="33"/>
            <w:vAlign w:val="center"/>
          </w:tcPr>
          <w:p w14:paraId="2B08634B" w14:textId="77777777" w:rsidR="009462F4" w:rsidRDefault="009462F4">
            <w:pPr>
              <w:spacing w:after="0" w:line="240" w:lineRule="auto"/>
              <w:rPr>
                <w:rFonts w:ascii="Calibri" w:eastAsia="Times New Roman" w:hAnsi="Calibri" w:cs="Times New Roman"/>
                <w:color w:val="000000"/>
                <w:sz w:val="20"/>
                <w:szCs w:val="20"/>
                <w:lang w:eastAsia="en-CA"/>
              </w:rPr>
            </w:pPr>
          </w:p>
        </w:tc>
        <w:tc>
          <w:tcPr>
            <w:tcW w:w="3784" w:type="dxa"/>
            <w:shd w:val="clear" w:color="auto" w:fill="DEEAF6" w:themeFill="accent1" w:themeFillTint="33"/>
            <w:vAlign w:val="center"/>
          </w:tcPr>
          <w:p w14:paraId="7BD5F3C8" w14:textId="77777777" w:rsidR="009462F4" w:rsidRDefault="009462F4">
            <w:pPr>
              <w:spacing w:after="0" w:line="240" w:lineRule="auto"/>
              <w:rPr>
                <w:rFonts w:ascii="Calibri" w:eastAsia="Times New Roman" w:hAnsi="Calibri" w:cs="Times New Roman"/>
                <w:color w:val="000000"/>
                <w:sz w:val="20"/>
                <w:szCs w:val="20"/>
                <w:lang w:eastAsia="en-CA"/>
              </w:rPr>
            </w:pPr>
          </w:p>
        </w:tc>
        <w:tc>
          <w:tcPr>
            <w:tcW w:w="1278" w:type="dxa"/>
            <w:shd w:val="clear" w:color="auto" w:fill="DEEAF6" w:themeFill="accent1" w:themeFillTint="33"/>
            <w:vAlign w:val="center"/>
          </w:tcPr>
          <w:p w14:paraId="59F6410E" w14:textId="77777777" w:rsidR="009462F4" w:rsidRDefault="009462F4">
            <w:pPr>
              <w:spacing w:after="0" w:line="240" w:lineRule="auto"/>
              <w:rPr>
                <w:rFonts w:ascii="Calibri" w:eastAsia="Times New Roman" w:hAnsi="Calibri" w:cs="Times New Roman"/>
                <w:color w:val="000000"/>
                <w:sz w:val="20"/>
                <w:szCs w:val="20"/>
                <w:lang w:eastAsia="en-CA"/>
              </w:rPr>
            </w:pPr>
          </w:p>
        </w:tc>
        <w:tc>
          <w:tcPr>
            <w:tcW w:w="850" w:type="dxa"/>
            <w:shd w:val="clear" w:color="auto" w:fill="DEEAF6" w:themeFill="accent1" w:themeFillTint="33"/>
            <w:vAlign w:val="center"/>
          </w:tcPr>
          <w:p w14:paraId="572AAA99" w14:textId="77777777" w:rsidR="009462F4" w:rsidRDefault="009462F4">
            <w:pPr>
              <w:spacing w:after="0" w:line="240" w:lineRule="auto"/>
              <w:rPr>
                <w:rFonts w:ascii="Calibri" w:eastAsia="Times New Roman" w:hAnsi="Calibri" w:cs="Times New Roman"/>
                <w:color w:val="000000"/>
                <w:sz w:val="20"/>
                <w:szCs w:val="20"/>
                <w:lang w:eastAsia="en-CA"/>
              </w:rPr>
            </w:pPr>
          </w:p>
        </w:tc>
        <w:tc>
          <w:tcPr>
            <w:tcW w:w="1276" w:type="dxa"/>
            <w:shd w:val="clear" w:color="auto" w:fill="DEEAF6" w:themeFill="accent1" w:themeFillTint="33"/>
            <w:vAlign w:val="center"/>
          </w:tcPr>
          <w:p w14:paraId="1ADF9ABB" w14:textId="77777777" w:rsidR="009462F4" w:rsidRDefault="009462F4">
            <w:pPr>
              <w:spacing w:after="0" w:line="240" w:lineRule="auto"/>
              <w:rPr>
                <w:rFonts w:ascii="Calibri" w:eastAsia="Times New Roman" w:hAnsi="Calibri" w:cs="Times New Roman"/>
                <w:color w:val="000000"/>
                <w:sz w:val="20"/>
                <w:szCs w:val="20"/>
                <w:lang w:eastAsia="en-CA"/>
              </w:rPr>
            </w:pPr>
          </w:p>
        </w:tc>
        <w:tc>
          <w:tcPr>
            <w:tcW w:w="993" w:type="dxa"/>
            <w:shd w:val="clear" w:color="auto" w:fill="DEEAF6" w:themeFill="accent1" w:themeFillTint="33"/>
            <w:vAlign w:val="center"/>
          </w:tcPr>
          <w:p w14:paraId="0F3FC809" w14:textId="77777777" w:rsidR="009462F4" w:rsidRDefault="009462F4">
            <w:pPr>
              <w:spacing w:after="0" w:line="240" w:lineRule="auto"/>
              <w:rPr>
                <w:rFonts w:ascii="Calibri" w:eastAsia="Times New Roman" w:hAnsi="Calibri" w:cs="Times New Roman"/>
                <w:color w:val="000000"/>
                <w:sz w:val="20"/>
                <w:szCs w:val="20"/>
                <w:lang w:eastAsia="en-CA"/>
              </w:rPr>
            </w:pPr>
          </w:p>
        </w:tc>
      </w:tr>
      <w:tr w:rsidR="009462F4" w14:paraId="3CCD602E" w14:textId="77777777" w:rsidTr="00181CD0">
        <w:trPr>
          <w:trHeight w:val="1708"/>
        </w:trPr>
        <w:tc>
          <w:tcPr>
            <w:tcW w:w="1242" w:type="dxa"/>
            <w:shd w:val="clear" w:color="auto" w:fill="FFFFFF"/>
            <w:vAlign w:val="center"/>
            <w:hideMark/>
          </w:tcPr>
          <w:p w14:paraId="0EE7DD61" w14:textId="7B1E0679"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lastRenderedPageBreak/>
              <w:fldChar w:fldCharType="begin" w:fldLock="1"/>
            </w:r>
            <w:r w:rsidR="00D325C7">
              <w:rPr>
                <w:rFonts w:ascii="Calibri" w:eastAsia="Times New Roman" w:hAnsi="Calibri" w:cs="Times New Roman"/>
                <w:color w:val="000000"/>
                <w:sz w:val="20"/>
                <w:szCs w:val="20"/>
                <w:lang w:eastAsia="en-CA"/>
              </w:rPr>
              <w:instrText>ADDIN CSL_CITATION {"citationItems":[{"id":"ITEM-1","itemData":{"ISBN":"0929-5305","abstract":"Patients receiving chronic nonsteroidal anti-inflammatory drugs (NSAIDs) and concomitant low-dose aspirin (LDA) are at increased risk of gastrointestinal (GI) toxicity. A fixed-dose combination of enteric-coated (EC) naproxen and immediate-release esomeprazole magnesium (NAP/ESO) has been designed to deliver a proton-pump inhibitor followed by an NSAID in a single tablet. To examine safety data from 5 Phase III studies of NAP/ESO in LDA users (&lt;325 mg daily, administered at any time during the study), and LDA non-users, data were analyzed from 6-month studies assessing NAP/ESO versus EC naproxen in patients with osteoarthritis, rheumatoid arthritis, or ankylosing spondylitis (n = 2), 3-month studies assessing NAP/ESO vs celecoxib or placebo in patients with knee osteoarthritis (n = 2), and a 12-month, open-label, safety study of NAP/ESO (n = 1). In an analysis of two studies, incidences of endoscopically confirmed gastric ulcers (GUs) and duodenal ulcers (DUs) were summarized by LDA subgroups. In the pooled analysis from all five studies, incidences of treatment-emergent adverse events (AEs) (including prespecified NSAID-associated upper GI AEs and cardiovascular AEs), serious AEs, and AE-related discontinuations were stratified by LDA subgroups. Overall, 2,317 patients received treatment; 1,157 patients received NAP/ESO and, of these, 298 received LDA. The cumulative incidence of GUs and DUs in the two studies with 6-month follow-up was lower for NAP/ESO vs EC naproxen in both LDA subgroups [GUs: 3.0 vs 27.9 %, respectively, for LDA users, 6.4 vs 22.4 %, respectively, for LDA non-users (both P &lt; 0.001); DUs: 1.0 vs 5.8 % for LDA users, 0.6 vs 5.3 % for LDA non-users]. The incidence of erosive gastritis was lower in NAP/ESO- vs EC naproxen-treated patients for both LDA users [18.2 vs 36.5 %, respectively (P = 0.004)] and LDA non-users [19.8 vs 38.5 %, respectively (P &lt; 0.001)]. Among LDA users, incidences of NSAID-associated upper GI AEs were: NAP/ESO, 16.1 %; EC naproxen, 31.7 %; celecoxib, 22.1 %; placebo, 23.2 %. Among LDA non-users, incidences of NSAID-associated upper GI AEs were: NAP/ESO, 20.3 %; EC naproxen, 36.6 %; celecoxib, 18.5 %; placebo, 18.9 %. For LDA users, incidences of cardiovascular AEs were: NAP/ESO, 3.0 %; EC naproxen, 1.0 %; celecoxib, 0 %; placebo, 0 %. For LDA non-users, incidences of cardiovascular AEs were: NAP/ESO, 1.0 %; EC naproxen, 0.6 %; celecoxib, 0.3 %; placebo, 0 %. NAP/ESO appears to be well-tolerated in patients recei…","author":[{"dropping-particle":"","family":"Angiolillo","given":"DJ","non-dropping-particle":"","parse-names":false,"suffix":""},{"dropping-particle":"","family":"Datto","given":"C","non-dropping-particle":"","parse-names":false,"suffix":""},{"dropping-particle":"","family":"Raines","given":"S","non-dropping-particle":"","parse-names":false,"suffix":""},{"dropping-particle":"","family":"Yeomans","given":"ND","non-dropping-particle":"","parse-names":false,"suffix":""}],"container-title":"Journal of Thrombosis and Thrombolysis","id":"ITEM-1","issue":"1","issued":{"date-parts":[["2014"]]},"note":"219","page":"11-23","publisher":"Kluwer Academic Publishers","publisher-place":"D.J. Angiolillo, Division of Cardiology, University of Florida College of Medicine-Jacksonville, ACC Building, 655 West 8th Street, Jacksonville, FL 32209, United States. E-mail: dominick.angiolillo@jax.ufl.edu","title":"Impact of concomitant low-dose aspirin on the safety and tolerability of naproxen and esomeprazole magnesium delayed-release tablets in patients requiring chronic nonsteroidal anti-inflammatory drug therapy: An analysis from 5 Phase III studies","type":"article","volume":"38"},"uris":["http://www.mendeley.com/documents/?uuid=d3949ee1-a391-447a-adb0-f4f3013232e8"]}],"mendeley":{"formattedCitation":"(Angiolillo et al. 2014)","plainTextFormattedCitation":"(Angiolillo et al. 2014)","previouslyFormattedCitation":"(Angiolillo et al. 2014)"},"properties":{"noteIndex":0},"schema":"https://github.com/citation-style-language/schema/raw/master/csl-citation.json"}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(Angiolillo et al. 2014)</w:t>
            </w:r>
            <w:r>
              <w:rPr>
                <w:rFonts w:ascii="Calibri" w:eastAsia="Times New Roman" w:hAnsi="Calibri" w:cs="Times New Roman"/>
                <w:color w:val="000000"/>
                <w:sz w:val="20"/>
                <w:szCs w:val="20"/>
                <w:lang w:eastAsia="en-CA"/>
              </w:rPr>
              <w:fldChar w:fldCharType="end"/>
            </w:r>
          </w:p>
          <w:p w14:paraId="7024978B" w14:textId="5BBE0667" w:rsidR="009462F4" w:rsidRDefault="009462F4">
            <w:pPr>
              <w:spacing w:after="0" w:line="240" w:lineRule="auto"/>
              <w:rPr>
                <w:rFonts w:ascii="Calibri" w:eastAsia="Times New Roman" w:hAnsi="Calibri" w:cs="Times New Roman"/>
                <w:color w:val="000000"/>
                <w:sz w:val="20"/>
                <w:szCs w:val="20"/>
                <w:lang w:eastAsia="en-CA"/>
              </w:rPr>
            </w:pPr>
            <w:r w:rsidRPr="001B1380">
              <w:rPr>
                <w:rFonts w:ascii="Calibri" w:eastAsia="Times New Roman" w:hAnsi="Calibri" w:cs="Times New Roman"/>
                <w:color w:val="000000"/>
                <w:sz w:val="20"/>
                <w:szCs w:val="20"/>
                <w:lang w:eastAsia="en-CA"/>
              </w:rPr>
              <w:t xml:space="preserve">and </w:t>
            </w:r>
            <w:r w:rsidR="00342532" w:rsidRPr="001B1380">
              <w:rPr>
                <w:rFonts w:ascii="Calibri" w:eastAsia="Times New Roman" w:hAnsi="Calibri" w:cs="Times New Roman"/>
                <w:color w:val="000000"/>
                <w:sz w:val="20"/>
                <w:szCs w:val="20"/>
                <w:lang w:eastAsia="en-CA"/>
              </w:rPr>
              <w:t>(</w:t>
            </w:r>
            <w:r w:rsidRPr="001B1380">
              <w:rPr>
                <w:rFonts w:ascii="Calibri" w:eastAsia="Times New Roman" w:hAnsi="Calibri" w:cs="Times New Roman"/>
                <w:color w:val="000000"/>
                <w:sz w:val="20"/>
                <w:szCs w:val="20"/>
                <w:lang w:eastAsia="en-CA"/>
              </w:rPr>
              <w:t>Goldstein et al, 2010</w:t>
            </w:r>
            <w:r w:rsidR="00342532">
              <w:rPr>
                <w:rFonts w:ascii="Calibri" w:eastAsia="Times New Roman" w:hAnsi="Calibri" w:cs="Times New Roman"/>
                <w:color w:val="000000"/>
                <w:sz w:val="20"/>
                <w:szCs w:val="20"/>
                <w:lang w:eastAsia="en-CA"/>
              </w:rPr>
              <w:t>)</w:t>
            </w:r>
            <w:r w:rsidR="00342532" w:rsidRPr="00342532">
              <w:rPr>
                <w:rFonts w:ascii="Calibri" w:eastAsia="Times New Roman" w:hAnsi="Calibri" w:cs="Times New Roman"/>
                <w:color w:val="000000"/>
                <w:sz w:val="20"/>
                <w:szCs w:val="20"/>
                <w:vertAlign w:val="superscript"/>
                <w:lang w:eastAsia="en-CA"/>
              </w:rPr>
              <w:t>1</w:t>
            </w:r>
            <w:r>
              <w:rPr>
                <w:rFonts w:ascii="Calibri" w:eastAsia="Times New Roman" w:hAnsi="Calibri" w:cs="Times New Roman"/>
                <w:color w:val="000000"/>
                <w:sz w:val="20"/>
                <w:szCs w:val="20"/>
                <w:lang w:eastAsia="en-CA"/>
              </w:rPr>
              <w:t xml:space="preserve"> </w:t>
            </w:r>
          </w:p>
        </w:tc>
        <w:tc>
          <w:tcPr>
            <w:tcW w:w="1551" w:type="dxa"/>
            <w:shd w:val="clear" w:color="auto" w:fill="FFFFFF"/>
            <w:vAlign w:val="center"/>
            <w:hideMark/>
          </w:tcPr>
          <w:p w14:paraId="46D6B05F"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RCT</w:t>
            </w:r>
            <w:r>
              <w:rPr>
                <w:rFonts w:ascii="Calibri" w:eastAsia="Times New Roman" w:hAnsi="Calibri" w:cs="Times New Roman"/>
                <w:color w:val="000000"/>
                <w:sz w:val="20"/>
                <w:szCs w:val="20"/>
                <w:lang w:eastAsia="en-CA"/>
              </w:rPr>
              <w:br/>
              <w:t>(59 centers (Angiolillo); 70 centers (Goldstein))</w:t>
            </w:r>
          </w:p>
        </w:tc>
        <w:tc>
          <w:tcPr>
            <w:tcW w:w="1460" w:type="dxa"/>
            <w:shd w:val="clear" w:color="auto" w:fill="FFFFFF"/>
            <w:vAlign w:val="center"/>
            <w:hideMark/>
          </w:tcPr>
          <w:p w14:paraId="35391689"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NCT00527787 </w:t>
            </w:r>
          </w:p>
        </w:tc>
        <w:tc>
          <w:tcPr>
            <w:tcW w:w="1035" w:type="dxa"/>
            <w:shd w:val="clear" w:color="auto" w:fill="FFFFFF"/>
            <w:vAlign w:val="center"/>
            <w:hideMark/>
          </w:tcPr>
          <w:p w14:paraId="6A22606E"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On NSAIDs</w:t>
            </w:r>
          </w:p>
        </w:tc>
        <w:tc>
          <w:tcPr>
            <w:tcW w:w="3784" w:type="dxa"/>
            <w:shd w:val="clear" w:color="auto" w:fill="FFFFFF"/>
            <w:vAlign w:val="center"/>
            <w:hideMark/>
          </w:tcPr>
          <w:p w14:paraId="43DA53EC" w14:textId="0BFFC090" w:rsidR="009462F4" w:rsidRDefault="009462F4" w:rsidP="00DE19B3">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Inclusion:</w:t>
            </w:r>
            <w:r>
              <w:rPr>
                <w:rFonts w:ascii="Calibri" w:eastAsia="Times New Roman" w:hAnsi="Calibri" w:cs="Times New Roman"/>
                <w:color w:val="000000"/>
                <w:sz w:val="20"/>
                <w:szCs w:val="20"/>
                <w:lang w:eastAsia="en-CA"/>
              </w:rPr>
              <w:br/>
              <w:t>- helicobacter pylori negative patients</w:t>
            </w:r>
            <w:r>
              <w:rPr>
                <w:rFonts w:ascii="Calibri" w:eastAsia="Times New Roman" w:hAnsi="Calibri" w:cs="Times New Roman"/>
                <w:color w:val="000000"/>
                <w:sz w:val="20"/>
                <w:szCs w:val="20"/>
                <w:lang w:eastAsia="en-CA"/>
              </w:rPr>
              <w:br/>
              <w:t>- clinical diagnosed osteoarthritis, rheumatoid arthritis, ankylosing spondylitis or any other condition expected to required daily NSAID therapy for at least 6 months</w:t>
            </w:r>
            <w:r>
              <w:rPr>
                <w:rFonts w:ascii="Calibri" w:eastAsia="Times New Roman" w:hAnsi="Calibri" w:cs="Times New Roman"/>
                <w:color w:val="000000"/>
                <w:sz w:val="20"/>
                <w:szCs w:val="20"/>
                <w:lang w:eastAsia="en-CA"/>
              </w:rPr>
              <w:br/>
              <w:t>- 18-49 years with documented history of uncomplicated gastric or duodenal ulcer within past 5 years or 50+ years</w:t>
            </w:r>
            <w:r>
              <w:rPr>
                <w:rFonts w:ascii="Calibri" w:eastAsia="Times New Roman" w:hAnsi="Calibri" w:cs="Times New Roman"/>
                <w:color w:val="000000"/>
                <w:sz w:val="20"/>
                <w:szCs w:val="20"/>
                <w:lang w:eastAsia="en-CA"/>
              </w:rPr>
              <w:br/>
              <w:t>Exclusion:</w:t>
            </w:r>
            <w:r>
              <w:rPr>
                <w:rFonts w:ascii="Calibri" w:eastAsia="Times New Roman" w:hAnsi="Calibri" w:cs="Times New Roman"/>
                <w:color w:val="000000"/>
                <w:sz w:val="20"/>
                <w:szCs w:val="20"/>
                <w:lang w:eastAsia="en-CA"/>
              </w:rPr>
              <w:br/>
              <w:t>- peptic ulcer (3+mm diameter with depth) determined by endoscopy at baseline were excluded from these studies,</w:t>
            </w:r>
            <w:r>
              <w:rPr>
                <w:rFonts w:ascii="Calibri" w:eastAsia="Times New Roman" w:hAnsi="Calibri" w:cs="Times New Roman"/>
                <w:color w:val="000000"/>
                <w:sz w:val="20"/>
                <w:szCs w:val="20"/>
                <w:lang w:eastAsia="en-CA"/>
              </w:rPr>
              <w:br/>
              <w:t>- history of hypersensitivity or allergy to any PPI or NSAID and/or any uncontrolled acute or chronic medical illness</w:t>
            </w:r>
            <w:r>
              <w:rPr>
                <w:rFonts w:ascii="Calibri" w:eastAsia="Times New Roman" w:hAnsi="Calibri" w:cs="Times New Roman"/>
                <w:color w:val="000000"/>
                <w:sz w:val="20"/>
                <w:szCs w:val="20"/>
                <w:lang w:eastAsia="en-CA"/>
              </w:rPr>
              <w:br/>
              <w:t xml:space="preserve">- prior GI disorders or surgery </w:t>
            </w:r>
            <w:r>
              <w:rPr>
                <w:rFonts w:ascii="Calibri" w:eastAsia="Times New Roman" w:hAnsi="Calibri" w:cs="Times New Roman"/>
                <w:color w:val="000000"/>
                <w:sz w:val="20"/>
                <w:szCs w:val="20"/>
                <w:lang w:eastAsia="en-CA"/>
              </w:rPr>
              <w:br/>
              <w:t>-history of alcohol or drug abuse</w:t>
            </w:r>
          </w:p>
        </w:tc>
        <w:tc>
          <w:tcPr>
            <w:tcW w:w="1278" w:type="dxa"/>
            <w:shd w:val="clear" w:color="auto" w:fill="FFFFFF"/>
            <w:vAlign w:val="center"/>
            <w:hideMark/>
          </w:tcPr>
          <w:p w14:paraId="29D25728"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Study 1: 438 </w:t>
            </w:r>
            <w:r>
              <w:rPr>
                <w:rFonts w:ascii="Calibri" w:eastAsia="Times New Roman" w:hAnsi="Calibri" w:cs="Times New Roman"/>
                <w:color w:val="000000"/>
                <w:sz w:val="20"/>
                <w:szCs w:val="20"/>
                <w:lang w:eastAsia="en-CA"/>
              </w:rPr>
              <w:br/>
              <w:t>(PPI: 218; No PPI: 220);</w:t>
            </w:r>
            <w:r>
              <w:rPr>
                <w:rFonts w:ascii="Calibri" w:eastAsia="Times New Roman" w:hAnsi="Calibri" w:cs="Times New Roman"/>
                <w:color w:val="000000"/>
                <w:sz w:val="20"/>
                <w:szCs w:val="20"/>
                <w:lang w:eastAsia="en-CA"/>
              </w:rPr>
              <w:br/>
              <w:t>Study 2: 423</w:t>
            </w:r>
            <w:r>
              <w:rPr>
                <w:rFonts w:ascii="Calibri" w:eastAsia="Times New Roman" w:hAnsi="Calibri" w:cs="Times New Roman"/>
                <w:color w:val="000000"/>
                <w:sz w:val="20"/>
                <w:szCs w:val="20"/>
                <w:lang w:eastAsia="en-CA"/>
              </w:rPr>
              <w:br/>
              <w:t>(PPI: 212; No PPI:211)</w:t>
            </w:r>
          </w:p>
        </w:tc>
        <w:tc>
          <w:tcPr>
            <w:tcW w:w="850" w:type="dxa"/>
            <w:shd w:val="clear" w:color="auto" w:fill="FFFFFF"/>
            <w:vAlign w:val="center"/>
            <w:hideMark/>
          </w:tcPr>
          <w:p w14:paraId="05666BE2"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Study 301: 61</w:t>
            </w:r>
            <w:r>
              <w:rPr>
                <w:rFonts w:ascii="Calibri" w:eastAsia="Times New Roman" w:hAnsi="Calibri" w:cs="Times New Roman"/>
                <w:color w:val="000000"/>
                <w:sz w:val="20"/>
                <w:szCs w:val="20"/>
                <w:lang w:eastAsia="en-CA"/>
              </w:rPr>
              <w:br/>
              <w:t xml:space="preserve">Study 302: 60 </w:t>
            </w:r>
          </w:p>
        </w:tc>
        <w:tc>
          <w:tcPr>
            <w:tcW w:w="1276" w:type="dxa"/>
            <w:shd w:val="clear" w:color="auto" w:fill="FFFFFF"/>
            <w:vAlign w:val="center"/>
            <w:hideMark/>
          </w:tcPr>
          <w:p w14:paraId="4545621E"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over 63%</w:t>
            </w:r>
          </w:p>
        </w:tc>
        <w:tc>
          <w:tcPr>
            <w:tcW w:w="993" w:type="dxa"/>
            <w:shd w:val="clear" w:color="auto" w:fill="FFFFFF"/>
            <w:vAlign w:val="center"/>
            <w:hideMark/>
          </w:tcPr>
          <w:p w14:paraId="11D1E867"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Caucasian, Asian, Other</w:t>
            </w:r>
            <w:r>
              <w:rPr>
                <w:rFonts w:ascii="Calibri" w:eastAsia="Times New Roman" w:hAnsi="Calibri" w:cs="Times New Roman"/>
                <w:color w:val="000000"/>
                <w:sz w:val="20"/>
                <w:szCs w:val="20"/>
                <w:lang w:eastAsia="en-CA"/>
              </w:rPr>
              <w:br/>
              <w:t>(&gt;84%  Caucasian)</w:t>
            </w:r>
          </w:p>
        </w:tc>
      </w:tr>
      <w:tr w:rsidR="009462F4" w14:paraId="13C88E6B" w14:textId="77777777" w:rsidTr="00181CD0">
        <w:trPr>
          <w:trHeight w:val="924"/>
        </w:trPr>
        <w:tc>
          <w:tcPr>
            <w:tcW w:w="1242" w:type="dxa"/>
            <w:tcBorders>
              <w:top w:val="single" w:sz="4" w:space="0" w:color="808080"/>
              <w:left w:val="nil"/>
              <w:bottom w:val="single" w:sz="4" w:space="0" w:color="808080"/>
              <w:right w:val="nil"/>
            </w:tcBorders>
            <w:shd w:val="clear" w:color="auto" w:fill="FFFFFF"/>
            <w:vAlign w:val="center"/>
            <w:hideMark/>
          </w:tcPr>
          <w:p w14:paraId="00D16D15" w14:textId="6070FF9B"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{"citationItems":[{"id":"ITEM-1","itemData":{"ISBN":"0140-6736","abstract":"Background: Guidelines on pain management recommend that patients at risk of ulcers receive either a cyclo-oxygenase (COX 2) inhibitor or a non-steroidal anti-inflammatory drug (NSAID) with a proton-pump inhibitor (PPI). These two treatments have similar effectiveness, but they are insufficient for protection of patients at very high risk for ulcer bleeding. We aimed to test the hypothesis that in patients with previous ulcer bleeding induced by non-selective NSAIDs, combined treatment with the COX 2 inhibitor celecoxib and the PPI esomeprazole would be better than celecoxib alone for prevention of recurrent ulcer bleeding. Methods: 441 consecutively presenting patients who were taking non-selective NSAIDs for arthritis were recruited to our single-centre, prospective, randomised, double-blind trial after admission to hospital with upper-gastrointestinal bleeding. Patients were enrolled after their ulcers had healed and a histological test for Helicobacter pylori was negative. All patients were given 200 mg celecoxib twice daily. 137 patients were randomly assigned to receive 20 mg esomeprazole twice daily (combined-treatment group), and 136 to receive a placebo (control group) for 12 months. The primary endpoint was recurrent ulcer bleeding during treatment or within 1 month of the end of treatment. Analysis was by intention to treat. This trial is registered with ClinicalTrials.gov, number NCT00365313. Findings: Combination treatment was more effective than celecoxib alone for prevention of ulcer bleeding in patients at high risk. The 13-month cumulative incidence of the primary endpoint was 0% in the combined-treatment group and 12 (89%) in the controls (95% CI difference, 41 to 137; p=00004). The median follow-up was 13 months (range 04-130). Discontinuation of treatment and the incidence of adverse events were similar in the two treatment groups. Interpretation: Patients at very high risk for recurrent ulcer bleeding who need anti-inflammatory analgesics should receive combination treatment with a COX 2 inhibitor and a PPI. Our findings should encourage guideline committees to review their recommendations for patients at very high risk of recurrent ulcer bleeding. © 2007 Elsevier Ltd. All rights reserved.","author":[{"dropping-particle":"","family":"F.K.L.","given":"Chan","non-dropping-particle":"","parse-names":false,"suffix":""},{"dropping-particle":"","family":"V.W.S.","given":"Wong","non-dropping-particle":"","parse-names":false,"suffix":""},{"dropping-particle":"","family":"B.Y.","given":"Suen","non-dropping-particle":"","parse-names":false,"suffix":""},{"dropping-particle":"","family":"J.C.Y.","given":"Wu","non-dropping-particle":"","parse-names":false,"suffix":""},{"dropping-particle":"","family":"J.Y.L.","given":"Ching","non-dropping-particle":"","parse-names":false,"suffix":""},{"dropping-particle":"","family":"L.C.T.","given":"Hung","non-dropping-particle":"","parse-names":false,"suffix":""},{"dropping-particle":"","family":"A.J.","given":"Hui","non-dropping-particle":"","parse-names":false,"suffix":""},{"dropping-particle":"","family":"V.K.S.","given":"Leung","non-dropping-particle":"","parse-names":false,"suffix":""},{"dropping-particle":"","family":"V.W.Y.","given":"Lee","non-dropping-particle":"","parse-names":false,"suffix":""},{"dropping-particle":"","family":"L.H.","given":"Lai","non-dropping-particle":"","parse-names":false,"suffix":""},{"dropping-particle":"","family":"G.L.H.","given":"Wong","non-dropping-particle":"","parse-names":false,"suffix":""},{"dropping-particle":"","family":"D.K.L.","given":"Chow","non-dropping-particle":"","parse-names":false,"suffix":""},{"dropping-particle":"","family":"K.F.","given":"To","non-dropping-particle":"","parse-names":false,"suffix":""},{"dropping-particle":"","family":"W.K.","given":"Leung","non-dropping-particle":"","parse-names":false,"suffix":""},{"dropping-particle":"","family":"P.W.Y.","given":"Chiu","non-dropping-particle":"","parse-names":false,"suffix":""},{"dropping-particle":"","family":"Y.T.","given":"Lee","non-dropping-particle":"","parse-names":false,"suffix":""},{"dropping-particle":"","family":"J.Y.W.","given":"Lau","non-dropping-particle":"","parse-names":false,"suffix":""},{"dropping-particle":"","family":"H.L.Y.","given":"Chan","non-dropping-particle":"","parse-names":false,"suffix":""},{"dropping-particle":"","family":"E.K.W.","given":"Ng","non-dropping-particle":"","parse-names":false,"suffix":""},{"dropping-particle":"","family":"J.J.Y.","given":"Sung","non-dropping-particle":"","parse-names":false,"suffix":""}],"container-title":"Lancet","id":"ITEM-1","issue":"9573","issued":{"date-parts":[["2007"]]},"page":"1621-1626","publisher":"Elsevier Limited","publisher-place":"F.K.L. Chan, Institute of Digestive Disease, Chinese University of Hong Kong, Shatin, Hong Kong SAR, Hong Kong. E-mail: fklchan@cuhk.edu.hk","title":"Combination of a cyclo-oxygenase-2 inhibitor and a proton-pump inhibitor for prevention of recurrent ulcer bleeding in patients at very high risk: a double-blind, randomised trial","type":"article","volume":"369"},"uris":["http://www.mendeley.com/documents/?uuid=3dc9f0ae-5800-4987-9c7b-11811aa2a066"]}],"mendeley":{"formattedCitation":"(F.K.L. et al. 2007)","plainTextFormattedCitation":"(F.K.L. et al. 2007)","previouslyFormattedCitation":"(F.K.L. et al. 2007)"},"properties":{"noteIndex":0},"schema":"https://github.com/citation-style-language/schema/raw/master/csl-citation.json"}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sidR="00D325C7" w:rsidRPr="00D325C7">
              <w:rPr>
                <w:rFonts w:ascii="Calibri" w:eastAsia="Times New Roman" w:hAnsi="Calibri" w:cs="Times New Roman"/>
                <w:noProof/>
                <w:color w:val="000000"/>
                <w:sz w:val="20"/>
                <w:szCs w:val="20"/>
                <w:lang w:eastAsia="en-CA"/>
              </w:rPr>
              <w:t>(F.K.L. et al. 2007)</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br/>
              <w:t>(China)</w:t>
            </w:r>
          </w:p>
        </w:tc>
        <w:tc>
          <w:tcPr>
            <w:tcW w:w="1551" w:type="dxa"/>
            <w:tcBorders>
              <w:top w:val="single" w:sz="4" w:space="0" w:color="808080"/>
              <w:left w:val="nil"/>
              <w:bottom w:val="single" w:sz="4" w:space="0" w:color="808080"/>
              <w:right w:val="nil"/>
            </w:tcBorders>
            <w:shd w:val="clear" w:color="auto" w:fill="FFFFFF"/>
            <w:vAlign w:val="center"/>
            <w:hideMark/>
          </w:tcPr>
          <w:p w14:paraId="7D5268E3"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RCT</w:t>
            </w:r>
            <w:r>
              <w:rPr>
                <w:rFonts w:ascii="Calibri" w:eastAsia="Times New Roman" w:hAnsi="Calibri" w:cs="Times New Roman"/>
                <w:color w:val="000000"/>
                <w:sz w:val="20"/>
                <w:szCs w:val="20"/>
                <w:lang w:eastAsia="en-CA"/>
              </w:rPr>
              <w:br/>
              <w:t>(hospital -1 center)</w:t>
            </w:r>
          </w:p>
        </w:tc>
        <w:tc>
          <w:tcPr>
            <w:tcW w:w="1460" w:type="dxa"/>
            <w:tcBorders>
              <w:top w:val="single" w:sz="4" w:space="0" w:color="808080"/>
              <w:left w:val="nil"/>
              <w:bottom w:val="single" w:sz="4" w:space="0" w:color="808080"/>
              <w:right w:val="nil"/>
            </w:tcBorders>
            <w:shd w:val="clear" w:color="auto" w:fill="FFFFFF"/>
            <w:vAlign w:val="center"/>
            <w:hideMark/>
          </w:tcPr>
          <w:p w14:paraId="5D8EB763"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NCT00365313</w:t>
            </w:r>
          </w:p>
        </w:tc>
        <w:tc>
          <w:tcPr>
            <w:tcW w:w="1035" w:type="dxa"/>
            <w:tcBorders>
              <w:top w:val="single" w:sz="4" w:space="0" w:color="808080"/>
              <w:left w:val="nil"/>
              <w:bottom w:val="single" w:sz="4" w:space="0" w:color="808080"/>
              <w:right w:val="nil"/>
            </w:tcBorders>
            <w:shd w:val="clear" w:color="auto" w:fill="FFFFFF"/>
            <w:vAlign w:val="center"/>
            <w:hideMark/>
          </w:tcPr>
          <w:p w14:paraId="471E3E23"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UGIB</w:t>
            </w:r>
          </w:p>
        </w:tc>
        <w:tc>
          <w:tcPr>
            <w:tcW w:w="3784" w:type="dxa"/>
            <w:tcBorders>
              <w:top w:val="single" w:sz="4" w:space="0" w:color="808080"/>
              <w:left w:val="nil"/>
              <w:bottom w:val="single" w:sz="4" w:space="0" w:color="808080"/>
              <w:right w:val="nil"/>
            </w:tcBorders>
            <w:shd w:val="clear" w:color="auto" w:fill="FFFFFF"/>
            <w:vAlign w:val="center"/>
            <w:hideMark/>
          </w:tcPr>
          <w:p w14:paraId="6E429124" w14:textId="6D8B0E3B" w:rsidR="009462F4" w:rsidRDefault="009462F4" w:rsidP="00DE19B3">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Inclusion:</w:t>
            </w:r>
            <w:r>
              <w:rPr>
                <w:rFonts w:ascii="Calibri" w:eastAsia="Times New Roman" w:hAnsi="Calibri" w:cs="Times New Roman"/>
                <w:color w:val="000000"/>
                <w:sz w:val="20"/>
                <w:szCs w:val="20"/>
                <w:lang w:eastAsia="en-CA"/>
              </w:rPr>
              <w:br/>
              <w:t>- at Prince of Wales Hospital in Hong Kong</w:t>
            </w:r>
            <w:r>
              <w:rPr>
                <w:rFonts w:ascii="Calibri" w:eastAsia="Times New Roman" w:hAnsi="Calibri" w:cs="Times New Roman"/>
                <w:color w:val="000000"/>
                <w:sz w:val="20"/>
                <w:szCs w:val="20"/>
                <w:lang w:eastAsia="en-CA"/>
              </w:rPr>
              <w:br/>
              <w:t>- UGIB and taking NSAIDs for arthritis</w:t>
            </w:r>
            <w:r>
              <w:rPr>
                <w:rFonts w:ascii="Calibri" w:eastAsia="Times New Roman" w:hAnsi="Calibri" w:cs="Times New Roman"/>
                <w:color w:val="000000"/>
                <w:sz w:val="20"/>
                <w:szCs w:val="20"/>
                <w:lang w:eastAsia="en-CA"/>
              </w:rPr>
              <w:br/>
              <w:t>- endoscoped to confirm ulcer bleeding</w:t>
            </w:r>
            <w:r>
              <w:rPr>
                <w:rFonts w:ascii="Calibri" w:eastAsia="Times New Roman" w:hAnsi="Calibri" w:cs="Times New Roman"/>
                <w:color w:val="000000"/>
                <w:sz w:val="20"/>
                <w:szCs w:val="20"/>
                <w:lang w:eastAsia="en-CA"/>
              </w:rPr>
              <w:br/>
              <w:t xml:space="preserve">- 8 weeks course of PPI to heal ulcer and ulcers were healed </w:t>
            </w:r>
            <w:r>
              <w:rPr>
                <w:rFonts w:ascii="Calibri" w:eastAsia="Times New Roman" w:hAnsi="Calibri" w:cs="Times New Roman"/>
                <w:color w:val="000000"/>
                <w:sz w:val="20"/>
                <w:szCs w:val="20"/>
                <w:lang w:eastAsia="en-CA"/>
              </w:rPr>
              <w:br/>
              <w:t>- negative for H pylori</w:t>
            </w:r>
            <w:r>
              <w:rPr>
                <w:rFonts w:ascii="Calibri" w:eastAsia="Times New Roman" w:hAnsi="Calibri" w:cs="Times New Roman"/>
                <w:color w:val="000000"/>
                <w:sz w:val="20"/>
                <w:szCs w:val="20"/>
                <w:lang w:eastAsia="en-CA"/>
              </w:rPr>
              <w:br/>
              <w:t>- NSAIDS indicated for duration of the trial;</w:t>
            </w:r>
            <w:r>
              <w:rPr>
                <w:rFonts w:ascii="Calibri" w:eastAsia="Times New Roman" w:hAnsi="Calibri" w:cs="Times New Roman"/>
                <w:color w:val="000000"/>
                <w:sz w:val="20"/>
                <w:szCs w:val="20"/>
                <w:lang w:eastAsia="en-CA"/>
              </w:rPr>
              <w:br/>
              <w:t>Exclusion:</w:t>
            </w:r>
            <w:r>
              <w:rPr>
                <w:rFonts w:ascii="Calibri" w:eastAsia="Times New Roman" w:hAnsi="Calibri" w:cs="Times New Roman"/>
                <w:color w:val="000000"/>
                <w:sz w:val="20"/>
                <w:szCs w:val="20"/>
                <w:lang w:eastAsia="en-CA"/>
              </w:rPr>
              <w:br/>
              <w:t>- unhealed ulcers</w:t>
            </w:r>
            <w:r>
              <w:rPr>
                <w:rFonts w:ascii="Calibri" w:eastAsia="Times New Roman" w:hAnsi="Calibri" w:cs="Times New Roman"/>
                <w:color w:val="000000"/>
                <w:sz w:val="20"/>
                <w:szCs w:val="20"/>
                <w:lang w:eastAsia="en-CA"/>
              </w:rPr>
              <w:br/>
              <w:t>- use of low dose aspirin, anticoagulants, or corticosteroids before index bleeding</w:t>
            </w:r>
            <w:r>
              <w:rPr>
                <w:rFonts w:ascii="Calibri" w:eastAsia="Times New Roman" w:hAnsi="Calibri" w:cs="Times New Roman"/>
                <w:color w:val="000000"/>
                <w:sz w:val="20"/>
                <w:szCs w:val="20"/>
                <w:lang w:eastAsia="en-CA"/>
              </w:rPr>
              <w:br/>
              <w:t>- previous gastric or duodenal surgery other than a patch repair</w:t>
            </w:r>
            <w:r>
              <w:rPr>
                <w:rFonts w:ascii="Calibri" w:eastAsia="Times New Roman" w:hAnsi="Calibri" w:cs="Times New Roman"/>
                <w:color w:val="000000"/>
                <w:sz w:val="20"/>
                <w:szCs w:val="20"/>
                <w:lang w:eastAsia="en-CA"/>
              </w:rPr>
              <w:br/>
              <w:t>- allergy to celecoxib</w:t>
            </w:r>
            <w:r>
              <w:rPr>
                <w:rFonts w:ascii="Calibri" w:eastAsia="Times New Roman" w:hAnsi="Calibri" w:cs="Times New Roman"/>
                <w:color w:val="000000"/>
                <w:sz w:val="20"/>
                <w:szCs w:val="20"/>
                <w:lang w:eastAsia="en-CA"/>
              </w:rPr>
              <w:br/>
            </w:r>
            <w:r>
              <w:rPr>
                <w:rFonts w:ascii="Calibri" w:eastAsia="Times New Roman" w:hAnsi="Calibri" w:cs="Times New Roman"/>
                <w:color w:val="000000"/>
                <w:sz w:val="20"/>
                <w:szCs w:val="20"/>
                <w:lang w:eastAsia="en-CA"/>
              </w:rPr>
              <w:lastRenderedPageBreak/>
              <w:t>- erosive esophagitis, gastric outlet obstruction, terminal illness, cancer or renal failure</w:t>
            </w:r>
          </w:p>
        </w:tc>
        <w:tc>
          <w:tcPr>
            <w:tcW w:w="1278" w:type="dxa"/>
            <w:tcBorders>
              <w:top w:val="single" w:sz="4" w:space="0" w:color="808080"/>
              <w:left w:val="nil"/>
              <w:bottom w:val="single" w:sz="4" w:space="0" w:color="808080"/>
              <w:right w:val="nil"/>
            </w:tcBorders>
            <w:shd w:val="clear" w:color="auto" w:fill="FFFFFF"/>
            <w:vAlign w:val="center"/>
            <w:hideMark/>
          </w:tcPr>
          <w:p w14:paraId="0AC6F669"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lastRenderedPageBreak/>
              <w:t xml:space="preserve">273 </w:t>
            </w:r>
            <w:r>
              <w:rPr>
                <w:rFonts w:ascii="Calibri" w:eastAsia="Times New Roman" w:hAnsi="Calibri" w:cs="Times New Roman"/>
                <w:color w:val="000000"/>
                <w:sz w:val="20"/>
                <w:szCs w:val="20"/>
                <w:lang w:eastAsia="en-CA"/>
              </w:rPr>
              <w:br/>
              <w:t>(PPI: 137; No PPI: 136)</w:t>
            </w:r>
          </w:p>
        </w:tc>
        <w:tc>
          <w:tcPr>
            <w:tcW w:w="850" w:type="dxa"/>
            <w:tcBorders>
              <w:top w:val="single" w:sz="4" w:space="0" w:color="808080"/>
              <w:left w:val="nil"/>
              <w:bottom w:val="single" w:sz="4" w:space="0" w:color="808080"/>
              <w:right w:val="nil"/>
            </w:tcBorders>
            <w:shd w:val="clear" w:color="auto" w:fill="FFFFFF"/>
            <w:vAlign w:val="center"/>
            <w:hideMark/>
          </w:tcPr>
          <w:p w14:paraId="0DE7D604"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70 (12)</w:t>
            </w:r>
            <w:r>
              <w:rPr>
                <w:rFonts w:ascii="Calibri" w:eastAsia="Times New Roman" w:hAnsi="Calibri" w:cs="Times New Roman"/>
                <w:color w:val="000000"/>
                <w:sz w:val="20"/>
                <w:szCs w:val="20"/>
                <w:lang w:eastAsia="en-CA"/>
              </w:rPr>
              <w:br/>
              <w:t>no PPI: 72(11)</w:t>
            </w:r>
          </w:p>
        </w:tc>
        <w:tc>
          <w:tcPr>
            <w:tcW w:w="1276" w:type="dxa"/>
            <w:tcBorders>
              <w:top w:val="single" w:sz="4" w:space="0" w:color="808080"/>
              <w:left w:val="nil"/>
              <w:bottom w:val="single" w:sz="4" w:space="0" w:color="808080"/>
              <w:right w:val="nil"/>
            </w:tcBorders>
            <w:shd w:val="clear" w:color="auto" w:fill="FFFFFF"/>
            <w:vAlign w:val="center"/>
            <w:hideMark/>
          </w:tcPr>
          <w:p w14:paraId="120A0FF4"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PPI: 47 </w:t>
            </w:r>
            <w:r>
              <w:rPr>
                <w:rFonts w:ascii="Calibri" w:eastAsia="Times New Roman" w:hAnsi="Calibri" w:cs="Times New Roman"/>
                <w:color w:val="000000"/>
                <w:sz w:val="20"/>
                <w:szCs w:val="20"/>
                <w:lang w:eastAsia="en-CA"/>
              </w:rPr>
              <w:br/>
              <w:t xml:space="preserve">no PPI: 49 </w:t>
            </w:r>
          </w:p>
        </w:tc>
        <w:tc>
          <w:tcPr>
            <w:tcW w:w="993" w:type="dxa"/>
            <w:tcBorders>
              <w:top w:val="single" w:sz="4" w:space="0" w:color="808080"/>
              <w:left w:val="nil"/>
              <w:bottom w:val="single" w:sz="4" w:space="0" w:color="808080"/>
              <w:right w:val="nil"/>
            </w:tcBorders>
            <w:shd w:val="clear" w:color="auto" w:fill="FFFFFF"/>
            <w:vAlign w:val="center"/>
            <w:hideMark/>
          </w:tcPr>
          <w:p w14:paraId="2712B578"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reported</w:t>
            </w:r>
          </w:p>
        </w:tc>
      </w:tr>
      <w:tr w:rsidR="009462F4" w14:paraId="79EBB20F" w14:textId="77777777" w:rsidTr="00181CD0">
        <w:trPr>
          <w:trHeight w:val="924"/>
        </w:trPr>
        <w:tc>
          <w:tcPr>
            <w:tcW w:w="1242" w:type="dxa"/>
            <w:tcBorders>
              <w:top w:val="nil"/>
              <w:left w:val="nil"/>
              <w:bottom w:val="single" w:sz="4" w:space="0" w:color="808080"/>
              <w:right w:val="nil"/>
            </w:tcBorders>
            <w:shd w:val="clear" w:color="auto" w:fill="FFFFFF"/>
            <w:vAlign w:val="center"/>
            <w:hideMark/>
          </w:tcPr>
          <w:p w14:paraId="3F365E13" w14:textId="5FA37048"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{"citationItems":[{"id":"ITEM-1","itemData":{"ISBN":"0028-4793","ISSN":"1533-4406","abstract":"BACKGROUND: The role of gastric acid suppression in preventing the recurrence of ulcer complications after the eradication of Helicobacter pylori infection in patients taking long-term low-dose aspirin is uncertain., METHODS: We enrolled 123 patients who had ulcer complications after using low-dose aspirin continuously for more than one month and who had H. pylori infection. After the ulcers had healed and the H. pylori infection was eradicated, the patients were randomly assigned to treatment with 30 mg of lansoprazole daily or placebo, in addition to 100 mg of aspirin daily, for 12 months. The primary end point was the recurrence of ulcer complications., RESULTS: During a median follow-up of 12 months, 9 of the 61 patients in the placebo group (14.8 percent), as compared with 1 of the 62 patients in the lansoprazole group (1.6 percent), had a recurrence of ulcer complications (adjusted hazard ratio, 9.6; 95 percent confidence interval, 1.2 to 76.1). Of these 10 patients, 4 had evidence of a recurrence of H. pylori infection and 2 had taken nonsteroidal antiinflammatory drugs before the onset of complications. Patients in the lansoprazole group were significantly less likely to have a recurrence of ulcer complications than patients in the placebo group (P=0.008). There was no significant difference in mortality between the two groups., CONCLUSIONS: In patients who had ulcer complications related to the long-term use of low-dose aspirin, treatment with lansoprazole in addition to the eradication of H. pylori infection significantly reduced the rate of recurrence of ulcer complications.","author":[{"dropping-particle":"","family":"Lai","given":"Kam Chuen","non-dropping-particle":"","parse-names":false,"suffix":""},{"dropping-particle":"","family":"Lam","given":"Shiu Kum","non-dropping-particle":"","parse-names":false,"suffix":""},{"dropping-particle":"","family":"Chu","given":"Kent Man","non-dropping-particle":"","parse-names":false,"suffix":""},{"dropping-particle":"","family":"Wong","given":"Benjamin C Y","non-dropping-particle":"","parse-names":false,"suffix":""},{"dropping-particle":"","family":"Hui","given":"Wai Mo","non-dropping-particle":"","parse-names":false,"suffix":""},{"dropping-particle":"","family":"Hu","given":"Wayne H C","non-dropping-particle":"","parse-names":false,"suffix":""},{"dropping-particle":"","family":"Lau","given":"George K K","non-dropping-particle":"","parse-names":false,"suffix":""},{"dropping-particle":"","family":"Wong","given":"Wai Man","non-dropping-particle":"","parse-names":false,"suffix":""},{"dropping-particle":"","family":"Yuen","given":"Man Fung","non-dropping-particle":"","parse-names":false,"suffix":""},{"dropping-particle":"","family":"Chan","given":"Annie O O","non-dropping-particle":"","parse-names":false,"suffix":""},{"dropping-particle":"","family":"Lai","given":"Ching Lung","non-dropping-particle":"","parse-names":false,"suffix":""},{"dropping-particle":"","family":"Wong","given":"John","non-dropping-particle":"","parse-names":false,"suffix":""}],"container-title":"New England Journal of Medicine","id":"ITEM-1","issue":"26","issued":{"date-parts":[["2002"]]},"note":"1140\n\nFrom Duplicate 3 (Lansoprazole for the prevention of recurrences of ulcer complications from long-term low-dose aspirin use. - Lai, Kam Chuen; Lam, Shiu Kum; Chu, Kent Man; Wong, Benjamin C Y; Hui, Wai Mo; Hu, Wayne H C; Lau, George K K; Wong, Wai Man; Yuen, Man Fung; Chan, Annie O O; Lai, Ching Lung; Wong, John)\n\nComment in: ACP J Club. 2003 Jan-Feb;138(1):11; PMID: 12511123, Comment in: N Engl J Med. 2002 Nov 14;347(20):1623-4; author reply 1623-4; PMID: 12432054","page":"2033-2038","publisher":"Lai,Kam Chuen. Departments of Medicine, University of Hong Kong, Queen Mary Hospital, Hong Kong, China. kclai@hku.hk","publisher-place":"United States","title":"Lansoprazole for the prevention of recurrences of ulcer complications from long-term low-dose aspirin use.","type":"article-journal","volume":"346"},"uris":["http://www.mendeley.com/documents/?uuid=8b977c57-eb65-4dd0-a8cc-6e77b9e6d478"]}],"mendeley":{"formattedCitation":"(Lai et al. 2002)","plainTextFormattedCitation":"(Lai et al. 2002)","previouslyFormattedCitation":"(Lai et al. 2002)"},"properties":{"noteIndex":0},"schema":"https://github.com/citation-style-language/schema/raw/master/csl-citation.json"}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(Lai et al. 2002)</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br/>
              <w:t>(Hong Kong)</w:t>
            </w:r>
          </w:p>
        </w:tc>
        <w:tc>
          <w:tcPr>
            <w:tcW w:w="1551" w:type="dxa"/>
            <w:tcBorders>
              <w:top w:val="nil"/>
              <w:left w:val="nil"/>
              <w:bottom w:val="single" w:sz="4" w:space="0" w:color="808080"/>
              <w:right w:val="nil"/>
            </w:tcBorders>
            <w:shd w:val="clear" w:color="auto" w:fill="FFFFFF"/>
            <w:vAlign w:val="center"/>
            <w:hideMark/>
          </w:tcPr>
          <w:p w14:paraId="23C3C3D7"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RCT</w:t>
            </w:r>
            <w:r>
              <w:rPr>
                <w:rFonts w:ascii="Calibri" w:eastAsia="Times New Roman" w:hAnsi="Calibri" w:cs="Times New Roman"/>
                <w:color w:val="000000"/>
                <w:sz w:val="20"/>
                <w:szCs w:val="20"/>
                <w:lang w:eastAsia="en-CA"/>
              </w:rPr>
              <w:br/>
              <w:t>(hospital -1 center)</w:t>
            </w:r>
          </w:p>
        </w:tc>
        <w:tc>
          <w:tcPr>
            <w:tcW w:w="1460" w:type="dxa"/>
            <w:tcBorders>
              <w:top w:val="nil"/>
              <w:left w:val="nil"/>
              <w:bottom w:val="single" w:sz="4" w:space="0" w:color="808080"/>
              <w:right w:val="nil"/>
            </w:tcBorders>
            <w:shd w:val="clear" w:color="auto" w:fill="FFFFFF"/>
            <w:vAlign w:val="center"/>
            <w:hideMark/>
          </w:tcPr>
          <w:p w14:paraId="283CC6C7"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w:t>
            </w:r>
          </w:p>
        </w:tc>
        <w:tc>
          <w:tcPr>
            <w:tcW w:w="1035" w:type="dxa"/>
            <w:tcBorders>
              <w:top w:val="nil"/>
              <w:left w:val="nil"/>
              <w:bottom w:val="single" w:sz="4" w:space="0" w:color="808080"/>
              <w:right w:val="nil"/>
            </w:tcBorders>
            <w:shd w:val="clear" w:color="auto" w:fill="FFFFFF"/>
            <w:vAlign w:val="center"/>
            <w:hideMark/>
          </w:tcPr>
          <w:p w14:paraId="3EA2988F"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Peptic ulcers and on low dose aspirin</w:t>
            </w:r>
          </w:p>
        </w:tc>
        <w:tc>
          <w:tcPr>
            <w:tcW w:w="3784" w:type="dxa"/>
            <w:tcBorders>
              <w:top w:val="nil"/>
              <w:left w:val="nil"/>
              <w:bottom w:val="single" w:sz="4" w:space="0" w:color="808080"/>
              <w:right w:val="nil"/>
            </w:tcBorders>
            <w:shd w:val="clear" w:color="auto" w:fill="FFFFFF"/>
            <w:vAlign w:val="center"/>
            <w:hideMark/>
          </w:tcPr>
          <w:p w14:paraId="7EC37EBC" w14:textId="0A9D8CFC" w:rsidR="009462F4" w:rsidRDefault="009462F4" w:rsidP="00DE19B3">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Inclusion:</w:t>
            </w:r>
            <w:r>
              <w:rPr>
                <w:rFonts w:ascii="Calibri" w:eastAsia="Times New Roman" w:hAnsi="Calibri" w:cs="Times New Roman"/>
                <w:color w:val="000000"/>
                <w:sz w:val="20"/>
                <w:szCs w:val="20"/>
                <w:lang w:eastAsia="en-CA"/>
              </w:rPr>
              <w:br/>
              <w:t>- peptic ulcer at least 5 mm in diameter</w:t>
            </w:r>
            <w:r>
              <w:rPr>
                <w:rFonts w:ascii="Calibri" w:eastAsia="Times New Roman" w:hAnsi="Calibri" w:cs="Times New Roman"/>
                <w:color w:val="000000"/>
                <w:sz w:val="20"/>
                <w:szCs w:val="20"/>
                <w:lang w:eastAsia="en-CA"/>
              </w:rPr>
              <w:br/>
              <w:t>- on low dose aspirin for at least 1 month before complications</w:t>
            </w:r>
            <w:r>
              <w:rPr>
                <w:rFonts w:ascii="Calibri" w:eastAsia="Times New Roman" w:hAnsi="Calibri" w:cs="Times New Roman"/>
                <w:color w:val="000000"/>
                <w:sz w:val="20"/>
                <w:szCs w:val="20"/>
                <w:lang w:eastAsia="en-CA"/>
              </w:rPr>
              <w:br/>
              <w:t>- had disease such as stroke or heart disease, that required long term aspirin treatment</w:t>
            </w:r>
            <w:r>
              <w:rPr>
                <w:rFonts w:ascii="Calibri" w:eastAsia="Times New Roman" w:hAnsi="Calibri" w:cs="Times New Roman"/>
                <w:color w:val="000000"/>
                <w:sz w:val="20"/>
                <w:szCs w:val="20"/>
                <w:lang w:eastAsia="en-CA"/>
              </w:rPr>
              <w:br/>
              <w:t>-18-80 years</w:t>
            </w:r>
            <w:r>
              <w:rPr>
                <w:rFonts w:ascii="Calibri" w:eastAsia="Times New Roman" w:hAnsi="Calibri" w:cs="Times New Roman"/>
                <w:color w:val="000000"/>
                <w:sz w:val="20"/>
                <w:szCs w:val="20"/>
                <w:lang w:eastAsia="en-CA"/>
              </w:rPr>
              <w:br/>
              <w:t>-positive for H pylori infection</w:t>
            </w:r>
            <w:r>
              <w:rPr>
                <w:rFonts w:ascii="Calibri" w:eastAsia="Times New Roman" w:hAnsi="Calibri" w:cs="Times New Roman"/>
                <w:color w:val="000000"/>
                <w:sz w:val="20"/>
                <w:szCs w:val="20"/>
                <w:lang w:eastAsia="en-CA"/>
              </w:rPr>
              <w:br/>
              <w:t>Exclusion:</w:t>
            </w:r>
            <w:r>
              <w:rPr>
                <w:rFonts w:ascii="Calibri" w:eastAsia="Times New Roman" w:hAnsi="Calibri" w:cs="Times New Roman"/>
                <w:color w:val="000000"/>
                <w:sz w:val="20"/>
                <w:szCs w:val="20"/>
                <w:lang w:eastAsia="en-CA"/>
              </w:rPr>
              <w:br/>
              <w:t>- esophagitis revealed by endoscopy</w:t>
            </w:r>
            <w:r>
              <w:rPr>
                <w:rFonts w:ascii="Calibri" w:eastAsia="Times New Roman" w:hAnsi="Calibri" w:cs="Times New Roman"/>
                <w:color w:val="000000"/>
                <w:sz w:val="20"/>
                <w:szCs w:val="20"/>
                <w:lang w:eastAsia="en-CA"/>
              </w:rPr>
              <w:br/>
              <w:t>- history of gastric or duodenal surgery other than oversewing of a  perforation</w:t>
            </w:r>
            <w:r>
              <w:rPr>
                <w:rFonts w:ascii="Calibri" w:eastAsia="Times New Roman" w:hAnsi="Calibri" w:cs="Times New Roman"/>
                <w:color w:val="000000"/>
                <w:sz w:val="20"/>
                <w:szCs w:val="20"/>
                <w:lang w:eastAsia="en-CA"/>
              </w:rPr>
              <w:br/>
              <w:t>- allergy to study drugs</w:t>
            </w:r>
            <w:r>
              <w:rPr>
                <w:rFonts w:ascii="Calibri" w:eastAsia="Times New Roman" w:hAnsi="Calibri" w:cs="Times New Roman"/>
                <w:color w:val="000000"/>
                <w:sz w:val="20"/>
                <w:szCs w:val="20"/>
                <w:lang w:eastAsia="en-CA"/>
              </w:rPr>
              <w:br/>
              <w:t>- concomitant treatment with NSAIDS, corticosteroids, anticoagulants</w:t>
            </w:r>
            <w:r>
              <w:rPr>
                <w:rFonts w:ascii="Calibri" w:eastAsia="Times New Roman" w:hAnsi="Calibri" w:cs="Times New Roman"/>
                <w:color w:val="000000"/>
                <w:sz w:val="20"/>
                <w:szCs w:val="20"/>
                <w:lang w:eastAsia="en-CA"/>
              </w:rPr>
              <w:br/>
              <w:t>- active cancer</w:t>
            </w:r>
            <w:r>
              <w:rPr>
                <w:rFonts w:ascii="Calibri" w:eastAsia="Times New Roman" w:hAnsi="Calibri" w:cs="Times New Roman"/>
                <w:color w:val="000000"/>
                <w:sz w:val="20"/>
                <w:szCs w:val="20"/>
                <w:lang w:eastAsia="en-CA"/>
              </w:rPr>
              <w:br/>
              <w:t>- H Pylori infection that could not be eradicated after two attempts</w:t>
            </w:r>
          </w:p>
        </w:tc>
        <w:tc>
          <w:tcPr>
            <w:tcW w:w="1278" w:type="dxa"/>
            <w:tcBorders>
              <w:top w:val="nil"/>
              <w:left w:val="nil"/>
              <w:bottom w:val="single" w:sz="4" w:space="0" w:color="808080"/>
              <w:right w:val="nil"/>
            </w:tcBorders>
            <w:shd w:val="clear" w:color="auto" w:fill="FFFFFF"/>
            <w:vAlign w:val="center"/>
            <w:hideMark/>
          </w:tcPr>
          <w:p w14:paraId="2CE1FBDE"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123 </w:t>
            </w:r>
            <w:r>
              <w:rPr>
                <w:rFonts w:ascii="Calibri" w:eastAsia="Times New Roman" w:hAnsi="Calibri" w:cs="Times New Roman"/>
                <w:color w:val="000000"/>
                <w:sz w:val="20"/>
                <w:szCs w:val="20"/>
                <w:lang w:eastAsia="en-CA"/>
              </w:rPr>
              <w:br/>
              <w:t>(PPI (lansoprazole): 62; No PPI:  61)</w:t>
            </w:r>
          </w:p>
        </w:tc>
        <w:tc>
          <w:tcPr>
            <w:tcW w:w="850" w:type="dxa"/>
            <w:tcBorders>
              <w:top w:val="nil"/>
              <w:left w:val="nil"/>
              <w:bottom w:val="single" w:sz="4" w:space="0" w:color="808080"/>
              <w:right w:val="nil"/>
            </w:tcBorders>
            <w:shd w:val="clear" w:color="auto" w:fill="FFFFFF"/>
            <w:vAlign w:val="center"/>
            <w:hideMark/>
          </w:tcPr>
          <w:p w14:paraId="74883A01"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72 (8)</w:t>
            </w:r>
            <w:r>
              <w:rPr>
                <w:rFonts w:ascii="Calibri" w:eastAsia="Times New Roman" w:hAnsi="Calibri" w:cs="Times New Roman"/>
                <w:color w:val="000000"/>
                <w:sz w:val="20"/>
                <w:szCs w:val="20"/>
                <w:lang w:eastAsia="en-CA"/>
              </w:rPr>
              <w:br/>
              <w:t>no PPI: 69 (8)</w:t>
            </w:r>
          </w:p>
        </w:tc>
        <w:tc>
          <w:tcPr>
            <w:tcW w:w="1276" w:type="dxa"/>
            <w:tcBorders>
              <w:top w:val="nil"/>
              <w:left w:val="nil"/>
              <w:bottom w:val="single" w:sz="4" w:space="0" w:color="808080"/>
              <w:right w:val="nil"/>
            </w:tcBorders>
            <w:shd w:val="clear" w:color="auto" w:fill="FFFFFF"/>
            <w:vAlign w:val="center"/>
            <w:hideMark/>
          </w:tcPr>
          <w:p w14:paraId="292627B5"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75</w:t>
            </w:r>
            <w:r>
              <w:rPr>
                <w:rFonts w:ascii="Calibri" w:eastAsia="Times New Roman" w:hAnsi="Calibri" w:cs="Times New Roman"/>
                <w:color w:val="000000"/>
                <w:sz w:val="20"/>
                <w:szCs w:val="20"/>
                <w:lang w:eastAsia="en-CA"/>
              </w:rPr>
              <w:br/>
              <w:t>no PPI: 69</w:t>
            </w:r>
          </w:p>
        </w:tc>
        <w:tc>
          <w:tcPr>
            <w:tcW w:w="993" w:type="dxa"/>
            <w:tcBorders>
              <w:top w:val="nil"/>
              <w:left w:val="nil"/>
              <w:bottom w:val="single" w:sz="4" w:space="0" w:color="808080"/>
              <w:right w:val="nil"/>
            </w:tcBorders>
            <w:shd w:val="clear" w:color="auto" w:fill="FFFFFF"/>
            <w:vAlign w:val="center"/>
            <w:hideMark/>
          </w:tcPr>
          <w:p w14:paraId="37CE2199"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reported</w:t>
            </w:r>
          </w:p>
        </w:tc>
      </w:tr>
      <w:tr w:rsidR="00D87E93" w:rsidRPr="00D87E93" w14:paraId="25CF4AE6" w14:textId="77777777" w:rsidTr="002F0260">
        <w:trPr>
          <w:trHeight w:val="924"/>
        </w:trPr>
        <w:tc>
          <w:tcPr>
            <w:tcW w:w="1242" w:type="dxa"/>
            <w:tcBorders>
              <w:top w:val="nil"/>
              <w:left w:val="nil"/>
              <w:bottom w:val="single" w:sz="4" w:space="0" w:color="808080"/>
              <w:right w:val="nil"/>
            </w:tcBorders>
            <w:shd w:val="clear" w:color="auto" w:fill="auto"/>
            <w:vAlign w:val="center"/>
          </w:tcPr>
          <w:p w14:paraId="4B881C4E" w14:textId="70BB4033"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(Scheiman et al 2011)</w:t>
            </w:r>
            <w:r w:rsidRPr="00D87E93">
              <w:rPr>
                <w:rFonts w:ascii="Calibri" w:hAnsi="Calibri" w:cs="Calibri"/>
                <w:color w:val="000000"/>
                <w:sz w:val="20"/>
                <w:szCs w:val="20"/>
              </w:rPr>
              <w:br/>
              <w:t>[Multinational -20 countries]</w:t>
            </w:r>
          </w:p>
        </w:tc>
        <w:tc>
          <w:tcPr>
            <w:tcW w:w="1551" w:type="dxa"/>
            <w:tcBorders>
              <w:top w:val="nil"/>
              <w:left w:val="nil"/>
              <w:bottom w:val="single" w:sz="4" w:space="0" w:color="808080"/>
              <w:right w:val="nil"/>
            </w:tcBorders>
            <w:shd w:val="clear" w:color="auto" w:fill="auto"/>
            <w:vAlign w:val="center"/>
          </w:tcPr>
          <w:p w14:paraId="3FB2BA99" w14:textId="5A9AD644"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RCT</w:t>
            </w:r>
            <w:r w:rsidRPr="00D87E93">
              <w:rPr>
                <w:rFonts w:ascii="Calibri" w:hAnsi="Calibri" w:cs="Calibri"/>
                <w:color w:val="000000"/>
                <w:sz w:val="20"/>
                <w:szCs w:val="20"/>
              </w:rPr>
              <w:br/>
              <w:t>(multicenter)</w:t>
            </w:r>
          </w:p>
        </w:tc>
        <w:tc>
          <w:tcPr>
            <w:tcW w:w="1460" w:type="dxa"/>
            <w:tcBorders>
              <w:top w:val="nil"/>
              <w:left w:val="nil"/>
              <w:bottom w:val="single" w:sz="4" w:space="0" w:color="808080"/>
              <w:right w:val="nil"/>
            </w:tcBorders>
            <w:shd w:val="clear" w:color="auto" w:fill="auto"/>
            <w:vAlign w:val="center"/>
          </w:tcPr>
          <w:p w14:paraId="46AD4664" w14:textId="011AE4B8"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OBERON NCT00441727</w:t>
            </w:r>
          </w:p>
        </w:tc>
        <w:tc>
          <w:tcPr>
            <w:tcW w:w="1035" w:type="dxa"/>
            <w:tcBorders>
              <w:top w:val="nil"/>
              <w:left w:val="nil"/>
              <w:bottom w:val="single" w:sz="4" w:space="0" w:color="808080"/>
              <w:right w:val="nil"/>
            </w:tcBorders>
            <w:shd w:val="clear" w:color="auto" w:fill="auto"/>
            <w:vAlign w:val="center"/>
          </w:tcPr>
          <w:p w14:paraId="007236C2" w14:textId="7FC51D8A"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Cardiovascular disease at high risk for ulcers</w:t>
            </w:r>
          </w:p>
        </w:tc>
        <w:tc>
          <w:tcPr>
            <w:tcW w:w="3784" w:type="dxa"/>
            <w:tcBorders>
              <w:top w:val="nil"/>
              <w:left w:val="nil"/>
              <w:bottom w:val="single" w:sz="4" w:space="0" w:color="808080"/>
              <w:right w:val="nil"/>
            </w:tcBorders>
            <w:shd w:val="clear" w:color="auto" w:fill="auto"/>
            <w:vAlign w:val="center"/>
          </w:tcPr>
          <w:p w14:paraId="38AB6E71" w14:textId="562421FB"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 xml:space="preserve">Inclusion: </w:t>
            </w:r>
            <w:r w:rsidRPr="00D87E93">
              <w:rPr>
                <w:rFonts w:ascii="Calibri" w:hAnsi="Calibri" w:cs="Calibri"/>
                <w:color w:val="000000"/>
                <w:sz w:val="20"/>
                <w:szCs w:val="20"/>
              </w:rPr>
              <w:br/>
              <w:t>- prescribed low dose aspirin daily</w:t>
            </w:r>
            <w:r w:rsidRPr="00D87E93">
              <w:rPr>
                <w:rFonts w:ascii="Calibri" w:hAnsi="Calibri" w:cs="Calibri"/>
                <w:color w:val="000000"/>
                <w:sz w:val="20"/>
                <w:szCs w:val="20"/>
              </w:rPr>
              <w:br/>
              <w:t>- helicobacter pylori negative</w:t>
            </w:r>
            <w:r w:rsidRPr="00D87E93">
              <w:rPr>
                <w:rFonts w:ascii="Calibri" w:hAnsi="Calibri" w:cs="Calibri"/>
                <w:color w:val="000000"/>
                <w:sz w:val="20"/>
                <w:szCs w:val="20"/>
              </w:rPr>
              <w:br/>
              <w:t>- 18 or older with documented history of uncomplicated peptic ulcer; 60 or older with specific risk factors</w:t>
            </w:r>
            <w:r w:rsidRPr="00D87E93">
              <w:rPr>
                <w:rFonts w:ascii="Calibri" w:hAnsi="Calibri" w:cs="Calibri"/>
                <w:color w:val="000000"/>
                <w:sz w:val="20"/>
                <w:szCs w:val="20"/>
              </w:rPr>
              <w:br/>
            </w:r>
            <w:r w:rsidRPr="00D87E93">
              <w:rPr>
                <w:rFonts w:ascii="Calibri" w:hAnsi="Calibri" w:cs="Calibri"/>
                <w:color w:val="000000"/>
                <w:sz w:val="20"/>
                <w:szCs w:val="20"/>
              </w:rPr>
              <w:br/>
              <w:t>Exclusion:</w:t>
            </w:r>
            <w:r w:rsidRPr="00D87E93">
              <w:rPr>
                <w:rFonts w:ascii="Calibri" w:hAnsi="Calibri" w:cs="Calibri"/>
                <w:color w:val="000000"/>
                <w:sz w:val="20"/>
                <w:szCs w:val="20"/>
              </w:rPr>
              <w:br/>
              <w:t xml:space="preserve">- Cardiovascular exclusion criteria: unstable hypertension; recent ACS, PCI, CABG, clinically relevant valvular disease, serious </w:t>
            </w:r>
            <w:r w:rsidRPr="00D87E93">
              <w:rPr>
                <w:rFonts w:ascii="Calibri" w:hAnsi="Calibri" w:cs="Calibri"/>
                <w:color w:val="000000"/>
                <w:sz w:val="20"/>
                <w:szCs w:val="20"/>
              </w:rPr>
              <w:lastRenderedPageBreak/>
              <w:t>cardiac failure and stroke.</w:t>
            </w:r>
            <w:r w:rsidRPr="00D87E93">
              <w:rPr>
                <w:rFonts w:ascii="Calibri" w:hAnsi="Calibri" w:cs="Calibri"/>
                <w:color w:val="000000"/>
                <w:sz w:val="20"/>
                <w:szCs w:val="20"/>
              </w:rPr>
              <w:br/>
              <w:t xml:space="preserve">- Gastrointestinal exclusion criteria: Los Angeles grade C or D erosive (reflux) oesophagitis at baseline; patient-reported severe oesophagitis within 1 year; peptic ulcer at baseline; history of peptic ulcer complications (eg, clinically significant bleeding and/or perforation) and previous gastric or duodenal surgery (patients who had undergone laparoscopic fundoplication were eligible). </w:t>
            </w:r>
            <w:r w:rsidRPr="00D87E93">
              <w:rPr>
                <w:rFonts w:ascii="Calibri" w:hAnsi="Calibri" w:cs="Calibri"/>
                <w:color w:val="000000"/>
                <w:sz w:val="20"/>
                <w:szCs w:val="20"/>
              </w:rPr>
              <w:br/>
              <w:t>- Other exclusion criteria</w:t>
            </w:r>
          </w:p>
        </w:tc>
        <w:tc>
          <w:tcPr>
            <w:tcW w:w="1278" w:type="dxa"/>
            <w:tcBorders>
              <w:top w:val="nil"/>
              <w:left w:val="nil"/>
              <w:bottom w:val="single" w:sz="4" w:space="0" w:color="808080"/>
              <w:right w:val="nil"/>
            </w:tcBorders>
            <w:shd w:val="clear" w:color="auto" w:fill="auto"/>
            <w:vAlign w:val="center"/>
          </w:tcPr>
          <w:p w14:paraId="23B8C736" w14:textId="6F06962B"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lastRenderedPageBreak/>
              <w:t>2,426;</w:t>
            </w:r>
            <w:r w:rsidRPr="00D87E93">
              <w:rPr>
                <w:rFonts w:ascii="Calibri" w:hAnsi="Calibri" w:cs="Calibri"/>
                <w:color w:val="000000"/>
                <w:sz w:val="20"/>
                <w:szCs w:val="20"/>
              </w:rPr>
              <w:br/>
              <w:t>PPI (esomeprazole 40 mg): 817;</w:t>
            </w:r>
            <w:r w:rsidRPr="00D87E93">
              <w:rPr>
                <w:rFonts w:ascii="Calibri" w:hAnsi="Calibri" w:cs="Calibri"/>
                <w:color w:val="000000"/>
                <w:sz w:val="20"/>
                <w:szCs w:val="20"/>
              </w:rPr>
              <w:br/>
              <w:t>PPI (esomeprazole 20 mg): 804;</w:t>
            </w:r>
            <w:r w:rsidRPr="00D87E93">
              <w:rPr>
                <w:rFonts w:ascii="Calibri" w:hAnsi="Calibri" w:cs="Calibri"/>
                <w:color w:val="000000"/>
                <w:sz w:val="20"/>
                <w:szCs w:val="20"/>
              </w:rPr>
              <w:br/>
              <w:t>Placebo: 805;</w:t>
            </w:r>
          </w:p>
        </w:tc>
        <w:tc>
          <w:tcPr>
            <w:tcW w:w="850" w:type="dxa"/>
            <w:tcBorders>
              <w:top w:val="nil"/>
              <w:left w:val="nil"/>
              <w:bottom w:val="single" w:sz="4" w:space="0" w:color="808080"/>
              <w:right w:val="nil"/>
            </w:tcBorders>
            <w:shd w:val="clear" w:color="auto" w:fill="auto"/>
            <w:vAlign w:val="center"/>
          </w:tcPr>
          <w:p w14:paraId="02BF1F9D" w14:textId="6ABBD3DF" w:rsidR="00D87E93" w:rsidRPr="00D87E93" w:rsidRDefault="00D87E93" w:rsidP="00D87E93">
            <w:pPr>
              <w:spacing w:after="0" w:line="240" w:lineRule="auto"/>
              <w:rPr>
                <w:rFonts w:ascii="Calibri" w:eastAsia="Times New Roman" w:hAnsi="Calibri" w:cs="Times New Roman"/>
                <w:sz w:val="20"/>
                <w:szCs w:val="20"/>
                <w:lang w:eastAsia="en-CA"/>
              </w:rPr>
            </w:pPr>
            <w:r w:rsidRPr="00D87E93">
              <w:rPr>
                <w:rFonts w:ascii="Calibri" w:hAnsi="Calibri" w:cs="Calibri"/>
                <w:color w:val="000000"/>
                <w:sz w:val="20"/>
                <w:szCs w:val="20"/>
              </w:rPr>
              <w:t>Esomeprazole 40 mg:  67.7 (range: 21-87);</w:t>
            </w:r>
            <w:r w:rsidRPr="00D87E93">
              <w:rPr>
                <w:rFonts w:ascii="Calibri" w:hAnsi="Calibri" w:cs="Calibri"/>
                <w:color w:val="000000"/>
                <w:sz w:val="20"/>
                <w:szCs w:val="20"/>
              </w:rPr>
              <w:br/>
              <w:t xml:space="preserve">Esomeprazole 20 mg: 67.7 (range: </w:t>
            </w:r>
            <w:r w:rsidRPr="00D87E93">
              <w:rPr>
                <w:rFonts w:ascii="Calibri" w:hAnsi="Calibri" w:cs="Calibri"/>
                <w:color w:val="000000"/>
                <w:sz w:val="20"/>
                <w:szCs w:val="20"/>
              </w:rPr>
              <w:lastRenderedPageBreak/>
              <w:t>24-89);</w:t>
            </w:r>
            <w:r w:rsidRPr="00D87E93">
              <w:rPr>
                <w:rFonts w:ascii="Calibri" w:hAnsi="Calibri" w:cs="Calibri"/>
                <w:color w:val="000000"/>
                <w:sz w:val="20"/>
                <w:szCs w:val="20"/>
              </w:rPr>
              <w:br/>
              <w:t>Placebo: 67.4 (range: 24-94);</w:t>
            </w:r>
          </w:p>
        </w:tc>
        <w:tc>
          <w:tcPr>
            <w:tcW w:w="1276" w:type="dxa"/>
            <w:tcBorders>
              <w:top w:val="nil"/>
              <w:left w:val="nil"/>
              <w:bottom w:val="single" w:sz="4" w:space="0" w:color="808080"/>
              <w:right w:val="nil"/>
            </w:tcBorders>
            <w:shd w:val="clear" w:color="auto" w:fill="auto"/>
            <w:vAlign w:val="center"/>
          </w:tcPr>
          <w:p w14:paraId="792C77F7" w14:textId="7C117C72" w:rsidR="00D87E93" w:rsidRPr="00D87E93" w:rsidRDefault="00D87E93" w:rsidP="002066DB">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lastRenderedPageBreak/>
              <w:t>Esom</w:t>
            </w:r>
            <w:r w:rsidR="002066DB">
              <w:rPr>
                <w:rFonts w:ascii="Calibri" w:hAnsi="Calibri" w:cs="Calibri"/>
                <w:color w:val="000000"/>
                <w:sz w:val="20"/>
                <w:szCs w:val="20"/>
              </w:rPr>
              <w:t>e</w:t>
            </w:r>
            <w:r w:rsidRPr="00D87E93">
              <w:rPr>
                <w:rFonts w:ascii="Calibri" w:hAnsi="Calibri" w:cs="Calibri"/>
                <w:color w:val="000000"/>
                <w:sz w:val="20"/>
                <w:szCs w:val="20"/>
              </w:rPr>
              <w:t>prazole 40 mg:  53.5%;</w:t>
            </w:r>
            <w:r w:rsidRPr="00D87E93">
              <w:rPr>
                <w:rFonts w:ascii="Calibri" w:hAnsi="Calibri" w:cs="Calibri"/>
                <w:color w:val="000000"/>
                <w:sz w:val="20"/>
                <w:szCs w:val="20"/>
              </w:rPr>
              <w:br/>
              <w:t>Esom</w:t>
            </w:r>
            <w:r w:rsidR="002066DB">
              <w:rPr>
                <w:rFonts w:ascii="Calibri" w:hAnsi="Calibri" w:cs="Calibri"/>
                <w:color w:val="000000"/>
                <w:sz w:val="20"/>
                <w:szCs w:val="20"/>
              </w:rPr>
              <w:t>e</w:t>
            </w:r>
            <w:r w:rsidRPr="00D87E93">
              <w:rPr>
                <w:rFonts w:ascii="Calibri" w:hAnsi="Calibri" w:cs="Calibri"/>
                <w:color w:val="000000"/>
                <w:sz w:val="20"/>
                <w:szCs w:val="20"/>
              </w:rPr>
              <w:t>prazole 20 mg: 53.4%;</w:t>
            </w:r>
            <w:r w:rsidRPr="00D87E93">
              <w:rPr>
                <w:rFonts w:ascii="Calibri" w:hAnsi="Calibri" w:cs="Calibri"/>
                <w:color w:val="000000"/>
                <w:sz w:val="20"/>
                <w:szCs w:val="20"/>
              </w:rPr>
              <w:br/>
              <w:t>Placebo: 50.1%</w:t>
            </w:r>
          </w:p>
        </w:tc>
        <w:tc>
          <w:tcPr>
            <w:tcW w:w="993" w:type="dxa"/>
            <w:tcBorders>
              <w:top w:val="nil"/>
              <w:left w:val="nil"/>
              <w:bottom w:val="single" w:sz="4" w:space="0" w:color="808080"/>
              <w:right w:val="nil"/>
            </w:tcBorders>
            <w:shd w:val="clear" w:color="auto" w:fill="auto"/>
            <w:vAlign w:val="center"/>
          </w:tcPr>
          <w:p w14:paraId="3A0325D6" w14:textId="444D1711"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&gt; 80% white</w:t>
            </w:r>
          </w:p>
        </w:tc>
      </w:tr>
      <w:tr w:rsidR="009462F4" w14:paraId="7BC1D52E" w14:textId="77777777" w:rsidTr="00181CD0">
        <w:trPr>
          <w:trHeight w:val="924"/>
        </w:trPr>
        <w:tc>
          <w:tcPr>
            <w:tcW w:w="1242" w:type="dxa"/>
            <w:tcBorders>
              <w:top w:val="nil"/>
              <w:left w:val="nil"/>
              <w:bottom w:val="single" w:sz="4" w:space="0" w:color="808080"/>
              <w:right w:val="nil"/>
            </w:tcBorders>
            <w:shd w:val="clear" w:color="auto" w:fill="FFFFFF"/>
            <w:vAlign w:val="center"/>
            <w:hideMark/>
          </w:tcPr>
          <w:p w14:paraId="363A8FE7" w14:textId="4D442A0C"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{"citationItems":[{"id":"ITEM-1","itemData":{"ISBN":"0172-6390","ISSN":"0172-6390","abstract":"BACKGROUND/AIMS: A prospective randomized study was performed to assess the effectiveness and safety of 5 different methods of hemostasis in selected patients with high-risk bleeding peptic ulcers., METHODOLOGY: Two hundred and eight patients (n = 208; mean age: 61.6 yrs) with endoscopic stigmata of active hemorrhage, non-bleeding vessel or adherent fresh clot were randomized during emergency endoscopy to receive one of the following modalities of endoscopic therapy (with or without pharmacological therapy): I) injection of absolute alcohol (n = 44); II) multipolar electrocoagulation (BICAP; n = 42); III) Nd-YAG laser (n = 40); IV) injection of absolute ethanol + octreotide (n = 42); V) injection of absolute ethanol + omeprazole (n = 40)., RESULTS: The 5 treatment groups were clinically and endoscopically comparable. The initial hemostatic success was &gt; 90% in every group. No significant differences between groups were found in any of the following parameters assessed during hospitalization: incidence of rebleeding (I = 14.8% vs. II = 19.0% vs. III = 16.6% vs. IV = 18.1% vs. V = 20.0%; P &gt; 0.05 mean = 17.7%); incidence of definitive hemostasis (I = 89.3% vs. II = 85.7% vs. III = 86.6% vs. IV = 84.0% vs. V = 86.6%; P &gt; 0.05; mean = 86.5%); incidence of emergency surgery (I = 8.5% vs. II = 11.9% vs. III = 10.0% vs. IV = 6.8% vs. V = 11.1%; P &gt; 0.05; mean = 9.6%); mortality rate (I = 4.2% vs. II = 4.7% vs. III = 3.3% vs. IV = 13.6% vs. V = 4.4%; P &gt; 0.05; mean = 6.2%). Mean age of deceased patients was significantly higher than living patients (71.2 +/- 13.4 vs. 60.9 +/- 14.4; P &lt; 0.05). Approximately 2/3 of the fatal cases were strongly weakened by coexistent medical diseases. The duration of hospital stay was similar for all groups. The BICAP group required less units of blood transfusion (1.9 +/- 1.8 vs. I = 3.0 +/- 2.6; III = 3.5 +/- 3.6; IV = 2.8 +/- 2.3; V = 3.1 +/- 2.5; P &lt; 0.05), perhaps due to the higher mean value of hemoglobin of these patients at hospital admission, compared to all other groups. No significant complications were reported., CONCLUSIONS: This study provides good evidence that injection of absolute ethanol, multipolar electrocoagulation (BICAP) and Nd-YAG laser are equally safe and effective in the endoscopic therapy of acute bleeding peptic ulcers. In contrast, no additional hemostatic benefits arose from the association of pharmacological agents (octreotide or omeprazole) to sclerosis injection.","author":[{"dropping-particle":"","family":"Sofia","given":"C","non-dropping-particle":"","parse-names":false,"suffix":""},{"dropping-particle":"","family":"Portela","given":"F","non-dropping-particle":"","parse-names":false,"suffix":""},{"dropping-particle":"","family":"Gregorio","given":"C","non-dropping-particle":"","parse-names":false,"suffix":""},{"dropping-particle":"","family":"Rosa","given":"A","non-dropping-particle":"","parse-names":false,"suffix":""},{"dropping-particle":"","family":"Camacho","given":"E","non-dropping-particle":"","parse-names":false,"suffix":""},{"dropping-particle":"","family":"Tome","given":"L","non-dropping-particle":"","parse-names":false,"suffix":""},{"dropping-particle":"","family":"Ferreira","given":"M","non-dropping-particle":"","parse-names":false,"suffix":""},{"dropping-particle":"","family":"Andrade","given":"P","non-dropping-particle":"","parse-names":false,"suffix":""},{"dropping-particle":"","family":"Cabral","given":"P","non-dropping-particle":"","parse-names":false,"suffix":""},{"dropping-particle":"","family":"Romaozinho","given":"J","non-dropping-particle":"","parse-names":false,"suffix":""},{"dropping-particle":"","family":"Gouveia","given":"H","non-dropping-particle":"","parse-names":false,"suffix":""},{"dropping-particle":"","family":"Leitao","given":"M","non-dropping-particle":"","parse-names":false,"suffix":""},{"dropping-particle":"","family":"Pimenta","given":"I","non-dropping-particle":"","parse-names":false,"suffix":""},{"dropping-particle":"","family":"Donato","given":"A","non-dropping-particle":"","parse-names":false,"suffix":""},{"dropping-particle":"","family":"Freitas","given":"D","non-dropping-particle":"","parse-names":false,"suffix":""},{"dropping-particle":"","family":"C.","given":"Sofia","non-dropping-particle":"","parse-names":false,"suffix":""},{"dropping-particle":"","family":"F.","given":"Portela","non-dropping-particle":"","parse-names":false,"suffix":""},{"dropping-particle":"","family":"C.","given":"Gregorio","non-dropping-particle":"","parse-names":false,"suffix":""},{"dropping-particle":"","family":"A.","given":"Rosa","non-dropping-particle":"","parse-names":false,"suffix":""},{"dropping-particle":"","family":"E.","given":"Camacho","non-dropping-particle":"","parse-names":false,"suffix":""},{"dropping-particle":"","family":"L.","given":"Tome","non-dropping-particle":"","parse-names":false,"suffix":""},{"dropping-particle":"","family":"M.","given":"Ferreira","non-dropping-particle":"","parse-names":false,"suffix":""},{"dropping-particle":"","family":"P.","given":"Andrade","non-dropping-particle":"","parse-names":false,"suffix":""},{"dropping-particle":"","family":"P.","given":"Cabral","non-dropping-particle":"","parse-names":false,"suffix":""},{"dropping-particle":"","family":"J.","given":"Romaozinho","non-dropping-particle":"","parse-names":false,"suffix":""},{"dropping-particle":"","family":"H.","given":"Gouveia","non-dropping-particle":"","parse-names":false,"suffix":""},{"dropping-particle":"","family":"M.","given":"Leitao","non-dropping-particle":"","parse-names":false,"suffix":""},{"dropping-particle":"","family":"I.","given":"Pimenta","non-dropping-particle":"","parse-names":false,"suffix":""},{"dropping-particle":"","family":"A.","given":"Donato","non-dropping-particle":"","parse-names":false,"suffix":""},{"dropping-particle":"","family":"D.","given":"Freitas","non-dropping-particle":"","parse-names":false,"suffix":""}],"container-title":"Hepato-gastroenterology","id":"ITEM-1","issue":"35","issued":{"date-parts":[["2000"]]},"note":"1178","page":"1332-1336","publisher":"H.G.E. Update Medical Publishing Ltd. (P.O. Box 17257, Athens GR-10024, Greece)","publisher-place":"D. Freitas, Department of Gastroenterology, Coimbra University Hospital, 3000 Coimbra, Portugal","title":"Endoscopic injection therapy vs. multipolar electrocoagulation vs. laser vs. injection + octreotide vs. injection + omeprazole in the treatment of bleeding peptic ulcers. A prospective randomized study.","type":"article-journal","volume":"47"},"uris":["http://www.mendeley.com/documents/?uuid=e354f443-83ff-4ef6-899b-a41ef34f9dd5"]}],"mendeley":{"formattedCitation":"(Sofia et al. 2000)","plainTextFormattedCitation":"(Sofia et al. 2000)","previouslyFormattedCitation":"(Sofia et al. 2000)"},"properties":{"noteIndex":0},"schema":"https://github.com/citation-style-language/schema/raw/master/csl-citation.json"}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(Sofia et al. 2000)</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br/>
              <w:t>(Portugal)</w:t>
            </w:r>
          </w:p>
        </w:tc>
        <w:tc>
          <w:tcPr>
            <w:tcW w:w="1551" w:type="dxa"/>
            <w:tcBorders>
              <w:top w:val="nil"/>
              <w:left w:val="nil"/>
              <w:bottom w:val="single" w:sz="4" w:space="0" w:color="808080"/>
              <w:right w:val="nil"/>
            </w:tcBorders>
            <w:shd w:val="clear" w:color="auto" w:fill="FFFFFF"/>
            <w:vAlign w:val="center"/>
            <w:hideMark/>
          </w:tcPr>
          <w:p w14:paraId="7FAF6B5A"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RCT</w:t>
            </w:r>
            <w:r>
              <w:rPr>
                <w:rFonts w:ascii="Calibri" w:eastAsia="Times New Roman" w:hAnsi="Calibri" w:cs="Times New Roman"/>
                <w:color w:val="000000"/>
                <w:sz w:val="20"/>
                <w:szCs w:val="20"/>
                <w:lang w:eastAsia="en-CA"/>
              </w:rPr>
              <w:br/>
              <w:t>(hospital -1 center)</w:t>
            </w:r>
          </w:p>
        </w:tc>
        <w:tc>
          <w:tcPr>
            <w:tcW w:w="1460" w:type="dxa"/>
            <w:tcBorders>
              <w:top w:val="nil"/>
              <w:left w:val="nil"/>
              <w:bottom w:val="single" w:sz="4" w:space="0" w:color="808080"/>
              <w:right w:val="nil"/>
            </w:tcBorders>
            <w:shd w:val="clear" w:color="auto" w:fill="FFFFFF"/>
            <w:vAlign w:val="center"/>
            <w:hideMark/>
          </w:tcPr>
          <w:p w14:paraId="07B6651E"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w:t>
            </w:r>
          </w:p>
        </w:tc>
        <w:tc>
          <w:tcPr>
            <w:tcW w:w="1035" w:type="dxa"/>
            <w:tcBorders>
              <w:top w:val="nil"/>
              <w:left w:val="nil"/>
              <w:bottom w:val="single" w:sz="4" w:space="0" w:color="808080"/>
              <w:right w:val="nil"/>
            </w:tcBorders>
            <w:shd w:val="clear" w:color="auto" w:fill="FFFFFF"/>
            <w:vAlign w:val="center"/>
            <w:hideMark/>
          </w:tcPr>
          <w:p w14:paraId="7B51E877"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UGIB</w:t>
            </w:r>
          </w:p>
        </w:tc>
        <w:tc>
          <w:tcPr>
            <w:tcW w:w="3784" w:type="dxa"/>
            <w:tcBorders>
              <w:top w:val="nil"/>
              <w:left w:val="nil"/>
              <w:bottom w:val="single" w:sz="4" w:space="0" w:color="808080"/>
              <w:right w:val="nil"/>
            </w:tcBorders>
            <w:shd w:val="clear" w:color="auto" w:fill="FFFFFF"/>
            <w:vAlign w:val="center"/>
            <w:hideMark/>
          </w:tcPr>
          <w:p w14:paraId="105022C2" w14:textId="5F7E4803" w:rsidR="009462F4" w:rsidRDefault="009462F4" w:rsidP="00DE19B3">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Inclusion:</w:t>
            </w:r>
            <w:r>
              <w:rPr>
                <w:rFonts w:ascii="Calibri" w:eastAsia="Times New Roman" w:hAnsi="Calibri" w:cs="Times New Roman"/>
                <w:color w:val="000000"/>
                <w:sz w:val="20"/>
                <w:szCs w:val="20"/>
                <w:lang w:eastAsia="en-CA"/>
              </w:rPr>
              <w:br/>
              <w:t>- UGIB, endoscoped within 24 hours of admission</w:t>
            </w:r>
            <w:r>
              <w:rPr>
                <w:rFonts w:ascii="Calibri" w:eastAsia="Times New Roman" w:hAnsi="Calibri" w:cs="Times New Roman"/>
                <w:color w:val="000000"/>
                <w:sz w:val="20"/>
                <w:szCs w:val="20"/>
                <w:lang w:eastAsia="en-CA"/>
              </w:rPr>
              <w:br/>
              <w:t>- Peptic ulcer with active bleeding, a non-bleeding visible v</w:t>
            </w:r>
            <w:r w:rsidR="00DE19B3">
              <w:rPr>
                <w:rFonts w:ascii="Calibri" w:eastAsia="Times New Roman" w:hAnsi="Calibri" w:cs="Times New Roman"/>
                <w:color w:val="000000"/>
                <w:sz w:val="20"/>
                <w:szCs w:val="20"/>
                <w:lang w:eastAsia="en-CA"/>
              </w:rPr>
              <w:t>essel or an adherent fresh clot</w:t>
            </w:r>
          </w:p>
        </w:tc>
        <w:tc>
          <w:tcPr>
            <w:tcW w:w="1278" w:type="dxa"/>
            <w:tcBorders>
              <w:top w:val="nil"/>
              <w:left w:val="nil"/>
              <w:bottom w:val="single" w:sz="4" w:space="0" w:color="808080"/>
              <w:right w:val="nil"/>
            </w:tcBorders>
            <w:shd w:val="clear" w:color="auto" w:fill="FFFFFF"/>
            <w:vAlign w:val="center"/>
            <w:hideMark/>
          </w:tcPr>
          <w:p w14:paraId="6D5213F6"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208 </w:t>
            </w:r>
            <w:r>
              <w:rPr>
                <w:rFonts w:ascii="Calibri" w:eastAsia="Times New Roman" w:hAnsi="Calibri" w:cs="Times New Roman"/>
                <w:color w:val="000000"/>
                <w:sz w:val="20"/>
                <w:szCs w:val="20"/>
                <w:lang w:eastAsia="en-CA"/>
              </w:rPr>
              <w:br/>
              <w:t>(PPI (omeprazole): 40; No PPI: 44)</w:t>
            </w:r>
          </w:p>
        </w:tc>
        <w:tc>
          <w:tcPr>
            <w:tcW w:w="850" w:type="dxa"/>
            <w:tcBorders>
              <w:top w:val="nil"/>
              <w:left w:val="nil"/>
              <w:bottom w:val="single" w:sz="4" w:space="0" w:color="808080"/>
              <w:right w:val="nil"/>
            </w:tcBorders>
            <w:shd w:val="clear" w:color="auto" w:fill="FFFFFF"/>
            <w:vAlign w:val="center"/>
            <w:hideMark/>
          </w:tcPr>
          <w:p w14:paraId="00D4BA02" w14:textId="77777777" w:rsidR="009462F4" w:rsidRDefault="009462F4">
            <w:pPr>
              <w:spacing w:after="0" w:line="240" w:lineRule="auto"/>
              <w:rPr>
                <w:rFonts w:ascii="Calibri" w:eastAsia="Times New Roman" w:hAnsi="Calibri" w:cs="Times New Roman"/>
                <w:sz w:val="20"/>
                <w:szCs w:val="20"/>
                <w:lang w:eastAsia="en-CA"/>
              </w:rPr>
            </w:pPr>
            <w:r>
              <w:rPr>
                <w:rFonts w:ascii="Calibri" w:eastAsia="Times New Roman" w:hAnsi="Calibri" w:cs="Times New Roman"/>
                <w:sz w:val="20"/>
                <w:szCs w:val="20"/>
                <w:lang w:eastAsia="en-CA"/>
              </w:rPr>
              <w:t>PPI: 59 (17)</w:t>
            </w:r>
            <w:r>
              <w:rPr>
                <w:rFonts w:ascii="Calibri" w:eastAsia="Times New Roman" w:hAnsi="Calibri" w:cs="Times New Roman"/>
                <w:sz w:val="20"/>
                <w:szCs w:val="20"/>
                <w:lang w:eastAsia="en-CA"/>
              </w:rPr>
              <w:br/>
              <w:t>no PPI: 65 (15)</w:t>
            </w:r>
          </w:p>
        </w:tc>
        <w:tc>
          <w:tcPr>
            <w:tcW w:w="1276" w:type="dxa"/>
            <w:tcBorders>
              <w:top w:val="nil"/>
              <w:left w:val="nil"/>
              <w:bottom w:val="single" w:sz="4" w:space="0" w:color="808080"/>
              <w:right w:val="nil"/>
            </w:tcBorders>
            <w:shd w:val="clear" w:color="auto" w:fill="FFFFFF"/>
            <w:vAlign w:val="center"/>
            <w:hideMark/>
          </w:tcPr>
          <w:p w14:paraId="7BF09918"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66</w:t>
            </w:r>
            <w:r>
              <w:rPr>
                <w:rFonts w:ascii="Calibri" w:eastAsia="Times New Roman" w:hAnsi="Calibri" w:cs="Times New Roman"/>
                <w:color w:val="000000"/>
                <w:sz w:val="20"/>
                <w:szCs w:val="20"/>
                <w:lang w:eastAsia="en-CA"/>
              </w:rPr>
              <w:br/>
              <w:t>no PPI: 57</w:t>
            </w:r>
          </w:p>
        </w:tc>
        <w:tc>
          <w:tcPr>
            <w:tcW w:w="993" w:type="dxa"/>
            <w:tcBorders>
              <w:top w:val="nil"/>
              <w:left w:val="nil"/>
              <w:bottom w:val="single" w:sz="4" w:space="0" w:color="808080"/>
              <w:right w:val="nil"/>
            </w:tcBorders>
            <w:shd w:val="clear" w:color="auto" w:fill="FFFFFF"/>
            <w:vAlign w:val="center"/>
            <w:hideMark/>
          </w:tcPr>
          <w:p w14:paraId="582E1AAA"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reported</w:t>
            </w:r>
          </w:p>
        </w:tc>
      </w:tr>
      <w:tr w:rsidR="00D87E93" w14:paraId="472FD629" w14:textId="77777777" w:rsidTr="00646369">
        <w:trPr>
          <w:trHeight w:val="924"/>
        </w:trPr>
        <w:tc>
          <w:tcPr>
            <w:tcW w:w="1242" w:type="dxa"/>
            <w:tcBorders>
              <w:top w:val="nil"/>
              <w:left w:val="nil"/>
              <w:bottom w:val="single" w:sz="4" w:space="0" w:color="808080"/>
              <w:right w:val="nil"/>
            </w:tcBorders>
            <w:shd w:val="clear" w:color="auto" w:fill="FFFFFF"/>
            <w:vAlign w:val="center"/>
            <w:hideMark/>
          </w:tcPr>
          <w:p w14:paraId="0B187921"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Pr>
                <w:rFonts w:ascii="Calibri" w:eastAsia="Times New Roman" w:hAnsi="Calibri" w:cs="Times New Roman"/>
                <w:color w:val="000000"/>
                <w:sz w:val="20"/>
                <w:szCs w:val="20"/>
                <w:lang w:eastAsia="en-CA"/>
              </w:rPr>
              <w:instrText>ADDIN CSL_CITATION {"citationItems":[{"id":"ITEM-1","itemData":{"ISBN":"0017-5749","abstract":"Objectives: To evaluate if esomeprazole prevents recurrent peptic ulcer in adult patients with a history of peptic ulcer receiving low-dose acetylsalicylic acid (ASA, aspirin) for cardiovascular protection in East Asia. Methods: In this prospective, randomised, double-blind, placebo-controlled trial conducted in Japan, Korea and Taiwan, eligible patients receiving low-dose ASA for cardiovascular protection (81-324 mg/day) were randomised to esomeprazole 20 mg/day or placebo for &lt;72 weeks. All patients received concomitant mucosal protection (gefarnate 100 mg/day). The primary endpoint was time to ulcer recurrence (KaplanCMeier analysis). Efficacy findings are presented up to week 48, as per a planned interim analysis within the study protocol. Results: A total of 364 patients (79.9% men; mean age, 67.1 years) comprised the full analysis set (esomeprazole, n=182; placebo, n=182). There was a statistically significant difference in the time to ulcer recurrence between esomeprazole and placebo (HR 0.09; 96.65% CI 0.02 to 0.41; p&lt;0.001). The estimated ulcer-free rate at week 12 was 99.3% (esomeprazole) and 89.0% (placebo). The high estimated ulcer-free rate for esomeprazole was maintained through to week 48 (98.3% vs 81.2% of placebo-treated patients). No factors, other than female gender, reduced time to ulcer recurrence in addition to the effect of esomeprazole (p&lt;0.001). Treatment with esomeprazole was generally well tolerated. Conclusions: Daily esomeprazole 20 mg is efficacious and well tolerated in reducing the recurrence of peptic ulcer in East-Asian patients with a history of ulcers who are taking low-dose ASA for cardiovascular protection.","author":[{"dropping-particle":"","family":"Sugano","given":"K","non-dropping-particle":"","parse-names":false,"suffix":""},{"dropping-particle":"","family":"Choi","given":"M","non-dropping-particle":"","parse-names":false,"suffix":""},{"dropping-particle":"","family":"Lin","given":"J","non-dropping-particle":"","parse-names":false,"suffix":""},{"dropping-particle":"","family":"Goto","given":"S","non-dropping-particle":"","parse-names":false,"suffix":""},{"dropping-particle":"","family":"Okada","given":"Y","non-dropping-particle":"","parse-names":false,"suffix":""},{"dropping-particle":"","family":"Kinoshita","given":"Y","non-dropping-particle":"","parse-names":false,"suffix":""},{"dropping-particle":"","family":"Miwa","given":"H","non-dropping-particle":"","parse-names":false,"suffix":""},{"dropping-particle":"","family":"Chiang","given":"C","non-dropping-particle":"","parse-names":false,"suffix":""},{"dropping-particle":"","family":"Chiba","given":"T","non-dropping-particle":"","parse-names":false,"suffix":""},{"dropping-particle":"","family":"Hori","given":"M","non-dropping-particle":"","parse-names":false,"suffix":""},{"dropping-particle":"","family":"Fukushima","given":"Y","non-dropping-particle":"","parse-names":false,"suffix":""},{"dropping-particle":"","family":"Kim","given":"H","non-dropping-particle":"","parse-names":false,"suffix":""},{"dropping-particle":"","family":"Chang","given":"C","non-dropping-particle":"","parse-names":false,"suffix":""},{"dropping-particle":"","family":"Date","given":"M","non-dropping-particle":"","parse-names":false,"suffix":""}],"container-title":"Gut","id":"ITEM-1","issue":"7","issued":{"date-parts":[["2014"]]},"note":"95","page":"1061-1068","publisher":"BMJ Publishing Group","publisher-place":"K. Sugano, Department of Medicine, Jichi Medical University, 3311-1 Yakushiji, Shimotsuke, Tochigi 329-0498, Japan. E-mail: sugano@jichi.ac.jp","title":"Multinational, double-blind, randomised, placebocontrolled, prospective study of esomeprazole in the prevention of recurrent peptic ulcer in low-dose acetylsalicylic acid users: The lavender* study","type":"article","volume":"63"},"uris":["http://www.mendeley.com/documents/?uuid=6a2aa434-2fb3-4405-8940-d3ac438a9d69"]}],"mendeley":{"formattedCitation":"(Sugano et al. 2014)","plainTextFormattedCitation":"(Sugano et al. 2014)","previouslyFormattedCitation":"(Sugano et al. 2014)"},"properties":{"noteIndex":0},"schema":"https://github.com/citation-style-language/schema/raw/master/csl-citation.json"}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(Sugano et al. 2014)</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t xml:space="preserve"> </w:t>
            </w:r>
            <w:r>
              <w:rPr>
                <w:rFonts w:ascii="Calibri" w:eastAsia="Times New Roman" w:hAnsi="Calibri" w:cs="Times New Roman"/>
                <w:color w:val="000000"/>
                <w:sz w:val="20"/>
                <w:szCs w:val="20"/>
                <w:lang w:eastAsia="en-CA"/>
              </w:rPr>
              <w:br/>
              <w:t>(Japan, Korea and Taiwan)</w:t>
            </w:r>
          </w:p>
        </w:tc>
        <w:tc>
          <w:tcPr>
            <w:tcW w:w="1551" w:type="dxa"/>
            <w:tcBorders>
              <w:top w:val="nil"/>
              <w:left w:val="nil"/>
              <w:bottom w:val="single" w:sz="4" w:space="0" w:color="808080"/>
              <w:right w:val="nil"/>
            </w:tcBorders>
            <w:shd w:val="clear" w:color="auto" w:fill="FFFFFF"/>
            <w:vAlign w:val="center"/>
            <w:hideMark/>
          </w:tcPr>
          <w:p w14:paraId="44EB92AC"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RCT</w:t>
            </w:r>
            <w:r>
              <w:rPr>
                <w:rFonts w:ascii="Calibri" w:eastAsia="Times New Roman" w:hAnsi="Calibri" w:cs="Times New Roman"/>
                <w:color w:val="000000"/>
                <w:sz w:val="20"/>
                <w:szCs w:val="20"/>
                <w:lang w:eastAsia="en-CA"/>
              </w:rPr>
              <w:br/>
              <w:t>(hospitals)</w:t>
            </w:r>
          </w:p>
        </w:tc>
        <w:tc>
          <w:tcPr>
            <w:tcW w:w="1460" w:type="dxa"/>
            <w:tcBorders>
              <w:top w:val="nil"/>
              <w:left w:val="nil"/>
              <w:bottom w:val="single" w:sz="4" w:space="0" w:color="808080"/>
              <w:right w:val="nil"/>
            </w:tcBorders>
            <w:shd w:val="clear" w:color="auto" w:fill="FFFFFF"/>
            <w:vAlign w:val="center"/>
            <w:hideMark/>
          </w:tcPr>
          <w:p w14:paraId="1C66A65B"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LAVENDER study (Low-dose Aspirin-related ulcer recurrence preVENtion unDER esomeprazole); NCT01069939</w:t>
            </w:r>
          </w:p>
        </w:tc>
        <w:tc>
          <w:tcPr>
            <w:tcW w:w="1035" w:type="dxa"/>
            <w:tcBorders>
              <w:top w:val="nil"/>
              <w:left w:val="nil"/>
              <w:bottom w:val="single" w:sz="4" w:space="0" w:color="808080"/>
              <w:right w:val="nil"/>
            </w:tcBorders>
            <w:shd w:val="clear" w:color="auto" w:fill="FFFFFF"/>
            <w:vAlign w:val="center"/>
            <w:hideMark/>
          </w:tcPr>
          <w:p w14:paraId="2908AAAE"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CVD and peptic ulcers</w:t>
            </w:r>
          </w:p>
        </w:tc>
        <w:tc>
          <w:tcPr>
            <w:tcW w:w="3784" w:type="dxa"/>
            <w:tcBorders>
              <w:top w:val="nil"/>
              <w:left w:val="nil"/>
              <w:bottom w:val="single" w:sz="4" w:space="0" w:color="808080"/>
              <w:right w:val="nil"/>
            </w:tcBorders>
            <w:shd w:val="clear" w:color="auto" w:fill="FFFFFF"/>
            <w:vAlign w:val="center"/>
            <w:hideMark/>
          </w:tcPr>
          <w:p w14:paraId="4C88A2D6"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Inclusion:</w:t>
            </w:r>
            <w:r>
              <w:rPr>
                <w:rFonts w:ascii="Calibri" w:eastAsia="Times New Roman" w:hAnsi="Calibri" w:cs="Times New Roman"/>
                <w:color w:val="000000"/>
                <w:sz w:val="20"/>
                <w:szCs w:val="20"/>
                <w:lang w:eastAsia="en-CA"/>
              </w:rPr>
              <w:br/>
              <w:t>- 20+ years</w:t>
            </w:r>
            <w:r>
              <w:rPr>
                <w:rFonts w:ascii="Calibri" w:eastAsia="Times New Roman" w:hAnsi="Calibri" w:cs="Times New Roman"/>
                <w:color w:val="000000"/>
                <w:sz w:val="20"/>
                <w:szCs w:val="20"/>
                <w:lang w:eastAsia="en-CA"/>
              </w:rPr>
              <w:br/>
              <w:t>- medical history of peptic ulcer</w:t>
            </w:r>
            <w:r>
              <w:rPr>
                <w:rFonts w:ascii="Calibri" w:eastAsia="Times New Roman" w:hAnsi="Calibri" w:cs="Times New Roman"/>
                <w:color w:val="000000"/>
                <w:sz w:val="20"/>
                <w:szCs w:val="20"/>
                <w:lang w:eastAsia="en-CA"/>
              </w:rPr>
              <w:br/>
              <w:t>- ulcer scarring or clear evidence of open ulcer according confirmed by endoscopy</w:t>
            </w:r>
            <w:r>
              <w:rPr>
                <w:rFonts w:ascii="Calibri" w:eastAsia="Times New Roman" w:hAnsi="Calibri" w:cs="Times New Roman"/>
                <w:color w:val="000000"/>
                <w:sz w:val="20"/>
                <w:szCs w:val="20"/>
                <w:lang w:eastAsia="en-CA"/>
              </w:rPr>
              <w:br/>
              <w:t>-thrombotic condition (MI, cerebrovascular disease, etc., taking ASA for)</w:t>
            </w:r>
            <w:r>
              <w:rPr>
                <w:rFonts w:ascii="Calibri" w:eastAsia="Times New Roman" w:hAnsi="Calibri" w:cs="Times New Roman"/>
                <w:color w:val="000000"/>
                <w:sz w:val="20"/>
                <w:szCs w:val="20"/>
                <w:lang w:eastAsia="en-CA"/>
              </w:rPr>
              <w:br/>
              <w:t>- non-lactating and negative pregnancy test (for women)</w:t>
            </w:r>
            <w:r>
              <w:rPr>
                <w:rFonts w:ascii="Calibri" w:eastAsia="Times New Roman" w:hAnsi="Calibri" w:cs="Times New Roman"/>
                <w:color w:val="000000"/>
                <w:sz w:val="20"/>
                <w:szCs w:val="20"/>
                <w:lang w:eastAsia="en-CA"/>
              </w:rPr>
              <w:br/>
              <w:t>Exclusion:</w:t>
            </w:r>
            <w:r>
              <w:rPr>
                <w:rFonts w:ascii="Calibri" w:eastAsia="Times New Roman" w:hAnsi="Calibri" w:cs="Times New Roman"/>
                <w:color w:val="000000"/>
                <w:sz w:val="20"/>
                <w:szCs w:val="20"/>
                <w:lang w:eastAsia="en-CA"/>
              </w:rPr>
              <w:br/>
              <w:t>- active ulcer at enrolment (confirmed by endoscopy)</w:t>
            </w:r>
            <w:r>
              <w:rPr>
                <w:rFonts w:ascii="Calibri" w:eastAsia="Times New Roman" w:hAnsi="Calibri" w:cs="Times New Roman"/>
                <w:color w:val="000000"/>
                <w:sz w:val="20"/>
                <w:szCs w:val="20"/>
                <w:lang w:eastAsia="en-CA"/>
              </w:rPr>
              <w:br/>
              <w:t>- history of GI surgery</w:t>
            </w:r>
            <w:r>
              <w:rPr>
                <w:rFonts w:ascii="Calibri" w:eastAsia="Times New Roman" w:hAnsi="Calibri" w:cs="Times New Roman"/>
                <w:color w:val="000000"/>
                <w:sz w:val="20"/>
                <w:szCs w:val="20"/>
                <w:lang w:eastAsia="en-CA"/>
              </w:rPr>
              <w:br/>
              <w:t>- current or past evidence of GI disorder or gastric outlet obstruction</w:t>
            </w:r>
            <w:r>
              <w:rPr>
                <w:rFonts w:ascii="Calibri" w:eastAsia="Times New Roman" w:hAnsi="Calibri" w:cs="Times New Roman"/>
                <w:color w:val="000000"/>
                <w:sz w:val="20"/>
                <w:szCs w:val="20"/>
                <w:lang w:eastAsia="en-CA"/>
              </w:rPr>
              <w:br/>
              <w:t>- malignancy</w:t>
            </w:r>
            <w:r>
              <w:rPr>
                <w:rFonts w:ascii="Calibri" w:eastAsia="Times New Roman" w:hAnsi="Calibri" w:cs="Times New Roman"/>
                <w:color w:val="000000"/>
                <w:sz w:val="20"/>
                <w:szCs w:val="20"/>
                <w:lang w:eastAsia="en-CA"/>
              </w:rPr>
              <w:br/>
            </w:r>
            <w:r>
              <w:rPr>
                <w:rFonts w:ascii="Calibri" w:eastAsia="Times New Roman" w:hAnsi="Calibri" w:cs="Times New Roman"/>
                <w:color w:val="000000"/>
                <w:sz w:val="20"/>
                <w:szCs w:val="20"/>
                <w:lang w:eastAsia="en-CA"/>
              </w:rPr>
              <w:lastRenderedPageBreak/>
              <w:t>- severe disease</w:t>
            </w:r>
            <w:r>
              <w:rPr>
                <w:rFonts w:ascii="Calibri" w:eastAsia="Times New Roman" w:hAnsi="Calibri" w:cs="Times New Roman"/>
                <w:color w:val="000000"/>
                <w:sz w:val="20"/>
                <w:szCs w:val="20"/>
                <w:lang w:eastAsia="en-CA"/>
              </w:rPr>
              <w:br/>
              <w:t>- uncontrolled diabetes</w:t>
            </w:r>
            <w:r>
              <w:rPr>
                <w:rFonts w:ascii="Calibri" w:eastAsia="Times New Roman" w:hAnsi="Calibri" w:cs="Times New Roman"/>
                <w:color w:val="000000"/>
                <w:sz w:val="20"/>
                <w:szCs w:val="20"/>
                <w:lang w:eastAsia="en-CA"/>
              </w:rPr>
              <w:br/>
              <w:t>- unstable hypertension</w:t>
            </w:r>
            <w:r>
              <w:rPr>
                <w:rFonts w:ascii="Calibri" w:eastAsia="Times New Roman" w:hAnsi="Calibri" w:cs="Times New Roman"/>
                <w:color w:val="000000"/>
                <w:sz w:val="20"/>
                <w:szCs w:val="20"/>
                <w:lang w:eastAsia="en-CA"/>
              </w:rPr>
              <w:br/>
              <w:t>- pancreatitis</w:t>
            </w:r>
            <w:r>
              <w:rPr>
                <w:rFonts w:ascii="Calibri" w:eastAsia="Times New Roman" w:hAnsi="Calibri" w:cs="Times New Roman"/>
                <w:color w:val="000000"/>
                <w:sz w:val="20"/>
                <w:szCs w:val="20"/>
                <w:lang w:eastAsia="en-CA"/>
              </w:rPr>
              <w:br/>
              <w:t>- severe pulmonary disease</w:t>
            </w:r>
            <w:r>
              <w:rPr>
                <w:rFonts w:ascii="Calibri" w:eastAsia="Times New Roman" w:hAnsi="Calibri" w:cs="Times New Roman"/>
                <w:color w:val="000000"/>
                <w:sz w:val="20"/>
                <w:szCs w:val="20"/>
                <w:lang w:eastAsia="en-CA"/>
              </w:rPr>
              <w:br/>
              <w:t xml:space="preserve"> - scarring related to other conditions or endoscopic therapy, such as endoscopic mucosal resection or endoscopic submucosal dissection</w:t>
            </w:r>
          </w:p>
        </w:tc>
        <w:tc>
          <w:tcPr>
            <w:tcW w:w="1278" w:type="dxa"/>
            <w:tcBorders>
              <w:top w:val="nil"/>
              <w:left w:val="nil"/>
              <w:bottom w:val="single" w:sz="4" w:space="0" w:color="808080"/>
              <w:right w:val="nil"/>
            </w:tcBorders>
            <w:shd w:val="clear" w:color="auto" w:fill="FFFFFF"/>
            <w:vAlign w:val="center"/>
            <w:hideMark/>
          </w:tcPr>
          <w:p w14:paraId="30DBCC7A"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lastRenderedPageBreak/>
              <w:t>430</w:t>
            </w:r>
            <w:r>
              <w:rPr>
                <w:rFonts w:ascii="Calibri" w:eastAsia="Times New Roman" w:hAnsi="Calibri" w:cs="Times New Roman"/>
                <w:color w:val="000000"/>
                <w:sz w:val="20"/>
                <w:szCs w:val="20"/>
                <w:lang w:eastAsia="en-CA"/>
              </w:rPr>
              <w:br/>
              <w:t>(PPI (esomeprazole):215; No PPI: 215)</w:t>
            </w:r>
          </w:p>
        </w:tc>
        <w:tc>
          <w:tcPr>
            <w:tcW w:w="850" w:type="dxa"/>
            <w:tcBorders>
              <w:top w:val="nil"/>
              <w:left w:val="nil"/>
              <w:bottom w:val="single" w:sz="4" w:space="0" w:color="808080"/>
              <w:right w:val="nil"/>
            </w:tcBorders>
            <w:shd w:val="clear" w:color="auto" w:fill="FFFFFF"/>
            <w:vAlign w:val="center"/>
            <w:hideMark/>
          </w:tcPr>
          <w:p w14:paraId="7B402AE6"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66 (10)</w:t>
            </w:r>
            <w:r>
              <w:rPr>
                <w:rFonts w:ascii="Calibri" w:eastAsia="Times New Roman" w:hAnsi="Calibri" w:cs="Times New Roman"/>
                <w:color w:val="000000"/>
                <w:sz w:val="20"/>
                <w:szCs w:val="20"/>
                <w:lang w:eastAsia="en-CA"/>
              </w:rPr>
              <w:br/>
              <w:t>no PPI: 68 (9)</w:t>
            </w:r>
          </w:p>
        </w:tc>
        <w:tc>
          <w:tcPr>
            <w:tcW w:w="1276" w:type="dxa"/>
            <w:tcBorders>
              <w:top w:val="nil"/>
              <w:left w:val="nil"/>
              <w:bottom w:val="single" w:sz="4" w:space="0" w:color="808080"/>
              <w:right w:val="nil"/>
            </w:tcBorders>
            <w:shd w:val="clear" w:color="auto" w:fill="FFFFFF"/>
            <w:vAlign w:val="center"/>
            <w:hideMark/>
          </w:tcPr>
          <w:p w14:paraId="67BABDCD"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80</w:t>
            </w:r>
          </w:p>
        </w:tc>
        <w:tc>
          <w:tcPr>
            <w:tcW w:w="993" w:type="dxa"/>
            <w:tcBorders>
              <w:top w:val="nil"/>
              <w:left w:val="nil"/>
              <w:bottom w:val="single" w:sz="4" w:space="0" w:color="808080"/>
              <w:right w:val="nil"/>
            </w:tcBorders>
            <w:shd w:val="clear" w:color="auto" w:fill="FFFFFF"/>
            <w:vAlign w:val="center"/>
            <w:hideMark/>
          </w:tcPr>
          <w:p w14:paraId="0210523E"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Asian</w:t>
            </w:r>
          </w:p>
        </w:tc>
      </w:tr>
      <w:tr w:rsidR="00D87E93" w14:paraId="29048A6E" w14:textId="77777777" w:rsidTr="00646369">
        <w:trPr>
          <w:trHeight w:val="288"/>
        </w:trPr>
        <w:tc>
          <w:tcPr>
            <w:tcW w:w="1242" w:type="dxa"/>
            <w:tcBorders>
              <w:top w:val="nil"/>
              <w:left w:val="nil"/>
              <w:bottom w:val="single" w:sz="8" w:space="0" w:color="auto"/>
              <w:right w:val="nil"/>
            </w:tcBorders>
            <w:shd w:val="clear" w:color="auto" w:fill="FFFFFF"/>
            <w:vAlign w:val="center"/>
            <w:hideMark/>
          </w:tcPr>
          <w:p w14:paraId="78E53A43"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Pr>
                <w:rFonts w:ascii="Calibri" w:eastAsia="Times New Roman" w:hAnsi="Calibri" w:cs="Times New Roman"/>
                <w:color w:val="000000"/>
                <w:sz w:val="20"/>
                <w:szCs w:val="20"/>
                <w:lang w:eastAsia="en-CA"/>
              </w:rPr>
              <w:instrText>ADDIN CSL_CITATION {"citationItems":[{"id":"ITEM-1","itemData":{"ISBN":"0002-8703","abstract":"Background Discontinuations and/or interruptions in aspirin therapy for secondary cardioprotection due to upper gastrointestinal (UGI) complications or symptoms have been shown to increase the risk for subsequent cardiovascular events. PA32540 is a coordinated-delivery, combination tablet consisting of enteric-coated aspirin (EC-ASA) 325 mg and immediate-release (IR) omeprazole 40 mg. Methods Two identically-designed, 6-month, randomized, double-blind trials evaluated PA32540 vs. EC-ASA 325 mg in a secondary cardiovascular disease prevention population taking aspirin 325 mg daily for &gt;3 months and at risk for ASA-associated gastric ulcers (GUs). The combined study population was 1049 subjects (524 randomized to PA32540, 525 to EC-ASA 325 mg). The primary endpoint was the occurrence of endoscopically-determined gastric ulceration over 6 months. Safety outcomes included the rates of major adverse cardiovascular events (MACE) and UGI symptoms. Results Significantly fewer PA32540-treated subjects (3.2%) developed endoscopic GUs vs. EC-ASA 325 mg-treated subjects (8.6%) (P &lt;.001). Overall occurrence of MACE was low (2.1%), with no significant differences between treatments in types or incidence of MACE. PA32540-treated subjects had significantly fewer UGI symptoms (P &lt;.001) and significantly fewer discontinuations due to pre-specified UGI adverse events (1.5% vs. 8.2%, respectively; P &lt;.001). Conclusions PA32540 reduced the incidence of endoscopic GUs compared to EC-ASA 325 mg, but with a similar cardiovascular event profile. Due to fewer UGI symptoms, continuation on aspirin therapy was greater in the PA32540 treatment arm.","author":[{"dropping-particle":"","family":"Whellan","given":"DJ","non-dropping-particle":"","parse-names":false,"suffix":""},{"dropping-particle":"","family":"Goldstein","given":"JL","non-dropping-particle":"","parse-names":false,"suffix":""},{"dropping-particle":"","family":"Cryer","given":"BL","non-dropping-particle":"","parse-names":false,"suffix":""},{"dropping-particle":"","family":"Eisen","given":"GM","non-dropping-particle":"","parse-names":false,"suffix":""},{"dropping-particle":"","family":"Lanas","given":"A","non-dropping-particle":"","parse-names":false,"suffix":""},{"dropping-particle":"","family":"Miller","given":"AB","non-dropping-particle":"","parse-names":false,"suffix":""},{"dropping-particle":"","family":"Scheiman","given":"JM","non-dropping-particle":"","parse-names":false,"suffix":""},{"dropping-particle":"","family":"Fort","given":"JG","non-dropping-particle":"","parse-names":false,"suffix":""},{"dropping-particle":"","family":"Zhang","given":"Y","non-dropping-particle":"","parse-names":false,"suffix":""},{"dropping-particle":"","family":"O'Connor","given":"C","non-dropping-particle":"","parse-names":false,"suffix":""}],"container-title":"American Heart Journal","id":"ITEM-1","issue":"4","issued":{"date-parts":[["2014"]]},"note":"83","page":"495","publisher":"Mosby Inc.","publisher-place":"D.J. Whellan, 1015 Chestnut Street, Philadelphia, PA 19107, United States","title":"PA32540 (a coordinated-delivery tablet of enteric-coated aspirin 325 mg and immediate-release omeprazole 40 mg) versus enteric-coated aspirin 325 mg alone in subjects at risk for aspirin-associated gastric ulcers: Results of two 6-month, phase 3 studies","type":"article","volume":"168"},"uris":["http://www.mendeley.com/documents/?uuid=baa27712-0d7e-4aad-86de-c9b6f136f972"]}],"mendeley":{"formattedCitation":"(Whellan et al. 2014)","plainTextFormattedCitation":"(Whellan et al. 2014)","previouslyFormattedCitation":"(Whellan et al. 2014)"},"properties":{"noteIndex":0},"schema":"https://github.com/citation-style-language/schema/raw/master/csl-citation.json"}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(Whellan et al. 2014)</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br/>
              <w:t>(USA)</w:t>
            </w:r>
          </w:p>
        </w:tc>
        <w:tc>
          <w:tcPr>
            <w:tcW w:w="1551" w:type="dxa"/>
            <w:tcBorders>
              <w:top w:val="nil"/>
              <w:left w:val="nil"/>
              <w:bottom w:val="single" w:sz="8" w:space="0" w:color="auto"/>
              <w:right w:val="nil"/>
            </w:tcBorders>
            <w:shd w:val="clear" w:color="auto" w:fill="FFFFFF"/>
            <w:vAlign w:val="center"/>
            <w:hideMark/>
          </w:tcPr>
          <w:p w14:paraId="0CF91A73"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RCT</w:t>
            </w:r>
            <w:r>
              <w:rPr>
                <w:rFonts w:ascii="Calibri" w:eastAsia="Times New Roman" w:hAnsi="Calibri" w:cs="Times New Roman"/>
                <w:color w:val="000000"/>
                <w:sz w:val="20"/>
                <w:szCs w:val="20"/>
                <w:lang w:eastAsia="en-CA"/>
              </w:rPr>
              <w:br/>
              <w:t>(hospitals (78 centers))</w:t>
            </w:r>
          </w:p>
        </w:tc>
        <w:tc>
          <w:tcPr>
            <w:tcW w:w="1460" w:type="dxa"/>
            <w:tcBorders>
              <w:top w:val="nil"/>
              <w:left w:val="nil"/>
              <w:bottom w:val="single" w:sz="8" w:space="0" w:color="auto"/>
              <w:right w:val="nil"/>
            </w:tcBorders>
            <w:shd w:val="clear" w:color="auto" w:fill="FFFFFF"/>
            <w:vAlign w:val="center"/>
            <w:hideMark/>
          </w:tcPr>
          <w:p w14:paraId="4B7855DD"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NCT00960869 and NCT00961350</w:t>
            </w:r>
          </w:p>
        </w:tc>
        <w:tc>
          <w:tcPr>
            <w:tcW w:w="1035" w:type="dxa"/>
            <w:tcBorders>
              <w:top w:val="nil"/>
              <w:left w:val="nil"/>
              <w:bottom w:val="single" w:sz="8" w:space="0" w:color="auto"/>
              <w:right w:val="nil"/>
            </w:tcBorders>
            <w:shd w:val="clear" w:color="auto" w:fill="FFFFFF"/>
            <w:vAlign w:val="center"/>
            <w:hideMark/>
          </w:tcPr>
          <w:p w14:paraId="6282DFF1"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CVD or CVA disease/ high risk for gastric ulcers</w:t>
            </w:r>
          </w:p>
        </w:tc>
        <w:tc>
          <w:tcPr>
            <w:tcW w:w="3784" w:type="dxa"/>
            <w:tcBorders>
              <w:top w:val="nil"/>
              <w:left w:val="nil"/>
              <w:bottom w:val="single" w:sz="8" w:space="0" w:color="auto"/>
              <w:right w:val="nil"/>
            </w:tcBorders>
            <w:shd w:val="clear" w:color="auto" w:fill="FFFFFF"/>
            <w:vAlign w:val="center"/>
            <w:hideMark/>
          </w:tcPr>
          <w:p w14:paraId="51D60687"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Inclusion:</w:t>
            </w:r>
            <w:r>
              <w:rPr>
                <w:rFonts w:ascii="Calibri" w:eastAsia="Times New Roman" w:hAnsi="Calibri" w:cs="Times New Roman"/>
                <w:color w:val="000000"/>
                <w:sz w:val="20"/>
                <w:szCs w:val="20"/>
                <w:lang w:eastAsia="en-CA"/>
              </w:rPr>
              <w:br/>
              <w:t>- established CV or cerebrovascular disease</w:t>
            </w:r>
            <w:r>
              <w:rPr>
                <w:rFonts w:ascii="Calibri" w:eastAsia="Times New Roman" w:hAnsi="Calibri" w:cs="Times New Roman"/>
                <w:color w:val="000000"/>
                <w:sz w:val="20"/>
                <w:szCs w:val="20"/>
                <w:lang w:eastAsia="en-CA"/>
              </w:rPr>
              <w:br/>
              <w:t>- taking ASA from 6 months or more</w:t>
            </w:r>
            <w:r>
              <w:rPr>
                <w:rFonts w:ascii="Calibri" w:eastAsia="Times New Roman" w:hAnsi="Calibri" w:cs="Times New Roman"/>
                <w:color w:val="000000"/>
                <w:sz w:val="20"/>
                <w:szCs w:val="20"/>
                <w:lang w:eastAsia="en-CA"/>
              </w:rPr>
              <w:br/>
              <w:t>- at risk for ASA associated gastric ulcerations (either 55+ years, or 18-45 years with documented history peptic ulcer in the 5 years before study entry</w:t>
            </w:r>
            <w:r>
              <w:rPr>
                <w:rFonts w:ascii="Calibri" w:eastAsia="Times New Roman" w:hAnsi="Calibri" w:cs="Times New Roman"/>
                <w:color w:val="000000"/>
                <w:sz w:val="20"/>
                <w:szCs w:val="20"/>
                <w:lang w:eastAsia="en-CA"/>
              </w:rPr>
              <w:br/>
              <w:t>Exclusion:</w:t>
            </w:r>
            <w:r>
              <w:rPr>
                <w:rFonts w:ascii="Calibri" w:eastAsia="Times New Roman" w:hAnsi="Calibri" w:cs="Times New Roman"/>
                <w:color w:val="000000"/>
                <w:sz w:val="20"/>
                <w:szCs w:val="20"/>
                <w:lang w:eastAsia="en-CA"/>
              </w:rPr>
              <w:br/>
              <w:t>-ulcer 3mm or more3 with depth at screening/baseline endoscopy</w:t>
            </w:r>
            <w:r>
              <w:rPr>
                <w:rFonts w:ascii="Calibri" w:eastAsia="Times New Roman" w:hAnsi="Calibri" w:cs="Times New Roman"/>
                <w:color w:val="000000"/>
                <w:sz w:val="20"/>
                <w:szCs w:val="20"/>
                <w:lang w:eastAsia="en-CA"/>
              </w:rPr>
              <w:br/>
              <w:t>-positive H pylori at screening</w:t>
            </w:r>
            <w:r>
              <w:rPr>
                <w:rFonts w:ascii="Calibri" w:eastAsia="Times New Roman" w:hAnsi="Calibri" w:cs="Times New Roman"/>
                <w:color w:val="000000"/>
                <w:sz w:val="20"/>
                <w:szCs w:val="20"/>
                <w:lang w:eastAsia="en-CA"/>
              </w:rPr>
              <w:br/>
              <w:t>-history of serious UGI event/disorder</w:t>
            </w:r>
            <w:r>
              <w:rPr>
                <w:rFonts w:ascii="Calibri" w:eastAsia="Times New Roman" w:hAnsi="Calibri" w:cs="Times New Roman"/>
                <w:color w:val="000000"/>
                <w:sz w:val="20"/>
                <w:szCs w:val="20"/>
                <w:lang w:eastAsia="en-CA"/>
              </w:rPr>
              <w:br/>
              <w:t>-surgery leading to impaired drug absorption</w:t>
            </w:r>
            <w:r>
              <w:rPr>
                <w:rFonts w:ascii="Calibri" w:eastAsia="Times New Roman" w:hAnsi="Calibri" w:cs="Times New Roman"/>
                <w:color w:val="000000"/>
                <w:sz w:val="20"/>
                <w:szCs w:val="20"/>
                <w:lang w:eastAsia="en-CA"/>
              </w:rPr>
              <w:br/>
              <w:t>-recent coronary revascularization</w:t>
            </w:r>
          </w:p>
        </w:tc>
        <w:tc>
          <w:tcPr>
            <w:tcW w:w="1278" w:type="dxa"/>
            <w:tcBorders>
              <w:top w:val="nil"/>
              <w:left w:val="nil"/>
              <w:bottom w:val="single" w:sz="8" w:space="0" w:color="auto"/>
              <w:right w:val="nil"/>
            </w:tcBorders>
            <w:shd w:val="clear" w:color="auto" w:fill="FFFFFF"/>
            <w:vAlign w:val="center"/>
            <w:hideMark/>
          </w:tcPr>
          <w:p w14:paraId="1AC54B0D"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1,049</w:t>
            </w:r>
            <w:r>
              <w:rPr>
                <w:rFonts w:ascii="Calibri" w:eastAsia="Times New Roman" w:hAnsi="Calibri" w:cs="Times New Roman"/>
                <w:color w:val="000000"/>
                <w:sz w:val="20"/>
                <w:szCs w:val="20"/>
                <w:lang w:eastAsia="en-CA"/>
              </w:rPr>
              <w:br/>
              <w:t>(PPI: 524; No PPI: 525)</w:t>
            </w:r>
          </w:p>
        </w:tc>
        <w:tc>
          <w:tcPr>
            <w:tcW w:w="850" w:type="dxa"/>
            <w:tcBorders>
              <w:top w:val="nil"/>
              <w:left w:val="nil"/>
              <w:bottom w:val="single" w:sz="8" w:space="0" w:color="auto"/>
              <w:right w:val="nil"/>
            </w:tcBorders>
            <w:shd w:val="clear" w:color="auto" w:fill="FFFFFF"/>
            <w:vAlign w:val="center"/>
            <w:hideMark/>
          </w:tcPr>
          <w:p w14:paraId="1DDCFBAE"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66; No PPI: 66</w:t>
            </w:r>
          </w:p>
        </w:tc>
        <w:tc>
          <w:tcPr>
            <w:tcW w:w="1276" w:type="dxa"/>
            <w:tcBorders>
              <w:top w:val="nil"/>
              <w:left w:val="nil"/>
              <w:bottom w:val="single" w:sz="8" w:space="0" w:color="auto"/>
              <w:right w:val="nil"/>
            </w:tcBorders>
            <w:shd w:val="clear" w:color="auto" w:fill="FFFFFF"/>
            <w:vAlign w:val="center"/>
            <w:hideMark/>
          </w:tcPr>
          <w:p w14:paraId="41B00067"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72</w:t>
            </w:r>
            <w:r>
              <w:rPr>
                <w:rFonts w:ascii="Calibri" w:eastAsia="Times New Roman" w:hAnsi="Calibri" w:cs="Times New Roman"/>
                <w:color w:val="000000"/>
                <w:sz w:val="20"/>
                <w:szCs w:val="20"/>
                <w:lang w:eastAsia="en-CA"/>
              </w:rPr>
              <w:br/>
              <w:t>no PPI:71</w:t>
            </w:r>
          </w:p>
        </w:tc>
        <w:tc>
          <w:tcPr>
            <w:tcW w:w="993" w:type="dxa"/>
            <w:tcBorders>
              <w:top w:val="nil"/>
              <w:left w:val="nil"/>
              <w:bottom w:val="single" w:sz="8" w:space="0" w:color="auto"/>
              <w:right w:val="nil"/>
            </w:tcBorders>
            <w:shd w:val="clear" w:color="auto" w:fill="FFFFFF"/>
            <w:vAlign w:val="center"/>
            <w:hideMark/>
          </w:tcPr>
          <w:p w14:paraId="180C401E" w14:textId="77777777" w:rsidR="00D87E93" w:rsidRDefault="00D87E93" w:rsidP="00646369">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Caucasian, Asian, African American, Other</w:t>
            </w:r>
            <w:r>
              <w:rPr>
                <w:rFonts w:ascii="Calibri" w:eastAsia="Times New Roman" w:hAnsi="Calibri" w:cs="Times New Roman"/>
                <w:color w:val="000000"/>
                <w:sz w:val="20"/>
                <w:szCs w:val="20"/>
                <w:lang w:eastAsia="en-CA"/>
              </w:rPr>
              <w:br/>
              <w:t>(90%  Caucasian)</w:t>
            </w:r>
          </w:p>
        </w:tc>
      </w:tr>
      <w:tr w:rsidR="00D87E93" w14:paraId="4501CA3C" w14:textId="77777777" w:rsidTr="002F0260">
        <w:trPr>
          <w:trHeight w:val="924"/>
        </w:trPr>
        <w:tc>
          <w:tcPr>
            <w:tcW w:w="1242" w:type="dxa"/>
            <w:tcBorders>
              <w:top w:val="nil"/>
              <w:left w:val="nil"/>
              <w:bottom w:val="single" w:sz="4" w:space="0" w:color="808080"/>
              <w:right w:val="nil"/>
            </w:tcBorders>
            <w:shd w:val="clear" w:color="auto" w:fill="auto"/>
            <w:vAlign w:val="center"/>
          </w:tcPr>
          <w:p w14:paraId="0981FE10" w14:textId="3E417022"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(Yeomans et al 2008)</w:t>
            </w:r>
            <w:r w:rsidRPr="00D87E93">
              <w:rPr>
                <w:rFonts w:ascii="Calibri" w:hAnsi="Calibri" w:cs="Calibri"/>
                <w:color w:val="000000"/>
                <w:sz w:val="20"/>
                <w:szCs w:val="20"/>
              </w:rPr>
              <w:br/>
              <w:t>[10 countries]</w:t>
            </w:r>
          </w:p>
        </w:tc>
        <w:tc>
          <w:tcPr>
            <w:tcW w:w="1551" w:type="dxa"/>
            <w:tcBorders>
              <w:top w:val="nil"/>
              <w:left w:val="nil"/>
              <w:bottom w:val="single" w:sz="4" w:space="0" w:color="808080"/>
              <w:right w:val="nil"/>
            </w:tcBorders>
            <w:shd w:val="clear" w:color="auto" w:fill="auto"/>
            <w:vAlign w:val="center"/>
          </w:tcPr>
          <w:p w14:paraId="5AFC5D57" w14:textId="6F7791DB"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RCT</w:t>
            </w:r>
            <w:r w:rsidRPr="00D87E93">
              <w:rPr>
                <w:rFonts w:ascii="Calibri" w:hAnsi="Calibri" w:cs="Calibri"/>
                <w:color w:val="000000"/>
                <w:sz w:val="20"/>
                <w:szCs w:val="20"/>
              </w:rPr>
              <w:br/>
              <w:t xml:space="preserve">(78 centers) </w:t>
            </w:r>
          </w:p>
        </w:tc>
        <w:tc>
          <w:tcPr>
            <w:tcW w:w="1460" w:type="dxa"/>
            <w:tcBorders>
              <w:top w:val="nil"/>
              <w:left w:val="nil"/>
              <w:bottom w:val="single" w:sz="4" w:space="0" w:color="808080"/>
              <w:right w:val="nil"/>
            </w:tcBorders>
            <w:shd w:val="clear" w:color="auto" w:fill="auto"/>
            <w:vAlign w:val="center"/>
          </w:tcPr>
          <w:p w14:paraId="1E95AEEB" w14:textId="59235FAA"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NCT00251966;</w:t>
            </w:r>
            <w:r w:rsidRPr="00D87E93">
              <w:rPr>
                <w:rFonts w:ascii="Calibri" w:hAnsi="Calibri" w:cs="Calibri"/>
                <w:color w:val="000000"/>
                <w:sz w:val="20"/>
                <w:szCs w:val="20"/>
              </w:rPr>
              <w:br/>
              <w:t>AstraZeneca study code: D9617C00011</w:t>
            </w:r>
          </w:p>
        </w:tc>
        <w:tc>
          <w:tcPr>
            <w:tcW w:w="1035" w:type="dxa"/>
            <w:tcBorders>
              <w:top w:val="nil"/>
              <w:left w:val="nil"/>
              <w:bottom w:val="single" w:sz="4" w:space="0" w:color="808080"/>
              <w:right w:val="nil"/>
            </w:tcBorders>
            <w:shd w:val="clear" w:color="auto" w:fill="auto"/>
            <w:vAlign w:val="center"/>
          </w:tcPr>
          <w:p w14:paraId="6F643ED1" w14:textId="3D19E62F"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60 or over and receiving low dose aspirin</w:t>
            </w:r>
          </w:p>
        </w:tc>
        <w:tc>
          <w:tcPr>
            <w:tcW w:w="3784" w:type="dxa"/>
            <w:tcBorders>
              <w:top w:val="nil"/>
              <w:left w:val="nil"/>
              <w:bottom w:val="single" w:sz="4" w:space="0" w:color="808080"/>
              <w:right w:val="nil"/>
            </w:tcBorders>
            <w:shd w:val="clear" w:color="auto" w:fill="auto"/>
            <w:vAlign w:val="center"/>
          </w:tcPr>
          <w:p w14:paraId="73CAC2C5" w14:textId="6818C095"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Inclusion:</w:t>
            </w:r>
            <w:r w:rsidRPr="00D87E93">
              <w:rPr>
                <w:rFonts w:ascii="Calibri" w:hAnsi="Calibri" w:cs="Calibri"/>
                <w:color w:val="000000"/>
                <w:sz w:val="20"/>
                <w:szCs w:val="20"/>
              </w:rPr>
              <w:br/>
              <w:t>- 60 or over</w:t>
            </w:r>
            <w:r w:rsidRPr="00D87E93">
              <w:rPr>
                <w:rFonts w:ascii="Calibri" w:hAnsi="Calibri" w:cs="Calibri"/>
                <w:color w:val="000000"/>
                <w:sz w:val="20"/>
                <w:szCs w:val="20"/>
              </w:rPr>
              <w:br/>
              <w:t>-clinical diagnosis that requires low dose treatment with aspiring expected to continue for 26-weeks</w:t>
            </w:r>
            <w:r w:rsidRPr="00D87E93">
              <w:rPr>
                <w:rFonts w:ascii="Calibri" w:hAnsi="Calibri" w:cs="Calibri"/>
                <w:color w:val="000000"/>
                <w:sz w:val="20"/>
                <w:szCs w:val="20"/>
              </w:rPr>
              <w:br/>
              <w:t>- negative for infection with H.</w:t>
            </w:r>
            <w:r>
              <w:rPr>
                <w:rFonts w:ascii="Calibri" w:hAnsi="Calibri" w:cs="Calibri"/>
                <w:color w:val="000000"/>
                <w:sz w:val="20"/>
                <w:szCs w:val="20"/>
              </w:rPr>
              <w:t xml:space="preserve"> </w:t>
            </w:r>
            <w:r w:rsidRPr="00D87E93">
              <w:rPr>
                <w:rFonts w:ascii="Calibri" w:hAnsi="Calibri" w:cs="Calibri"/>
                <w:color w:val="000000"/>
                <w:sz w:val="20"/>
                <w:szCs w:val="20"/>
              </w:rPr>
              <w:t>pylori</w:t>
            </w:r>
            <w:r w:rsidRPr="00D87E93">
              <w:rPr>
                <w:rFonts w:ascii="Calibri" w:hAnsi="Calibri" w:cs="Calibri"/>
                <w:color w:val="000000"/>
                <w:sz w:val="20"/>
                <w:szCs w:val="20"/>
              </w:rPr>
              <w:br/>
              <w:t xml:space="preserve">-no evidence of duodenal </w:t>
            </w:r>
            <w:r>
              <w:rPr>
                <w:rFonts w:ascii="Calibri" w:hAnsi="Calibri" w:cs="Calibri"/>
                <w:color w:val="000000"/>
                <w:sz w:val="20"/>
                <w:szCs w:val="20"/>
              </w:rPr>
              <w:t>ulcer</w:t>
            </w:r>
            <w:r w:rsidRPr="00D87E93">
              <w:rPr>
                <w:rFonts w:ascii="Calibri" w:hAnsi="Calibri" w:cs="Calibri"/>
                <w:color w:val="000000"/>
                <w:sz w:val="20"/>
                <w:szCs w:val="20"/>
              </w:rPr>
              <w:t xml:space="preserve"> at baseline</w:t>
            </w:r>
            <w:r w:rsidRPr="00D87E93">
              <w:rPr>
                <w:rFonts w:ascii="Calibri" w:hAnsi="Calibri" w:cs="Calibri"/>
                <w:color w:val="000000"/>
                <w:sz w:val="20"/>
                <w:szCs w:val="20"/>
              </w:rPr>
              <w:br/>
            </w:r>
            <w:r w:rsidRPr="00D87E93">
              <w:rPr>
                <w:rFonts w:ascii="Calibri" w:hAnsi="Calibri" w:cs="Calibri"/>
                <w:color w:val="000000"/>
                <w:sz w:val="20"/>
                <w:szCs w:val="20"/>
              </w:rPr>
              <w:br/>
              <w:t>Exclusion:</w:t>
            </w:r>
            <w:r w:rsidRPr="00D87E93">
              <w:rPr>
                <w:rFonts w:ascii="Calibri" w:hAnsi="Calibri" w:cs="Calibri"/>
                <w:color w:val="000000"/>
                <w:sz w:val="20"/>
                <w:szCs w:val="20"/>
              </w:rPr>
              <w:br/>
              <w:t>- erosive esophagitis (</w:t>
            </w:r>
            <w:r>
              <w:rPr>
                <w:rFonts w:ascii="Calibri" w:hAnsi="Calibri" w:cs="Calibri"/>
                <w:color w:val="000000"/>
                <w:sz w:val="20"/>
                <w:szCs w:val="20"/>
              </w:rPr>
              <w:t>Grade</w:t>
            </w:r>
            <w:r w:rsidRPr="00D87E93">
              <w:rPr>
                <w:rFonts w:ascii="Calibri" w:hAnsi="Calibri" w:cs="Calibri"/>
                <w:color w:val="000000"/>
                <w:sz w:val="20"/>
                <w:szCs w:val="20"/>
              </w:rPr>
              <w:t xml:space="preserve"> B-D) at </w:t>
            </w:r>
            <w:r w:rsidRPr="00D87E93">
              <w:rPr>
                <w:rFonts w:ascii="Calibri" w:hAnsi="Calibri" w:cs="Calibri"/>
                <w:color w:val="000000"/>
                <w:sz w:val="20"/>
                <w:szCs w:val="20"/>
              </w:rPr>
              <w:lastRenderedPageBreak/>
              <w:t xml:space="preserve">baseline </w:t>
            </w:r>
            <w:r w:rsidRPr="00D87E93">
              <w:rPr>
                <w:rFonts w:ascii="Calibri" w:hAnsi="Calibri" w:cs="Calibri"/>
                <w:color w:val="000000"/>
                <w:sz w:val="20"/>
                <w:szCs w:val="20"/>
              </w:rPr>
              <w:br/>
              <w:t>- Barrett's esophagus</w:t>
            </w:r>
            <w:r w:rsidRPr="00D87E93">
              <w:rPr>
                <w:rFonts w:ascii="Calibri" w:hAnsi="Calibri" w:cs="Calibri"/>
                <w:color w:val="000000"/>
                <w:sz w:val="20"/>
                <w:szCs w:val="20"/>
              </w:rPr>
              <w:br/>
              <w:t>-dysplastic changes in esophagus</w:t>
            </w:r>
            <w:r w:rsidRPr="00D87E93">
              <w:rPr>
                <w:rFonts w:ascii="Calibri" w:hAnsi="Calibri" w:cs="Calibri"/>
                <w:color w:val="000000"/>
                <w:sz w:val="20"/>
                <w:szCs w:val="20"/>
              </w:rPr>
              <w:br/>
              <w:t>-other gastroduodenal pathology</w:t>
            </w:r>
            <w:r w:rsidRPr="00D87E93">
              <w:rPr>
                <w:rFonts w:ascii="Calibri" w:hAnsi="Calibri" w:cs="Calibri"/>
                <w:color w:val="000000"/>
                <w:sz w:val="20"/>
                <w:szCs w:val="20"/>
              </w:rPr>
              <w:br/>
              <w:t>- unstable angina, MI, stroke, TIA in prior 3 months</w:t>
            </w:r>
            <w:r w:rsidRPr="00D87E93">
              <w:rPr>
                <w:rFonts w:ascii="Calibri" w:hAnsi="Calibri" w:cs="Calibri"/>
                <w:color w:val="000000"/>
                <w:sz w:val="20"/>
                <w:szCs w:val="20"/>
              </w:rPr>
              <w:br/>
              <w:t>- upper GI symptoms r</w:t>
            </w:r>
            <w:r>
              <w:rPr>
                <w:rFonts w:ascii="Calibri" w:hAnsi="Calibri" w:cs="Calibri"/>
                <w:color w:val="000000"/>
                <w:sz w:val="20"/>
                <w:szCs w:val="20"/>
              </w:rPr>
              <w:t>equiring treatment</w:t>
            </w:r>
            <w:r>
              <w:rPr>
                <w:rFonts w:ascii="Calibri" w:hAnsi="Calibri" w:cs="Calibri"/>
                <w:color w:val="000000"/>
                <w:sz w:val="20"/>
                <w:szCs w:val="20"/>
              </w:rPr>
              <w:br/>
              <w:t>- receiving specific medications</w:t>
            </w:r>
            <w:r w:rsidRPr="00D87E93">
              <w:rPr>
                <w:rFonts w:ascii="Calibri" w:hAnsi="Calibri" w:cs="Calibri"/>
                <w:color w:val="000000"/>
                <w:sz w:val="20"/>
                <w:szCs w:val="20"/>
              </w:rPr>
              <w:br/>
              <w:t>- received a PPI, prostaglandin analogue, or H2RA during in the prior 14 days</w:t>
            </w:r>
          </w:p>
        </w:tc>
        <w:tc>
          <w:tcPr>
            <w:tcW w:w="1278" w:type="dxa"/>
            <w:tcBorders>
              <w:top w:val="nil"/>
              <w:left w:val="nil"/>
              <w:bottom w:val="single" w:sz="4" w:space="0" w:color="808080"/>
              <w:right w:val="nil"/>
            </w:tcBorders>
            <w:shd w:val="clear" w:color="auto" w:fill="auto"/>
            <w:vAlign w:val="center"/>
          </w:tcPr>
          <w:p w14:paraId="449F00AB" w14:textId="14EA0943"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lastRenderedPageBreak/>
              <w:t>991;</w:t>
            </w:r>
            <w:r w:rsidRPr="00D87E93">
              <w:rPr>
                <w:rFonts w:ascii="Calibri" w:hAnsi="Calibri" w:cs="Calibri"/>
                <w:color w:val="000000"/>
                <w:sz w:val="20"/>
                <w:szCs w:val="20"/>
              </w:rPr>
              <w:br/>
              <w:t xml:space="preserve">Esomeprazole 493; </w:t>
            </w:r>
            <w:r w:rsidRPr="00D87E93">
              <w:rPr>
                <w:rFonts w:ascii="Calibri" w:hAnsi="Calibri" w:cs="Calibri"/>
                <w:color w:val="000000"/>
                <w:sz w:val="20"/>
                <w:szCs w:val="20"/>
              </w:rPr>
              <w:br/>
              <w:t>Placebo: 498;</w:t>
            </w:r>
          </w:p>
        </w:tc>
        <w:tc>
          <w:tcPr>
            <w:tcW w:w="850" w:type="dxa"/>
            <w:tcBorders>
              <w:top w:val="nil"/>
              <w:left w:val="nil"/>
              <w:bottom w:val="single" w:sz="4" w:space="0" w:color="808080"/>
              <w:right w:val="nil"/>
            </w:tcBorders>
            <w:shd w:val="clear" w:color="auto" w:fill="auto"/>
            <w:vAlign w:val="center"/>
          </w:tcPr>
          <w:p w14:paraId="22E978C3" w14:textId="71721EC3" w:rsidR="00D87E93" w:rsidRPr="00D87E93" w:rsidRDefault="00D87E93" w:rsidP="00D87E93">
            <w:pPr>
              <w:spacing w:after="0" w:line="240" w:lineRule="auto"/>
              <w:rPr>
                <w:rFonts w:ascii="Calibri" w:eastAsia="Times New Roman" w:hAnsi="Calibri" w:cs="Times New Roman"/>
                <w:sz w:val="20"/>
                <w:szCs w:val="20"/>
                <w:lang w:eastAsia="en-CA"/>
              </w:rPr>
            </w:pPr>
            <w:r w:rsidRPr="00D87E93">
              <w:rPr>
                <w:rFonts w:ascii="Calibri" w:hAnsi="Calibri" w:cs="Calibri"/>
                <w:color w:val="000000"/>
                <w:sz w:val="20"/>
                <w:szCs w:val="20"/>
              </w:rPr>
              <w:t>Esomeprazole: 69.5 (6.6);</w:t>
            </w:r>
            <w:r w:rsidRPr="00D87E93">
              <w:rPr>
                <w:rFonts w:ascii="Calibri" w:hAnsi="Calibri" w:cs="Calibri"/>
                <w:color w:val="000000"/>
                <w:sz w:val="20"/>
                <w:szCs w:val="20"/>
              </w:rPr>
              <w:br/>
              <w:t>Placebo: 69.1 (6.5);</w:t>
            </w:r>
          </w:p>
        </w:tc>
        <w:tc>
          <w:tcPr>
            <w:tcW w:w="1276" w:type="dxa"/>
            <w:tcBorders>
              <w:top w:val="nil"/>
              <w:left w:val="nil"/>
              <w:bottom w:val="single" w:sz="4" w:space="0" w:color="808080"/>
              <w:right w:val="nil"/>
            </w:tcBorders>
            <w:shd w:val="clear" w:color="auto" w:fill="auto"/>
            <w:vAlign w:val="center"/>
          </w:tcPr>
          <w:p w14:paraId="71CAA61B" w14:textId="42130D5C"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Esomeprazole; 56.8%;</w:t>
            </w:r>
            <w:r w:rsidRPr="00D87E93">
              <w:rPr>
                <w:rFonts w:ascii="Calibri" w:hAnsi="Calibri" w:cs="Calibri"/>
                <w:color w:val="000000"/>
                <w:sz w:val="20"/>
                <w:szCs w:val="20"/>
              </w:rPr>
              <w:br/>
              <w:t>Placebo: 57.4%;</w:t>
            </w:r>
          </w:p>
        </w:tc>
        <w:tc>
          <w:tcPr>
            <w:tcW w:w="993" w:type="dxa"/>
            <w:tcBorders>
              <w:top w:val="nil"/>
              <w:left w:val="nil"/>
              <w:bottom w:val="single" w:sz="4" w:space="0" w:color="808080"/>
              <w:right w:val="nil"/>
            </w:tcBorders>
            <w:shd w:val="clear" w:color="auto" w:fill="auto"/>
            <w:vAlign w:val="center"/>
          </w:tcPr>
          <w:p w14:paraId="06534EC7" w14:textId="6FF45943"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NR</w:t>
            </w:r>
          </w:p>
        </w:tc>
      </w:tr>
      <w:tr w:rsidR="009462F4" w14:paraId="1B79166C" w14:textId="77777777" w:rsidTr="00D87E93">
        <w:trPr>
          <w:trHeight w:val="288"/>
        </w:trPr>
        <w:tc>
          <w:tcPr>
            <w:tcW w:w="1242" w:type="dxa"/>
            <w:tcBorders>
              <w:top w:val="nil"/>
              <w:left w:val="nil"/>
              <w:bottom w:val="single" w:sz="8" w:space="0" w:color="auto"/>
              <w:right w:val="nil"/>
            </w:tcBorders>
            <w:shd w:val="clear" w:color="auto" w:fill="FFFFFF"/>
            <w:vAlign w:val="center"/>
          </w:tcPr>
          <w:p w14:paraId="79F76308" w14:textId="3E7B65F0" w:rsidR="009462F4" w:rsidRDefault="009462F4">
            <w:pPr>
              <w:spacing w:after="0" w:line="240" w:lineRule="auto"/>
              <w:rPr>
                <w:rFonts w:ascii="Calibri" w:eastAsia="Times New Roman" w:hAnsi="Calibri" w:cs="Times New Roman"/>
                <w:color w:val="000000"/>
                <w:sz w:val="20"/>
                <w:szCs w:val="20"/>
                <w:lang w:eastAsia="en-CA"/>
              </w:rPr>
            </w:pPr>
          </w:p>
        </w:tc>
        <w:tc>
          <w:tcPr>
            <w:tcW w:w="1551" w:type="dxa"/>
            <w:tcBorders>
              <w:top w:val="nil"/>
              <w:left w:val="nil"/>
              <w:bottom w:val="single" w:sz="8" w:space="0" w:color="auto"/>
              <w:right w:val="nil"/>
            </w:tcBorders>
            <w:shd w:val="clear" w:color="auto" w:fill="FFFFFF"/>
            <w:vAlign w:val="center"/>
          </w:tcPr>
          <w:p w14:paraId="229F137B" w14:textId="6A3997A4" w:rsidR="009462F4" w:rsidRDefault="009462F4">
            <w:pPr>
              <w:spacing w:after="0" w:line="240" w:lineRule="auto"/>
              <w:rPr>
                <w:rFonts w:ascii="Calibri" w:eastAsia="Times New Roman" w:hAnsi="Calibri" w:cs="Times New Roman"/>
                <w:color w:val="000000"/>
                <w:sz w:val="20"/>
                <w:szCs w:val="20"/>
                <w:lang w:eastAsia="en-CA"/>
              </w:rPr>
            </w:pPr>
          </w:p>
        </w:tc>
        <w:tc>
          <w:tcPr>
            <w:tcW w:w="1460" w:type="dxa"/>
            <w:tcBorders>
              <w:top w:val="nil"/>
              <w:left w:val="nil"/>
              <w:bottom w:val="single" w:sz="8" w:space="0" w:color="auto"/>
              <w:right w:val="nil"/>
            </w:tcBorders>
            <w:shd w:val="clear" w:color="auto" w:fill="FFFFFF"/>
            <w:vAlign w:val="center"/>
          </w:tcPr>
          <w:p w14:paraId="4BBB2CFA" w14:textId="454103BF" w:rsidR="009462F4" w:rsidRDefault="009462F4">
            <w:pPr>
              <w:spacing w:after="0" w:line="240" w:lineRule="auto"/>
              <w:rPr>
                <w:rFonts w:ascii="Calibri" w:eastAsia="Times New Roman" w:hAnsi="Calibri" w:cs="Times New Roman"/>
                <w:color w:val="000000"/>
                <w:sz w:val="20"/>
                <w:szCs w:val="20"/>
                <w:lang w:eastAsia="en-CA"/>
              </w:rPr>
            </w:pPr>
          </w:p>
        </w:tc>
        <w:tc>
          <w:tcPr>
            <w:tcW w:w="1035" w:type="dxa"/>
            <w:tcBorders>
              <w:top w:val="nil"/>
              <w:left w:val="nil"/>
              <w:bottom w:val="single" w:sz="8" w:space="0" w:color="auto"/>
              <w:right w:val="nil"/>
            </w:tcBorders>
            <w:shd w:val="clear" w:color="auto" w:fill="FFFFFF"/>
            <w:vAlign w:val="center"/>
          </w:tcPr>
          <w:p w14:paraId="66B93DBF" w14:textId="0B152534" w:rsidR="009462F4" w:rsidRDefault="009462F4">
            <w:pPr>
              <w:spacing w:after="0" w:line="240" w:lineRule="auto"/>
              <w:rPr>
                <w:rFonts w:ascii="Calibri" w:eastAsia="Times New Roman" w:hAnsi="Calibri" w:cs="Times New Roman"/>
                <w:color w:val="000000"/>
                <w:sz w:val="20"/>
                <w:szCs w:val="20"/>
                <w:lang w:eastAsia="en-CA"/>
              </w:rPr>
            </w:pPr>
          </w:p>
        </w:tc>
        <w:tc>
          <w:tcPr>
            <w:tcW w:w="3784" w:type="dxa"/>
            <w:tcBorders>
              <w:top w:val="nil"/>
              <w:left w:val="nil"/>
              <w:bottom w:val="single" w:sz="8" w:space="0" w:color="auto"/>
              <w:right w:val="nil"/>
            </w:tcBorders>
            <w:shd w:val="clear" w:color="auto" w:fill="FFFFFF"/>
            <w:vAlign w:val="center"/>
          </w:tcPr>
          <w:p w14:paraId="6B82BACD" w14:textId="7FF23CD8" w:rsidR="009462F4" w:rsidRDefault="009462F4" w:rsidP="00DE19B3">
            <w:pPr>
              <w:spacing w:after="0" w:line="240" w:lineRule="auto"/>
              <w:rPr>
                <w:rFonts w:ascii="Calibri" w:eastAsia="Times New Roman" w:hAnsi="Calibri" w:cs="Times New Roman"/>
                <w:color w:val="000000"/>
                <w:sz w:val="20"/>
                <w:szCs w:val="20"/>
                <w:lang w:eastAsia="en-CA"/>
              </w:rPr>
            </w:pPr>
          </w:p>
        </w:tc>
        <w:tc>
          <w:tcPr>
            <w:tcW w:w="1278" w:type="dxa"/>
            <w:tcBorders>
              <w:top w:val="nil"/>
              <w:left w:val="nil"/>
              <w:bottom w:val="single" w:sz="8" w:space="0" w:color="auto"/>
              <w:right w:val="nil"/>
            </w:tcBorders>
            <w:shd w:val="clear" w:color="auto" w:fill="FFFFFF"/>
            <w:vAlign w:val="center"/>
          </w:tcPr>
          <w:p w14:paraId="11453254" w14:textId="32A85C86" w:rsidR="009462F4" w:rsidRDefault="009462F4">
            <w:pPr>
              <w:spacing w:after="0" w:line="240" w:lineRule="auto"/>
              <w:rPr>
                <w:rFonts w:ascii="Calibri" w:eastAsia="Times New Roman" w:hAnsi="Calibri" w:cs="Times New Roman"/>
                <w:color w:val="000000"/>
                <w:sz w:val="20"/>
                <w:szCs w:val="20"/>
                <w:lang w:eastAsia="en-CA"/>
              </w:rPr>
            </w:pPr>
          </w:p>
        </w:tc>
        <w:tc>
          <w:tcPr>
            <w:tcW w:w="850" w:type="dxa"/>
            <w:tcBorders>
              <w:top w:val="nil"/>
              <w:left w:val="nil"/>
              <w:bottom w:val="single" w:sz="8" w:space="0" w:color="auto"/>
              <w:right w:val="nil"/>
            </w:tcBorders>
            <w:shd w:val="clear" w:color="auto" w:fill="FFFFFF"/>
            <w:vAlign w:val="center"/>
          </w:tcPr>
          <w:p w14:paraId="26A86AB4" w14:textId="046F0891" w:rsidR="009462F4" w:rsidRDefault="009462F4">
            <w:pPr>
              <w:spacing w:after="0" w:line="240" w:lineRule="auto"/>
              <w:rPr>
                <w:rFonts w:ascii="Calibri" w:eastAsia="Times New Roman" w:hAnsi="Calibri" w:cs="Times New Roman"/>
                <w:color w:val="000000"/>
                <w:sz w:val="20"/>
                <w:szCs w:val="20"/>
                <w:lang w:eastAsia="en-CA"/>
              </w:rPr>
            </w:pPr>
          </w:p>
        </w:tc>
        <w:tc>
          <w:tcPr>
            <w:tcW w:w="1276" w:type="dxa"/>
            <w:tcBorders>
              <w:top w:val="nil"/>
              <w:left w:val="nil"/>
              <w:bottom w:val="single" w:sz="8" w:space="0" w:color="auto"/>
              <w:right w:val="nil"/>
            </w:tcBorders>
            <w:shd w:val="clear" w:color="auto" w:fill="FFFFFF"/>
            <w:vAlign w:val="center"/>
          </w:tcPr>
          <w:p w14:paraId="261238FC" w14:textId="4EAE0127" w:rsidR="009462F4" w:rsidRDefault="009462F4">
            <w:pPr>
              <w:spacing w:after="0" w:line="240" w:lineRule="auto"/>
              <w:rPr>
                <w:rFonts w:ascii="Calibri" w:eastAsia="Times New Roman" w:hAnsi="Calibri" w:cs="Times New Roman"/>
                <w:color w:val="000000"/>
                <w:sz w:val="20"/>
                <w:szCs w:val="20"/>
                <w:lang w:eastAsia="en-CA"/>
              </w:rPr>
            </w:pPr>
          </w:p>
        </w:tc>
        <w:tc>
          <w:tcPr>
            <w:tcW w:w="993" w:type="dxa"/>
            <w:tcBorders>
              <w:top w:val="nil"/>
              <w:left w:val="nil"/>
              <w:bottom w:val="single" w:sz="8" w:space="0" w:color="auto"/>
              <w:right w:val="nil"/>
            </w:tcBorders>
            <w:shd w:val="clear" w:color="auto" w:fill="FFFFFF"/>
            <w:vAlign w:val="center"/>
          </w:tcPr>
          <w:p w14:paraId="2420DADD" w14:textId="2E3F5509" w:rsidR="009462F4" w:rsidRDefault="009462F4">
            <w:pPr>
              <w:spacing w:after="0" w:line="240" w:lineRule="auto"/>
              <w:rPr>
                <w:rFonts w:ascii="Calibri" w:eastAsia="Times New Roman" w:hAnsi="Calibri" w:cs="Times New Roman"/>
                <w:color w:val="000000"/>
                <w:sz w:val="20"/>
                <w:szCs w:val="20"/>
                <w:lang w:eastAsia="en-CA"/>
              </w:rPr>
            </w:pPr>
          </w:p>
        </w:tc>
      </w:tr>
    </w:tbl>
    <w:p w14:paraId="0F5DE150" w14:textId="770FCB66" w:rsidR="009462F4" w:rsidRPr="00342532" w:rsidRDefault="00342532" w:rsidP="009462F4">
      <w:pPr>
        <w:rPr>
          <w:rFonts w:eastAsia="Batang"/>
          <w:sz w:val="20"/>
          <w:szCs w:val="20"/>
        </w:rPr>
      </w:pPr>
      <w:r w:rsidRPr="00342532">
        <w:rPr>
          <w:rFonts w:eastAsia="Batang"/>
          <w:sz w:val="20"/>
          <w:szCs w:val="20"/>
          <w:vertAlign w:val="superscript"/>
        </w:rPr>
        <w:t>1</w:t>
      </w:r>
      <w:r w:rsidRPr="00342532">
        <w:rPr>
          <w:rFonts w:eastAsia="Batang"/>
          <w:sz w:val="20"/>
          <w:szCs w:val="20"/>
        </w:rPr>
        <w:t xml:space="preserve"> These two publications referred to the same study. Data was extracted from both papers.</w:t>
      </w:r>
    </w:p>
    <w:p w14:paraId="5D6DA8E5" w14:textId="4922E755" w:rsidR="00B842AC" w:rsidRDefault="009462F4" w:rsidP="00B842AC">
      <w:pPr>
        <w:pStyle w:val="Heading4"/>
        <w:rPr>
          <w:b w:val="0"/>
          <w:bCs w:val="0"/>
          <w:i w:val="0"/>
          <w:iCs w:val="0"/>
        </w:rPr>
      </w:pPr>
      <w:r>
        <w:br w:type="page"/>
      </w:r>
    </w:p>
    <w:p w14:paraId="173AEDD3" w14:textId="30EEE49F" w:rsidR="009462F4" w:rsidRDefault="009462F4" w:rsidP="00B842AC">
      <w:pPr>
        <w:pStyle w:val="Heading4"/>
        <w:ind w:left="0" w:firstLine="0"/>
      </w:pPr>
      <w:bookmarkStart w:id="24" w:name="_Toc510634443"/>
      <w:r>
        <w:lastRenderedPageBreak/>
        <w:t xml:space="preserve">Table </w:t>
      </w:r>
      <w:r w:rsidR="00B842AC">
        <w:t>S6</w:t>
      </w:r>
      <w:r>
        <w:t>. Characteristics of the exposure, outcomes and source of funding of studies that assessed the effect of concomitant treatment of PPIs and other drugs vs other drugs alone (Group C).</w:t>
      </w:r>
      <w:bookmarkEnd w:id="24"/>
    </w:p>
    <w:tbl>
      <w:tblPr>
        <w:tblW w:w="13304" w:type="dxa"/>
        <w:tblLook w:val="04A0" w:firstRow="1" w:lastRow="0" w:firstColumn="1" w:lastColumn="0" w:noHBand="0" w:noVBand="1"/>
      </w:tblPr>
      <w:tblGrid>
        <w:gridCol w:w="1354"/>
        <w:gridCol w:w="1545"/>
        <w:gridCol w:w="2127"/>
        <w:gridCol w:w="2074"/>
        <w:gridCol w:w="1925"/>
        <w:gridCol w:w="1553"/>
        <w:gridCol w:w="1384"/>
        <w:gridCol w:w="1342"/>
      </w:tblGrid>
      <w:tr w:rsidR="009462F4" w14:paraId="46503AF6" w14:textId="77777777" w:rsidTr="00D87E93">
        <w:trPr>
          <w:trHeight w:val="819"/>
          <w:tblHeader/>
        </w:trPr>
        <w:tc>
          <w:tcPr>
            <w:tcW w:w="1354" w:type="dxa"/>
            <w:tcBorders>
              <w:top w:val="single" w:sz="4" w:space="0" w:color="auto"/>
              <w:left w:val="nil"/>
              <w:bottom w:val="single" w:sz="4" w:space="0" w:color="auto"/>
              <w:right w:val="nil"/>
            </w:tcBorders>
            <w:vAlign w:val="center"/>
            <w:hideMark/>
          </w:tcPr>
          <w:p w14:paraId="62A20337" w14:textId="77777777" w:rsidR="009462F4" w:rsidRDefault="009462F4">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Citation</w:t>
            </w:r>
          </w:p>
        </w:tc>
        <w:tc>
          <w:tcPr>
            <w:tcW w:w="1545" w:type="dxa"/>
            <w:tcBorders>
              <w:top w:val="single" w:sz="4" w:space="0" w:color="auto"/>
              <w:left w:val="nil"/>
              <w:bottom w:val="single" w:sz="4" w:space="0" w:color="auto"/>
              <w:right w:val="nil"/>
            </w:tcBorders>
            <w:vAlign w:val="center"/>
            <w:hideMark/>
          </w:tcPr>
          <w:p w14:paraId="7C62497E" w14:textId="77777777" w:rsidR="009462F4" w:rsidRDefault="009462F4">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PPI type assessed</w:t>
            </w:r>
          </w:p>
        </w:tc>
        <w:tc>
          <w:tcPr>
            <w:tcW w:w="2127" w:type="dxa"/>
            <w:tcBorders>
              <w:top w:val="single" w:sz="4" w:space="0" w:color="auto"/>
              <w:left w:val="nil"/>
              <w:bottom w:val="single" w:sz="4" w:space="0" w:color="auto"/>
              <w:right w:val="nil"/>
            </w:tcBorders>
            <w:vAlign w:val="center"/>
            <w:hideMark/>
          </w:tcPr>
          <w:p w14:paraId="61AA51EB" w14:textId="77777777" w:rsidR="009462F4" w:rsidRDefault="009462F4">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Exposure groups compared</w:t>
            </w:r>
          </w:p>
        </w:tc>
        <w:tc>
          <w:tcPr>
            <w:tcW w:w="2074" w:type="dxa"/>
            <w:tcBorders>
              <w:top w:val="single" w:sz="4" w:space="0" w:color="auto"/>
              <w:left w:val="nil"/>
              <w:bottom w:val="single" w:sz="4" w:space="0" w:color="auto"/>
              <w:right w:val="nil"/>
            </w:tcBorders>
            <w:vAlign w:val="center"/>
            <w:hideMark/>
          </w:tcPr>
          <w:p w14:paraId="5E159AFB" w14:textId="77777777" w:rsidR="009462F4" w:rsidRDefault="009462F4">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Exposure ascertainment</w:t>
            </w:r>
          </w:p>
        </w:tc>
        <w:tc>
          <w:tcPr>
            <w:tcW w:w="1925" w:type="dxa"/>
            <w:tcBorders>
              <w:top w:val="single" w:sz="4" w:space="0" w:color="auto"/>
              <w:left w:val="nil"/>
              <w:bottom w:val="single" w:sz="4" w:space="0" w:color="auto"/>
              <w:right w:val="nil"/>
            </w:tcBorders>
            <w:vAlign w:val="center"/>
            <w:hideMark/>
          </w:tcPr>
          <w:p w14:paraId="7DE77DA0" w14:textId="77777777" w:rsidR="009462F4" w:rsidRDefault="009462F4">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 xml:space="preserve">Outcome(s) of interest  </w:t>
            </w:r>
            <w:r>
              <w:rPr>
                <w:rFonts w:ascii="Calibri" w:eastAsia="Times New Roman" w:hAnsi="Calibri" w:cs="Times New Roman"/>
                <w:b/>
                <w:bCs/>
                <w:color w:val="000000"/>
                <w:sz w:val="20"/>
                <w:szCs w:val="20"/>
                <w:lang w:eastAsia="en-CA"/>
              </w:rPr>
              <w:br/>
              <w:t>(follow-up period)</w:t>
            </w:r>
          </w:p>
        </w:tc>
        <w:tc>
          <w:tcPr>
            <w:tcW w:w="1553" w:type="dxa"/>
            <w:tcBorders>
              <w:top w:val="single" w:sz="4" w:space="0" w:color="auto"/>
              <w:left w:val="nil"/>
              <w:bottom w:val="single" w:sz="4" w:space="0" w:color="auto"/>
              <w:right w:val="nil"/>
            </w:tcBorders>
            <w:vAlign w:val="center"/>
            <w:hideMark/>
          </w:tcPr>
          <w:p w14:paraId="34CB594A" w14:textId="77777777" w:rsidR="009462F4" w:rsidRDefault="009462F4">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Outcome ascertainment</w:t>
            </w:r>
          </w:p>
        </w:tc>
        <w:tc>
          <w:tcPr>
            <w:tcW w:w="1384" w:type="dxa"/>
            <w:tcBorders>
              <w:top w:val="single" w:sz="4" w:space="0" w:color="auto"/>
              <w:left w:val="nil"/>
              <w:bottom w:val="single" w:sz="4" w:space="0" w:color="auto"/>
              <w:right w:val="nil"/>
            </w:tcBorders>
            <w:vAlign w:val="center"/>
            <w:hideMark/>
          </w:tcPr>
          <w:p w14:paraId="782D3097" w14:textId="77777777" w:rsidR="009462F4" w:rsidRDefault="009462F4">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 xml:space="preserve">Calendar year(s) of sampling </w:t>
            </w:r>
          </w:p>
        </w:tc>
        <w:tc>
          <w:tcPr>
            <w:tcW w:w="1342" w:type="dxa"/>
            <w:tcBorders>
              <w:top w:val="single" w:sz="4" w:space="0" w:color="auto"/>
              <w:left w:val="nil"/>
              <w:bottom w:val="single" w:sz="4" w:space="0" w:color="auto"/>
              <w:right w:val="nil"/>
            </w:tcBorders>
            <w:vAlign w:val="center"/>
            <w:hideMark/>
          </w:tcPr>
          <w:p w14:paraId="78AE0058" w14:textId="77777777" w:rsidR="009462F4" w:rsidRDefault="009462F4">
            <w:pPr>
              <w:spacing w:after="0" w:line="240" w:lineRule="auto"/>
              <w:jc w:val="center"/>
              <w:rPr>
                <w:rFonts w:ascii="Calibri" w:eastAsia="Times New Roman" w:hAnsi="Calibri" w:cs="Times New Roman"/>
                <w:b/>
                <w:bCs/>
                <w:color w:val="000000"/>
                <w:sz w:val="20"/>
                <w:szCs w:val="20"/>
                <w:lang w:eastAsia="en-CA"/>
              </w:rPr>
            </w:pPr>
            <w:r>
              <w:rPr>
                <w:rFonts w:ascii="Calibri" w:eastAsia="Times New Roman" w:hAnsi="Calibri" w:cs="Times New Roman"/>
                <w:b/>
                <w:bCs/>
                <w:color w:val="000000"/>
                <w:sz w:val="20"/>
                <w:szCs w:val="20"/>
                <w:lang w:eastAsia="en-CA"/>
              </w:rPr>
              <w:t>Source of funding</w:t>
            </w:r>
          </w:p>
        </w:tc>
      </w:tr>
      <w:tr w:rsidR="000111AF" w14:paraId="57FD19FD" w14:textId="77777777" w:rsidTr="000111AF">
        <w:trPr>
          <w:trHeight w:val="279"/>
        </w:trPr>
        <w:tc>
          <w:tcPr>
            <w:tcW w:w="2899" w:type="dxa"/>
            <w:gridSpan w:val="2"/>
            <w:tcBorders>
              <w:top w:val="single" w:sz="4" w:space="0" w:color="auto"/>
              <w:bottom w:val="single" w:sz="4" w:space="0" w:color="auto"/>
            </w:tcBorders>
            <w:shd w:val="clear" w:color="auto" w:fill="DEEAF6" w:themeFill="accent1" w:themeFillTint="33"/>
            <w:vAlign w:val="center"/>
          </w:tcPr>
          <w:p w14:paraId="7F225DFE" w14:textId="545AAF15" w:rsidR="000111AF" w:rsidRDefault="000111AF" w:rsidP="003865D3">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Observational Studies</w:t>
            </w:r>
          </w:p>
        </w:tc>
        <w:tc>
          <w:tcPr>
            <w:tcW w:w="2127" w:type="dxa"/>
            <w:tcBorders>
              <w:top w:val="single" w:sz="4" w:space="0" w:color="auto"/>
              <w:bottom w:val="single" w:sz="4" w:space="0" w:color="auto"/>
            </w:tcBorders>
            <w:shd w:val="clear" w:color="auto" w:fill="DEEAF6" w:themeFill="accent1" w:themeFillTint="33"/>
            <w:vAlign w:val="center"/>
          </w:tcPr>
          <w:p w14:paraId="647CDD5F" w14:textId="77777777" w:rsidR="000111AF" w:rsidRDefault="000111AF">
            <w:pPr>
              <w:spacing w:after="0" w:line="240" w:lineRule="auto"/>
              <w:rPr>
                <w:rFonts w:ascii="Calibri" w:eastAsia="Times New Roman" w:hAnsi="Calibri" w:cs="Times New Roman"/>
                <w:color w:val="000000"/>
                <w:sz w:val="20"/>
                <w:szCs w:val="20"/>
                <w:lang w:eastAsia="en-CA"/>
              </w:rPr>
            </w:pPr>
          </w:p>
        </w:tc>
        <w:tc>
          <w:tcPr>
            <w:tcW w:w="2074" w:type="dxa"/>
            <w:tcBorders>
              <w:top w:val="single" w:sz="4" w:space="0" w:color="auto"/>
              <w:bottom w:val="single" w:sz="4" w:space="0" w:color="auto"/>
            </w:tcBorders>
            <w:shd w:val="clear" w:color="auto" w:fill="DEEAF6" w:themeFill="accent1" w:themeFillTint="33"/>
            <w:vAlign w:val="center"/>
          </w:tcPr>
          <w:p w14:paraId="25456858" w14:textId="77777777" w:rsidR="000111AF" w:rsidRDefault="000111AF">
            <w:pPr>
              <w:spacing w:after="0" w:line="240" w:lineRule="auto"/>
              <w:rPr>
                <w:rFonts w:ascii="Calibri" w:eastAsia="Times New Roman" w:hAnsi="Calibri" w:cs="Times New Roman"/>
                <w:color w:val="000000"/>
                <w:sz w:val="20"/>
                <w:szCs w:val="20"/>
                <w:lang w:eastAsia="en-CA"/>
              </w:rPr>
            </w:pPr>
          </w:p>
        </w:tc>
        <w:tc>
          <w:tcPr>
            <w:tcW w:w="1925" w:type="dxa"/>
            <w:tcBorders>
              <w:top w:val="single" w:sz="4" w:space="0" w:color="auto"/>
              <w:bottom w:val="single" w:sz="4" w:space="0" w:color="auto"/>
            </w:tcBorders>
            <w:shd w:val="clear" w:color="auto" w:fill="DEEAF6" w:themeFill="accent1" w:themeFillTint="33"/>
            <w:vAlign w:val="center"/>
          </w:tcPr>
          <w:p w14:paraId="72C0C1D8" w14:textId="77777777" w:rsidR="000111AF" w:rsidRDefault="000111AF">
            <w:pPr>
              <w:spacing w:after="0" w:line="240" w:lineRule="auto"/>
              <w:rPr>
                <w:rFonts w:ascii="Calibri" w:eastAsia="Times New Roman" w:hAnsi="Calibri" w:cs="Times New Roman"/>
                <w:color w:val="000000"/>
                <w:sz w:val="20"/>
                <w:szCs w:val="20"/>
                <w:lang w:eastAsia="en-CA"/>
              </w:rPr>
            </w:pPr>
          </w:p>
        </w:tc>
        <w:tc>
          <w:tcPr>
            <w:tcW w:w="1553" w:type="dxa"/>
            <w:tcBorders>
              <w:top w:val="single" w:sz="4" w:space="0" w:color="auto"/>
              <w:bottom w:val="single" w:sz="4" w:space="0" w:color="auto"/>
            </w:tcBorders>
            <w:shd w:val="clear" w:color="auto" w:fill="DEEAF6" w:themeFill="accent1" w:themeFillTint="33"/>
            <w:vAlign w:val="center"/>
          </w:tcPr>
          <w:p w14:paraId="67D97F6A" w14:textId="77777777" w:rsidR="000111AF" w:rsidRDefault="000111AF">
            <w:pPr>
              <w:spacing w:after="0" w:line="240" w:lineRule="auto"/>
              <w:rPr>
                <w:rFonts w:ascii="Calibri" w:eastAsia="Times New Roman" w:hAnsi="Calibri" w:cs="Times New Roman"/>
                <w:color w:val="000000"/>
                <w:sz w:val="20"/>
                <w:szCs w:val="20"/>
                <w:lang w:eastAsia="en-CA"/>
              </w:rPr>
            </w:pPr>
          </w:p>
        </w:tc>
        <w:tc>
          <w:tcPr>
            <w:tcW w:w="1384" w:type="dxa"/>
            <w:tcBorders>
              <w:top w:val="single" w:sz="4" w:space="0" w:color="auto"/>
              <w:bottom w:val="single" w:sz="4" w:space="0" w:color="auto"/>
            </w:tcBorders>
            <w:shd w:val="clear" w:color="auto" w:fill="DEEAF6" w:themeFill="accent1" w:themeFillTint="33"/>
            <w:vAlign w:val="center"/>
          </w:tcPr>
          <w:p w14:paraId="1DFA00C4" w14:textId="77777777" w:rsidR="000111AF" w:rsidRDefault="000111AF">
            <w:pPr>
              <w:spacing w:after="0" w:line="240" w:lineRule="auto"/>
              <w:rPr>
                <w:rFonts w:ascii="Calibri" w:eastAsia="Times New Roman" w:hAnsi="Calibri" w:cs="Times New Roman"/>
                <w:color w:val="000000"/>
                <w:sz w:val="20"/>
                <w:szCs w:val="20"/>
                <w:lang w:eastAsia="en-CA"/>
              </w:rPr>
            </w:pPr>
          </w:p>
        </w:tc>
        <w:tc>
          <w:tcPr>
            <w:tcW w:w="1342" w:type="dxa"/>
            <w:tcBorders>
              <w:top w:val="single" w:sz="4" w:space="0" w:color="auto"/>
              <w:bottom w:val="single" w:sz="4" w:space="0" w:color="auto"/>
            </w:tcBorders>
            <w:shd w:val="clear" w:color="auto" w:fill="DEEAF6" w:themeFill="accent1" w:themeFillTint="33"/>
            <w:vAlign w:val="center"/>
          </w:tcPr>
          <w:p w14:paraId="1AFC3154" w14:textId="77777777" w:rsidR="000111AF" w:rsidRDefault="000111AF">
            <w:pPr>
              <w:spacing w:after="0" w:line="240" w:lineRule="auto"/>
              <w:rPr>
                <w:rFonts w:ascii="Calibri" w:eastAsia="Times New Roman" w:hAnsi="Calibri" w:cs="Times New Roman"/>
                <w:color w:val="000000"/>
                <w:sz w:val="20"/>
                <w:szCs w:val="20"/>
                <w:lang w:eastAsia="en-CA"/>
              </w:rPr>
            </w:pPr>
          </w:p>
        </w:tc>
      </w:tr>
      <w:tr w:rsidR="00200EC7" w14:paraId="011EA2C9" w14:textId="77777777" w:rsidTr="00D87E93">
        <w:trPr>
          <w:trHeight w:val="847"/>
        </w:trPr>
        <w:tc>
          <w:tcPr>
            <w:tcW w:w="1354" w:type="dxa"/>
            <w:tcBorders>
              <w:top w:val="single" w:sz="4" w:space="0" w:color="auto"/>
              <w:bottom w:val="single" w:sz="4" w:space="0" w:color="auto"/>
            </w:tcBorders>
            <w:shd w:val="clear" w:color="auto" w:fill="FFFFFF"/>
            <w:vAlign w:val="center"/>
          </w:tcPr>
          <w:p w14:paraId="78914AAE" w14:textId="4CA9FD7B"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{"citationItems":[{"id":"ITEM-1","itemData":{"ISSN":"1756-1833","abstract":"OBJECTIVE: To examine the effect of proton pump inhibitors on adverse cardiovascular events in aspirin treated patients with first time myocardial infarction., DESIGN: Retrospective nationwide propensity score matched study based on administrative data. Setting All hospitals in Denmark., PARTICIPANTS: All aspirin treated patients surviving 30 days after a first myocardial infarction from 1997 to 2006, with follow-up for one year. Patients treated with clopidogrel were excluded., MAIN OUTCOME MEASURES: The risk of the combined end point of cardiovascular death, myocardial infarction, or stroke associated with use of proton pump inhibitors was analysed using Kaplan-Meier analysis, Cox proportional hazard models, and propensity score matched Cox proportional hazard models. Results 3366 of 19,925 (16.9%) aspirin treated patients experienced recurrent myocardial infarction, stroke, or cardiovascular death. The hazard ratio for the combined end point in patients receiving proton pump inhibitors based on the time dependent Cox proportional hazard model was 1.46 (1.33 to 1.61; P&lt;0.001) and for the propensity score matched model based on 8318 patients it was 1.61 (1.45 to 1.79; P&lt;0.001). A sensitivity analysis showed no increase in risk related to use of H(2) receptor blockers (1.04, 0.79 to 1.38; P=0.78). Conclusion In aspirin treated patients with first time myocardial infarction, treatment with proton pump inhibitors was associated with an increased risk of adverse cardiovascular events.","author":[{"dropping-particle":"","family":"Charlot","given":"M","non-dropping-particle":"","parse-names":false,"suffix":""},{"dropping-particle":"","family":"Grove","given":"G","non-dropping-particle":"","parse-names":false,"suffix":""},{"dropping-particle":"","family":"Hansen","given":"P","non-dropping-particle":"","parse-names":false,"suffix":""},{"dropping-particle":"","family":"Olesen","given":"J","non-dropping-particle":"","parse-names":false,"suffix":""},{"dropping-particle":"","family":"Ahlehoff","given":"O","non-dropping-particle":"","parse-names":false,"suffix":""},{"dropping-particle":"","family":"Selmer","given":"C","non-dropping-particle":"","parse-names":false,"suffix":""},{"dropping-particle":"","family":"Lindhardsen","given":"J","non-dropping-particle":"","parse-names":false,"suffix":""},{"dropping-particle":"","family":"Madsen","given":"J","non-dropping-particle":"","parse-names":false,"suffix":""},{"dropping-particle":"","family":"Kober","given":"L","non-dropping-particle":"","parse-names":false,"suffix":""},{"dropping-particle":"","family":"Torp-Pedersen","given":"C","non-dropping-particle":"","parse-names":false,"suffix":""},{"dropping-particle":"","family":"Gislason","given":"G","non-dropping-particle":"","parse-names":false,"suffix":""}],"container-title":"BMJ (Clinical research ed.)","id":"ITEM-1","issue":"7807","issued":{"date-parts":[["2011"]]},"note":"623\n\nFrom Duplicate 1 (Proton pump inhibitor use and risk of adverse cardiovascular events in aspirin treated patients with first time myocardial infarction: nationwide propensity score matched study. - Charlot, Mette; Grove, Erik L; Hansen, Peter Riis; Olesen, Jonas B; Ahlehoff, Ole; Selmer, Christian; Lindhardsen, Jesper; Madsen, Jan Kyst; Kober, Lars; Torp-Pedersen, Christian; Gislason, Gunnar H)\n\nComment in: Evid Based Med. 2012 Feb;17(1):33-4; PMID: 22108076","page":"d2690","publisher":"Charlot,Mette. Department of Cardiology, Copenhagen University Hospital Gentofte, Post 635, Niels Andersens Vej 65, 2900 Hellerup, Denmark. mc@heart.dk","publisher-place":"England","title":"Proton pump inhibitor use and risk of adverse cardiovascular events in aspirin treated patients with first time myocardial infarction: nationwide propensity score matched study.","type":"article-journal","volume":"342"},"uris":["http://www.mendeley.com/documents/?uuid=d72f3c9d-85c8-46e7-92be-56831867e69a"]}],"mendeley":{"formattedCitation":"(Charlot et al. 2011)","plainTextFormattedCitation":"(Charlot et al. 2011)","previouslyFormattedCitation":"(Charlot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(Charlot et al. 2011)</w:t>
            </w:r>
            <w:r>
              <w:rPr>
                <w:rFonts w:ascii="Calibri" w:eastAsia="Times New Roman" w:hAnsi="Calibri" w:cs="Times New Roman"/>
                <w:color w:val="000000"/>
                <w:sz w:val="20"/>
                <w:szCs w:val="20"/>
                <w:lang w:eastAsia="en-CA"/>
              </w:rPr>
              <w:fldChar w:fldCharType="end"/>
            </w:r>
          </w:p>
        </w:tc>
        <w:tc>
          <w:tcPr>
            <w:tcW w:w="1545" w:type="dxa"/>
            <w:tcBorders>
              <w:top w:val="single" w:sz="4" w:space="0" w:color="auto"/>
              <w:bottom w:val="single" w:sz="4" w:space="0" w:color="auto"/>
            </w:tcBorders>
            <w:shd w:val="clear" w:color="auto" w:fill="FFFFFF"/>
            <w:vAlign w:val="center"/>
          </w:tcPr>
          <w:p w14:paraId="78EAF9D5"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127" w:type="dxa"/>
            <w:tcBorders>
              <w:top w:val="single" w:sz="4" w:space="0" w:color="auto"/>
              <w:bottom w:val="single" w:sz="4" w:space="0" w:color="auto"/>
            </w:tcBorders>
            <w:shd w:val="clear" w:color="auto" w:fill="FFFFFF"/>
            <w:vAlign w:val="center"/>
          </w:tcPr>
          <w:p w14:paraId="697F4DB2"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(PPI+aspirin) vs (aspirin)</w:t>
            </w:r>
          </w:p>
        </w:tc>
        <w:tc>
          <w:tcPr>
            <w:tcW w:w="2074" w:type="dxa"/>
            <w:tcBorders>
              <w:top w:val="single" w:sz="4" w:space="0" w:color="auto"/>
              <w:bottom w:val="single" w:sz="4" w:space="0" w:color="auto"/>
            </w:tcBorders>
            <w:shd w:val="clear" w:color="auto" w:fill="FFFFFF"/>
            <w:vAlign w:val="center"/>
          </w:tcPr>
          <w:p w14:paraId="53D4A677"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Prescription claims database (date dispensed, type,  quantity, dose, days of supply);</w:t>
            </w:r>
          </w:p>
        </w:tc>
        <w:tc>
          <w:tcPr>
            <w:tcW w:w="1925" w:type="dxa"/>
            <w:tcBorders>
              <w:top w:val="single" w:sz="4" w:space="0" w:color="auto"/>
              <w:bottom w:val="single" w:sz="4" w:space="0" w:color="auto"/>
            </w:tcBorders>
            <w:shd w:val="clear" w:color="auto" w:fill="FFFFFF"/>
            <w:vAlign w:val="center"/>
          </w:tcPr>
          <w:p w14:paraId="2003064A"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 year)</w:t>
            </w:r>
            <w:r>
              <w:rPr>
                <w:rFonts w:ascii="Calibri" w:eastAsia="Times New Roman" w:hAnsi="Calibri" w:cs="Times New Roman"/>
                <w:color w:val="000000"/>
                <w:sz w:val="20"/>
                <w:szCs w:val="20"/>
                <w:lang w:eastAsia="en-CA"/>
              </w:rPr>
              <w:br/>
              <w:t>Stroke (1 year)</w:t>
            </w:r>
            <w:r>
              <w:rPr>
                <w:rFonts w:ascii="Calibri" w:eastAsia="Times New Roman" w:hAnsi="Calibri" w:cs="Times New Roman"/>
                <w:color w:val="000000"/>
                <w:sz w:val="20"/>
                <w:szCs w:val="20"/>
                <w:lang w:eastAsia="en-CA"/>
              </w:rPr>
              <w:br/>
              <w:t>ACM (1 year)</w:t>
            </w:r>
            <w:r>
              <w:rPr>
                <w:rFonts w:ascii="Calibri" w:eastAsia="Times New Roman" w:hAnsi="Calibri" w:cs="Times New Roman"/>
                <w:color w:val="000000"/>
                <w:sz w:val="20"/>
                <w:szCs w:val="20"/>
                <w:lang w:eastAsia="en-CA"/>
              </w:rPr>
              <w:br/>
              <w:t>CVD mort (1 year)</w:t>
            </w:r>
          </w:p>
        </w:tc>
        <w:tc>
          <w:tcPr>
            <w:tcW w:w="1553" w:type="dxa"/>
            <w:tcBorders>
              <w:top w:val="single" w:sz="4" w:space="0" w:color="auto"/>
              <w:bottom w:val="single" w:sz="4" w:space="0" w:color="auto"/>
            </w:tcBorders>
            <w:shd w:val="clear" w:color="auto" w:fill="FFFFFF"/>
            <w:vAlign w:val="center"/>
          </w:tcPr>
          <w:p w14:paraId="2F14FD4E"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National patient registry</w:t>
            </w:r>
          </w:p>
        </w:tc>
        <w:tc>
          <w:tcPr>
            <w:tcW w:w="1384" w:type="dxa"/>
            <w:tcBorders>
              <w:top w:val="single" w:sz="4" w:space="0" w:color="auto"/>
              <w:bottom w:val="single" w:sz="4" w:space="0" w:color="auto"/>
            </w:tcBorders>
            <w:shd w:val="clear" w:color="auto" w:fill="FFFFFF"/>
            <w:vAlign w:val="center"/>
          </w:tcPr>
          <w:p w14:paraId="53466A8F"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1997-2006</w:t>
            </w:r>
          </w:p>
        </w:tc>
        <w:tc>
          <w:tcPr>
            <w:tcW w:w="1342" w:type="dxa"/>
            <w:tcBorders>
              <w:top w:val="single" w:sz="4" w:space="0" w:color="auto"/>
              <w:bottom w:val="single" w:sz="4" w:space="0" w:color="auto"/>
            </w:tcBorders>
            <w:shd w:val="clear" w:color="auto" w:fill="FFFFFF"/>
            <w:vAlign w:val="center"/>
          </w:tcPr>
          <w:p w14:paraId="4F72C5E4"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99009B" w14:paraId="610C4DF0" w14:textId="77777777" w:rsidTr="00D87E93">
        <w:trPr>
          <w:trHeight w:val="847"/>
        </w:trPr>
        <w:tc>
          <w:tcPr>
            <w:tcW w:w="1354" w:type="dxa"/>
            <w:tcBorders>
              <w:top w:val="single" w:sz="4" w:space="0" w:color="auto"/>
              <w:bottom w:val="single" w:sz="4" w:space="0" w:color="auto"/>
            </w:tcBorders>
            <w:shd w:val="clear" w:color="auto" w:fill="FFFFFF"/>
            <w:vAlign w:val="center"/>
          </w:tcPr>
          <w:p w14:paraId="032238CF" w14:textId="6475EBF9" w:rsidR="0099009B" w:rsidRDefault="0099009B"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{"citationItems":[{"id":"ITEM-1","itemData":{"ISBN":"0009-7322","ISSN":"1524-4539","abstract":"BACKGROUND: The clinical significance of the interaction between clopidogrel and proton pump inhibitors (PPIs) remains unclear., METHODS AND RESULTS: We examined the relationship between PPI use and 1-year cardiovascular events (cardiovascular death, myocardial infarction, or stroke) in patients with acute coronary syndrome randomized to clopidogrel or ticagrelor in a prespecified, nonrandomized subgroup analysis of the Platelet Inhibition and Patient Outcomes (PLATO) trial. The primary end point rates were higher for individuals on a PPI (n=6539) compared with those not on a PPI (n=12 060) at randomization in both the clopidogrel (13.0% versus 10.9%; adjusted hazard ratio [HR], 1.20; 95% confidence interval [CI], 1.04-1.38) and ticagrelor (11.0% versus 9.2%; HR, 1.24; 95% CI, 1.07-1.45) groups. Patients on non-PPI gastrointestinal drugs had similar primary end point rates compared with those on a PPI (PPI versus non-PPI gastrointestinal treatment: clopidogrel, HR, 0.98; 95% CI, 0.79-1.23; ticagrelor, HR, 0.89; 95% CI, 0.73-1.10). In contrast, patients on no gastric therapy had a significantly lower primary end point rate (PPI versus no gastrointestinal treatment: clopidogrel, HR, 1.29; 95% CI, 1.12-1.49; ticagrelor, HR, 1.30; 95% CI, 1.14-1.49)., CONCLUSIONS: The use of a PPI was independently associated with a higher rate of cardiovascular events in patients with acute coronary syndrome receiving clopidogrel. However, a similar association was observed between cardiovascular events and PPI use during ticagrelor treatment and with other non-PPI gastrointestinal treatment. Therefore, in the PLATO trial, the association between PPI use and adverse events may be due to confounding, with PPI use more of a marker for, than a cause of, higher rates of cardiovascular events., CLINICAL TRIAL REGISTRATION: http://www.clinicaltrials.gov. Unique identifier: NCT00391872.","author":[{"dropping-particle":"","family":"Goodman","given":"Shaun G","non-dropping-particle":"","parse-names":false,"suffix":""},{"dropping-particle":"","family":"Clare","given":"Robert","non-dropping-particle":"","parse-names":false,"suffix":""},{"dropping-particle":"","family":"Pieper","given":"Karen S","non-dropping-particle":"","parse-names":false,"suffix":""},{"dropping-particle":"","family":"Nicolau","given":"Jose C","non-dropping-particle":"","parse-names":false,"suffix":""},{"dropping-particle":"","family":"Storey","given":"Robert F","non-dropping-particle":"","parse-names":false,"suffix":""},{"dropping-particle":"","family":"Cantor","given":"Warren J","non-dropping-particle":"","parse-names":false,"suffix":""},{"dropping-particle":"","family":"Mahaffey","given":"Kenneth W","non-dropping-particle":"","parse-names":false,"suffix":""},{"dropping-particle":"","family":"Angiolillo","given":"Dominick J","non-dropping-particle":"","parse-names":false,"suffix":""},{"dropping-particle":"","family":"Husted","given":"Steen","non-dropping-particle":"","parse-names":false,"suffix":""},{"dropping-particle":"","family":"Cannon","given":"Christopher P","non-dropping-particle":"","parse-names":false,"suffix":""},{"dropping-particle":"","family":"James","given":"Stefan K","non-dropping-particle":"","parse-names":false,"suffix":""},{"dropping-particle":"","family":"Kilhamn","given":"Jan","non-dropping-particle":"","parse-names":false,"suffix":""},{"dropping-particle":"","family":"Steg","given":"P Gabriel","non-dropping-particle":"","parse-names":false,"suffix":""},{"dropping-particle":"","family":"Harrington","given":"Robert A","non-dropping-particle":"","parse-names":false,"suffix":""},{"dropping-particle":"","family":"Wallentin","given":"Lars","non-dropping-particle":"","parse-names":false,"suffix":""}],"container-title":"Circulation","id":"ITEM-1","issue":"8","issued":{"date-parts":[["2012"]]},"note":"471\n\nFrom Duplicate 1 (Association of proton pump inhibitor use on cardiovascular outcomes with clopidogrel and ticagrelor: insights from the platelet inhibition and patient outcomes trial. - Goodman, Shaun G; Clare, Robert; Pieper, Karen S; Nicolau, Jose C; Storey, Robert F; Cantor, Warren J; Mahaffey, Kenneth W; Angiolillo, Dominick J; Husted, Steen; Cannon, Christopher P; James, Stefan K; Kilhamn, Jan; Steg, P Gabriel; Harrington, Robert A; Wallentin, Lars; Investigators, Platelet Inhibition and Patient Outcomes Trial)\n\nComment in: Circulation. 2012 Sep 11;126(11):e170; author reply e171-2; PMID: 22965784","page":"978-986","publisher":"Goodman,Shaun G. MSc, Division of Cardiology, St. Michael's Hospital, 30 Bond St, Room 6-034, Queen, Toronto, Ontario, Canada M5B 1W8. goodmans@chrc.net","publisher-place":"United States","title":"Association of proton pump inhibitor use on cardiovascular outcomes with clopidogrel and ticagrelor: insights from the platelet inhibition and patient outcomes trial.","type":"article-journal","volume":"125"},"uris":["http://www.mendeley.com/documents/?uuid=be410982-3fcc-42e5-a1c3-ce2959b51931"]}],"mendeley":{"formattedCitation":"(Goodman et al. 2012)","plainTextFormattedCitation":"(Goodman et al. 2012)","previouslyFormattedCitation":"(Goodman et al. 2012)"},"properties":{"noteIndex":0},"schema":"https://github.com/citation-style-language/schema/raw/master/csl-citation.json"}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(Goodman et al. 2012)</w:t>
            </w:r>
            <w:r>
              <w:rPr>
                <w:rFonts w:ascii="Calibri" w:eastAsia="Times New Roman" w:hAnsi="Calibri" w:cs="Times New Roman"/>
                <w:color w:val="000000"/>
                <w:sz w:val="20"/>
                <w:szCs w:val="20"/>
                <w:lang w:eastAsia="en-CA"/>
              </w:rPr>
              <w:fldChar w:fldCharType="end"/>
            </w:r>
          </w:p>
        </w:tc>
        <w:tc>
          <w:tcPr>
            <w:tcW w:w="1545" w:type="dxa"/>
            <w:tcBorders>
              <w:top w:val="single" w:sz="4" w:space="0" w:color="auto"/>
              <w:bottom w:val="single" w:sz="4" w:space="0" w:color="auto"/>
            </w:tcBorders>
            <w:shd w:val="clear" w:color="auto" w:fill="FFFFFF"/>
            <w:vAlign w:val="center"/>
          </w:tcPr>
          <w:p w14:paraId="52EA1BB0" w14:textId="77777777" w:rsidR="0099009B" w:rsidRDefault="0099009B"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127" w:type="dxa"/>
            <w:tcBorders>
              <w:top w:val="single" w:sz="4" w:space="0" w:color="auto"/>
              <w:bottom w:val="single" w:sz="4" w:space="0" w:color="auto"/>
            </w:tcBorders>
            <w:shd w:val="clear" w:color="auto" w:fill="FFFFFF"/>
            <w:vAlign w:val="center"/>
          </w:tcPr>
          <w:p w14:paraId="7A351B82" w14:textId="77777777" w:rsidR="0099009B" w:rsidRDefault="0099009B"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br/>
              <w:t>(PPI+ ticagrelor) vs (ticagrelor)</w:t>
            </w:r>
          </w:p>
        </w:tc>
        <w:tc>
          <w:tcPr>
            <w:tcW w:w="2074" w:type="dxa"/>
            <w:tcBorders>
              <w:top w:val="single" w:sz="4" w:space="0" w:color="auto"/>
              <w:bottom w:val="single" w:sz="4" w:space="0" w:color="auto"/>
            </w:tcBorders>
            <w:shd w:val="clear" w:color="auto" w:fill="FFFFFF"/>
            <w:vAlign w:val="center"/>
          </w:tcPr>
          <w:p w14:paraId="626D42A2" w14:textId="77777777" w:rsidR="0099009B" w:rsidRDefault="0099009B"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Self-reported and assessment during follow up at 20, 60, 90 and 180 days. </w:t>
            </w:r>
          </w:p>
        </w:tc>
        <w:tc>
          <w:tcPr>
            <w:tcW w:w="1925" w:type="dxa"/>
            <w:tcBorders>
              <w:top w:val="single" w:sz="4" w:space="0" w:color="auto"/>
              <w:bottom w:val="single" w:sz="4" w:space="0" w:color="auto"/>
            </w:tcBorders>
            <w:shd w:val="clear" w:color="auto" w:fill="FFFFFF"/>
            <w:vAlign w:val="center"/>
          </w:tcPr>
          <w:p w14:paraId="14A23D29" w14:textId="77777777" w:rsidR="0099009B" w:rsidRDefault="0099009B"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 year)</w:t>
            </w:r>
            <w:r>
              <w:rPr>
                <w:rFonts w:ascii="Calibri" w:eastAsia="Times New Roman" w:hAnsi="Calibri" w:cs="Times New Roman"/>
                <w:color w:val="000000"/>
                <w:sz w:val="20"/>
                <w:szCs w:val="20"/>
                <w:lang w:eastAsia="en-CA"/>
              </w:rPr>
              <w:br/>
              <w:t>ACM (1 year)</w:t>
            </w:r>
            <w:r>
              <w:rPr>
                <w:rFonts w:ascii="Calibri" w:eastAsia="Times New Roman" w:hAnsi="Calibri" w:cs="Times New Roman"/>
                <w:color w:val="000000"/>
                <w:sz w:val="20"/>
                <w:szCs w:val="20"/>
                <w:lang w:eastAsia="en-CA"/>
              </w:rPr>
              <w:br/>
              <w:t>CVD mort (1 year)</w:t>
            </w:r>
          </w:p>
        </w:tc>
        <w:tc>
          <w:tcPr>
            <w:tcW w:w="1553" w:type="dxa"/>
            <w:tcBorders>
              <w:top w:val="single" w:sz="4" w:space="0" w:color="auto"/>
              <w:bottom w:val="single" w:sz="4" w:space="0" w:color="auto"/>
            </w:tcBorders>
            <w:shd w:val="clear" w:color="auto" w:fill="FFFFFF"/>
            <w:vAlign w:val="center"/>
          </w:tcPr>
          <w:p w14:paraId="2F110E7C" w14:textId="77777777" w:rsidR="0099009B" w:rsidRDefault="0099009B"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Ascertained by an independent clinical events committee (blinded)</w:t>
            </w:r>
          </w:p>
        </w:tc>
        <w:tc>
          <w:tcPr>
            <w:tcW w:w="1384" w:type="dxa"/>
            <w:tcBorders>
              <w:top w:val="single" w:sz="4" w:space="0" w:color="auto"/>
              <w:bottom w:val="single" w:sz="4" w:space="0" w:color="auto"/>
            </w:tcBorders>
            <w:shd w:val="clear" w:color="auto" w:fill="FFFFFF"/>
            <w:vAlign w:val="center"/>
          </w:tcPr>
          <w:p w14:paraId="3C65748D" w14:textId="77777777" w:rsidR="0099009B" w:rsidRDefault="0099009B"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2006-2009</w:t>
            </w:r>
          </w:p>
        </w:tc>
        <w:tc>
          <w:tcPr>
            <w:tcW w:w="1342" w:type="dxa"/>
            <w:tcBorders>
              <w:top w:val="single" w:sz="4" w:space="0" w:color="auto"/>
              <w:bottom w:val="single" w:sz="4" w:space="0" w:color="auto"/>
            </w:tcBorders>
            <w:shd w:val="clear" w:color="auto" w:fill="FFFFFF"/>
            <w:vAlign w:val="center"/>
          </w:tcPr>
          <w:p w14:paraId="1B352655" w14:textId="77777777" w:rsidR="0099009B" w:rsidRDefault="0099009B"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Other: No funding for the analyses; AstraZeneca funded PLATO trial.</w:t>
            </w:r>
          </w:p>
        </w:tc>
      </w:tr>
      <w:tr w:rsidR="00200EC7" w14:paraId="6BC64324" w14:textId="77777777" w:rsidTr="00D87E93">
        <w:trPr>
          <w:trHeight w:val="847"/>
        </w:trPr>
        <w:tc>
          <w:tcPr>
            <w:tcW w:w="1354" w:type="dxa"/>
            <w:tcBorders>
              <w:top w:val="single" w:sz="4" w:space="0" w:color="auto"/>
              <w:bottom w:val="single" w:sz="4" w:space="0" w:color="auto"/>
            </w:tcBorders>
            <w:shd w:val="clear" w:color="auto" w:fill="FFFFFF"/>
            <w:vAlign w:val="center"/>
          </w:tcPr>
          <w:p w14:paraId="6BD69407" w14:textId="57E1491C"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{"citationItems":[{"id":"ITEM-1","itemData":{"ISBN":"1868-4300","abstract":"Previous studies have shown inconsistent results regarding the effects of concomitant use of clopidogrel and proton pump inhibitors (PPI) on cardiovascular outcomes. We sought to evaluate the clinical impact of PPI-use in patients treated with thienopyridines after percutaneous coronary intervention (PCI) in a large Japanese observational database. Among 12446 patients discharged alive on thienopyridines (ticlopidine 90. 4% and clopidogrel 9. 6%), 3223 patients were treated with PPIs and 9223 patients without PPI at the time of hospital discharge. The PPI group included more patients with co-morbidities than the non-PPI group. The adjusted hazard ratio (HR) of PPI-use for a composite of cardiovascular death, myocardial infarction, and stroke was 1. 26 (95% confidence interval (CI) 1. 09-1. 47, p = 0. 002). The adjusted HR of PPI-use for bleeding was 1. 26 (95% CI 1. 05-1. 52, p = 0. 013). Cardiovascular and bleeding outcomes were not different among the three groups receiving three different types of PPI. The negative effect of PPI on cardiovascular outcome was consistently seen in both drug-eluting stent (DES) [HR 1. 31 (95% CI 1. 07-1. 6, p = 0. 0097)] and non-DES strata [HR 1. 25 (95% CI: 0. 99-1. 57, p = 0. 057)] (Interaction p = 0. 79) despite the fact that the duration of thienopyridine administration was significantly longer in patients receiving DES. In conclusion, cardiovascular outcomes after PCI were significantly worse in patients with PPI than in patients without PPI in the Japanese real clinical practice. However, the observed poorer cardiovascular outcome in patients receiving PPI was most likely to be related to residual confounding and seemed not causally related to attenuation of antiplatelet effect of thienopyridine through interaction with PPI. © 2011 Japanese Association of Cardiovascular Intervention and Therapeutics.","author":[{"dropping-particle":"","family":"Kimura","given":"T","non-dropping-particle":"","parse-names":false,"suffix":""},{"dropping-particle":"","family":"Morimoto","given":"T","non-dropping-particle":"","parse-names":false,"suffix":""},{"dropping-particle":"","family":"Furukawa","given":"Y","non-dropping-particle":"","parse-names":false,"suffix":""},{"dropping-particle":"","family":"Nakagawa","given":"Y","non-dropping-particle":"","parse-names":false,"suffix":""},{"dropping-particle":"","family":"Kadota","given":"K","non-dropping-particle":"","parse-names":false,"suffix":""},{"dropping-particle":"","family":"Iwabuchi","given":"M","non-dropping-particle":"","parse-names":false,"suffix":""},{"dropping-particle":"","family":"Shizuta","given":"S","non-dropping-particle":"","parse-names":false,"suffix":""},{"dropping-particle":"","family":"Shiomi","given":"H","non-dropping-particle":"","parse-names":false,"suffix":""},{"dropping-particle":"","family":"Tada","given":"T","non-dropping-particle":"","parse-names":false,"suffix":""},{"dropping-particle":"","family":"Tazaki","given":"J","non-dropping-particle":"","parse-names":false,"suffix":""},{"dropping-particle":"","family":"Kato","given":"Y","non-dropping-particle":"","parse-names":false,"suffix":""},{"dropping-particle":"","family":"Hayano","given":"M","non-dropping-particle":"","parse-names":false,"suffix":""},{"dropping-particle":"","family":"Abe","given":"M","non-dropping-particle":"","parse-names":false,"suffix":""},{"dropping-particle":"","family":"Tamura","given":"T","non-dropping-particle":"","parse-names":false,"suffix":""},{"dropping-particle":"","family":"Shirotani","given":"M","non-dropping-particle":"","parse-names":false,"suffix":""},{"dropping-particle":"","family":"Miki","given":"S","non-dropping-particle":"","parse-names":false,"suffix":""},{"dropping-particle":"","family":"Matsuda","given":"M","non-dropping-particle":"","parse-names":false,"suffix":""},{"dropping-particle":"","family":"Ishii","given":"K","non-dropping-particle":"","parse-names":false,"suffix":""},{"dropping-particle":"","family":"Tanaka","given":"M","non-dropping-particle":"","parse-names":false,"suffix":""},{"dropping-particle":"","family":"Aoyama","given":"T","non-dropping-particle":"","parse-names":false,"suffix":""},{"dropping-particle":"","family":"Doi","given":"O","non-dropping-particle":"","parse-names":false,"suffix":""},{"dropping-particle":"","family":"Hattori","given":"R","non-dropping-particle":"","parse-names":false,"suffix":""},{"dropping-particle":"","family":"Tatami","given":"R","non-dropping-particle":"","parse-names":false,"suffix":""},{"dropping-particle":"","family":"Suwa","given":"S","non-dropping-particle":"","parse-names":false,"suffix":""},{"dropping-particle":"","family":"Takizawa","given":"A","non-dropping-particle":"","parse-names":false,"suffix":""},{"dropping-particle":"","family":"Takatsu","given":"Y","non-dropping-particle":"","parse-names":false,"suffix":""},{"dropping-particle":"","family":"Takahashi","given":"M","non-dropping-particle":"","parse-names":false,"suffix":""},{"dropping-particle":"","family":"Kato","given":"H","non-dropping-particle":"","parse-names":false,"suffix":""},{"dropping-particle":"","family":"Takeda","given":"T","non-dropping-particle":"","parse-names":false,"suffix":""},{"dropping-particle":"","family":"Lee","given":"JD","non-dropping-particle":"","parse-names":false,"suffix":""},{"dropping-particle":"","family":"Nohara","given":"R","non-dropping-particle":"","parse-names":false,"suffix":""},{"dropping-particle":"","family":"Tei","given":"C","non-dropping-particle":"","parse-names":false,"suffix":""},{"dropping-particle":"","family":"Horie","given":"M","non-dropping-particle":"","parse-names":false,"suffix":""},{"dropping-particle":"","family":"Kambara","given":"H","non-dropping-particle":"","parse-names":false,"suffix":""},{"dropping-particle":"","family":"Fujiwara","given":"H","non-dropping-particle":"","parse-names":false,"suffix":""},{"dropping-particle":"","family":"Mitsudo","given":"K","non-dropping-particle":"","parse-names":false,"suffix":""},{"dropping-particle":"","family":"Nobuyoshi","given":"M","non-dropping-particle":"","parse-names":false,"suffix":""},{"dropping-particle":"","family":"Kita","given":"T","non-dropping-particle":"","parse-names":false,"suffix":""}],"container-title":"Cardiovascular Intervention and Therapeutics","id":"ITEM-1","issue":"3","issued":{"date-parts":[["2011"]]},"note":"587","page":"222-233","publisher":"Springer Japan (1-11-11 Kudan-kita, Chiyoda-ku, No. 2 Funato Bldg., Tokyo 102-0073, Japan)","publisher-place":"T. Kimura, Department of Cardiovascular Medicine, Graduate School of Medicine, Kyoto University, 54 Shogoin Kawahara-cho, Sakyo-ku, Kyoto, 606-8507, Japan. E-mail: taketaka@kuhp.kyoto-u.ac.jp","title":"Association of the use of proton pump inhibitors with adverse cardiovascular and bleeding outcomes after percutaneous coronary intervention in the Japanese real world clinical practice","type":"article","volume":"26"},"uris":["http://www.mendeley.com/documents/?uuid=44631a34-9be1-434c-a691-b151e3954466"]}],"mendeley":{"formattedCitation":"(Kimura et al. 2011)","plainTextFormattedCitation":"(Kimura et al. 2011)","previouslyFormattedCitation":"(Kimura et al. 2011)"},"properties":{"noteIndex":0},"schema":"https://github.com/citation-style-language/schema/raw/master/csl-citation.json"}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(Kimura et al. 2011)</w:t>
            </w:r>
            <w:r>
              <w:rPr>
                <w:rFonts w:ascii="Calibri" w:eastAsia="Times New Roman" w:hAnsi="Calibri" w:cs="Times New Roman"/>
                <w:color w:val="000000"/>
                <w:sz w:val="20"/>
                <w:szCs w:val="20"/>
                <w:lang w:eastAsia="en-CA"/>
              </w:rPr>
              <w:fldChar w:fldCharType="end"/>
            </w:r>
          </w:p>
        </w:tc>
        <w:tc>
          <w:tcPr>
            <w:tcW w:w="1545" w:type="dxa"/>
            <w:tcBorders>
              <w:top w:val="single" w:sz="4" w:space="0" w:color="auto"/>
              <w:bottom w:val="single" w:sz="4" w:space="0" w:color="auto"/>
            </w:tcBorders>
            <w:shd w:val="clear" w:color="auto" w:fill="FFFFFF"/>
            <w:vAlign w:val="center"/>
          </w:tcPr>
          <w:p w14:paraId="21F9BC5E"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127" w:type="dxa"/>
            <w:tcBorders>
              <w:top w:val="single" w:sz="4" w:space="0" w:color="auto"/>
              <w:bottom w:val="single" w:sz="4" w:space="0" w:color="auto"/>
            </w:tcBorders>
            <w:shd w:val="clear" w:color="auto" w:fill="FFFFFF"/>
            <w:vAlign w:val="center"/>
          </w:tcPr>
          <w:p w14:paraId="04BC2450"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(PPI +ticlopidine) vs (ticlopidine) (90% of patients) </w:t>
            </w:r>
            <w:r>
              <w:rPr>
                <w:rFonts w:ascii="Calibri" w:eastAsia="Times New Roman" w:hAnsi="Calibri" w:cs="Times New Roman"/>
                <w:color w:val="000000"/>
                <w:sz w:val="20"/>
                <w:szCs w:val="20"/>
                <w:lang w:eastAsia="en-CA"/>
              </w:rPr>
              <w:br/>
              <w:t>(PPI+CP) vs (CP) (10% of patients)</w:t>
            </w:r>
            <w:r>
              <w:rPr>
                <w:rFonts w:ascii="Calibri" w:eastAsia="Times New Roman" w:hAnsi="Calibri" w:cs="Times New Roman"/>
                <w:color w:val="000000"/>
                <w:sz w:val="20"/>
                <w:szCs w:val="20"/>
                <w:lang w:eastAsia="en-CA"/>
              </w:rPr>
              <w:br/>
              <w:t>(all patients on aspirin)</w:t>
            </w:r>
          </w:p>
        </w:tc>
        <w:tc>
          <w:tcPr>
            <w:tcW w:w="2074" w:type="dxa"/>
            <w:tcBorders>
              <w:top w:val="single" w:sz="4" w:space="0" w:color="auto"/>
              <w:bottom w:val="single" w:sz="4" w:space="0" w:color="auto"/>
            </w:tcBorders>
            <w:shd w:val="clear" w:color="auto" w:fill="FFFFFF"/>
            <w:vAlign w:val="center"/>
          </w:tcPr>
          <w:p w14:paraId="40C9D373"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Hospital charts or databases and from follow up forms.</w:t>
            </w:r>
          </w:p>
        </w:tc>
        <w:tc>
          <w:tcPr>
            <w:tcW w:w="1925" w:type="dxa"/>
            <w:tcBorders>
              <w:top w:val="single" w:sz="4" w:space="0" w:color="auto"/>
              <w:bottom w:val="single" w:sz="4" w:space="0" w:color="auto"/>
            </w:tcBorders>
            <w:shd w:val="clear" w:color="auto" w:fill="FFFFFF"/>
            <w:vAlign w:val="center"/>
          </w:tcPr>
          <w:p w14:paraId="19C1BA12"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(3 years)</w:t>
            </w:r>
            <w:r>
              <w:rPr>
                <w:rFonts w:ascii="Calibri" w:eastAsia="Times New Roman" w:hAnsi="Calibri" w:cs="Times New Roman"/>
                <w:color w:val="000000"/>
                <w:sz w:val="20"/>
                <w:szCs w:val="20"/>
                <w:lang w:eastAsia="en-CA"/>
              </w:rPr>
              <w:br/>
              <w:t>Stroke (3 years)</w:t>
            </w:r>
            <w:r>
              <w:rPr>
                <w:rFonts w:ascii="Calibri" w:eastAsia="Times New Roman" w:hAnsi="Calibri" w:cs="Times New Roman"/>
                <w:color w:val="000000"/>
                <w:sz w:val="20"/>
                <w:szCs w:val="20"/>
                <w:lang w:eastAsia="en-CA"/>
              </w:rPr>
              <w:br/>
              <w:t>ACM (3 years)</w:t>
            </w:r>
            <w:r>
              <w:rPr>
                <w:rFonts w:ascii="Calibri" w:eastAsia="Times New Roman" w:hAnsi="Calibri" w:cs="Times New Roman"/>
                <w:color w:val="000000"/>
                <w:sz w:val="20"/>
                <w:szCs w:val="20"/>
                <w:lang w:eastAsia="en-CA"/>
              </w:rPr>
              <w:br/>
              <w:t>CVD mort (3 years)</w:t>
            </w:r>
          </w:p>
        </w:tc>
        <w:tc>
          <w:tcPr>
            <w:tcW w:w="1553" w:type="dxa"/>
            <w:tcBorders>
              <w:top w:val="single" w:sz="4" w:space="0" w:color="auto"/>
              <w:bottom w:val="single" w:sz="4" w:space="0" w:color="auto"/>
            </w:tcBorders>
            <w:shd w:val="clear" w:color="auto" w:fill="FFFFFF"/>
            <w:vAlign w:val="center"/>
          </w:tcPr>
          <w:p w14:paraId="380C0F78"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Hospital charts, referring physician or patient/relative contact; All outcomes were adjudicated by committee;</w:t>
            </w:r>
          </w:p>
        </w:tc>
        <w:tc>
          <w:tcPr>
            <w:tcW w:w="1384" w:type="dxa"/>
            <w:tcBorders>
              <w:top w:val="single" w:sz="4" w:space="0" w:color="auto"/>
              <w:bottom w:val="single" w:sz="4" w:space="0" w:color="auto"/>
            </w:tcBorders>
            <w:shd w:val="clear" w:color="auto" w:fill="FFFFFF"/>
            <w:vAlign w:val="center"/>
          </w:tcPr>
          <w:p w14:paraId="41BA3AA5"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2005-2007</w:t>
            </w:r>
          </w:p>
        </w:tc>
        <w:tc>
          <w:tcPr>
            <w:tcW w:w="1342" w:type="dxa"/>
            <w:tcBorders>
              <w:top w:val="single" w:sz="4" w:space="0" w:color="auto"/>
              <w:bottom w:val="single" w:sz="4" w:space="0" w:color="auto"/>
            </w:tcBorders>
            <w:shd w:val="clear" w:color="auto" w:fill="FFFFFF"/>
            <w:vAlign w:val="center"/>
          </w:tcPr>
          <w:p w14:paraId="2068B3CB"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w:t>
            </w:r>
          </w:p>
        </w:tc>
      </w:tr>
      <w:tr w:rsidR="00200EC7" w14:paraId="006E839D" w14:textId="77777777" w:rsidTr="00D87E93">
        <w:trPr>
          <w:trHeight w:val="847"/>
        </w:trPr>
        <w:tc>
          <w:tcPr>
            <w:tcW w:w="1354" w:type="dxa"/>
            <w:tcBorders>
              <w:top w:val="single" w:sz="4" w:space="0" w:color="auto"/>
              <w:bottom w:val="single" w:sz="4" w:space="0" w:color="auto"/>
            </w:tcBorders>
            <w:shd w:val="clear" w:color="auto" w:fill="FFFFFF"/>
            <w:vAlign w:val="center"/>
          </w:tcPr>
          <w:p w14:paraId="33754796" w14:textId="7F95FA3B"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{"citationItems":[{"id":"ITEM-1","itemData":{"ISSN":"1474-547X","abstract":"BACKGROUND: Proton-pump inhibitors (PPIs) are often prescribed in combination with thienopyridines. Conflicting data exist as to whether PPIs diminish the efficacy of clopidogrel. We assessed the association between PPI use, measures of platelet function, and clinical outcomes for patients treated with clopidogrel or prasugrel., METHODS: In the PRINCIPLE-TIMI 44 trial, the primary outcome was inhibition of platelet aggregation at 6 h assessed by light-transmission aggregometry. In the TRITON-TIMI 38 trial, the primary endpoint was the composite of cardiovascular death, myocardial infarction, or stroke. In both studies, PPI use was at physician's discretion. We used a multivariable Cox model with propensity score to assess the association of PPI use with clinical outcomes., FINDINGS: In the PRINCIPLE-TIMI 44 trial, 201 patients undergoing elective percutaneous coronary intervention were randomly assigned to prasugrel (n=102) or high-dose clopidogrel (n=99). Mean inhibition of platelet aggregation was significantly lower for patients on a PPI than for those not on a PPI at 6 h after a 600 mg clopidogrel loading dose (23.2+/-19.5% vs 35.2+/-20.9%, p=0.02), whereas a more modest difference was seen with and without a PPI after a 60 mg loading dose of prasugrel (69.6+/-13.5% vs 76.7+/-12.4%, p=0.054). In the TRITON-TIMI 38 trial, 13,608 patients with an acute coronary syndrome were randomly assigned to prasugrel (n=6813) or clopidogrel (n=6795). In this study, 33% (n=4529) of patients were on a PPI at randomisation. No association existed between PPI use and risk of the primary endpoint for patients treated with clopidogrel (adjusted hazard ratio [HR] 0.94, 95% CI 0.80-1.11) or prasugrel (1.00, 0.84-1.20)., INTERPRETATION: The current findings do not support the need to avoid concomitant use of PPIs, when clinically indicated, in patients receiving clopidogrel or prasugrel., FUNDING: Daiichi Sankyo Company Limited and Eli Lilly and Company sponsored the trials. This analysis had no funding.","author":[{"dropping-particle":"","family":"O'Donoghue","given":"Michelle L","non-dropping-particle":"","parse-names":false,"suffix":""},{"dropping-particle":"","family":"Braunwald","given":"Eugene","non-dropping-particle":"","parse-names":false,"suffix":""},{"dropping-particle":"","family":"Antman","given":"Elliott M","non-dropping-particle":"","parse-names":false,"suffix":""},{"dropping-particle":"","family":"Murphy","given":"Sabina A","non-dropping-particle":"","parse-names":false,"suffix":""},{"dropping-particle":"","family":"Bates","given":"Eric R","non-dropping-particle":"","parse-names":false,"suffix":""},{"dropping-particle":"","family":"Rozenman","given":"Yoseph","non-dropping-particle":"","parse-names":false,"suffix":""},{"dropping-particle":"","family":"Michelson","given":"Alan D","non-dropping-particle":"","parse-names":false,"suffix":""},{"dropping-particle":"","family":"Hautvast","given":"Raymond W","non-dropping-particle":"","parse-names":false,"suffix":""},{"dropping-particle":"","family":"Lee","given":"Peter N","non-dropping-particle":"Ver","parse-names":false,"suffix":""},{"dropping-particle":"","family":"Close","given":"Sandra L","non-dropping-particle":"","parse-names":false,"suffix":""},{"dropping-particle":"","family":"Shen","given":"Lei","non-dropping-particle":"","parse-names":false,"suffix":""},{"dropping-particle":"","family":"Mega","given":"Jessica L","non-dropping-particle":"","parse-names":false,"suffix":""},{"dropping-particle":"","family":"Sabatine","given":"Marc S","non-dropping-particle":"","parse-names":false,"suffix":""},{"dropping-particle":"","family":"Wiviott","given":"Stephen D","non-dropping-particle":"","parse-names":false,"suffix":""}],"container-title":"Lancet","id":"ITEM-1","issue":"9694","issued":{"date-parts":[["2009"]]},"note":"From Duplicate 1 (Pharmacodynamic effect and clinical efficacy of clopidogrel and prasugrel with or without a proton-pump inhibitor: an analysis of two randomised trials. - O'Donoghue, Michelle L; Braunwald, Eugene; Antman, Elliott M; Murphy, Sabina A; Bates, Eric R; Rozenman, Yoseph; Michelson, Alan D; Hautvast, Raymond W; Ver Lee, Peter N; Close, Sandra L; Shen, Lei; Mega, Jessica L; Sabatine, Marc S; Wiviott, Stephen D)\n\nComment in: Lancet. 2010 Jan 2;375(9708):28; author reply 28-9; PMID: 20109858, Comment in: Lancet. 2009 Sep 19;374(9694):952-4; PMID: 19726077, Comment in: Lancet. 2010 Jan 2;375(9708):27-8; author reply 28-9; PMID: 20109855\n\nFrom Duplicate 2 (Pharmacodynamic effect and clinical efficacy of clopidogrel and prasugrel with or without a proton-pump inhibitor: an analysis of two randomised trials. - O'Donoghue, Michelle L; Braunwald, Eugene; Antman, Elliott M; Murphy, Sabina A; Bates, Eric R; Rozenman, Yoseph; Michelson, Alan D; Hautvast, Raymond W; Ver Lee, Peter N; Close, Sandra L; Shen, Lei; Mega, Jessica L; Sabatine, Marc S; Wiviott, Stephen D)\n\nComment in: Lancet. 2009 Sep 19;374(9694):952-4; PMID: 19726077, Comment in: Lancet. 2010 Jan 2;375(9708):27-8; author reply 28-9; PMID: 20109855, Comment in: Lancet. 2010 Jan 2;375(9708):28; author reply 28-9; PMID: 20109858","page":"989-997","publisher":"O'Donoghue,Michelle L. TIMI Study Group, Brigham and Women's Hospital, Boston, MA 02115, USA. modonoghue@partners.org","publisher-place":"England","title":"Pharmacodynamic effect and clinical efficacy of clopidogrel and prasugrel with or without a proton-pump inhibitor: an analysis of two randomised trials.","type":"article-journal","volume":"374"},"uris":["http://www.mendeley.com/documents/?uuid=4c8ff788-289a-4c43-b36e-2a2df4412ead"]}],"mendeley":{"formattedCitation":"(O’Donoghue et al. 2009)","plainTextFormattedCitation":"(O’Donoghue et al. 2009)","previouslyFormattedCitation":"(O’Donoghue et al. 2009)"},"properties":{"noteIndex":0},"schema":"https://github.com/citation-style-language/schema/raw/master/csl-citation.json"}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(O’Donoghue et al. 2009)</w:t>
            </w:r>
            <w:r>
              <w:rPr>
                <w:rFonts w:ascii="Calibri" w:eastAsia="Times New Roman" w:hAnsi="Calibri" w:cs="Times New Roman"/>
                <w:color w:val="000000"/>
                <w:sz w:val="20"/>
                <w:szCs w:val="20"/>
                <w:lang w:eastAsia="en-CA"/>
              </w:rPr>
              <w:fldChar w:fldCharType="end"/>
            </w:r>
          </w:p>
        </w:tc>
        <w:tc>
          <w:tcPr>
            <w:tcW w:w="1545" w:type="dxa"/>
            <w:tcBorders>
              <w:top w:val="single" w:sz="4" w:space="0" w:color="auto"/>
              <w:bottom w:val="single" w:sz="4" w:space="0" w:color="auto"/>
            </w:tcBorders>
            <w:shd w:val="clear" w:color="auto" w:fill="FFFFFF"/>
            <w:vAlign w:val="center"/>
          </w:tcPr>
          <w:p w14:paraId="3548210E"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PPIs (general)</w:t>
            </w:r>
          </w:p>
        </w:tc>
        <w:tc>
          <w:tcPr>
            <w:tcW w:w="2127" w:type="dxa"/>
            <w:tcBorders>
              <w:top w:val="single" w:sz="4" w:space="0" w:color="auto"/>
              <w:bottom w:val="single" w:sz="4" w:space="0" w:color="auto"/>
            </w:tcBorders>
            <w:shd w:val="clear" w:color="auto" w:fill="FFFFFF"/>
            <w:vAlign w:val="center"/>
          </w:tcPr>
          <w:p w14:paraId="2B28EE94"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(PPI+prasugrel) vs (prasugrel)</w:t>
            </w:r>
          </w:p>
        </w:tc>
        <w:tc>
          <w:tcPr>
            <w:tcW w:w="2074" w:type="dxa"/>
            <w:tcBorders>
              <w:top w:val="single" w:sz="4" w:space="0" w:color="auto"/>
              <w:bottom w:val="single" w:sz="4" w:space="0" w:color="auto"/>
            </w:tcBorders>
            <w:shd w:val="clear" w:color="auto" w:fill="FFFFFF"/>
            <w:vAlign w:val="center"/>
          </w:tcPr>
          <w:p w14:paraId="5C556B19"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exposure determined at study entry and  at follow up</w:t>
            </w:r>
          </w:p>
        </w:tc>
        <w:tc>
          <w:tcPr>
            <w:tcW w:w="1925" w:type="dxa"/>
            <w:tcBorders>
              <w:top w:val="single" w:sz="4" w:space="0" w:color="auto"/>
              <w:bottom w:val="single" w:sz="4" w:space="0" w:color="auto"/>
            </w:tcBorders>
            <w:shd w:val="clear" w:color="auto" w:fill="FFFFFF"/>
            <w:vAlign w:val="center"/>
          </w:tcPr>
          <w:p w14:paraId="53FA74EC"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w:t>
            </w:r>
            <w:r w:rsidRPr="00200EC7">
              <w:rPr>
                <w:rFonts w:ascii="Calibri" w:eastAsia="Times New Roman" w:hAnsi="Calibri" w:cs="Times New Roman"/>
                <w:color w:val="000000"/>
                <w:sz w:val="20"/>
                <w:szCs w:val="20"/>
                <w:lang w:eastAsia="en-CA"/>
              </w:rPr>
              <w:t>I (400 days)</w:t>
            </w:r>
            <w:r>
              <w:rPr>
                <w:rFonts w:ascii="Calibri" w:eastAsia="Times New Roman" w:hAnsi="Calibri" w:cs="Times New Roman"/>
                <w:color w:val="000000"/>
                <w:sz w:val="20"/>
                <w:szCs w:val="20"/>
                <w:lang w:eastAsia="en-CA"/>
              </w:rPr>
              <w:br/>
              <w:t>ACM (400 days)</w:t>
            </w:r>
            <w:r>
              <w:rPr>
                <w:rFonts w:ascii="Calibri" w:eastAsia="Times New Roman" w:hAnsi="Calibri" w:cs="Times New Roman"/>
                <w:color w:val="000000"/>
                <w:sz w:val="20"/>
                <w:szCs w:val="20"/>
                <w:lang w:eastAsia="en-CA"/>
              </w:rPr>
              <w:br/>
              <w:t>CVD mort (400 days)</w:t>
            </w:r>
          </w:p>
        </w:tc>
        <w:tc>
          <w:tcPr>
            <w:tcW w:w="1553" w:type="dxa"/>
            <w:tcBorders>
              <w:top w:val="single" w:sz="4" w:space="0" w:color="auto"/>
              <w:bottom w:val="single" w:sz="4" w:space="0" w:color="auto"/>
            </w:tcBorders>
            <w:shd w:val="clear" w:color="auto" w:fill="FFFFFF"/>
            <w:vAlign w:val="center"/>
          </w:tcPr>
          <w:p w14:paraId="4A646F94"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Independent committee (blinded)</w:t>
            </w:r>
          </w:p>
        </w:tc>
        <w:tc>
          <w:tcPr>
            <w:tcW w:w="1384" w:type="dxa"/>
            <w:tcBorders>
              <w:top w:val="single" w:sz="4" w:space="0" w:color="auto"/>
              <w:bottom w:val="single" w:sz="4" w:space="0" w:color="auto"/>
            </w:tcBorders>
            <w:shd w:val="clear" w:color="auto" w:fill="FFFFFF"/>
            <w:vAlign w:val="center"/>
          </w:tcPr>
          <w:p w14:paraId="0A19658C"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2004-2007</w:t>
            </w:r>
          </w:p>
        </w:tc>
        <w:tc>
          <w:tcPr>
            <w:tcW w:w="1342" w:type="dxa"/>
            <w:tcBorders>
              <w:top w:val="single" w:sz="4" w:space="0" w:color="auto"/>
              <w:bottom w:val="single" w:sz="4" w:space="0" w:color="auto"/>
            </w:tcBorders>
            <w:shd w:val="clear" w:color="auto" w:fill="FFFFFF"/>
            <w:vAlign w:val="center"/>
          </w:tcPr>
          <w:p w14:paraId="0B596B1A" w14:textId="77777777" w:rsidR="00200EC7" w:rsidRDefault="00200EC7" w:rsidP="00841021">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None for this analysis; original trial funded by industry</w:t>
            </w:r>
          </w:p>
        </w:tc>
      </w:tr>
      <w:tr w:rsidR="00D87E93" w14:paraId="3DE503E2" w14:textId="77777777" w:rsidTr="002F0260">
        <w:trPr>
          <w:trHeight w:val="847"/>
        </w:trPr>
        <w:tc>
          <w:tcPr>
            <w:tcW w:w="1354" w:type="dxa"/>
            <w:tcBorders>
              <w:top w:val="single" w:sz="4" w:space="0" w:color="auto"/>
              <w:bottom w:val="single" w:sz="4" w:space="0" w:color="auto"/>
            </w:tcBorders>
            <w:shd w:val="clear" w:color="auto" w:fill="auto"/>
            <w:vAlign w:val="center"/>
          </w:tcPr>
          <w:p w14:paraId="1C9D7BFB" w14:textId="6F78389B"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(Yan et al 2016)</w:t>
            </w:r>
          </w:p>
        </w:tc>
        <w:tc>
          <w:tcPr>
            <w:tcW w:w="1545" w:type="dxa"/>
            <w:tcBorders>
              <w:top w:val="single" w:sz="4" w:space="0" w:color="auto"/>
              <w:bottom w:val="single" w:sz="4" w:space="0" w:color="auto"/>
            </w:tcBorders>
            <w:shd w:val="clear" w:color="auto" w:fill="auto"/>
            <w:vAlign w:val="center"/>
          </w:tcPr>
          <w:p w14:paraId="60AA0C52" w14:textId="72208313"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PPIs (general)</w:t>
            </w:r>
          </w:p>
        </w:tc>
        <w:tc>
          <w:tcPr>
            <w:tcW w:w="2127" w:type="dxa"/>
            <w:tcBorders>
              <w:top w:val="single" w:sz="4" w:space="0" w:color="auto"/>
              <w:bottom w:val="single" w:sz="4" w:space="0" w:color="auto"/>
            </w:tcBorders>
            <w:shd w:val="clear" w:color="auto" w:fill="auto"/>
            <w:vAlign w:val="center"/>
          </w:tcPr>
          <w:p w14:paraId="76A79235" w14:textId="2C78C35A" w:rsidR="00D87E93" w:rsidRPr="00D87E93" w:rsidRDefault="00D87E93" w:rsidP="00D87E93">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(PPI+ticagrelor) vs (ticagrelor)</w:t>
            </w:r>
          </w:p>
        </w:tc>
        <w:tc>
          <w:tcPr>
            <w:tcW w:w="2074" w:type="dxa"/>
            <w:tcBorders>
              <w:top w:val="single" w:sz="4" w:space="0" w:color="auto"/>
              <w:bottom w:val="single" w:sz="4" w:space="0" w:color="auto"/>
            </w:tcBorders>
            <w:shd w:val="clear" w:color="auto" w:fill="auto"/>
            <w:vAlign w:val="center"/>
          </w:tcPr>
          <w:p w14:paraId="15A0F517" w14:textId="4134DDF5"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Discharge records</w:t>
            </w:r>
          </w:p>
        </w:tc>
        <w:tc>
          <w:tcPr>
            <w:tcW w:w="1925" w:type="dxa"/>
            <w:tcBorders>
              <w:top w:val="single" w:sz="4" w:space="0" w:color="auto"/>
              <w:bottom w:val="single" w:sz="4" w:space="0" w:color="auto"/>
            </w:tcBorders>
            <w:shd w:val="clear" w:color="auto" w:fill="auto"/>
            <w:vAlign w:val="center"/>
          </w:tcPr>
          <w:p w14:paraId="5AE73451" w14:textId="2433D3DA"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ACM (1 year);</w:t>
            </w:r>
            <w:r w:rsidRPr="00D87E93">
              <w:rPr>
                <w:rFonts w:ascii="Calibri" w:hAnsi="Calibri" w:cs="Calibri"/>
                <w:color w:val="000000"/>
                <w:sz w:val="20"/>
                <w:szCs w:val="20"/>
              </w:rPr>
              <w:br/>
              <w:t>MI (1 year);</w:t>
            </w:r>
          </w:p>
        </w:tc>
        <w:tc>
          <w:tcPr>
            <w:tcW w:w="1553" w:type="dxa"/>
            <w:tcBorders>
              <w:top w:val="single" w:sz="4" w:space="0" w:color="auto"/>
              <w:bottom w:val="single" w:sz="4" w:space="0" w:color="auto"/>
            </w:tcBorders>
            <w:shd w:val="clear" w:color="auto" w:fill="auto"/>
            <w:vAlign w:val="center"/>
          </w:tcPr>
          <w:p w14:paraId="72CEF3C5" w14:textId="73530F7C"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Telephone or in person interviews; medical records</w:t>
            </w:r>
          </w:p>
        </w:tc>
        <w:tc>
          <w:tcPr>
            <w:tcW w:w="1384" w:type="dxa"/>
            <w:tcBorders>
              <w:top w:val="single" w:sz="4" w:space="0" w:color="auto"/>
              <w:bottom w:val="single" w:sz="4" w:space="0" w:color="auto"/>
            </w:tcBorders>
            <w:shd w:val="clear" w:color="auto" w:fill="auto"/>
            <w:vAlign w:val="center"/>
          </w:tcPr>
          <w:p w14:paraId="086ABF6F" w14:textId="5485F837"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2003-2014</w:t>
            </w:r>
          </w:p>
        </w:tc>
        <w:tc>
          <w:tcPr>
            <w:tcW w:w="1342" w:type="dxa"/>
            <w:tcBorders>
              <w:top w:val="single" w:sz="4" w:space="0" w:color="auto"/>
              <w:bottom w:val="single" w:sz="4" w:space="0" w:color="auto"/>
            </w:tcBorders>
            <w:shd w:val="clear" w:color="auto" w:fill="auto"/>
            <w:vAlign w:val="center"/>
          </w:tcPr>
          <w:p w14:paraId="023ECA56" w14:textId="600EA264"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NR</w:t>
            </w:r>
          </w:p>
        </w:tc>
      </w:tr>
      <w:tr w:rsidR="00200EC7" w14:paraId="329CD980" w14:textId="77777777" w:rsidTr="00D87E93">
        <w:trPr>
          <w:trHeight w:val="847"/>
        </w:trPr>
        <w:tc>
          <w:tcPr>
            <w:tcW w:w="1354" w:type="dxa"/>
            <w:tcBorders>
              <w:top w:val="single" w:sz="4" w:space="0" w:color="auto"/>
              <w:bottom w:val="single" w:sz="4" w:space="0" w:color="auto"/>
            </w:tcBorders>
            <w:shd w:val="clear" w:color="auto" w:fill="DEEAF6" w:themeFill="accent1" w:themeFillTint="33"/>
            <w:vAlign w:val="center"/>
          </w:tcPr>
          <w:p w14:paraId="392B1B11" w14:textId="4650CE34" w:rsidR="00200EC7" w:rsidRPr="00342532" w:rsidRDefault="00200EC7">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lastRenderedPageBreak/>
              <w:t>Intervention studies</w:t>
            </w:r>
          </w:p>
        </w:tc>
        <w:tc>
          <w:tcPr>
            <w:tcW w:w="1545" w:type="dxa"/>
            <w:tcBorders>
              <w:top w:val="single" w:sz="4" w:space="0" w:color="auto"/>
              <w:bottom w:val="single" w:sz="4" w:space="0" w:color="auto"/>
            </w:tcBorders>
            <w:shd w:val="clear" w:color="auto" w:fill="DEEAF6" w:themeFill="accent1" w:themeFillTint="33"/>
            <w:vAlign w:val="center"/>
          </w:tcPr>
          <w:p w14:paraId="45BA279A" w14:textId="77777777" w:rsidR="00200EC7" w:rsidRDefault="00200EC7" w:rsidP="003865D3">
            <w:pPr>
              <w:spacing w:after="0" w:line="240" w:lineRule="auto"/>
              <w:rPr>
                <w:rFonts w:ascii="Calibri" w:eastAsia="Times New Roman" w:hAnsi="Calibri" w:cs="Times New Roman"/>
                <w:color w:val="000000"/>
                <w:sz w:val="20"/>
                <w:szCs w:val="20"/>
                <w:lang w:eastAsia="en-CA"/>
              </w:rPr>
            </w:pPr>
          </w:p>
        </w:tc>
        <w:tc>
          <w:tcPr>
            <w:tcW w:w="2127" w:type="dxa"/>
            <w:tcBorders>
              <w:top w:val="single" w:sz="4" w:space="0" w:color="auto"/>
              <w:bottom w:val="single" w:sz="4" w:space="0" w:color="auto"/>
            </w:tcBorders>
            <w:shd w:val="clear" w:color="auto" w:fill="DEEAF6" w:themeFill="accent1" w:themeFillTint="33"/>
            <w:vAlign w:val="center"/>
          </w:tcPr>
          <w:p w14:paraId="118E2347" w14:textId="77777777" w:rsidR="00200EC7" w:rsidRDefault="00200EC7">
            <w:pPr>
              <w:spacing w:after="0" w:line="240" w:lineRule="auto"/>
              <w:rPr>
                <w:rFonts w:ascii="Calibri" w:eastAsia="Times New Roman" w:hAnsi="Calibri" w:cs="Times New Roman"/>
                <w:color w:val="000000"/>
                <w:sz w:val="20"/>
                <w:szCs w:val="20"/>
                <w:lang w:eastAsia="en-CA"/>
              </w:rPr>
            </w:pPr>
          </w:p>
        </w:tc>
        <w:tc>
          <w:tcPr>
            <w:tcW w:w="2074" w:type="dxa"/>
            <w:tcBorders>
              <w:top w:val="single" w:sz="4" w:space="0" w:color="auto"/>
              <w:bottom w:val="single" w:sz="4" w:space="0" w:color="auto"/>
            </w:tcBorders>
            <w:shd w:val="clear" w:color="auto" w:fill="DEEAF6" w:themeFill="accent1" w:themeFillTint="33"/>
            <w:vAlign w:val="center"/>
          </w:tcPr>
          <w:p w14:paraId="14EC1697" w14:textId="77777777" w:rsidR="00200EC7" w:rsidRDefault="00200EC7">
            <w:pPr>
              <w:spacing w:after="0" w:line="240" w:lineRule="auto"/>
              <w:rPr>
                <w:rFonts w:ascii="Calibri" w:eastAsia="Times New Roman" w:hAnsi="Calibri" w:cs="Times New Roman"/>
                <w:color w:val="000000"/>
                <w:sz w:val="20"/>
                <w:szCs w:val="20"/>
                <w:lang w:eastAsia="en-CA"/>
              </w:rPr>
            </w:pPr>
          </w:p>
        </w:tc>
        <w:tc>
          <w:tcPr>
            <w:tcW w:w="1925" w:type="dxa"/>
            <w:tcBorders>
              <w:top w:val="single" w:sz="4" w:space="0" w:color="auto"/>
              <w:bottom w:val="single" w:sz="4" w:space="0" w:color="auto"/>
            </w:tcBorders>
            <w:shd w:val="clear" w:color="auto" w:fill="DEEAF6" w:themeFill="accent1" w:themeFillTint="33"/>
            <w:vAlign w:val="center"/>
          </w:tcPr>
          <w:p w14:paraId="402B5062" w14:textId="77777777" w:rsidR="00200EC7" w:rsidRDefault="00200EC7">
            <w:pPr>
              <w:spacing w:after="0" w:line="240" w:lineRule="auto"/>
              <w:rPr>
                <w:rFonts w:ascii="Calibri" w:eastAsia="Times New Roman" w:hAnsi="Calibri" w:cs="Times New Roman"/>
                <w:color w:val="000000"/>
                <w:sz w:val="20"/>
                <w:szCs w:val="20"/>
                <w:lang w:eastAsia="en-CA"/>
              </w:rPr>
            </w:pPr>
          </w:p>
        </w:tc>
        <w:tc>
          <w:tcPr>
            <w:tcW w:w="1553" w:type="dxa"/>
            <w:tcBorders>
              <w:top w:val="single" w:sz="4" w:space="0" w:color="auto"/>
              <w:bottom w:val="single" w:sz="4" w:space="0" w:color="auto"/>
            </w:tcBorders>
            <w:shd w:val="clear" w:color="auto" w:fill="DEEAF6" w:themeFill="accent1" w:themeFillTint="33"/>
            <w:vAlign w:val="center"/>
          </w:tcPr>
          <w:p w14:paraId="58B79BE9" w14:textId="77777777" w:rsidR="00200EC7" w:rsidRDefault="00200EC7">
            <w:pPr>
              <w:spacing w:after="0" w:line="240" w:lineRule="auto"/>
              <w:rPr>
                <w:rFonts w:ascii="Calibri" w:eastAsia="Times New Roman" w:hAnsi="Calibri" w:cs="Times New Roman"/>
                <w:color w:val="000000"/>
                <w:sz w:val="20"/>
                <w:szCs w:val="20"/>
                <w:lang w:eastAsia="en-CA"/>
              </w:rPr>
            </w:pPr>
          </w:p>
        </w:tc>
        <w:tc>
          <w:tcPr>
            <w:tcW w:w="1384" w:type="dxa"/>
            <w:tcBorders>
              <w:top w:val="single" w:sz="4" w:space="0" w:color="auto"/>
              <w:bottom w:val="single" w:sz="4" w:space="0" w:color="auto"/>
            </w:tcBorders>
            <w:shd w:val="clear" w:color="auto" w:fill="DEEAF6" w:themeFill="accent1" w:themeFillTint="33"/>
            <w:vAlign w:val="center"/>
          </w:tcPr>
          <w:p w14:paraId="16E53175" w14:textId="77777777" w:rsidR="00200EC7" w:rsidRDefault="00200EC7">
            <w:pPr>
              <w:spacing w:after="0" w:line="240" w:lineRule="auto"/>
              <w:rPr>
                <w:rFonts w:ascii="Calibri" w:eastAsia="Times New Roman" w:hAnsi="Calibri" w:cs="Times New Roman"/>
                <w:color w:val="000000"/>
                <w:sz w:val="20"/>
                <w:szCs w:val="20"/>
                <w:lang w:eastAsia="en-CA"/>
              </w:rPr>
            </w:pPr>
          </w:p>
        </w:tc>
        <w:tc>
          <w:tcPr>
            <w:tcW w:w="1342" w:type="dxa"/>
            <w:tcBorders>
              <w:top w:val="single" w:sz="4" w:space="0" w:color="auto"/>
              <w:bottom w:val="single" w:sz="4" w:space="0" w:color="auto"/>
            </w:tcBorders>
            <w:shd w:val="clear" w:color="auto" w:fill="DEEAF6" w:themeFill="accent1" w:themeFillTint="33"/>
            <w:vAlign w:val="center"/>
          </w:tcPr>
          <w:p w14:paraId="71A719FC" w14:textId="77777777" w:rsidR="00200EC7" w:rsidRDefault="00200EC7">
            <w:pPr>
              <w:spacing w:after="0" w:line="240" w:lineRule="auto"/>
              <w:rPr>
                <w:rFonts w:ascii="Calibri" w:eastAsia="Times New Roman" w:hAnsi="Calibri" w:cs="Times New Roman"/>
                <w:color w:val="000000"/>
                <w:sz w:val="20"/>
                <w:szCs w:val="20"/>
                <w:lang w:eastAsia="en-CA"/>
              </w:rPr>
            </w:pPr>
          </w:p>
        </w:tc>
      </w:tr>
      <w:tr w:rsidR="009462F4" w14:paraId="506DE869" w14:textId="77777777" w:rsidTr="00D87E93">
        <w:trPr>
          <w:trHeight w:val="847"/>
        </w:trPr>
        <w:tc>
          <w:tcPr>
            <w:tcW w:w="1354" w:type="dxa"/>
            <w:tcBorders>
              <w:top w:val="single" w:sz="4" w:space="0" w:color="auto"/>
            </w:tcBorders>
            <w:shd w:val="clear" w:color="auto" w:fill="FFFFFF"/>
            <w:vAlign w:val="center"/>
            <w:hideMark/>
          </w:tcPr>
          <w:p w14:paraId="68D8138C" w14:textId="50BA7EFA" w:rsidR="009462F4" w:rsidRPr="00342532" w:rsidRDefault="009462F4">
            <w:pPr>
              <w:spacing w:after="0" w:line="240" w:lineRule="auto"/>
              <w:rPr>
                <w:rFonts w:ascii="Calibri" w:eastAsia="Times New Roman" w:hAnsi="Calibri" w:cs="Times New Roman"/>
                <w:color w:val="000000"/>
                <w:sz w:val="20"/>
                <w:szCs w:val="20"/>
                <w:lang w:eastAsia="en-CA"/>
              </w:rPr>
            </w:pPr>
            <w:r w:rsidRPr="00342532">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{"citationItems":[{"id":"ITEM-1","itemData":{"ISBN":"0929-5305","abstract":"Patients receiving chronic nonsteroidal anti-inflammatory drugs (NSAIDs) and concomitant low-dose aspirin (LDA) are at increased risk of gastrointestinal (GI) toxicity. A fixed-dose combination of enteric-coated (EC) naproxen and immediate-release esomeprazole magnesium (NAP/ESO) has been designed to deliver a proton-pump inhibitor followed by an NSAID in a single tablet. To examine safety data from 5 Phase III studies of NAP/ESO in LDA users (&lt;325 mg daily, administered at any time during the study), and LDA non-users, data were analyzed from 6-month studies assessing NAP/ESO versus EC naproxen in patients with osteoarthritis, rheumatoid arthritis, or ankylosing spondylitis (n = 2), 3-month studies assessing NAP/ESO vs celecoxib or placebo in patients with knee osteoarthritis (n = 2), and a 12-month, open-label, safety study of NAP/ESO (n = 1). In an analysis of two studies, incidences of endoscopically confirmed gastric ulcers (GUs) and duodenal ulcers (DUs) were summarized by LDA subgroups. In the pooled analysis from all five studies, incidences of treatment-emergent adverse events (AEs) (including prespecified NSAID-associated upper GI AEs and cardiovascular AEs), serious AEs, and AE-related discontinuations were stratified by LDA subgroups. Overall, 2,317 patients received treatment; 1,157 patients received NAP/ESO and, of these, 298 received LDA. The cumulative incidence of GUs and DUs in the two studies with 6-month follow-up was lower for NAP/ESO vs EC naproxen in both LDA subgroups [GUs: 3.0 vs 27.9 %, respectively, for LDA users, 6.4 vs 22.4 %, respectively, for LDA non-users (both P &lt; 0.001); DUs: 1.0 vs 5.8 % for LDA users, 0.6 vs 5.3 % for LDA non-users]. The incidence of erosive gastritis was lower in NAP/ESO- vs EC naproxen-treated patients for both LDA users [18.2 vs 36.5 %, respectively (P = 0.004)] and LDA non-users [19.8 vs 38.5 %, respectively (P &lt; 0.001)]. Among LDA users, incidences of NSAID-associated upper GI AEs were: NAP/ESO, 16.1 %; EC naproxen, 31.7 %; celecoxib, 22.1 %; placebo, 23.2 %. Among LDA non-users, incidences of NSAID-associated upper GI AEs were: NAP/ESO, 20.3 %; EC naproxen, 36.6 %; celecoxib, 18.5 %; placebo, 18.9 %. For LDA users, incidences of cardiovascular AEs were: NAP/ESO, 3.0 %; EC naproxen, 1.0 %; celecoxib, 0 %; placebo, 0 %. For LDA non-users, incidences of cardiovascular AEs were: NAP/ESO, 1.0 %; EC naproxen, 0.6 %; celecoxib, 0.3 %; placebo, 0 %. NAP/ESO appears to be well-tolerated in patients recei…","author":[{"dropping-particle":"","family":"Angiolillo","given":"DJ","non-dropping-particle":"","parse-names":false,"suffix":""},{"dropping-particle":"","family":"Datto","given":"C","non-dropping-particle":"","parse-names":false,"suffix":""},{"dropping-particle":"","family":"Raines","given":"S","non-dropping-particle":"","parse-names":false,"suffix":""},{"dropping-particle":"","family":"Yeomans","given":"ND","non-dropping-particle":"","parse-names":false,"suffix":""}],"container-title":"Journal of Thrombosis and Thrombolysis","id":"ITEM-1","issue":"1","issued":{"date-parts":[["2014"]]},"note":"219","page":"11-23","publisher":"Kluwer Academic Publishers","publisher-place":"D.J. Angiolillo, Division of Cardiology, University of Florida College of Medicine-Jacksonville, ACC Building, 655 West 8th Street, Jacksonville, FL 32209, United States. E-mail: dominick.angiolillo@jax.ufl.edu","title":"Impact of concomitant low-dose aspirin on the safety and tolerability of naproxen and esomeprazole magnesium delayed-release tablets in patients requiring chronic nonsteroidal anti-inflammatory drug therapy: An analysis from 5 Phase III studies","type":"article","volume":"38"},"uris":["http://www.mendeley.com/documents/?uuid=d3949ee1-a391-447a-adb0-f4f3013232e8"]}],"mendeley":{"formattedCitation":"(Angiolillo et al. 2014)","plainTextFormattedCitation":"(Angiolillo et al. 2014)","previouslyFormattedCitation":"(Angiolillo et al. 2014)"},"properties":{"noteIndex":0},"schema":"https://github.com/citation-style-language/schema/raw/master/csl-citation.json"}</w:instrText>
            </w:r>
            <w:r w:rsidRPr="00342532">
              <w:rPr>
                <w:rFonts w:ascii="Calibri" w:eastAsia="Times New Roman" w:hAnsi="Calibri" w:cs="Times New Roman"/>
                <w:color w:val="000000"/>
                <w:sz w:val="20"/>
                <w:szCs w:val="20"/>
                <w:lang w:eastAsia="en-CA"/>
              </w:rPr>
              <w:fldChar w:fldCharType="separate"/>
            </w:r>
            <w:r w:rsidRPr="00342532">
              <w:rPr>
                <w:rFonts w:ascii="Calibri" w:eastAsia="Times New Roman" w:hAnsi="Calibri" w:cs="Times New Roman"/>
                <w:noProof/>
                <w:color w:val="000000"/>
                <w:sz w:val="20"/>
                <w:szCs w:val="20"/>
                <w:lang w:eastAsia="en-CA"/>
              </w:rPr>
              <w:t>(Angiolillo et al. 2014)</w:t>
            </w:r>
            <w:r w:rsidRPr="00342532">
              <w:rPr>
                <w:rFonts w:ascii="Calibri" w:eastAsia="Times New Roman" w:hAnsi="Calibri" w:cs="Times New Roman"/>
                <w:color w:val="000000"/>
                <w:sz w:val="20"/>
                <w:szCs w:val="20"/>
                <w:lang w:eastAsia="en-CA"/>
              </w:rPr>
              <w:fldChar w:fldCharType="end"/>
            </w:r>
          </w:p>
          <w:p w14:paraId="4472CBF5" w14:textId="5397957D" w:rsidR="009462F4" w:rsidRPr="00342532" w:rsidRDefault="009462F4">
            <w:pPr>
              <w:spacing w:after="0" w:line="240" w:lineRule="auto"/>
              <w:rPr>
                <w:rFonts w:ascii="Calibri" w:eastAsia="Times New Roman" w:hAnsi="Calibri" w:cs="Times New Roman"/>
                <w:color w:val="000000"/>
                <w:sz w:val="20"/>
                <w:szCs w:val="20"/>
                <w:lang w:eastAsia="en-CA"/>
              </w:rPr>
            </w:pPr>
            <w:r w:rsidRPr="00342532">
              <w:rPr>
                <w:rFonts w:ascii="Calibri" w:eastAsia="Times New Roman" w:hAnsi="Calibri" w:cs="Times New Roman"/>
                <w:color w:val="000000"/>
                <w:sz w:val="20"/>
                <w:szCs w:val="20"/>
                <w:lang w:eastAsia="en-CA"/>
              </w:rPr>
              <w:t xml:space="preserve">and </w:t>
            </w:r>
            <w:r w:rsidR="00342532" w:rsidRPr="00342532">
              <w:rPr>
                <w:rFonts w:ascii="Calibri" w:eastAsia="Times New Roman" w:hAnsi="Calibri" w:cs="Times New Roman"/>
                <w:color w:val="000000"/>
                <w:sz w:val="20"/>
                <w:szCs w:val="20"/>
                <w:lang w:eastAsia="en-CA"/>
              </w:rPr>
              <w:t>(</w:t>
            </w:r>
            <w:r w:rsidRPr="00342532">
              <w:rPr>
                <w:rFonts w:ascii="Calibri" w:eastAsia="Times New Roman" w:hAnsi="Calibri" w:cs="Times New Roman"/>
                <w:color w:val="000000"/>
                <w:sz w:val="20"/>
                <w:szCs w:val="20"/>
                <w:lang w:eastAsia="en-CA"/>
              </w:rPr>
              <w:t>Goldstein et al, 2010</w:t>
            </w:r>
            <w:r w:rsidR="00342532" w:rsidRPr="00342532">
              <w:rPr>
                <w:rFonts w:ascii="Calibri" w:eastAsia="Times New Roman" w:hAnsi="Calibri" w:cs="Times New Roman"/>
                <w:color w:val="000000"/>
                <w:sz w:val="20"/>
                <w:szCs w:val="20"/>
                <w:lang w:eastAsia="en-CA"/>
              </w:rPr>
              <w:t>)</w:t>
            </w:r>
          </w:p>
        </w:tc>
        <w:tc>
          <w:tcPr>
            <w:tcW w:w="1545" w:type="dxa"/>
            <w:tcBorders>
              <w:top w:val="single" w:sz="4" w:space="0" w:color="auto"/>
            </w:tcBorders>
            <w:shd w:val="clear" w:color="auto" w:fill="FFFFFF"/>
            <w:vAlign w:val="center"/>
            <w:hideMark/>
          </w:tcPr>
          <w:p w14:paraId="030757A4" w14:textId="6ECD7AE6" w:rsidR="009462F4" w:rsidRDefault="003865D3" w:rsidP="003865D3">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Esomeprazole</w:t>
            </w:r>
          </w:p>
        </w:tc>
        <w:tc>
          <w:tcPr>
            <w:tcW w:w="2127" w:type="dxa"/>
            <w:tcBorders>
              <w:top w:val="single" w:sz="4" w:space="0" w:color="auto"/>
            </w:tcBorders>
            <w:shd w:val="clear" w:color="auto" w:fill="FFFFFF"/>
            <w:vAlign w:val="center"/>
            <w:hideMark/>
          </w:tcPr>
          <w:p w14:paraId="4BB9D5B1"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(PPI+naproxen) vs (naproxen)</w:t>
            </w:r>
          </w:p>
        </w:tc>
        <w:tc>
          <w:tcPr>
            <w:tcW w:w="2074" w:type="dxa"/>
            <w:tcBorders>
              <w:top w:val="single" w:sz="4" w:space="0" w:color="auto"/>
            </w:tcBorders>
            <w:shd w:val="clear" w:color="auto" w:fill="FFFFFF"/>
            <w:vAlign w:val="center"/>
            <w:hideMark/>
          </w:tcPr>
          <w:p w14:paraId="3347BA1A"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to receive either EC naproxen + esomeprazole or EC naproxen;</w:t>
            </w:r>
          </w:p>
        </w:tc>
        <w:tc>
          <w:tcPr>
            <w:tcW w:w="1925" w:type="dxa"/>
            <w:tcBorders>
              <w:top w:val="single" w:sz="4" w:space="0" w:color="auto"/>
            </w:tcBorders>
            <w:shd w:val="clear" w:color="auto" w:fill="FFFFFF"/>
            <w:vAlign w:val="center"/>
            <w:hideMark/>
          </w:tcPr>
          <w:p w14:paraId="61BB36E8"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(6 months)</w:t>
            </w:r>
            <w:r>
              <w:rPr>
                <w:rFonts w:ascii="Calibri" w:eastAsia="Times New Roman" w:hAnsi="Calibri" w:cs="Times New Roman"/>
                <w:color w:val="000000"/>
                <w:sz w:val="20"/>
                <w:szCs w:val="20"/>
                <w:lang w:eastAsia="en-CA"/>
              </w:rPr>
              <w:br/>
              <w:t>ACM (6 months)</w:t>
            </w:r>
          </w:p>
        </w:tc>
        <w:tc>
          <w:tcPr>
            <w:tcW w:w="1553" w:type="dxa"/>
            <w:tcBorders>
              <w:top w:val="single" w:sz="4" w:space="0" w:color="auto"/>
            </w:tcBorders>
            <w:shd w:val="clear" w:color="auto" w:fill="FFFFFF"/>
            <w:vAlign w:val="center"/>
            <w:hideMark/>
          </w:tcPr>
          <w:p w14:paraId="66365CB6"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384" w:type="dxa"/>
            <w:tcBorders>
              <w:top w:val="single" w:sz="4" w:space="0" w:color="auto"/>
            </w:tcBorders>
            <w:shd w:val="clear" w:color="auto" w:fill="FFFFFF"/>
            <w:vAlign w:val="center"/>
            <w:hideMark/>
          </w:tcPr>
          <w:p w14:paraId="4E8FAAAD"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2007-2008</w:t>
            </w:r>
          </w:p>
        </w:tc>
        <w:tc>
          <w:tcPr>
            <w:tcW w:w="1342" w:type="dxa"/>
            <w:tcBorders>
              <w:top w:val="single" w:sz="4" w:space="0" w:color="auto"/>
            </w:tcBorders>
            <w:shd w:val="clear" w:color="auto" w:fill="FFFFFF"/>
            <w:vAlign w:val="center"/>
            <w:hideMark/>
          </w:tcPr>
          <w:p w14:paraId="789392A6"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Industry</w:t>
            </w:r>
          </w:p>
        </w:tc>
      </w:tr>
      <w:tr w:rsidR="009462F4" w14:paraId="4278B243" w14:textId="77777777" w:rsidTr="00D87E93">
        <w:trPr>
          <w:trHeight w:val="924"/>
        </w:trPr>
        <w:tc>
          <w:tcPr>
            <w:tcW w:w="1354" w:type="dxa"/>
            <w:tcBorders>
              <w:top w:val="single" w:sz="4" w:space="0" w:color="808080"/>
              <w:left w:val="nil"/>
              <w:bottom w:val="single" w:sz="4" w:space="0" w:color="808080"/>
              <w:right w:val="nil"/>
            </w:tcBorders>
            <w:shd w:val="clear" w:color="auto" w:fill="FFFFFF"/>
            <w:vAlign w:val="center"/>
            <w:hideMark/>
          </w:tcPr>
          <w:p w14:paraId="3A9C045A" w14:textId="6D69EF71" w:rsidR="009462F4" w:rsidRPr="00342532" w:rsidRDefault="009462F4">
            <w:pPr>
              <w:spacing w:after="0" w:line="240" w:lineRule="auto"/>
              <w:rPr>
                <w:rFonts w:ascii="Calibri" w:eastAsia="Times New Roman" w:hAnsi="Calibri" w:cs="Times New Roman"/>
                <w:color w:val="000000"/>
                <w:sz w:val="20"/>
                <w:szCs w:val="20"/>
                <w:lang w:eastAsia="en-CA"/>
              </w:rPr>
            </w:pPr>
            <w:r w:rsidRPr="00342532">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{"citationItems":[{"id":"ITEM-1","itemData":{"ISBN":"0140-6736","abstract":"Background: Guidelines on pain management recommend that patients at risk of ulcers receive either a cyclo-oxygenase (COX 2) inhibitor or a non-steroidal anti-inflammatory drug (NSAID) with a proton-pump inhibitor (PPI). These two treatments have similar effectiveness, but they are insufficient for protection of patients at very high risk for ulcer bleeding. We aimed to test the hypothesis that in patients with previous ulcer bleeding induced by non-selective NSAIDs, combined treatment with the COX 2 inhibitor celecoxib and the PPI esomeprazole would be better than celecoxib alone for prevention of recurrent ulcer bleeding. Methods: 441 consecutively presenting patients who were taking non-selective NSAIDs for arthritis were recruited to our single-centre, prospective, randomised, double-blind trial after admission to hospital with upper-gastrointestinal bleeding. Patients were enrolled after their ulcers had healed and a histological test for Helicobacter pylori was negative. All patients were given 200 mg celecoxib twice daily. 137 patients were randomly assigned to receive 20 mg esomeprazole twice daily (combined-treatment group), and 136 to receive a placebo (control group) for 12 months. The primary endpoint was recurrent ulcer bleeding during treatment or within 1 month of the end of treatment. Analysis was by intention to treat. This trial is registered with ClinicalTrials.gov, number NCT00365313. Findings: Combination treatment was more effective than celecoxib alone for prevention of ulcer bleeding in patients at high risk. The 13-month cumulative incidence of the primary endpoint was 0% in the combined-treatment group and 12 (89%) in the controls (95% CI difference, 41 to 137; p=00004). The median follow-up was 13 months (range 04-130). Discontinuation of treatment and the incidence of adverse events were similar in the two treatment groups. Interpretation: Patients at very high risk for recurrent ulcer bleeding who need anti-inflammatory analgesics should receive combination treatment with a COX 2 inhibitor and a PPI. Our findings should encourage guideline committees to review their recommendations for patients at very high risk of recurrent ulcer bleeding. © 2007 Elsevier Ltd. All rights reserved.","author":[{"dropping-particle":"","family":"F.K.L.","given":"Chan","non-dropping-particle":"","parse-names":false,"suffix":""},{"dropping-particle":"","family":"V.W.S.","given":"Wong","non-dropping-particle":"","parse-names":false,"suffix":""},{"dropping-particle":"","family":"B.Y.","given":"Suen","non-dropping-particle":"","parse-names":false,"suffix":""},{"dropping-particle":"","family":"J.C.Y.","given":"Wu","non-dropping-particle":"","parse-names":false,"suffix":""},{"dropping-particle":"","family":"J.Y.L.","given":"Ching","non-dropping-particle":"","parse-names":false,"suffix":""},{"dropping-particle":"","family":"L.C.T.","given":"Hung","non-dropping-particle":"","parse-names":false,"suffix":""},{"dropping-particle":"","family":"A.J.","given":"Hui","non-dropping-particle":"","parse-names":false,"suffix":""},{"dropping-particle":"","family":"V.K.S.","given":"Leung","non-dropping-particle":"","parse-names":false,"suffix":""},{"dropping-particle":"","family":"V.W.Y.","given":"Lee","non-dropping-particle":"","parse-names":false,"suffix":""},{"dropping-particle":"","family":"L.H.","given":"Lai","non-dropping-particle":"","parse-names":false,"suffix":""},{"dropping-particle":"","family":"G.L.H.","given":"Wong","non-dropping-particle":"","parse-names":false,"suffix":""},{"dropping-particle":"","family":"D.K.L.","given":"Chow","non-dropping-particle":"","parse-names":false,"suffix":""},{"dropping-particle":"","family":"K.F.","given":"To","non-dropping-particle":"","parse-names":false,"suffix":""},{"dropping-particle":"","family":"W.K.","given":"Leung","non-dropping-particle":"","parse-names":false,"suffix":""},{"dropping-particle":"","family":"P.W.Y.","given":"Chiu","non-dropping-particle":"","parse-names":false,"suffix":""},{"dropping-particle":"","family":"Y.T.","given":"Lee","non-dropping-particle":"","parse-names":false,"suffix":""},{"dropping-particle":"","family":"J.Y.W.","given":"Lau","non-dropping-particle":"","parse-names":false,"suffix":""},{"dropping-particle":"","family":"H.L.Y.","given":"Chan","non-dropping-particle":"","parse-names":false,"suffix":""},{"dropping-particle":"","family":"E.K.W.","given":"Ng","non-dropping-particle":"","parse-names":false,"suffix":""},{"dropping-particle":"","family":"J.J.Y.","given":"Sung","non-dropping-particle":"","parse-names":false,"suffix":""}],"container-title":"Lancet","id":"ITEM-1","issue":"9573","issued":{"date-parts":[["2007"]]},"page":"1621-1626","publisher":"Elsevier Limited","publisher-place":"F.K.L. Chan, Institute of Digestive Disease, Chinese University of Hong Kong, Shatin, Hong Kong SAR, Hong Kong. E-mail: fklchan@cuhk.edu.hk","title":"Combination of a cyclo-oxygenase-2 inhibitor and a proton-pump inhibitor for prevention of recurrent ulcer bleeding in patients at very high risk: a double-blind, randomised trial","type":"article","volume":"369"},"uris":["http://www.mendeley.com/documents/?uuid=3dc9f0ae-5800-4987-9c7b-11811aa2a066"]}],"mendeley":{"formattedCitation":"(F.K.L. et al. 2007)","plainTextFormattedCitation":"(F.K.L. et al. 2007)","previouslyFormattedCitation":"(F.K.L. et al. 2007)"},"properties":{"noteIndex":0},"schema":"https://github.com/citation-style-language/schema/raw/master/csl-citation.json"}</w:instrText>
            </w:r>
            <w:r w:rsidRPr="00342532">
              <w:rPr>
                <w:rFonts w:ascii="Calibri" w:eastAsia="Times New Roman" w:hAnsi="Calibri" w:cs="Times New Roman"/>
                <w:color w:val="000000"/>
                <w:sz w:val="20"/>
                <w:szCs w:val="20"/>
                <w:lang w:eastAsia="en-CA"/>
              </w:rPr>
              <w:fldChar w:fldCharType="separate"/>
            </w:r>
            <w:r w:rsidR="00D325C7" w:rsidRPr="00D325C7">
              <w:rPr>
                <w:rFonts w:ascii="Calibri" w:eastAsia="Times New Roman" w:hAnsi="Calibri" w:cs="Times New Roman"/>
                <w:noProof/>
                <w:color w:val="000000"/>
                <w:sz w:val="20"/>
                <w:szCs w:val="20"/>
                <w:lang w:eastAsia="en-CA"/>
              </w:rPr>
              <w:t>(F.K.L. et al. 2007)</w:t>
            </w:r>
            <w:r w:rsidRPr="00342532">
              <w:rPr>
                <w:rFonts w:ascii="Calibri" w:eastAsia="Times New Roman" w:hAnsi="Calibri" w:cs="Times New Roman"/>
                <w:color w:val="000000"/>
                <w:sz w:val="20"/>
                <w:szCs w:val="20"/>
                <w:lang w:eastAsia="en-CA"/>
              </w:rPr>
              <w:fldChar w:fldCharType="end"/>
            </w:r>
          </w:p>
        </w:tc>
        <w:tc>
          <w:tcPr>
            <w:tcW w:w="1545" w:type="dxa"/>
            <w:tcBorders>
              <w:top w:val="single" w:sz="4" w:space="0" w:color="808080"/>
              <w:left w:val="nil"/>
              <w:bottom w:val="single" w:sz="4" w:space="0" w:color="808080"/>
              <w:right w:val="nil"/>
            </w:tcBorders>
            <w:shd w:val="clear" w:color="auto" w:fill="FFFFFF"/>
            <w:vAlign w:val="center"/>
            <w:hideMark/>
          </w:tcPr>
          <w:p w14:paraId="0E5FD2B4"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Esomeprazole</w:t>
            </w:r>
          </w:p>
        </w:tc>
        <w:tc>
          <w:tcPr>
            <w:tcW w:w="2127" w:type="dxa"/>
            <w:tcBorders>
              <w:top w:val="single" w:sz="4" w:space="0" w:color="808080"/>
              <w:left w:val="nil"/>
              <w:bottom w:val="single" w:sz="4" w:space="0" w:color="808080"/>
              <w:right w:val="nil"/>
            </w:tcBorders>
            <w:shd w:val="clear" w:color="auto" w:fill="FFFFFF"/>
            <w:vAlign w:val="center"/>
            <w:hideMark/>
          </w:tcPr>
          <w:p w14:paraId="0D230D59"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(PPI+celecoxib) vs (celecoxib)</w:t>
            </w:r>
          </w:p>
        </w:tc>
        <w:tc>
          <w:tcPr>
            <w:tcW w:w="2074" w:type="dxa"/>
            <w:tcBorders>
              <w:top w:val="single" w:sz="4" w:space="0" w:color="808080"/>
              <w:left w:val="nil"/>
              <w:bottom w:val="single" w:sz="4" w:space="0" w:color="808080"/>
              <w:right w:val="nil"/>
            </w:tcBorders>
            <w:shd w:val="clear" w:color="auto" w:fill="FFFFFF"/>
            <w:vAlign w:val="center"/>
            <w:hideMark/>
          </w:tcPr>
          <w:p w14:paraId="14C3CD87"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 (compliance assessed by pill counts)</w:t>
            </w:r>
          </w:p>
        </w:tc>
        <w:tc>
          <w:tcPr>
            <w:tcW w:w="1925" w:type="dxa"/>
            <w:tcBorders>
              <w:top w:val="single" w:sz="4" w:space="0" w:color="808080"/>
              <w:left w:val="nil"/>
              <w:bottom w:val="single" w:sz="4" w:space="0" w:color="808080"/>
              <w:right w:val="nil"/>
            </w:tcBorders>
            <w:shd w:val="clear" w:color="auto" w:fill="FFFFFF"/>
            <w:vAlign w:val="center"/>
            <w:hideMark/>
          </w:tcPr>
          <w:p w14:paraId="36B05E61"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Stroke: 13 months</w:t>
            </w:r>
            <w:r>
              <w:rPr>
                <w:rFonts w:ascii="Calibri" w:eastAsia="Times New Roman" w:hAnsi="Calibri" w:cs="Times New Roman"/>
                <w:color w:val="000000"/>
                <w:sz w:val="20"/>
                <w:szCs w:val="20"/>
                <w:lang w:eastAsia="en-CA"/>
              </w:rPr>
              <w:br/>
              <w:t>ACM : 13 months</w:t>
            </w:r>
          </w:p>
        </w:tc>
        <w:tc>
          <w:tcPr>
            <w:tcW w:w="1553" w:type="dxa"/>
            <w:tcBorders>
              <w:top w:val="single" w:sz="4" w:space="0" w:color="808080"/>
              <w:left w:val="nil"/>
              <w:bottom w:val="single" w:sz="4" w:space="0" w:color="808080"/>
              <w:right w:val="nil"/>
            </w:tcBorders>
            <w:shd w:val="clear" w:color="auto" w:fill="FFFFFF"/>
            <w:vAlign w:val="center"/>
            <w:hideMark/>
          </w:tcPr>
          <w:p w14:paraId="27217AC5"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Independent committee (blinded)</w:t>
            </w:r>
          </w:p>
        </w:tc>
        <w:tc>
          <w:tcPr>
            <w:tcW w:w="1384" w:type="dxa"/>
            <w:tcBorders>
              <w:top w:val="single" w:sz="4" w:space="0" w:color="808080"/>
              <w:left w:val="nil"/>
              <w:bottom w:val="single" w:sz="4" w:space="0" w:color="808080"/>
              <w:right w:val="nil"/>
            </w:tcBorders>
            <w:shd w:val="clear" w:color="auto" w:fill="FFFFFF"/>
            <w:vAlign w:val="center"/>
            <w:hideMark/>
          </w:tcPr>
          <w:p w14:paraId="4A6F8EA3"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2002-2004</w:t>
            </w:r>
          </w:p>
        </w:tc>
        <w:tc>
          <w:tcPr>
            <w:tcW w:w="1342" w:type="dxa"/>
            <w:tcBorders>
              <w:top w:val="single" w:sz="4" w:space="0" w:color="808080"/>
              <w:left w:val="nil"/>
              <w:bottom w:val="single" w:sz="4" w:space="0" w:color="808080"/>
              <w:right w:val="nil"/>
            </w:tcBorders>
            <w:shd w:val="clear" w:color="auto" w:fill="FFFFFF"/>
            <w:vAlign w:val="center"/>
            <w:hideMark/>
          </w:tcPr>
          <w:p w14:paraId="34BFF076"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9462F4" w14:paraId="711AF00C" w14:textId="77777777" w:rsidTr="00D87E93">
        <w:trPr>
          <w:trHeight w:val="583"/>
        </w:trPr>
        <w:tc>
          <w:tcPr>
            <w:tcW w:w="1354" w:type="dxa"/>
            <w:tcBorders>
              <w:top w:val="nil"/>
              <w:left w:val="nil"/>
              <w:bottom w:val="single" w:sz="4" w:space="0" w:color="808080"/>
              <w:right w:val="nil"/>
            </w:tcBorders>
            <w:shd w:val="clear" w:color="auto" w:fill="FFFFFF"/>
            <w:vAlign w:val="center"/>
            <w:hideMark/>
          </w:tcPr>
          <w:p w14:paraId="1A0B8E91" w14:textId="58E7895B"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{"citationItems":[{"id":"ITEM-1","itemData":{"ISBN":"0028-4793","ISSN":"1533-4406","abstract":"BACKGROUND: The role of gastric acid suppression in preventing the recurrence of ulcer complications after the eradication of Helicobacter pylori infection in patients taking long-term low-dose aspirin is uncertain., METHODS: We enrolled 123 patients who had ulcer complications after using low-dose aspirin continuously for more than one month and who had H. pylori infection. After the ulcers had healed and the H. pylori infection was eradicated, the patients were randomly assigned to treatment with 30 mg of lansoprazole daily or placebo, in addition to 100 mg of aspirin daily, for 12 months. The primary end point was the recurrence of ulcer complications., RESULTS: During a median follow-up of 12 months, 9 of the 61 patients in the placebo group (14.8 percent), as compared with 1 of the 62 patients in the lansoprazole group (1.6 percent), had a recurrence of ulcer complications (adjusted hazard ratio, 9.6; 95 percent confidence interval, 1.2 to 76.1). Of these 10 patients, 4 had evidence of a recurrence of H. pylori infection and 2 had taken nonsteroidal antiinflammatory drugs before the onset of complications. Patients in the lansoprazole group were significantly less likely to have a recurrence of ulcer complications than patients in the placebo group (P=0.008). There was no significant difference in mortality between the two groups., CONCLUSIONS: In patients who had ulcer complications related to the long-term use of low-dose aspirin, treatment with lansoprazole in addition to the eradication of H. pylori infection significantly reduced the rate of recurrence of ulcer complications.","author":[{"dropping-particle":"","family":"Lai","given":"Kam Chuen","non-dropping-particle":"","parse-names":false,"suffix":""},{"dropping-particle":"","family":"Lam","given":"Shiu Kum","non-dropping-particle":"","parse-names":false,"suffix":""},{"dropping-particle":"","family":"Chu","given":"Kent Man","non-dropping-particle":"","parse-names":false,"suffix":""},{"dropping-particle":"","family":"Wong","given":"Benjamin C Y","non-dropping-particle":"","parse-names":false,"suffix":""},{"dropping-particle":"","family":"Hui","given":"Wai Mo","non-dropping-particle":"","parse-names":false,"suffix":""},{"dropping-particle":"","family":"Hu","given":"Wayne H C","non-dropping-particle":"","parse-names":false,"suffix":""},{"dropping-particle":"","family":"Lau","given":"George K K","non-dropping-particle":"","parse-names":false,"suffix":""},{"dropping-particle":"","family":"Wong","given":"Wai Man","non-dropping-particle":"","parse-names":false,"suffix":""},{"dropping-particle":"","family":"Yuen","given":"Man Fung","non-dropping-particle":"","parse-names":false,"suffix":""},{"dropping-particle":"","family":"Chan","given":"Annie O O","non-dropping-particle":"","parse-names":false,"suffix":""},{"dropping-particle":"","family":"Lai","given":"Ching Lung","non-dropping-particle":"","parse-names":false,"suffix":""},{"dropping-particle":"","family":"Wong","given":"John","non-dropping-particle":"","parse-names":false,"suffix":""}],"container-title":"New England Journal of Medicine","id":"ITEM-1","issue":"26","issued":{"date-parts":[["2002"]]},"note":"1140\n\nFrom Duplicate 3 (Lansoprazole for the prevention of recurrences of ulcer complications from long-term low-dose aspirin use. - Lai, Kam Chuen; Lam, Shiu Kum; Chu, Kent Man; Wong, Benjamin C Y; Hui, Wai Mo; Hu, Wayne H C; Lau, George K K; Wong, Wai Man; Yuen, Man Fung; Chan, Annie O O; Lai, Ching Lung; Wong, John)\n\nComment in: ACP J Club. 2003 Jan-Feb;138(1):11; PMID: 12511123, Comment in: N Engl J Med. 2002 Nov 14;347(20):1623-4; author reply 1623-4; PMID: 12432054","page":"2033-2038","publisher":"Lai,Kam Chuen. Departments of Medicine, University of Hong Kong, Queen Mary Hospital, Hong Kong, China. kclai@hku.hk","publisher-place":"United States","title":"Lansoprazole for the prevention of recurrences of ulcer complications from long-term low-dose aspirin use.","type":"article-journal","volume":"346"},"uris":["http://www.mendeley.com/documents/?uuid=8b977c57-eb65-4dd0-a8cc-6e77b9e6d478"]}],"mendeley":{"formattedCitation":"(Lai et al. 2002)","plainTextFormattedCitation":"(Lai et al. 2002)","previouslyFormattedCitation":"(Lai et al. 2002)"},"properties":{"noteIndex":0},"schema":"https://github.com/citation-style-language/schema/raw/master/csl-citation.json"}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(Lai et al. 2002)</w:t>
            </w:r>
            <w:r>
              <w:rPr>
                <w:rFonts w:ascii="Calibri" w:eastAsia="Times New Roman" w:hAnsi="Calibri" w:cs="Times New Roman"/>
                <w:color w:val="000000"/>
                <w:sz w:val="20"/>
                <w:szCs w:val="20"/>
                <w:lang w:eastAsia="en-CA"/>
              </w:rPr>
              <w:fldChar w:fldCharType="end"/>
            </w:r>
          </w:p>
        </w:tc>
        <w:tc>
          <w:tcPr>
            <w:tcW w:w="1545" w:type="dxa"/>
            <w:tcBorders>
              <w:top w:val="nil"/>
              <w:left w:val="nil"/>
              <w:bottom w:val="single" w:sz="4" w:space="0" w:color="808080"/>
              <w:right w:val="nil"/>
            </w:tcBorders>
            <w:shd w:val="clear" w:color="auto" w:fill="FFFFFF"/>
            <w:vAlign w:val="center"/>
            <w:hideMark/>
          </w:tcPr>
          <w:p w14:paraId="4869031A"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Lansoprazole</w:t>
            </w:r>
          </w:p>
        </w:tc>
        <w:tc>
          <w:tcPr>
            <w:tcW w:w="2127" w:type="dxa"/>
            <w:tcBorders>
              <w:top w:val="nil"/>
              <w:left w:val="nil"/>
              <w:bottom w:val="single" w:sz="4" w:space="0" w:color="808080"/>
              <w:right w:val="nil"/>
            </w:tcBorders>
            <w:shd w:val="clear" w:color="auto" w:fill="FFFFFF"/>
            <w:vAlign w:val="center"/>
            <w:hideMark/>
          </w:tcPr>
          <w:p w14:paraId="7FA8DFA6"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(PPI+aspirin) vs (aspirin)</w:t>
            </w:r>
          </w:p>
        </w:tc>
        <w:tc>
          <w:tcPr>
            <w:tcW w:w="2074" w:type="dxa"/>
            <w:tcBorders>
              <w:top w:val="nil"/>
              <w:left w:val="nil"/>
              <w:bottom w:val="single" w:sz="4" w:space="0" w:color="808080"/>
              <w:right w:val="nil"/>
            </w:tcBorders>
            <w:shd w:val="clear" w:color="auto" w:fill="FFFFFF"/>
            <w:vAlign w:val="center"/>
            <w:hideMark/>
          </w:tcPr>
          <w:p w14:paraId="0C98D007"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w:t>
            </w:r>
          </w:p>
        </w:tc>
        <w:tc>
          <w:tcPr>
            <w:tcW w:w="1925" w:type="dxa"/>
            <w:tcBorders>
              <w:top w:val="nil"/>
              <w:left w:val="nil"/>
              <w:bottom w:val="single" w:sz="4" w:space="0" w:color="808080"/>
              <w:right w:val="nil"/>
            </w:tcBorders>
            <w:shd w:val="clear" w:color="auto" w:fill="FFFFFF"/>
            <w:vAlign w:val="center"/>
            <w:hideMark/>
          </w:tcPr>
          <w:p w14:paraId="5D716599"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(median 1 year)</w:t>
            </w:r>
          </w:p>
        </w:tc>
        <w:tc>
          <w:tcPr>
            <w:tcW w:w="1553" w:type="dxa"/>
            <w:tcBorders>
              <w:top w:val="nil"/>
              <w:left w:val="nil"/>
              <w:bottom w:val="single" w:sz="4" w:space="0" w:color="808080"/>
              <w:right w:val="nil"/>
            </w:tcBorders>
            <w:shd w:val="clear" w:color="auto" w:fill="FFFFFF"/>
            <w:vAlign w:val="center"/>
            <w:hideMark/>
          </w:tcPr>
          <w:p w14:paraId="62537C3E"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Follow up visits </w:t>
            </w:r>
          </w:p>
        </w:tc>
        <w:tc>
          <w:tcPr>
            <w:tcW w:w="1384" w:type="dxa"/>
            <w:tcBorders>
              <w:top w:val="nil"/>
              <w:left w:val="nil"/>
              <w:bottom w:val="single" w:sz="4" w:space="0" w:color="808080"/>
              <w:right w:val="nil"/>
            </w:tcBorders>
            <w:shd w:val="clear" w:color="auto" w:fill="FFFFFF"/>
            <w:vAlign w:val="center"/>
            <w:hideMark/>
          </w:tcPr>
          <w:p w14:paraId="37D23250"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1999-2001</w:t>
            </w:r>
          </w:p>
        </w:tc>
        <w:tc>
          <w:tcPr>
            <w:tcW w:w="1342" w:type="dxa"/>
            <w:tcBorders>
              <w:top w:val="nil"/>
              <w:left w:val="nil"/>
              <w:bottom w:val="single" w:sz="4" w:space="0" w:color="808080"/>
              <w:right w:val="nil"/>
            </w:tcBorders>
            <w:shd w:val="clear" w:color="auto" w:fill="FFFFFF"/>
            <w:vAlign w:val="center"/>
            <w:hideMark/>
          </w:tcPr>
          <w:p w14:paraId="15E0EE19"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Public/non profit</w:t>
            </w:r>
          </w:p>
        </w:tc>
      </w:tr>
      <w:tr w:rsidR="00D87E93" w14:paraId="6BB85E4E" w14:textId="77777777" w:rsidTr="002F0260">
        <w:trPr>
          <w:trHeight w:val="583"/>
        </w:trPr>
        <w:tc>
          <w:tcPr>
            <w:tcW w:w="1354" w:type="dxa"/>
            <w:tcBorders>
              <w:top w:val="nil"/>
              <w:left w:val="nil"/>
              <w:bottom w:val="single" w:sz="4" w:space="0" w:color="808080"/>
              <w:right w:val="nil"/>
            </w:tcBorders>
            <w:shd w:val="clear" w:color="auto" w:fill="auto"/>
            <w:vAlign w:val="center"/>
          </w:tcPr>
          <w:p w14:paraId="70C5A743" w14:textId="69459AFF"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(Scheiman et al 2011)</w:t>
            </w:r>
          </w:p>
        </w:tc>
        <w:tc>
          <w:tcPr>
            <w:tcW w:w="1545" w:type="dxa"/>
            <w:tcBorders>
              <w:top w:val="nil"/>
              <w:left w:val="nil"/>
              <w:bottom w:val="single" w:sz="4" w:space="0" w:color="808080"/>
              <w:right w:val="nil"/>
            </w:tcBorders>
            <w:shd w:val="clear" w:color="auto" w:fill="auto"/>
            <w:vAlign w:val="center"/>
          </w:tcPr>
          <w:p w14:paraId="69AEA176" w14:textId="2E580D91"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Esomeprazole (40 mg and 20 mg once daily)</w:t>
            </w:r>
          </w:p>
        </w:tc>
        <w:tc>
          <w:tcPr>
            <w:tcW w:w="2127" w:type="dxa"/>
            <w:tcBorders>
              <w:top w:val="nil"/>
              <w:left w:val="nil"/>
              <w:bottom w:val="single" w:sz="4" w:space="0" w:color="808080"/>
              <w:right w:val="nil"/>
            </w:tcBorders>
            <w:shd w:val="clear" w:color="auto" w:fill="auto"/>
            <w:vAlign w:val="center"/>
          </w:tcPr>
          <w:p w14:paraId="6B7509E6" w14:textId="2D51F369"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eastAsia="Times New Roman" w:hAnsi="Calibri" w:cs="Times New Roman"/>
                <w:color w:val="000000"/>
                <w:sz w:val="20"/>
                <w:szCs w:val="20"/>
                <w:lang w:eastAsia="en-CA"/>
              </w:rPr>
              <w:t>(PPI+ aspirin) vs (aspirin)</w:t>
            </w:r>
          </w:p>
        </w:tc>
        <w:tc>
          <w:tcPr>
            <w:tcW w:w="2074" w:type="dxa"/>
            <w:tcBorders>
              <w:top w:val="nil"/>
              <w:left w:val="nil"/>
              <w:bottom w:val="single" w:sz="4" w:space="0" w:color="808080"/>
              <w:right w:val="nil"/>
            </w:tcBorders>
            <w:shd w:val="clear" w:color="auto" w:fill="auto"/>
            <w:vAlign w:val="center"/>
          </w:tcPr>
          <w:p w14:paraId="0409BB30" w14:textId="62C980ED"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 xml:space="preserve">Adherence to esomeprazole was assessed during follow up visits; </w:t>
            </w:r>
            <w:r w:rsidRPr="00D87E93">
              <w:rPr>
                <w:rFonts w:ascii="Calibri" w:hAnsi="Calibri" w:cs="Calibri"/>
                <w:color w:val="000000"/>
                <w:sz w:val="20"/>
                <w:szCs w:val="20"/>
              </w:rPr>
              <w:br/>
              <w:t>Adherence to aspirin was not assessed;</w:t>
            </w:r>
          </w:p>
        </w:tc>
        <w:tc>
          <w:tcPr>
            <w:tcW w:w="1925" w:type="dxa"/>
            <w:tcBorders>
              <w:top w:val="nil"/>
              <w:left w:val="nil"/>
              <w:bottom w:val="single" w:sz="4" w:space="0" w:color="808080"/>
              <w:right w:val="nil"/>
            </w:tcBorders>
            <w:shd w:val="clear" w:color="auto" w:fill="auto"/>
            <w:vAlign w:val="center"/>
          </w:tcPr>
          <w:p w14:paraId="045ED305" w14:textId="6763FDC7"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ACM (26 weeks)</w:t>
            </w:r>
          </w:p>
        </w:tc>
        <w:tc>
          <w:tcPr>
            <w:tcW w:w="1553" w:type="dxa"/>
            <w:tcBorders>
              <w:top w:val="nil"/>
              <w:left w:val="nil"/>
              <w:bottom w:val="single" w:sz="4" w:space="0" w:color="808080"/>
              <w:right w:val="nil"/>
            </w:tcBorders>
            <w:shd w:val="clear" w:color="auto" w:fill="auto"/>
            <w:vAlign w:val="center"/>
          </w:tcPr>
          <w:p w14:paraId="44D20B3B" w14:textId="020BBAE6"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Follow up visits</w:t>
            </w:r>
          </w:p>
        </w:tc>
        <w:tc>
          <w:tcPr>
            <w:tcW w:w="1384" w:type="dxa"/>
            <w:tcBorders>
              <w:top w:val="nil"/>
              <w:left w:val="nil"/>
              <w:bottom w:val="single" w:sz="4" w:space="0" w:color="808080"/>
              <w:right w:val="nil"/>
            </w:tcBorders>
            <w:shd w:val="clear" w:color="auto" w:fill="auto"/>
            <w:vAlign w:val="center"/>
          </w:tcPr>
          <w:p w14:paraId="4905BAEA" w14:textId="170DC9D9"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2007-2008</w:t>
            </w:r>
          </w:p>
        </w:tc>
        <w:tc>
          <w:tcPr>
            <w:tcW w:w="1342" w:type="dxa"/>
            <w:tcBorders>
              <w:top w:val="nil"/>
              <w:left w:val="nil"/>
              <w:bottom w:val="single" w:sz="4" w:space="0" w:color="808080"/>
              <w:right w:val="nil"/>
            </w:tcBorders>
            <w:shd w:val="clear" w:color="auto" w:fill="auto"/>
            <w:vAlign w:val="center"/>
          </w:tcPr>
          <w:p w14:paraId="7BE06CBC" w14:textId="2227040B" w:rsidR="00D87E93" w:rsidRPr="00D87E93" w:rsidRDefault="00D87E93" w:rsidP="00D87E93">
            <w:pPr>
              <w:spacing w:after="0" w:line="240" w:lineRule="auto"/>
              <w:rPr>
                <w:rFonts w:ascii="Calibri" w:eastAsia="Times New Roman" w:hAnsi="Calibri" w:cs="Times New Roman"/>
                <w:color w:val="000000"/>
                <w:sz w:val="20"/>
                <w:szCs w:val="20"/>
                <w:lang w:eastAsia="en-CA"/>
              </w:rPr>
            </w:pPr>
            <w:r>
              <w:rPr>
                <w:rFonts w:ascii="Calibri" w:hAnsi="Calibri" w:cs="Calibri"/>
                <w:color w:val="000000"/>
                <w:sz w:val="20"/>
                <w:szCs w:val="20"/>
              </w:rPr>
              <w:t>Industry</w:t>
            </w:r>
          </w:p>
        </w:tc>
      </w:tr>
      <w:tr w:rsidR="009462F4" w14:paraId="1AA4A03D" w14:textId="77777777" w:rsidTr="00D87E93">
        <w:trPr>
          <w:trHeight w:val="377"/>
        </w:trPr>
        <w:tc>
          <w:tcPr>
            <w:tcW w:w="1354" w:type="dxa"/>
            <w:tcBorders>
              <w:top w:val="nil"/>
              <w:left w:val="nil"/>
              <w:bottom w:val="single" w:sz="4" w:space="0" w:color="808080"/>
              <w:right w:val="nil"/>
            </w:tcBorders>
            <w:shd w:val="clear" w:color="auto" w:fill="FFFFFF"/>
            <w:vAlign w:val="center"/>
            <w:hideMark/>
          </w:tcPr>
          <w:p w14:paraId="05756EFA" w14:textId="068E92FF"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{"citationItems":[{"id":"ITEM-1","itemData":{"ISBN":"0172-6390","ISSN":"0172-6390","abstract":"BACKGROUND/AIMS: A prospective randomized study was performed to assess the effectiveness and safety of 5 different methods of hemostasis in selected patients with high-risk bleeding peptic ulcers., METHODOLOGY: Two hundred and eight patients (n = 208; mean age: 61.6 yrs) with endoscopic stigmata of active hemorrhage, non-bleeding vessel or adherent fresh clot were randomized during emergency endoscopy to receive one of the following modalities of endoscopic therapy (with or without pharmacological therapy): I) injection of absolute alcohol (n = 44); II) multipolar electrocoagulation (BICAP; n = 42); III) Nd-YAG laser (n = 40); IV) injection of absolute ethanol + octreotide (n = 42); V) injection of absolute ethanol + omeprazole (n = 40)., RESULTS: The 5 treatment groups were clinically and endoscopically comparable. The initial hemostatic success was &gt; 90% in every group. No significant differences between groups were found in any of the following parameters assessed during hospitalization: incidence of rebleeding (I = 14.8% vs. II = 19.0% vs. III = 16.6% vs. IV = 18.1% vs. V = 20.0%; P &gt; 0.05 mean = 17.7%); incidence of definitive hemostasis (I = 89.3% vs. II = 85.7% vs. III = 86.6% vs. IV = 84.0% vs. V = 86.6%; P &gt; 0.05; mean = 86.5%); incidence of emergency surgery (I = 8.5% vs. II = 11.9% vs. III = 10.0% vs. IV = 6.8% vs. V = 11.1%; P &gt; 0.05; mean = 9.6%); mortality rate (I = 4.2% vs. II = 4.7% vs. III = 3.3% vs. IV = 13.6% vs. V = 4.4%; P &gt; 0.05; mean = 6.2%). Mean age of deceased patients was significantly higher than living patients (71.2 +/- 13.4 vs. 60.9 +/- 14.4; P &lt; 0.05). Approximately 2/3 of the fatal cases were strongly weakened by coexistent medical diseases. The duration of hospital stay was similar for all groups. The BICAP group required less units of blood transfusion (1.9 +/- 1.8 vs. I = 3.0 +/- 2.6; III = 3.5 +/- 3.6; IV = 2.8 +/- 2.3; V = 3.1 +/- 2.5; P &lt; 0.05), perhaps due to the higher mean value of hemoglobin of these patients at hospital admission, compared to all other groups. No significant complications were reported., CONCLUSIONS: This study provides good evidence that injection of absolute ethanol, multipolar electrocoagulation (BICAP) and Nd-YAG laser are equally safe and effective in the endoscopic therapy of acute bleeding peptic ulcers. In contrast, no additional hemostatic benefits arose from the association of pharmacological agents (octreotide or omeprazole) to sclerosis injection.","author":[{"dropping-particle":"","family":"Sofia","given":"C","non-dropping-particle":"","parse-names":false,"suffix":""},{"dropping-particle":"","family":"Portela","given":"F","non-dropping-particle":"","parse-names":false,"suffix":""},{"dropping-particle":"","family":"Gregorio","given":"C","non-dropping-particle":"","parse-names":false,"suffix":""},{"dropping-particle":"","family":"Rosa","given":"A","non-dropping-particle":"","parse-names":false,"suffix":""},{"dropping-particle":"","family":"Camacho","given":"E","non-dropping-particle":"","parse-names":false,"suffix":""},{"dropping-particle":"","family":"Tome","given":"L","non-dropping-particle":"","parse-names":false,"suffix":""},{"dropping-particle":"","family":"Ferreira","given":"M","non-dropping-particle":"","parse-names":false,"suffix":""},{"dropping-particle":"","family":"Andrade","given":"P","non-dropping-particle":"","parse-names":false,"suffix":""},{"dropping-particle":"","family":"Cabral","given":"P","non-dropping-particle":"","parse-names":false,"suffix":""},{"dropping-particle":"","family":"Romaozinho","given":"J","non-dropping-particle":"","parse-names":false,"suffix":""},{"dropping-particle":"","family":"Gouveia","given":"H","non-dropping-particle":"","parse-names":false,"suffix":""},{"dropping-particle":"","family":"Leitao","given":"M","non-dropping-particle":"","parse-names":false,"suffix":""},{"dropping-particle":"","family":"Pimenta","given":"I","non-dropping-particle":"","parse-names":false,"suffix":""},{"dropping-particle":"","family":"Donato","given":"A","non-dropping-particle":"","parse-names":false,"suffix":""},{"dropping-particle":"","family":"Freitas","given":"D","non-dropping-particle":"","parse-names":false,"suffix":""},{"dropping-particle":"","family":"C.","given":"Sofia","non-dropping-particle":"","parse-names":false,"suffix":""},{"dropping-particle":"","family":"F.","given":"Portela","non-dropping-particle":"","parse-names":false,"suffix":""},{"dropping-particle":"","family":"C.","given":"Gregorio","non-dropping-particle":"","parse-names":false,"suffix":""},{"dropping-particle":"","family":"A.","given":"Rosa","non-dropping-particle":"","parse-names":false,"suffix":""},{"dropping-particle":"","family":"E.","given":"Camacho","non-dropping-particle":"","parse-names":false,"suffix":""},{"dropping-particle":"","family":"L.","given":"Tome","non-dropping-particle":"","parse-names":false,"suffix":""},{"dropping-particle":"","family":"M.","given":"Ferreira","non-dropping-particle":"","parse-names":false,"suffix":""},{"dropping-particle":"","family":"P.","given":"Andrade","non-dropping-particle":"","parse-names":false,"suffix":""},{"dropping-particle":"","family":"P.","given":"Cabral","non-dropping-particle":"","parse-names":false,"suffix":""},{"dropping-particle":"","family":"J.","given":"Romaozinho","non-dropping-particle":"","parse-names":false,"suffix":""},{"dropping-particle":"","family":"H.","given":"Gouveia","non-dropping-particle":"","parse-names":false,"suffix":""},{"dropping-particle":"","family":"M.","given":"Leitao","non-dropping-particle":"","parse-names":false,"suffix":""},{"dropping-particle":"","family":"I.","given":"Pimenta","non-dropping-particle":"","parse-names":false,"suffix":""},{"dropping-particle":"","family":"A.","given":"Donato","non-dropping-particle":"","parse-names":false,"suffix":""},{"dropping-particle":"","family":"D.","given":"Freitas","non-dropping-particle":"","parse-names":false,"suffix":""}],"container-title":"Hepato-gastroenterology","id":"ITEM-1","issue":"35","issued":{"date-parts":[["2000"]]},"note":"1178","page":"1332-1336","publisher":"H.G.E. Update Medical Publishing Ltd. (P.O. Box 17257, Athens GR-10024, Greece)","publisher-place":"D. Freitas, Department of Gastroenterology, Coimbra University Hospital, 3000 Coimbra, Portugal","title":"Endoscopic injection therapy vs. multipolar electrocoagulation vs. laser vs. injection + octreotide vs. injection + omeprazole in the treatment of bleeding peptic ulcers. A prospective randomized study.","type":"article-journal","volume":"47"},"uris":["http://www.mendeley.com/documents/?uuid=e354f443-83ff-4ef6-899b-a41ef34f9dd5"]}],"mendeley":{"formattedCitation":"(Sofia et al. 2000)","plainTextFormattedCitation":"(Sofia et al. 2000)","previouslyFormattedCitation":"(Sofia et al. 2000)"},"properties":{"noteIndex":0},"schema":"https://github.com/citation-style-language/schema/raw/master/csl-citation.json"}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(Sofia et al. 2000)</w:t>
            </w:r>
            <w:r>
              <w:rPr>
                <w:rFonts w:ascii="Calibri" w:eastAsia="Times New Roman" w:hAnsi="Calibri" w:cs="Times New Roman"/>
                <w:color w:val="000000"/>
                <w:sz w:val="20"/>
                <w:szCs w:val="20"/>
                <w:lang w:eastAsia="en-CA"/>
              </w:rPr>
              <w:fldChar w:fldCharType="end"/>
            </w:r>
          </w:p>
        </w:tc>
        <w:tc>
          <w:tcPr>
            <w:tcW w:w="1545" w:type="dxa"/>
            <w:tcBorders>
              <w:top w:val="nil"/>
              <w:left w:val="nil"/>
              <w:bottom w:val="single" w:sz="4" w:space="0" w:color="808080"/>
              <w:right w:val="nil"/>
            </w:tcBorders>
            <w:shd w:val="clear" w:color="auto" w:fill="FFFFFF"/>
            <w:vAlign w:val="center"/>
            <w:hideMark/>
          </w:tcPr>
          <w:p w14:paraId="052F1942"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2127" w:type="dxa"/>
            <w:tcBorders>
              <w:top w:val="nil"/>
              <w:left w:val="nil"/>
              <w:bottom w:val="single" w:sz="4" w:space="0" w:color="808080"/>
              <w:right w:val="nil"/>
            </w:tcBorders>
            <w:shd w:val="clear" w:color="auto" w:fill="FFFFFF"/>
            <w:vAlign w:val="center"/>
            <w:hideMark/>
          </w:tcPr>
          <w:p w14:paraId="7AE8A16F" w14:textId="77777777" w:rsidR="009462F4" w:rsidRDefault="009462F4">
            <w:pPr>
              <w:spacing w:after="0" w:line="240" w:lineRule="auto"/>
              <w:rPr>
                <w:rFonts w:ascii="Calibri" w:eastAsia="Times New Roman" w:hAnsi="Calibri" w:cs="Times New Roman"/>
                <w:sz w:val="20"/>
                <w:szCs w:val="20"/>
                <w:lang w:eastAsia="en-CA"/>
              </w:rPr>
            </w:pPr>
            <w:r>
              <w:rPr>
                <w:rFonts w:ascii="Calibri" w:eastAsia="Times New Roman" w:hAnsi="Calibri" w:cs="Times New Roman"/>
                <w:sz w:val="20"/>
                <w:szCs w:val="20"/>
                <w:lang w:eastAsia="en-CA"/>
              </w:rPr>
              <w:t>(PPI+ethanol) vs (ethanol)</w:t>
            </w:r>
          </w:p>
        </w:tc>
        <w:tc>
          <w:tcPr>
            <w:tcW w:w="2074" w:type="dxa"/>
            <w:tcBorders>
              <w:top w:val="nil"/>
              <w:left w:val="nil"/>
              <w:bottom w:val="single" w:sz="4" w:space="0" w:color="808080"/>
              <w:right w:val="nil"/>
            </w:tcBorders>
            <w:shd w:val="clear" w:color="auto" w:fill="FFFFFF"/>
            <w:vAlign w:val="center"/>
            <w:hideMark/>
          </w:tcPr>
          <w:p w14:paraId="498622D3"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Randomized PPI exposure</w:t>
            </w:r>
          </w:p>
        </w:tc>
        <w:tc>
          <w:tcPr>
            <w:tcW w:w="1925" w:type="dxa"/>
            <w:tcBorders>
              <w:top w:val="nil"/>
              <w:left w:val="nil"/>
              <w:bottom w:val="single" w:sz="4" w:space="0" w:color="808080"/>
              <w:right w:val="nil"/>
            </w:tcBorders>
            <w:shd w:val="clear" w:color="auto" w:fill="FFFFFF"/>
            <w:vAlign w:val="center"/>
            <w:hideMark/>
          </w:tcPr>
          <w:p w14:paraId="39F2CA1A"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ACM (not clear)</w:t>
            </w:r>
          </w:p>
        </w:tc>
        <w:tc>
          <w:tcPr>
            <w:tcW w:w="1553" w:type="dxa"/>
            <w:tcBorders>
              <w:top w:val="nil"/>
              <w:left w:val="nil"/>
              <w:bottom w:val="single" w:sz="4" w:space="0" w:color="808080"/>
              <w:right w:val="nil"/>
            </w:tcBorders>
            <w:shd w:val="clear" w:color="auto" w:fill="FFFFFF"/>
            <w:vAlign w:val="center"/>
            <w:hideMark/>
          </w:tcPr>
          <w:p w14:paraId="32400BEE"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NR</w:t>
            </w:r>
          </w:p>
        </w:tc>
        <w:tc>
          <w:tcPr>
            <w:tcW w:w="1384" w:type="dxa"/>
            <w:tcBorders>
              <w:top w:val="nil"/>
              <w:left w:val="nil"/>
              <w:bottom w:val="single" w:sz="4" w:space="0" w:color="808080"/>
              <w:right w:val="nil"/>
            </w:tcBorders>
            <w:shd w:val="clear" w:color="auto" w:fill="FFFFFF"/>
            <w:vAlign w:val="center"/>
            <w:hideMark/>
          </w:tcPr>
          <w:p w14:paraId="5E16840C"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1994-1997</w:t>
            </w:r>
          </w:p>
        </w:tc>
        <w:tc>
          <w:tcPr>
            <w:tcW w:w="1342" w:type="dxa"/>
            <w:tcBorders>
              <w:top w:val="nil"/>
              <w:left w:val="nil"/>
              <w:bottom w:val="single" w:sz="4" w:space="0" w:color="808080"/>
              <w:right w:val="nil"/>
            </w:tcBorders>
            <w:shd w:val="clear" w:color="auto" w:fill="FFFFFF"/>
            <w:vAlign w:val="center"/>
            <w:hideMark/>
          </w:tcPr>
          <w:p w14:paraId="20D4B15A"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 statement</w:t>
            </w:r>
          </w:p>
        </w:tc>
      </w:tr>
      <w:tr w:rsidR="009462F4" w14:paraId="22FEEE90" w14:textId="77777777" w:rsidTr="00D87E93">
        <w:trPr>
          <w:trHeight w:val="347"/>
        </w:trPr>
        <w:tc>
          <w:tcPr>
            <w:tcW w:w="1354" w:type="dxa"/>
            <w:tcBorders>
              <w:top w:val="nil"/>
              <w:left w:val="nil"/>
              <w:bottom w:val="single" w:sz="4" w:space="0" w:color="808080"/>
              <w:right w:val="nil"/>
            </w:tcBorders>
            <w:shd w:val="clear" w:color="auto" w:fill="FFFFFF"/>
            <w:vAlign w:val="center"/>
            <w:hideMark/>
          </w:tcPr>
          <w:p w14:paraId="1FF4AC5B" w14:textId="23DC989D"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{"citationItems":[{"id":"ITEM-1","itemData":{"ISBN":"0017-5749","abstract":"Objectives: To evaluate if esomeprazole prevents recurrent peptic ulcer in adult patients with a history of peptic ulcer receiving low-dose acetylsalicylic acid (ASA, aspirin) for cardiovascular protection in East Asia. Methods: In this prospective, randomised, double-blind, placebo-controlled trial conducted in Japan, Korea and Taiwan, eligible patients receiving low-dose ASA for cardiovascular protection (81-324 mg/day) were randomised to esomeprazole 20 mg/day or placebo for &lt;72 weeks. All patients received concomitant mucosal protection (gefarnate 100 mg/day). The primary endpoint was time to ulcer recurrence (KaplanCMeier analysis). Efficacy findings are presented up to week 48, as per a planned interim analysis within the study protocol. Results: A total of 364 patients (79.9% men; mean age, 67.1 years) comprised the full analysis set (esomeprazole, n=182; placebo, n=182). There was a statistically significant difference in the time to ulcer recurrence between esomeprazole and placebo (HR 0.09; 96.65% CI 0.02 to 0.41; p&lt;0.001). The estimated ulcer-free rate at week 12 was 99.3% (esomeprazole) and 89.0% (placebo). The high estimated ulcer-free rate for esomeprazole was maintained through to week 48 (98.3% vs 81.2% of placebo-treated patients). No factors, other than female gender, reduced time to ulcer recurrence in addition to the effect of esomeprazole (p&lt;0.001). Treatment with esomeprazole was generally well tolerated. Conclusions: Daily esomeprazole 20 mg is efficacious and well tolerated in reducing the recurrence of peptic ulcer in East-Asian patients with a history of ulcers who are taking low-dose ASA for cardiovascular protection.","author":[{"dropping-particle":"","family":"Sugano","given":"K","non-dropping-particle":"","parse-names":false,"suffix":""},{"dropping-particle":"","family":"Choi","given":"M","non-dropping-particle":"","parse-names":false,"suffix":""},{"dropping-particle":"","family":"Lin","given":"J","non-dropping-particle":"","parse-names":false,"suffix":""},{"dropping-particle":"","family":"Goto","given":"S","non-dropping-particle":"","parse-names":false,"suffix":""},{"dropping-particle":"","family":"Okada","given":"Y","non-dropping-particle":"","parse-names":false,"suffix":""},{"dropping-particle":"","family":"Kinoshita","given":"Y","non-dropping-particle":"","parse-names":false,"suffix":""},{"dropping-particle":"","family":"Miwa","given":"H","non-dropping-particle":"","parse-names":false,"suffix":""},{"dropping-particle":"","family":"Chiang","given":"C","non-dropping-particle":"","parse-names":false,"suffix":""},{"dropping-particle":"","family":"Chiba","given":"T","non-dropping-particle":"","parse-names":false,"suffix":""},{"dropping-particle":"","family":"Hori","given":"M","non-dropping-particle":"","parse-names":false,"suffix":""},{"dropping-particle":"","family":"Fukushima","given":"Y","non-dropping-particle":"","parse-names":false,"suffix":""},{"dropping-particle":"","family":"Kim","given":"H","non-dropping-particle":"","parse-names":false,"suffix":""},{"dropping-particle":"","family":"Chang","given":"C","non-dropping-particle":"","parse-names":false,"suffix":""},{"dropping-particle":"","family":"Date","given":"M","non-dropping-particle":"","parse-names":false,"suffix":""}],"container-title":"Gut","id":"ITEM-1","issue":"7","issued":{"date-parts":[["2014"]]},"note":"95","page":"1061-1068","publisher":"BMJ Publishing Group","publisher-place":"K. Sugano, Department of Medicine, Jichi Medical University, 3311-1 Yakushiji, Shimotsuke, Tochigi 329-0498, Japan. E-mail: sugano@jichi.ac.jp","title":"Multinational, double-blind, randomised, placebocontrolled, prospective study of esomeprazole in the prevention of recurrent peptic ulcer in low-dose acetylsalicylic acid users: The lavender* study","type":"article","volume":"63"},"uris":["http://www.mendeley.com/documents/?uuid=6a2aa434-2fb3-4405-8940-d3ac438a9d69"]}],"mendeley":{"formattedCitation":"(Sugano et al. 2014)","plainTextFormattedCitation":"(Sugano et al. 2014)","previouslyFormattedCitation":"(Sugano et al. 2014)"},"properties":{"noteIndex":0},"schema":"https://github.com/citation-style-language/schema/raw/master/csl-citation.json"}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(Sugano et al. 2014)</w:t>
            </w:r>
            <w:r>
              <w:rPr>
                <w:rFonts w:ascii="Calibri" w:eastAsia="Times New Roman" w:hAnsi="Calibri" w:cs="Times New Roman"/>
                <w:color w:val="000000"/>
                <w:sz w:val="20"/>
                <w:szCs w:val="20"/>
                <w:lang w:eastAsia="en-CA"/>
              </w:rPr>
              <w:fldChar w:fldCharType="end"/>
            </w:r>
            <w:r>
              <w:rPr>
                <w:rFonts w:ascii="Calibri" w:eastAsia="Times New Roman" w:hAnsi="Calibri" w:cs="Times New Roman"/>
                <w:color w:val="000000"/>
                <w:sz w:val="20"/>
                <w:szCs w:val="20"/>
                <w:lang w:eastAsia="en-CA"/>
              </w:rPr>
              <w:t xml:space="preserve"> </w:t>
            </w:r>
          </w:p>
        </w:tc>
        <w:tc>
          <w:tcPr>
            <w:tcW w:w="1545" w:type="dxa"/>
            <w:tcBorders>
              <w:top w:val="nil"/>
              <w:left w:val="nil"/>
              <w:bottom w:val="single" w:sz="4" w:space="0" w:color="808080"/>
              <w:right w:val="nil"/>
            </w:tcBorders>
            <w:shd w:val="clear" w:color="auto" w:fill="FFFFFF"/>
            <w:vAlign w:val="center"/>
            <w:hideMark/>
          </w:tcPr>
          <w:p w14:paraId="0884EC50"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Esomeprazole</w:t>
            </w:r>
          </w:p>
        </w:tc>
        <w:tc>
          <w:tcPr>
            <w:tcW w:w="2127" w:type="dxa"/>
            <w:tcBorders>
              <w:top w:val="nil"/>
              <w:left w:val="nil"/>
              <w:bottom w:val="single" w:sz="4" w:space="0" w:color="808080"/>
              <w:right w:val="nil"/>
            </w:tcBorders>
            <w:shd w:val="clear" w:color="auto" w:fill="FFFFFF"/>
            <w:vAlign w:val="center"/>
            <w:hideMark/>
          </w:tcPr>
          <w:p w14:paraId="6E6A76F3"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(PPI+aspirin+gefarnate) vs (aspirin+gefarnate)</w:t>
            </w:r>
          </w:p>
        </w:tc>
        <w:tc>
          <w:tcPr>
            <w:tcW w:w="2074" w:type="dxa"/>
            <w:tcBorders>
              <w:top w:val="nil"/>
              <w:left w:val="nil"/>
              <w:bottom w:val="single" w:sz="4" w:space="0" w:color="808080"/>
              <w:right w:val="nil"/>
            </w:tcBorders>
            <w:shd w:val="clear" w:color="auto" w:fill="FFFFFF"/>
            <w:vAlign w:val="center"/>
            <w:hideMark/>
          </w:tcPr>
          <w:p w14:paraId="056249D5"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Randomized. </w:t>
            </w:r>
          </w:p>
        </w:tc>
        <w:tc>
          <w:tcPr>
            <w:tcW w:w="1925" w:type="dxa"/>
            <w:tcBorders>
              <w:top w:val="nil"/>
              <w:left w:val="nil"/>
              <w:bottom w:val="single" w:sz="4" w:space="0" w:color="808080"/>
              <w:right w:val="nil"/>
            </w:tcBorders>
            <w:shd w:val="clear" w:color="auto" w:fill="FFFFFF"/>
            <w:vAlign w:val="center"/>
            <w:hideMark/>
          </w:tcPr>
          <w:p w14:paraId="26B7261B"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(72 weeks)</w:t>
            </w:r>
            <w:r>
              <w:rPr>
                <w:rFonts w:ascii="Calibri" w:eastAsia="Times New Roman" w:hAnsi="Calibri" w:cs="Times New Roman"/>
                <w:color w:val="000000"/>
                <w:sz w:val="20"/>
                <w:szCs w:val="20"/>
                <w:lang w:eastAsia="en-CA"/>
              </w:rPr>
              <w:br/>
              <w:t>ACM (72 weeks)</w:t>
            </w:r>
          </w:p>
        </w:tc>
        <w:tc>
          <w:tcPr>
            <w:tcW w:w="1553" w:type="dxa"/>
            <w:tcBorders>
              <w:top w:val="nil"/>
              <w:left w:val="nil"/>
              <w:bottom w:val="single" w:sz="4" w:space="0" w:color="808080"/>
              <w:right w:val="nil"/>
            </w:tcBorders>
            <w:shd w:val="clear" w:color="auto" w:fill="FFFFFF"/>
            <w:vAlign w:val="center"/>
            <w:hideMark/>
          </w:tcPr>
          <w:p w14:paraId="5B3D9659"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Not clear</w:t>
            </w:r>
          </w:p>
        </w:tc>
        <w:tc>
          <w:tcPr>
            <w:tcW w:w="1384" w:type="dxa"/>
            <w:tcBorders>
              <w:top w:val="nil"/>
              <w:left w:val="nil"/>
              <w:bottom w:val="single" w:sz="4" w:space="0" w:color="808080"/>
              <w:right w:val="nil"/>
            </w:tcBorders>
            <w:shd w:val="clear" w:color="auto" w:fill="FFFFFF"/>
            <w:vAlign w:val="center"/>
            <w:hideMark/>
          </w:tcPr>
          <w:p w14:paraId="64BDCB8B"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2010-2012</w:t>
            </w:r>
          </w:p>
        </w:tc>
        <w:tc>
          <w:tcPr>
            <w:tcW w:w="1342" w:type="dxa"/>
            <w:tcBorders>
              <w:top w:val="nil"/>
              <w:left w:val="nil"/>
              <w:bottom w:val="single" w:sz="4" w:space="0" w:color="808080"/>
              <w:right w:val="nil"/>
            </w:tcBorders>
            <w:shd w:val="clear" w:color="auto" w:fill="FFFFFF"/>
            <w:vAlign w:val="center"/>
            <w:hideMark/>
          </w:tcPr>
          <w:p w14:paraId="60366CF5"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Industry</w:t>
            </w:r>
          </w:p>
        </w:tc>
      </w:tr>
      <w:tr w:rsidR="009462F4" w14:paraId="465E6757" w14:textId="77777777" w:rsidTr="00D87E93">
        <w:trPr>
          <w:trHeight w:val="850"/>
        </w:trPr>
        <w:tc>
          <w:tcPr>
            <w:tcW w:w="1354" w:type="dxa"/>
            <w:tcBorders>
              <w:top w:val="single" w:sz="4" w:space="0" w:color="808080"/>
              <w:left w:val="nil"/>
              <w:bottom w:val="single" w:sz="4" w:space="0" w:color="auto"/>
              <w:right w:val="nil"/>
            </w:tcBorders>
            <w:shd w:val="clear" w:color="auto" w:fill="FFFFFF"/>
            <w:vAlign w:val="center"/>
            <w:hideMark/>
          </w:tcPr>
          <w:p w14:paraId="575CF710" w14:textId="50BD0468"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fldChar w:fldCharType="begin" w:fldLock="1"/>
            </w:r>
            <w:r w:rsidR="00D325C7">
              <w:rPr>
                <w:rFonts w:ascii="Calibri" w:eastAsia="Times New Roman" w:hAnsi="Calibri" w:cs="Times New Roman"/>
                <w:color w:val="000000"/>
                <w:sz w:val="20"/>
                <w:szCs w:val="20"/>
                <w:lang w:eastAsia="en-CA"/>
              </w:rPr>
              <w:instrText>ADDIN CSL_CITATION {"citationItems":[{"id":"ITEM-1","itemData":{"ISBN":"0002-8703","abstract":"Background Discontinuations and/or interruptions in aspirin therapy for secondary cardioprotection due to upper gastrointestinal (UGI) complications or symptoms have been shown to increase the risk for subsequent cardiovascular events. PA32540 is a coordinated-delivery, combination tablet consisting of enteric-coated aspirin (EC-ASA) 325 mg and immediate-release (IR) omeprazole 40 mg. Methods Two identically-designed, 6-month, randomized, double-blind trials evaluated PA32540 vs. EC-ASA 325 mg in a secondary cardiovascular disease prevention population taking aspirin 325 mg daily for &gt;3 months and at risk for ASA-associated gastric ulcers (GUs). The combined study population was 1049 subjects (524 randomized to PA32540, 525 to EC-ASA 325 mg). The primary endpoint was the occurrence of endoscopically-determined gastric ulceration over 6 months. Safety outcomes included the rates of major adverse cardiovascular events (MACE) and UGI symptoms. Results Significantly fewer PA32540-treated subjects (3.2%) developed endoscopic GUs vs. EC-ASA 325 mg-treated subjects (8.6%) (P &lt;.001). Overall occurrence of MACE was low (2.1%), with no significant differences between treatments in types or incidence of MACE. PA32540-treated subjects had significantly fewer UGI symptoms (P &lt;.001) and significantly fewer discontinuations due to pre-specified UGI adverse events (1.5% vs. 8.2%, respectively; P &lt;.001). Conclusions PA32540 reduced the incidence of endoscopic GUs compared to EC-ASA 325 mg, but with a similar cardiovascular event profile. Due to fewer UGI symptoms, continuation on aspirin therapy was greater in the PA32540 treatment arm.","author":[{"dropping-particle":"","family":"Whellan","given":"DJ","non-dropping-particle":"","parse-names":false,"suffix":""},{"dropping-particle":"","family":"Goldstein","given":"JL","non-dropping-particle":"","parse-names":false,"suffix":""},{"dropping-particle":"","family":"Cryer","given":"BL","non-dropping-particle":"","parse-names":false,"suffix":""},{"dropping-particle":"","family":"Eisen","given":"GM","non-dropping-particle":"","parse-names":false,"suffix":""},{"dropping-particle":"","family":"Lanas","given":"A","non-dropping-particle":"","parse-names":false,"suffix":""},{"dropping-particle":"","family":"Miller","given":"AB","non-dropping-particle":"","parse-names":false,"suffix":""},{"dropping-particle":"","family":"Scheiman","given":"JM","non-dropping-particle":"","parse-names":false,"suffix":""},{"dropping-particle":"","family":"Fort","given":"JG","non-dropping-particle":"","parse-names":false,"suffix":""},{"dropping-particle":"","family":"Zhang","given":"Y","non-dropping-particle":"","parse-names":false,"suffix":""},{"dropping-particle":"","family":"O'Connor","given":"C","non-dropping-particle":"","parse-names":false,"suffix":""}],"container-title":"American Heart Journal","id":"ITEM-1","issue":"4","issued":{"date-parts":[["2014"]]},"note":"83","page":"495","publisher":"Mosby Inc.","publisher-place":"D.J. Whellan, 1015 Chestnut Street, Philadelphia, PA 19107, United States","title":"PA32540 (a coordinated-delivery tablet of enteric-coated aspirin 325 mg and immediate-release omeprazole 40 mg) versus enteric-coated aspirin 325 mg alone in subjects at risk for aspirin-associated gastric ulcers: Results of two 6-month, phase 3 studies","type":"article","volume":"168"},"uris":["http://www.mendeley.com/documents/?uuid=baa27712-0d7e-4aad-86de-c9b6f136f972"]}],"mendeley":{"formattedCitation":"(Whellan et al. 2014)","plainTextFormattedCitation":"(Whellan et al. 2014)","previouslyFormattedCitation":"(Whellan et al. 2014)"},"properties":{"noteIndex":0},"schema":"https://github.com/citation-style-language/schema/raw/master/csl-citation.json"}</w:instrText>
            </w:r>
            <w:r>
              <w:rPr>
                <w:rFonts w:ascii="Calibri" w:eastAsia="Times New Roman" w:hAnsi="Calibri" w:cs="Times New Roman"/>
                <w:color w:val="000000"/>
                <w:sz w:val="20"/>
                <w:szCs w:val="20"/>
                <w:lang w:eastAsia="en-CA"/>
              </w:rPr>
              <w:fldChar w:fldCharType="separate"/>
            </w:r>
            <w:r>
              <w:rPr>
                <w:rFonts w:ascii="Calibri" w:eastAsia="Times New Roman" w:hAnsi="Calibri" w:cs="Times New Roman"/>
                <w:noProof/>
                <w:color w:val="000000"/>
                <w:sz w:val="20"/>
                <w:szCs w:val="20"/>
                <w:lang w:eastAsia="en-CA"/>
              </w:rPr>
              <w:t>(Whellan et al. 2014)</w:t>
            </w:r>
            <w:r>
              <w:rPr>
                <w:rFonts w:ascii="Calibri" w:eastAsia="Times New Roman" w:hAnsi="Calibri" w:cs="Times New Roman"/>
                <w:color w:val="000000"/>
                <w:sz w:val="20"/>
                <w:szCs w:val="20"/>
                <w:lang w:eastAsia="en-CA"/>
              </w:rPr>
              <w:fldChar w:fldCharType="end"/>
            </w:r>
          </w:p>
        </w:tc>
        <w:tc>
          <w:tcPr>
            <w:tcW w:w="1545" w:type="dxa"/>
            <w:tcBorders>
              <w:top w:val="single" w:sz="4" w:space="0" w:color="808080"/>
              <w:left w:val="nil"/>
              <w:bottom w:val="single" w:sz="4" w:space="0" w:color="auto"/>
              <w:right w:val="nil"/>
            </w:tcBorders>
            <w:shd w:val="clear" w:color="auto" w:fill="FFFFFF"/>
            <w:vAlign w:val="center"/>
            <w:hideMark/>
          </w:tcPr>
          <w:p w14:paraId="247F0717"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Omeprazole</w:t>
            </w:r>
          </w:p>
        </w:tc>
        <w:tc>
          <w:tcPr>
            <w:tcW w:w="2127" w:type="dxa"/>
            <w:tcBorders>
              <w:top w:val="single" w:sz="4" w:space="0" w:color="808080"/>
              <w:left w:val="nil"/>
              <w:bottom w:val="single" w:sz="4" w:space="0" w:color="auto"/>
              <w:right w:val="nil"/>
            </w:tcBorders>
            <w:shd w:val="clear" w:color="auto" w:fill="FFFFFF"/>
            <w:vAlign w:val="center"/>
            <w:hideMark/>
          </w:tcPr>
          <w:p w14:paraId="383FD4DF"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(PPI+ aspirin) vs (aspirin)</w:t>
            </w:r>
          </w:p>
        </w:tc>
        <w:tc>
          <w:tcPr>
            <w:tcW w:w="2074" w:type="dxa"/>
            <w:tcBorders>
              <w:top w:val="single" w:sz="4" w:space="0" w:color="808080"/>
              <w:left w:val="nil"/>
              <w:bottom w:val="single" w:sz="4" w:space="0" w:color="auto"/>
              <w:right w:val="nil"/>
            </w:tcBorders>
            <w:shd w:val="clear" w:color="auto" w:fill="FFFFFF"/>
            <w:vAlign w:val="center"/>
            <w:hideMark/>
          </w:tcPr>
          <w:p w14:paraId="03D64ED9"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 xml:space="preserve">Randomized. </w:t>
            </w:r>
          </w:p>
        </w:tc>
        <w:tc>
          <w:tcPr>
            <w:tcW w:w="1925" w:type="dxa"/>
            <w:tcBorders>
              <w:top w:val="single" w:sz="4" w:space="0" w:color="808080"/>
              <w:left w:val="nil"/>
              <w:bottom w:val="single" w:sz="4" w:space="0" w:color="auto"/>
              <w:right w:val="nil"/>
            </w:tcBorders>
            <w:shd w:val="clear" w:color="auto" w:fill="FFFFFF"/>
            <w:vAlign w:val="center"/>
            <w:hideMark/>
          </w:tcPr>
          <w:p w14:paraId="4F9B9A85"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MI (1,3, 6 months)</w:t>
            </w:r>
            <w:r>
              <w:rPr>
                <w:rFonts w:ascii="Calibri" w:eastAsia="Times New Roman" w:hAnsi="Calibri" w:cs="Times New Roman"/>
                <w:color w:val="000000"/>
                <w:sz w:val="20"/>
                <w:szCs w:val="20"/>
                <w:lang w:eastAsia="en-CA"/>
              </w:rPr>
              <w:br/>
              <w:t>Stroke (1,3, 6 months)</w:t>
            </w:r>
            <w:r>
              <w:rPr>
                <w:rFonts w:ascii="Calibri" w:eastAsia="Times New Roman" w:hAnsi="Calibri" w:cs="Times New Roman"/>
                <w:color w:val="000000"/>
                <w:sz w:val="20"/>
                <w:szCs w:val="20"/>
                <w:lang w:eastAsia="en-CA"/>
              </w:rPr>
              <w:br/>
              <w:t>CVD mort (1,3, 6 months)</w:t>
            </w:r>
          </w:p>
        </w:tc>
        <w:tc>
          <w:tcPr>
            <w:tcW w:w="1553" w:type="dxa"/>
            <w:tcBorders>
              <w:top w:val="single" w:sz="4" w:space="0" w:color="808080"/>
              <w:left w:val="nil"/>
              <w:bottom w:val="single" w:sz="4" w:space="0" w:color="auto"/>
              <w:right w:val="nil"/>
            </w:tcBorders>
            <w:shd w:val="clear" w:color="auto" w:fill="FFFFFF"/>
            <w:vAlign w:val="center"/>
            <w:hideMark/>
          </w:tcPr>
          <w:p w14:paraId="1F83C94B"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Independent blinded committees;</w:t>
            </w:r>
          </w:p>
        </w:tc>
        <w:tc>
          <w:tcPr>
            <w:tcW w:w="1384" w:type="dxa"/>
            <w:tcBorders>
              <w:top w:val="single" w:sz="4" w:space="0" w:color="808080"/>
              <w:left w:val="nil"/>
              <w:bottom w:val="single" w:sz="4" w:space="0" w:color="auto"/>
              <w:right w:val="nil"/>
            </w:tcBorders>
            <w:shd w:val="clear" w:color="auto" w:fill="FFFFFF"/>
            <w:vAlign w:val="center"/>
            <w:hideMark/>
          </w:tcPr>
          <w:p w14:paraId="1DCE0815"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2009-2012</w:t>
            </w:r>
          </w:p>
        </w:tc>
        <w:tc>
          <w:tcPr>
            <w:tcW w:w="1342" w:type="dxa"/>
            <w:tcBorders>
              <w:top w:val="single" w:sz="4" w:space="0" w:color="808080"/>
              <w:left w:val="nil"/>
              <w:bottom w:val="single" w:sz="4" w:space="0" w:color="auto"/>
              <w:right w:val="nil"/>
            </w:tcBorders>
            <w:shd w:val="clear" w:color="auto" w:fill="FFFFFF"/>
            <w:vAlign w:val="center"/>
            <w:hideMark/>
          </w:tcPr>
          <w:p w14:paraId="0418CC33" w14:textId="77777777" w:rsidR="009462F4" w:rsidRDefault="009462F4">
            <w:pPr>
              <w:spacing w:after="0" w:line="240" w:lineRule="auto"/>
              <w:rPr>
                <w:rFonts w:ascii="Calibri" w:eastAsia="Times New Roman" w:hAnsi="Calibri" w:cs="Times New Roman"/>
                <w:color w:val="000000"/>
                <w:sz w:val="20"/>
                <w:szCs w:val="20"/>
                <w:lang w:eastAsia="en-CA"/>
              </w:rPr>
            </w:pPr>
            <w:r>
              <w:rPr>
                <w:rFonts w:ascii="Calibri" w:eastAsia="Times New Roman" w:hAnsi="Calibri" w:cs="Times New Roman"/>
                <w:color w:val="000000"/>
                <w:sz w:val="20"/>
                <w:szCs w:val="20"/>
                <w:lang w:eastAsia="en-CA"/>
              </w:rPr>
              <w:t>Industry</w:t>
            </w:r>
          </w:p>
        </w:tc>
      </w:tr>
      <w:tr w:rsidR="00D87E93" w:rsidRPr="00D87E93" w14:paraId="4A323375" w14:textId="77777777" w:rsidTr="002F0260">
        <w:trPr>
          <w:trHeight w:val="850"/>
        </w:trPr>
        <w:tc>
          <w:tcPr>
            <w:tcW w:w="1354" w:type="dxa"/>
            <w:tcBorders>
              <w:top w:val="single" w:sz="4" w:space="0" w:color="auto"/>
              <w:left w:val="nil"/>
              <w:bottom w:val="single" w:sz="8" w:space="0" w:color="auto"/>
              <w:right w:val="nil"/>
            </w:tcBorders>
            <w:shd w:val="clear" w:color="auto" w:fill="auto"/>
            <w:vAlign w:val="center"/>
          </w:tcPr>
          <w:p w14:paraId="23126980" w14:textId="5E339FD0"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(Yeomans et al 2008)</w:t>
            </w:r>
          </w:p>
        </w:tc>
        <w:tc>
          <w:tcPr>
            <w:tcW w:w="1545" w:type="dxa"/>
            <w:tcBorders>
              <w:top w:val="single" w:sz="4" w:space="0" w:color="auto"/>
              <w:left w:val="nil"/>
              <w:bottom w:val="single" w:sz="8" w:space="0" w:color="auto"/>
              <w:right w:val="nil"/>
            </w:tcBorders>
            <w:shd w:val="clear" w:color="auto" w:fill="auto"/>
            <w:vAlign w:val="center"/>
          </w:tcPr>
          <w:p w14:paraId="14660F39" w14:textId="7D86C82C"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Esomeprazole (20 mg once daily)</w:t>
            </w:r>
          </w:p>
        </w:tc>
        <w:tc>
          <w:tcPr>
            <w:tcW w:w="2127" w:type="dxa"/>
            <w:tcBorders>
              <w:top w:val="single" w:sz="4" w:space="0" w:color="auto"/>
              <w:left w:val="nil"/>
              <w:bottom w:val="single" w:sz="8" w:space="0" w:color="auto"/>
              <w:right w:val="nil"/>
            </w:tcBorders>
            <w:shd w:val="clear" w:color="auto" w:fill="auto"/>
            <w:vAlign w:val="center"/>
          </w:tcPr>
          <w:p w14:paraId="2A62A845" w14:textId="634DC5D5"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eastAsia="Times New Roman" w:hAnsi="Calibri" w:cs="Times New Roman"/>
                <w:color w:val="000000"/>
                <w:sz w:val="20"/>
                <w:szCs w:val="20"/>
                <w:lang w:eastAsia="en-CA"/>
              </w:rPr>
              <w:t>(PPI+ aspirin) vs (aspirin)</w:t>
            </w:r>
          </w:p>
        </w:tc>
        <w:tc>
          <w:tcPr>
            <w:tcW w:w="2074" w:type="dxa"/>
            <w:tcBorders>
              <w:top w:val="single" w:sz="4" w:space="0" w:color="auto"/>
              <w:left w:val="nil"/>
              <w:bottom w:val="single" w:sz="8" w:space="0" w:color="auto"/>
              <w:right w:val="nil"/>
            </w:tcBorders>
            <w:shd w:val="clear" w:color="auto" w:fill="auto"/>
            <w:vAlign w:val="center"/>
          </w:tcPr>
          <w:p w14:paraId="25DE1923" w14:textId="0C01E8F7"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Follow up visits and inspection of medication containers</w:t>
            </w:r>
          </w:p>
        </w:tc>
        <w:tc>
          <w:tcPr>
            <w:tcW w:w="1925" w:type="dxa"/>
            <w:tcBorders>
              <w:top w:val="single" w:sz="4" w:space="0" w:color="auto"/>
              <w:left w:val="nil"/>
              <w:bottom w:val="single" w:sz="8" w:space="0" w:color="auto"/>
              <w:right w:val="nil"/>
            </w:tcBorders>
            <w:shd w:val="clear" w:color="auto" w:fill="auto"/>
            <w:vAlign w:val="center"/>
          </w:tcPr>
          <w:p w14:paraId="547724C9" w14:textId="4052F9E3"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ACM (26 weeks);</w:t>
            </w:r>
            <w:r w:rsidRPr="00D87E93">
              <w:rPr>
                <w:rFonts w:ascii="Calibri" w:hAnsi="Calibri" w:cs="Calibri"/>
                <w:color w:val="000000"/>
                <w:sz w:val="20"/>
                <w:szCs w:val="20"/>
              </w:rPr>
              <w:br/>
              <w:t>MI (26 weeks);</w:t>
            </w:r>
          </w:p>
        </w:tc>
        <w:tc>
          <w:tcPr>
            <w:tcW w:w="1553" w:type="dxa"/>
            <w:tcBorders>
              <w:top w:val="single" w:sz="4" w:space="0" w:color="auto"/>
              <w:left w:val="nil"/>
              <w:bottom w:val="single" w:sz="8" w:space="0" w:color="auto"/>
              <w:right w:val="nil"/>
            </w:tcBorders>
            <w:shd w:val="clear" w:color="auto" w:fill="auto"/>
            <w:vAlign w:val="center"/>
          </w:tcPr>
          <w:p w14:paraId="79CB2163" w14:textId="4A494F1C"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Not reported</w:t>
            </w:r>
          </w:p>
        </w:tc>
        <w:tc>
          <w:tcPr>
            <w:tcW w:w="1384" w:type="dxa"/>
            <w:tcBorders>
              <w:top w:val="single" w:sz="4" w:space="0" w:color="auto"/>
              <w:left w:val="nil"/>
              <w:bottom w:val="single" w:sz="8" w:space="0" w:color="auto"/>
              <w:right w:val="nil"/>
            </w:tcBorders>
            <w:shd w:val="clear" w:color="auto" w:fill="auto"/>
            <w:vAlign w:val="center"/>
          </w:tcPr>
          <w:p w14:paraId="00CCC22A" w14:textId="796CB03F" w:rsidR="00D87E93" w:rsidRPr="00D87E93" w:rsidRDefault="00D87E93" w:rsidP="00D87E93">
            <w:pPr>
              <w:spacing w:after="0" w:line="240" w:lineRule="auto"/>
              <w:rPr>
                <w:rFonts w:ascii="Calibri" w:eastAsia="Times New Roman" w:hAnsi="Calibri" w:cs="Times New Roman"/>
                <w:color w:val="000000"/>
                <w:sz w:val="20"/>
                <w:szCs w:val="20"/>
                <w:lang w:eastAsia="en-CA"/>
              </w:rPr>
            </w:pPr>
            <w:r w:rsidRPr="00D87E93">
              <w:rPr>
                <w:rFonts w:ascii="Calibri" w:hAnsi="Calibri" w:cs="Calibri"/>
                <w:color w:val="000000"/>
                <w:sz w:val="20"/>
                <w:szCs w:val="20"/>
              </w:rPr>
              <w:t>2004-2005</w:t>
            </w:r>
          </w:p>
        </w:tc>
        <w:tc>
          <w:tcPr>
            <w:tcW w:w="1342" w:type="dxa"/>
            <w:tcBorders>
              <w:top w:val="single" w:sz="4" w:space="0" w:color="auto"/>
              <w:left w:val="nil"/>
              <w:bottom w:val="single" w:sz="8" w:space="0" w:color="auto"/>
              <w:right w:val="nil"/>
            </w:tcBorders>
            <w:shd w:val="clear" w:color="auto" w:fill="auto"/>
            <w:vAlign w:val="center"/>
          </w:tcPr>
          <w:p w14:paraId="4A4167A6" w14:textId="14141757" w:rsidR="00D87E93" w:rsidRPr="00D87E93" w:rsidRDefault="00D87E93" w:rsidP="00D87E93">
            <w:pPr>
              <w:spacing w:after="0" w:line="240" w:lineRule="auto"/>
              <w:rPr>
                <w:rFonts w:ascii="Calibri" w:eastAsia="Times New Roman" w:hAnsi="Calibri" w:cs="Times New Roman"/>
                <w:color w:val="000000"/>
                <w:sz w:val="20"/>
                <w:szCs w:val="20"/>
                <w:lang w:eastAsia="en-CA"/>
              </w:rPr>
            </w:pPr>
            <w:r>
              <w:rPr>
                <w:rFonts w:ascii="Calibri" w:hAnsi="Calibri" w:cs="Calibri"/>
                <w:color w:val="000000"/>
                <w:sz w:val="20"/>
                <w:szCs w:val="20"/>
              </w:rPr>
              <w:t>Industry</w:t>
            </w:r>
          </w:p>
        </w:tc>
      </w:tr>
    </w:tbl>
    <w:p w14:paraId="2EAF51E4" w14:textId="77777777" w:rsidR="009462F4" w:rsidRDefault="009462F4" w:rsidP="009462F4">
      <w:pPr>
        <w:rPr>
          <w:rFonts w:eastAsia="Batang"/>
        </w:rPr>
      </w:pPr>
    </w:p>
    <w:p w14:paraId="2F4D75CF" w14:textId="77777777" w:rsidR="00147BB6" w:rsidRDefault="00147BB6" w:rsidP="00147BB6">
      <w:pPr>
        <w:pStyle w:val="TOC4"/>
        <w:tabs>
          <w:tab w:val="right" w:leader="dot" w:pos="14390"/>
        </w:tabs>
        <w:rPr>
          <w:rStyle w:val="Hyperlink"/>
          <w:noProof/>
        </w:rPr>
        <w:sectPr w:rsidR="00147BB6" w:rsidSect="009462F4">
          <w:pgSz w:w="15840" w:h="12240" w:orient="landscape"/>
          <w:pgMar w:top="1440" w:right="1440" w:bottom="1440" w:left="1440" w:header="709" w:footer="709" w:gutter="0"/>
          <w:cols w:space="708"/>
          <w:docGrid w:linePitch="360"/>
        </w:sectPr>
      </w:pPr>
      <w:bookmarkStart w:id="25" w:name="_Toc485555061"/>
    </w:p>
    <w:p w14:paraId="17E21113" w14:textId="56EBC257" w:rsidR="00D8429A" w:rsidRDefault="00E63313" w:rsidP="00323052">
      <w:pPr>
        <w:pStyle w:val="Heading2"/>
        <w:rPr>
          <w:lang w:eastAsia="en-CA"/>
        </w:rPr>
      </w:pPr>
      <w:bookmarkStart w:id="26" w:name="_Toc510634444"/>
      <w:bookmarkStart w:id="27" w:name="_Toc536713787"/>
      <w:r>
        <w:rPr>
          <w:lang w:eastAsia="en-CA"/>
        </w:rPr>
        <w:lastRenderedPageBreak/>
        <w:t>Supplemental</w:t>
      </w:r>
      <w:r w:rsidR="00D8429A">
        <w:rPr>
          <w:lang w:eastAsia="en-CA"/>
        </w:rPr>
        <w:t xml:space="preserve"> Material V</w:t>
      </w:r>
      <w:r w:rsidR="00323052">
        <w:rPr>
          <w:lang w:eastAsia="en-CA"/>
        </w:rPr>
        <w:t xml:space="preserve"> -</w:t>
      </w:r>
      <w:r w:rsidR="00D8429A">
        <w:rPr>
          <w:lang w:eastAsia="en-CA"/>
        </w:rPr>
        <w:t xml:space="preserve"> Reasons for exclusion of studies from meta-analysis</w:t>
      </w:r>
      <w:bookmarkEnd w:id="26"/>
      <w:bookmarkEnd w:id="27"/>
    </w:p>
    <w:p w14:paraId="23322F0E" w14:textId="209BB1C3" w:rsidR="0029794F" w:rsidRDefault="00B842AC" w:rsidP="0029794F">
      <w:pPr>
        <w:rPr>
          <w:lang w:eastAsia="en-CA"/>
        </w:rPr>
      </w:pPr>
      <w:r>
        <w:rPr>
          <w:lang w:eastAsia="en-CA"/>
        </w:rPr>
        <w:t>The studies listed in the following table were included in the systematic review but excluded from the meta-analysis. Reasons for exclusion are presented by study and outcome.</w:t>
      </w:r>
    </w:p>
    <w:p w14:paraId="37A191EA" w14:textId="4C677FDF" w:rsidR="00B842AC" w:rsidRPr="00B842AC" w:rsidRDefault="00B842AC" w:rsidP="0029794F">
      <w:pPr>
        <w:rPr>
          <w:rFonts w:asciiTheme="majorHAnsi" w:eastAsiaTheme="majorEastAsia" w:hAnsiTheme="majorHAnsi" w:cstheme="majorBidi"/>
          <w:b/>
          <w:bCs/>
          <w:i/>
          <w:iCs/>
          <w:color w:val="000000" w:themeColor="text1"/>
        </w:rPr>
      </w:pPr>
      <w:r w:rsidRPr="00B842AC">
        <w:rPr>
          <w:rFonts w:asciiTheme="majorHAnsi" w:eastAsiaTheme="majorEastAsia" w:hAnsiTheme="majorHAnsi" w:cstheme="majorBidi"/>
          <w:b/>
          <w:bCs/>
          <w:i/>
          <w:iCs/>
          <w:color w:val="000000" w:themeColor="text1"/>
        </w:rPr>
        <w:t>Table S7. Reasons for exclusion of studies from the meta-analyses.</w:t>
      </w:r>
    </w:p>
    <w:tbl>
      <w:tblPr>
        <w:tblStyle w:val="PlainTable2"/>
        <w:tblW w:w="10206" w:type="dxa"/>
        <w:tblLayout w:type="fixed"/>
        <w:tblLook w:val="04A0" w:firstRow="1" w:lastRow="0" w:firstColumn="1" w:lastColumn="0" w:noHBand="0" w:noVBand="1"/>
      </w:tblPr>
      <w:tblGrid>
        <w:gridCol w:w="2835"/>
        <w:gridCol w:w="2126"/>
        <w:gridCol w:w="5245"/>
      </w:tblGrid>
      <w:tr w:rsidR="00D8429A" w14:paraId="29AE4791" w14:textId="77777777" w:rsidTr="000111AF">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shd w:val="clear" w:color="auto" w:fill="auto"/>
            <w:vAlign w:val="center"/>
          </w:tcPr>
          <w:p w14:paraId="5F9E80F6" w14:textId="1DFC3FE6" w:rsidR="00D8429A" w:rsidRDefault="00D8429A" w:rsidP="00D8429A">
            <w:pPr>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Study</w:t>
            </w:r>
          </w:p>
        </w:tc>
        <w:tc>
          <w:tcPr>
            <w:tcW w:w="2126" w:type="dxa"/>
            <w:shd w:val="clear" w:color="auto" w:fill="auto"/>
            <w:vAlign w:val="center"/>
          </w:tcPr>
          <w:p w14:paraId="5EC651E1" w14:textId="25469B31" w:rsidR="00D8429A" w:rsidRDefault="00D8429A" w:rsidP="00CA7D0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Outcome</w:t>
            </w:r>
          </w:p>
        </w:tc>
        <w:tc>
          <w:tcPr>
            <w:tcW w:w="5245" w:type="dxa"/>
            <w:shd w:val="clear" w:color="auto" w:fill="auto"/>
            <w:vAlign w:val="center"/>
          </w:tcPr>
          <w:p w14:paraId="79400FE2" w14:textId="42E971A8" w:rsidR="00D8429A" w:rsidRDefault="00D8429A" w:rsidP="00CA7D0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Reason</w:t>
            </w:r>
          </w:p>
        </w:tc>
      </w:tr>
      <w:tr w:rsidR="0036674A" w14:paraId="6FB2DD16"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961" w:type="dxa"/>
            <w:gridSpan w:val="2"/>
            <w:tcBorders>
              <w:bottom w:val="single" w:sz="4" w:space="0" w:color="auto"/>
            </w:tcBorders>
            <w:shd w:val="clear" w:color="auto" w:fill="DEEAF6" w:themeFill="accent1" w:themeFillTint="33"/>
            <w:vAlign w:val="center"/>
          </w:tcPr>
          <w:p w14:paraId="55E3A463" w14:textId="08A548BC" w:rsidR="0036674A" w:rsidRDefault="0036674A" w:rsidP="00CA7D02">
            <w:pPr>
              <w:rPr>
                <w:rFonts w:ascii="Calibri" w:eastAsia="Times New Roman" w:hAnsi="Calibri" w:cs="Calibri"/>
                <w:color w:val="000000"/>
                <w:sz w:val="18"/>
                <w:szCs w:val="18"/>
                <w:lang w:eastAsia="en-CA"/>
              </w:rPr>
            </w:pPr>
            <w:r>
              <w:rPr>
                <w:rFonts w:ascii="Calibri" w:eastAsia="Times New Roman" w:hAnsi="Calibri" w:cs="Times New Roman"/>
                <w:color w:val="000000"/>
                <w:sz w:val="18"/>
                <w:szCs w:val="18"/>
                <w:lang w:eastAsia="en-CA"/>
              </w:rPr>
              <w:t>Group A – observational studies</w:t>
            </w:r>
          </w:p>
        </w:tc>
        <w:tc>
          <w:tcPr>
            <w:tcW w:w="5245" w:type="dxa"/>
            <w:tcBorders>
              <w:bottom w:val="single" w:sz="4" w:space="0" w:color="auto"/>
            </w:tcBorders>
            <w:shd w:val="clear" w:color="auto" w:fill="DEEAF6" w:themeFill="accent1" w:themeFillTint="33"/>
            <w:vAlign w:val="center"/>
          </w:tcPr>
          <w:p w14:paraId="19265C62" w14:textId="77777777" w:rsidR="0036674A" w:rsidRPr="00D8429A" w:rsidRDefault="0036674A" w:rsidP="00CA7D0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p>
        </w:tc>
      </w:tr>
      <w:tr w:rsidR="00292850" w14:paraId="73357173"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dotted" w:sz="4" w:space="0" w:color="auto"/>
            </w:tcBorders>
            <w:shd w:val="clear" w:color="auto" w:fill="FFFFFF" w:themeFill="background1"/>
            <w:vAlign w:val="center"/>
          </w:tcPr>
          <w:p w14:paraId="54F17647" w14:textId="5423589B" w:rsidR="00292850" w:rsidRPr="00292850" w:rsidRDefault="00292850" w:rsidP="00292850">
            <w:pPr>
              <w:rPr>
                <w:rFonts w:ascii="Calibri" w:eastAsia="Times New Roman" w:hAnsi="Calibri" w:cs="Calibri"/>
                <w:b w:val="0"/>
                <w:bCs w:val="0"/>
                <w:color w:val="000000"/>
                <w:sz w:val="18"/>
                <w:szCs w:val="18"/>
                <w:lang w:eastAsia="en-CA"/>
              </w:rPr>
            </w:pPr>
            <w:r w:rsidRPr="00292850">
              <w:rPr>
                <w:rFonts w:ascii="Calibri" w:eastAsia="Times New Roman" w:hAnsi="Calibri" w:cs="Calibri"/>
                <w:b w:val="0"/>
                <w:bCs w:val="0"/>
                <w:color w:val="000000"/>
                <w:sz w:val="18"/>
                <w:szCs w:val="18"/>
                <w:lang w:eastAsia="en-CA"/>
              </w:rPr>
              <w:t>(Antunes et al. 2016)</w:t>
            </w:r>
          </w:p>
        </w:tc>
        <w:tc>
          <w:tcPr>
            <w:tcW w:w="2126" w:type="dxa"/>
            <w:tcBorders>
              <w:top w:val="single" w:sz="4" w:space="0" w:color="auto"/>
              <w:bottom w:val="dotted" w:sz="4" w:space="0" w:color="auto"/>
            </w:tcBorders>
            <w:shd w:val="clear" w:color="auto" w:fill="FFFFFF" w:themeFill="background1"/>
            <w:vAlign w:val="center"/>
          </w:tcPr>
          <w:p w14:paraId="4E536BD1" w14:textId="6B0B1C68" w:rsidR="00292850" w:rsidRPr="00292850" w:rsidRDefault="00292850" w:rsidP="002928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sidRPr="00292850">
              <w:rPr>
                <w:rFonts w:ascii="Calibri" w:eastAsia="Times New Roman" w:hAnsi="Calibri" w:cs="Calibri"/>
                <w:color w:val="000000"/>
                <w:sz w:val="18"/>
                <w:szCs w:val="18"/>
                <w:lang w:eastAsia="en-CA"/>
              </w:rPr>
              <w:t>All-cause mortality</w:t>
            </w:r>
          </w:p>
        </w:tc>
        <w:tc>
          <w:tcPr>
            <w:tcW w:w="5245" w:type="dxa"/>
            <w:tcBorders>
              <w:top w:val="single" w:sz="4" w:space="0" w:color="auto"/>
              <w:bottom w:val="dotted" w:sz="4" w:space="0" w:color="auto"/>
            </w:tcBorders>
            <w:shd w:val="clear" w:color="auto" w:fill="FFFFFF" w:themeFill="background1"/>
            <w:vAlign w:val="center"/>
          </w:tcPr>
          <w:p w14:paraId="715C0B96" w14:textId="496DA605" w:rsidR="00292850" w:rsidRPr="00292850" w:rsidRDefault="00292850" w:rsidP="0029285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sidRPr="00292850">
              <w:rPr>
                <w:rFonts w:ascii="Calibri" w:eastAsia="Times New Roman" w:hAnsi="Calibri" w:cs="Calibri"/>
                <w:color w:val="000000"/>
                <w:sz w:val="18"/>
                <w:szCs w:val="18"/>
                <w:lang w:eastAsia="en-CA"/>
              </w:rPr>
              <w:t>Abstract only</w:t>
            </w:r>
            <w:r w:rsidR="000111AF">
              <w:rPr>
                <w:rFonts w:ascii="Calibri" w:eastAsia="Times New Roman" w:hAnsi="Calibri" w:cs="Calibri"/>
                <w:color w:val="000000"/>
                <w:sz w:val="18"/>
                <w:szCs w:val="18"/>
                <w:lang w:eastAsia="en-CA"/>
              </w:rPr>
              <w:t>; full text not found</w:t>
            </w:r>
            <w:r w:rsidRPr="00292850">
              <w:rPr>
                <w:rFonts w:ascii="Calibri" w:eastAsia="Times New Roman" w:hAnsi="Calibri" w:cs="Calibri"/>
                <w:color w:val="000000"/>
                <w:sz w:val="18"/>
                <w:szCs w:val="18"/>
                <w:lang w:eastAsia="en-CA"/>
              </w:rPr>
              <w:t>.</w:t>
            </w:r>
          </w:p>
        </w:tc>
      </w:tr>
      <w:tr w:rsidR="000111AF" w:rsidRPr="00292850" w14:paraId="4D4BC430"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shd w:val="clear" w:color="auto" w:fill="FFFFFF" w:themeFill="background1"/>
            <w:vAlign w:val="center"/>
          </w:tcPr>
          <w:p w14:paraId="24112E0C" w14:textId="50A2D8DD" w:rsidR="000111AF" w:rsidRPr="00292850" w:rsidRDefault="000111AF" w:rsidP="000111AF">
            <w:pPr>
              <w:rPr>
                <w:rFonts w:ascii="Calibri" w:eastAsia="Times New Roman" w:hAnsi="Calibri" w:cs="Times New Roman"/>
                <w:b w:val="0"/>
                <w:bCs w:val="0"/>
                <w:noProof/>
                <w:color w:val="000000"/>
                <w:sz w:val="18"/>
                <w:szCs w:val="18"/>
                <w:lang w:eastAsia="en-CA"/>
              </w:rPr>
            </w:pPr>
            <w:r w:rsidRPr="00292850">
              <w:rPr>
                <w:rFonts w:ascii="Calibri" w:eastAsia="Times New Roman" w:hAnsi="Calibri" w:cs="Times New Roman"/>
                <w:b w:val="0"/>
                <w:bCs w:val="0"/>
                <w:noProof/>
                <w:color w:val="000000"/>
                <w:sz w:val="18"/>
                <w:szCs w:val="18"/>
                <w:lang w:eastAsia="en-CA"/>
              </w:rPr>
              <w:t>(Bang el al</w:t>
            </w:r>
            <w:r>
              <w:rPr>
                <w:rFonts w:ascii="Calibri" w:eastAsia="Times New Roman" w:hAnsi="Calibri" w:cs="Times New Roman"/>
                <w:b w:val="0"/>
                <w:bCs w:val="0"/>
                <w:noProof/>
                <w:color w:val="000000"/>
                <w:sz w:val="18"/>
                <w:szCs w:val="18"/>
                <w:lang w:eastAsia="en-CA"/>
              </w:rPr>
              <w:t>,</w:t>
            </w:r>
            <w:r w:rsidRPr="00292850">
              <w:rPr>
                <w:rFonts w:ascii="Calibri" w:eastAsia="Times New Roman" w:hAnsi="Calibri" w:cs="Times New Roman"/>
                <w:b w:val="0"/>
                <w:bCs w:val="0"/>
                <w:noProof/>
                <w:color w:val="000000"/>
                <w:sz w:val="18"/>
                <w:szCs w:val="18"/>
                <w:lang w:eastAsia="en-CA"/>
              </w:rPr>
              <w:t xml:space="preserve"> 2018</w:t>
            </w:r>
          </w:p>
        </w:tc>
        <w:tc>
          <w:tcPr>
            <w:tcW w:w="2126" w:type="dxa"/>
            <w:tcBorders>
              <w:top w:val="dotted" w:sz="4" w:space="0" w:color="auto"/>
              <w:bottom w:val="dotted" w:sz="4" w:space="0" w:color="auto"/>
            </w:tcBorders>
            <w:shd w:val="clear" w:color="auto" w:fill="FFFFFF" w:themeFill="background1"/>
            <w:vAlign w:val="center"/>
          </w:tcPr>
          <w:p w14:paraId="42204B91" w14:textId="25E70437" w:rsidR="000111AF" w:rsidRPr="00292850"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8"/>
                <w:szCs w:val="18"/>
                <w:lang w:eastAsia="en-CA"/>
              </w:rPr>
            </w:pPr>
            <w:r w:rsidRPr="00292850">
              <w:rPr>
                <w:rFonts w:ascii="Calibri" w:eastAsia="Times New Roman" w:hAnsi="Calibri" w:cs="Times New Roman"/>
                <w:noProof/>
                <w:color w:val="000000"/>
                <w:sz w:val="18"/>
                <w:szCs w:val="18"/>
                <w:lang w:eastAsia="en-CA"/>
              </w:rPr>
              <w:t>All-cause mortality</w:t>
            </w:r>
          </w:p>
        </w:tc>
        <w:tc>
          <w:tcPr>
            <w:tcW w:w="5245" w:type="dxa"/>
            <w:tcBorders>
              <w:top w:val="dotted" w:sz="4" w:space="0" w:color="auto"/>
              <w:bottom w:val="dotted" w:sz="4" w:space="0" w:color="auto"/>
            </w:tcBorders>
            <w:shd w:val="clear" w:color="auto" w:fill="FFFFFF" w:themeFill="background1"/>
            <w:vAlign w:val="center"/>
          </w:tcPr>
          <w:p w14:paraId="6BFFBEE8" w14:textId="18EC54BC" w:rsidR="000111AF" w:rsidRPr="00292850"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noProof/>
                <w:color w:val="000000"/>
                <w:sz w:val="18"/>
                <w:szCs w:val="18"/>
                <w:lang w:eastAsia="en-CA"/>
              </w:rPr>
            </w:pPr>
            <w:r w:rsidRPr="00292850">
              <w:rPr>
                <w:rFonts w:ascii="Calibri" w:eastAsia="Times New Roman" w:hAnsi="Calibri" w:cs="Calibri"/>
                <w:color w:val="000000"/>
                <w:sz w:val="18"/>
                <w:szCs w:val="18"/>
                <w:lang w:eastAsia="en-CA"/>
              </w:rPr>
              <w:t>Abstract only</w:t>
            </w:r>
            <w:r>
              <w:rPr>
                <w:rFonts w:ascii="Calibri" w:eastAsia="Times New Roman" w:hAnsi="Calibri" w:cs="Calibri"/>
                <w:color w:val="000000"/>
                <w:sz w:val="18"/>
                <w:szCs w:val="18"/>
                <w:lang w:eastAsia="en-CA"/>
              </w:rPr>
              <w:t>; full text not found</w:t>
            </w:r>
            <w:r w:rsidRPr="00292850">
              <w:rPr>
                <w:rFonts w:ascii="Calibri" w:eastAsia="Times New Roman" w:hAnsi="Calibri" w:cs="Calibri"/>
                <w:color w:val="000000"/>
                <w:sz w:val="18"/>
                <w:szCs w:val="18"/>
                <w:lang w:eastAsia="en-CA"/>
              </w:rPr>
              <w:t>.</w:t>
            </w:r>
          </w:p>
        </w:tc>
      </w:tr>
      <w:tr w:rsidR="000111AF" w14:paraId="25E0554A"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shd w:val="clear" w:color="auto" w:fill="FFFFFF" w:themeFill="background1"/>
            <w:vAlign w:val="center"/>
          </w:tcPr>
          <w:p w14:paraId="2040013A" w14:textId="12666BEE" w:rsidR="000111AF" w:rsidRPr="000111AF" w:rsidRDefault="000111AF" w:rsidP="000111AF">
            <w:pPr>
              <w:rPr>
                <w:rFonts w:ascii="Calibri" w:eastAsia="Times New Roman" w:hAnsi="Calibri" w:cs="Times New Roman"/>
                <w:b w:val="0"/>
                <w:bCs w:val="0"/>
                <w:color w:val="000000"/>
                <w:sz w:val="18"/>
                <w:szCs w:val="18"/>
                <w:lang w:eastAsia="en-CA"/>
              </w:rPr>
            </w:pPr>
            <w:r w:rsidRPr="000111AF">
              <w:rPr>
                <w:rFonts w:ascii="Calibri" w:hAnsi="Calibri" w:cs="Calibri"/>
                <w:b w:val="0"/>
                <w:bCs w:val="0"/>
                <w:color w:val="000000"/>
                <w:sz w:val="18"/>
                <w:szCs w:val="18"/>
              </w:rPr>
              <w:t xml:space="preserve">(Bell et al, 2017)  </w:t>
            </w:r>
          </w:p>
        </w:tc>
        <w:tc>
          <w:tcPr>
            <w:tcW w:w="2126" w:type="dxa"/>
            <w:tcBorders>
              <w:top w:val="dotted" w:sz="4" w:space="0" w:color="auto"/>
              <w:bottom w:val="dotted" w:sz="4" w:space="0" w:color="auto"/>
            </w:tcBorders>
            <w:shd w:val="clear" w:color="auto" w:fill="FFFFFF" w:themeFill="background1"/>
            <w:vAlign w:val="center"/>
          </w:tcPr>
          <w:p w14:paraId="527BCCDC" w14:textId="0CBBD0D9" w:rsidR="000111AF" w:rsidRPr="00292850"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Stroke</w:t>
            </w:r>
          </w:p>
        </w:tc>
        <w:tc>
          <w:tcPr>
            <w:tcW w:w="5245" w:type="dxa"/>
            <w:tcBorders>
              <w:top w:val="dotted" w:sz="4" w:space="0" w:color="auto"/>
              <w:bottom w:val="dotted" w:sz="4" w:space="0" w:color="auto"/>
            </w:tcBorders>
            <w:shd w:val="clear" w:color="auto" w:fill="FFFFFF" w:themeFill="background1"/>
            <w:vAlign w:val="center"/>
          </w:tcPr>
          <w:p w14:paraId="726EF600" w14:textId="44AAA047" w:rsidR="000111AF" w:rsidRPr="00292850"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sidRPr="00292850">
              <w:rPr>
                <w:rFonts w:ascii="Calibri" w:eastAsia="Times New Roman" w:hAnsi="Calibri" w:cs="Calibri"/>
                <w:color w:val="000000"/>
                <w:sz w:val="18"/>
                <w:szCs w:val="18"/>
                <w:lang w:eastAsia="en-CA"/>
              </w:rPr>
              <w:t>Abstract only</w:t>
            </w:r>
            <w:r>
              <w:rPr>
                <w:rFonts w:ascii="Calibri" w:eastAsia="Times New Roman" w:hAnsi="Calibri" w:cs="Calibri"/>
                <w:color w:val="000000"/>
                <w:sz w:val="18"/>
                <w:szCs w:val="18"/>
                <w:lang w:eastAsia="en-CA"/>
              </w:rPr>
              <w:t>; full text not found</w:t>
            </w:r>
            <w:r w:rsidRPr="00292850">
              <w:rPr>
                <w:rFonts w:ascii="Calibri" w:eastAsia="Times New Roman" w:hAnsi="Calibri" w:cs="Calibri"/>
                <w:color w:val="000000"/>
                <w:sz w:val="18"/>
                <w:szCs w:val="18"/>
                <w:lang w:eastAsia="en-CA"/>
              </w:rPr>
              <w:t>.</w:t>
            </w:r>
          </w:p>
        </w:tc>
      </w:tr>
      <w:tr w:rsidR="000111AF" w14:paraId="79BB0E6F"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shd w:val="clear" w:color="auto" w:fill="FFFFFF" w:themeFill="background1"/>
            <w:vAlign w:val="center"/>
          </w:tcPr>
          <w:p w14:paraId="45E7F1AA" w14:textId="7E475489" w:rsidR="000111AF" w:rsidRPr="000111AF" w:rsidRDefault="000111AF" w:rsidP="000111AF">
            <w:pPr>
              <w:rPr>
                <w:rFonts w:ascii="Calibri" w:hAnsi="Calibri" w:cs="Calibri"/>
                <w:b w:val="0"/>
                <w:bCs w:val="0"/>
                <w:color w:val="000000"/>
                <w:sz w:val="18"/>
                <w:szCs w:val="18"/>
              </w:rPr>
            </w:pPr>
            <w:r w:rsidRPr="000111AF">
              <w:rPr>
                <w:rFonts w:ascii="Calibri" w:hAnsi="Calibri" w:cs="Calibri"/>
                <w:b w:val="0"/>
                <w:bCs w:val="0"/>
                <w:color w:val="000000"/>
                <w:sz w:val="18"/>
                <w:szCs w:val="18"/>
              </w:rPr>
              <w:t xml:space="preserve">(Bettinger et al, 2018) </w:t>
            </w:r>
          </w:p>
        </w:tc>
        <w:tc>
          <w:tcPr>
            <w:tcW w:w="2126" w:type="dxa"/>
            <w:tcBorders>
              <w:top w:val="dotted" w:sz="4" w:space="0" w:color="auto"/>
              <w:bottom w:val="dotted" w:sz="4" w:space="0" w:color="auto"/>
            </w:tcBorders>
            <w:shd w:val="clear" w:color="auto" w:fill="FFFFFF" w:themeFill="background1"/>
            <w:vAlign w:val="center"/>
          </w:tcPr>
          <w:p w14:paraId="6E2EE1B8" w14:textId="4A3BD351" w:rsidR="000111AF" w:rsidRPr="00292850"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 xml:space="preserve">In hospital </w:t>
            </w:r>
            <w:r w:rsidRPr="00292850">
              <w:rPr>
                <w:rFonts w:ascii="Calibri" w:eastAsia="Times New Roman" w:hAnsi="Calibri" w:cs="Calibri"/>
                <w:color w:val="000000"/>
                <w:sz w:val="18"/>
                <w:szCs w:val="18"/>
                <w:lang w:eastAsia="en-CA"/>
              </w:rPr>
              <w:t>mortality</w:t>
            </w:r>
          </w:p>
        </w:tc>
        <w:tc>
          <w:tcPr>
            <w:tcW w:w="5245" w:type="dxa"/>
            <w:tcBorders>
              <w:top w:val="dotted" w:sz="4" w:space="0" w:color="auto"/>
              <w:bottom w:val="dotted" w:sz="4" w:space="0" w:color="auto"/>
            </w:tcBorders>
            <w:shd w:val="clear" w:color="auto" w:fill="FFFFFF" w:themeFill="background1"/>
            <w:vAlign w:val="center"/>
          </w:tcPr>
          <w:p w14:paraId="17963D51" w14:textId="3F364BC0" w:rsidR="000111AF" w:rsidRPr="00292850"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Patient population (pyogenic liver disease patients) cannot be combined with other study populations for this outcome.</w:t>
            </w:r>
          </w:p>
        </w:tc>
      </w:tr>
      <w:tr w:rsidR="000111AF" w14:paraId="66391FD7"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shd w:val="clear" w:color="auto" w:fill="FFFFFF" w:themeFill="background1"/>
            <w:vAlign w:val="center"/>
          </w:tcPr>
          <w:p w14:paraId="5D386105" w14:textId="11830C20" w:rsidR="000111AF" w:rsidRPr="000111AF" w:rsidRDefault="000111AF" w:rsidP="000111AF">
            <w:pPr>
              <w:rPr>
                <w:rFonts w:ascii="Calibri" w:hAnsi="Calibri" w:cs="Calibri"/>
                <w:b w:val="0"/>
                <w:bCs w:val="0"/>
                <w:color w:val="000000"/>
                <w:sz w:val="18"/>
                <w:szCs w:val="18"/>
              </w:rPr>
            </w:pPr>
            <w:r w:rsidRPr="000111AF">
              <w:rPr>
                <w:rFonts w:ascii="Calibri" w:hAnsi="Calibri" w:cs="Calibri"/>
                <w:b w:val="0"/>
                <w:bCs w:val="0"/>
                <w:color w:val="000000"/>
                <w:sz w:val="18"/>
                <w:szCs w:val="18"/>
              </w:rPr>
              <w:t>(Caffrey et al, 2016)</w:t>
            </w:r>
          </w:p>
        </w:tc>
        <w:tc>
          <w:tcPr>
            <w:tcW w:w="2126" w:type="dxa"/>
            <w:tcBorders>
              <w:top w:val="dotted" w:sz="4" w:space="0" w:color="auto"/>
              <w:bottom w:val="dotted" w:sz="4" w:space="0" w:color="auto"/>
            </w:tcBorders>
            <w:shd w:val="clear" w:color="auto" w:fill="FFFFFF" w:themeFill="background1"/>
            <w:vAlign w:val="center"/>
          </w:tcPr>
          <w:p w14:paraId="56EEF573" w14:textId="1749907C" w:rsidR="000111AF" w:rsidRPr="00292850"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sidRPr="00292850">
              <w:rPr>
                <w:rFonts w:ascii="Calibri" w:eastAsia="Times New Roman" w:hAnsi="Calibri" w:cs="Calibri"/>
                <w:color w:val="000000"/>
                <w:sz w:val="18"/>
                <w:szCs w:val="18"/>
                <w:lang w:eastAsia="en-CA"/>
              </w:rPr>
              <w:t>All-cause mortality</w:t>
            </w:r>
          </w:p>
        </w:tc>
        <w:tc>
          <w:tcPr>
            <w:tcW w:w="5245" w:type="dxa"/>
            <w:tcBorders>
              <w:top w:val="dotted" w:sz="4" w:space="0" w:color="auto"/>
              <w:bottom w:val="dotted" w:sz="4" w:space="0" w:color="auto"/>
            </w:tcBorders>
            <w:shd w:val="clear" w:color="auto" w:fill="FFFFFF" w:themeFill="background1"/>
            <w:vAlign w:val="center"/>
          </w:tcPr>
          <w:p w14:paraId="284B278D" w14:textId="09FDA7AF" w:rsidR="000111AF" w:rsidRPr="00292850"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sidRPr="00292850">
              <w:rPr>
                <w:rFonts w:ascii="Calibri" w:eastAsia="Times New Roman" w:hAnsi="Calibri" w:cs="Calibri"/>
                <w:color w:val="000000"/>
                <w:sz w:val="18"/>
                <w:szCs w:val="18"/>
                <w:lang w:eastAsia="en-CA"/>
              </w:rPr>
              <w:t>Abstract only</w:t>
            </w:r>
            <w:r>
              <w:rPr>
                <w:rFonts w:ascii="Calibri" w:eastAsia="Times New Roman" w:hAnsi="Calibri" w:cs="Calibri"/>
                <w:color w:val="000000"/>
                <w:sz w:val="18"/>
                <w:szCs w:val="18"/>
                <w:lang w:eastAsia="en-CA"/>
              </w:rPr>
              <w:t>; full text not found</w:t>
            </w:r>
            <w:r w:rsidRPr="00292850">
              <w:rPr>
                <w:rFonts w:ascii="Calibri" w:eastAsia="Times New Roman" w:hAnsi="Calibri" w:cs="Calibri"/>
                <w:color w:val="000000"/>
                <w:sz w:val="18"/>
                <w:szCs w:val="18"/>
                <w:lang w:eastAsia="en-CA"/>
              </w:rPr>
              <w:t>.</w:t>
            </w:r>
          </w:p>
        </w:tc>
      </w:tr>
      <w:tr w:rsidR="000111AF" w14:paraId="348C5CFD"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shd w:val="clear" w:color="auto" w:fill="FFFFFF" w:themeFill="background1"/>
            <w:vAlign w:val="center"/>
          </w:tcPr>
          <w:p w14:paraId="5146EA88" w14:textId="07FE198A" w:rsidR="000111AF" w:rsidRPr="000111AF" w:rsidRDefault="000111AF" w:rsidP="000111AF">
            <w:pPr>
              <w:rPr>
                <w:rFonts w:ascii="Calibri" w:hAnsi="Calibri" w:cs="Calibri"/>
                <w:b w:val="0"/>
                <w:bCs w:val="0"/>
                <w:color w:val="000000"/>
                <w:sz w:val="18"/>
                <w:szCs w:val="18"/>
              </w:rPr>
            </w:pPr>
            <w:r w:rsidRPr="000111AF">
              <w:rPr>
                <w:rFonts w:ascii="Calibri" w:hAnsi="Calibri" w:cs="Calibri"/>
                <w:b w:val="0"/>
                <w:bCs w:val="0"/>
                <w:color w:val="000000"/>
                <w:sz w:val="18"/>
                <w:szCs w:val="18"/>
              </w:rPr>
              <w:t>(Kwon et al. 2016)</w:t>
            </w:r>
          </w:p>
        </w:tc>
        <w:tc>
          <w:tcPr>
            <w:tcW w:w="2126" w:type="dxa"/>
            <w:tcBorders>
              <w:top w:val="dotted" w:sz="4" w:space="0" w:color="auto"/>
              <w:bottom w:val="dotted" w:sz="4" w:space="0" w:color="auto"/>
            </w:tcBorders>
            <w:shd w:val="clear" w:color="auto" w:fill="FFFFFF" w:themeFill="background1"/>
            <w:vAlign w:val="center"/>
          </w:tcPr>
          <w:p w14:paraId="28A04A82" w14:textId="1639409D" w:rsidR="000111AF" w:rsidRPr="00292850"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w:t>
            </w:r>
          </w:p>
        </w:tc>
        <w:tc>
          <w:tcPr>
            <w:tcW w:w="5245" w:type="dxa"/>
            <w:tcBorders>
              <w:top w:val="dotted" w:sz="4" w:space="0" w:color="auto"/>
              <w:bottom w:val="dotted" w:sz="4" w:space="0" w:color="auto"/>
            </w:tcBorders>
            <w:shd w:val="clear" w:color="auto" w:fill="FFFFFF" w:themeFill="background1"/>
            <w:vAlign w:val="center"/>
          </w:tcPr>
          <w:p w14:paraId="285734AB" w14:textId="5DB5286B" w:rsidR="000111AF" w:rsidRPr="00292850"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sidRPr="00292850">
              <w:rPr>
                <w:rFonts w:ascii="Calibri" w:eastAsia="Times New Roman" w:hAnsi="Calibri" w:cs="Calibri"/>
                <w:color w:val="000000"/>
                <w:sz w:val="18"/>
                <w:szCs w:val="18"/>
                <w:lang w:eastAsia="en-CA"/>
              </w:rPr>
              <w:t>Abstract only</w:t>
            </w:r>
            <w:r>
              <w:rPr>
                <w:rFonts w:ascii="Calibri" w:eastAsia="Times New Roman" w:hAnsi="Calibri" w:cs="Calibri"/>
                <w:color w:val="000000"/>
                <w:sz w:val="18"/>
                <w:szCs w:val="18"/>
                <w:lang w:eastAsia="en-CA"/>
              </w:rPr>
              <w:t>; full text not found</w:t>
            </w:r>
            <w:r w:rsidRPr="00292850">
              <w:rPr>
                <w:rFonts w:ascii="Calibri" w:eastAsia="Times New Roman" w:hAnsi="Calibri" w:cs="Calibri"/>
                <w:color w:val="000000"/>
                <w:sz w:val="18"/>
                <w:szCs w:val="18"/>
                <w:lang w:eastAsia="en-CA"/>
              </w:rPr>
              <w:t>.</w:t>
            </w:r>
          </w:p>
        </w:tc>
      </w:tr>
      <w:tr w:rsidR="000111AF" w14:paraId="32958B6B"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shd w:val="clear" w:color="auto" w:fill="FFFFFF" w:themeFill="background1"/>
            <w:vAlign w:val="center"/>
          </w:tcPr>
          <w:p w14:paraId="5CBD1C9A" w14:textId="35E5A8A7" w:rsidR="000111AF" w:rsidRPr="000111AF" w:rsidRDefault="000111AF" w:rsidP="000111AF">
            <w:pPr>
              <w:rPr>
                <w:rFonts w:ascii="Calibri" w:hAnsi="Calibri" w:cs="Calibri"/>
                <w:b w:val="0"/>
                <w:bCs w:val="0"/>
                <w:color w:val="000000"/>
                <w:sz w:val="18"/>
                <w:szCs w:val="18"/>
              </w:rPr>
            </w:pPr>
            <w:r w:rsidRPr="000111AF">
              <w:rPr>
                <w:rFonts w:ascii="Calibri" w:hAnsi="Calibri" w:cs="Calibri"/>
                <w:b w:val="0"/>
                <w:bCs w:val="0"/>
                <w:color w:val="000000"/>
                <w:sz w:val="18"/>
                <w:szCs w:val="18"/>
              </w:rPr>
              <w:t>(de Francisco el al. 2018)</w:t>
            </w:r>
          </w:p>
        </w:tc>
        <w:tc>
          <w:tcPr>
            <w:tcW w:w="2126" w:type="dxa"/>
            <w:tcBorders>
              <w:top w:val="dotted" w:sz="4" w:space="0" w:color="auto"/>
              <w:bottom w:val="dotted" w:sz="4" w:space="0" w:color="auto"/>
            </w:tcBorders>
            <w:shd w:val="clear" w:color="auto" w:fill="FFFFFF" w:themeFill="background1"/>
            <w:vAlign w:val="center"/>
          </w:tcPr>
          <w:p w14:paraId="5DFF259F" w14:textId="669CBE87" w:rsidR="000111AF"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Cardiovascular mortality</w:t>
            </w:r>
          </w:p>
        </w:tc>
        <w:tc>
          <w:tcPr>
            <w:tcW w:w="5245" w:type="dxa"/>
            <w:tcBorders>
              <w:top w:val="dotted" w:sz="4" w:space="0" w:color="auto"/>
              <w:bottom w:val="dotted" w:sz="4" w:space="0" w:color="auto"/>
            </w:tcBorders>
            <w:shd w:val="clear" w:color="auto" w:fill="FFFFFF" w:themeFill="background1"/>
            <w:vAlign w:val="center"/>
          </w:tcPr>
          <w:p w14:paraId="20533143" w14:textId="0DB1C48C" w:rsidR="000111AF"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Patient population (hemodialysis patients) cannot be combined with other study populations for this outcome.</w:t>
            </w:r>
          </w:p>
        </w:tc>
      </w:tr>
      <w:tr w:rsidR="000111AF" w14:paraId="15D5BEEF"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shd w:val="clear" w:color="auto" w:fill="FFFFFF" w:themeFill="background1"/>
            <w:vAlign w:val="center"/>
          </w:tcPr>
          <w:p w14:paraId="3DB7E6E2" w14:textId="15F189B8" w:rsidR="000111AF" w:rsidRPr="000111AF" w:rsidRDefault="000111AF" w:rsidP="000111AF">
            <w:pPr>
              <w:rPr>
                <w:rFonts w:ascii="Calibri" w:eastAsia="Times New Roman" w:hAnsi="Calibri" w:cs="Times New Roman"/>
                <w:b w:val="0"/>
                <w:bCs w:val="0"/>
                <w:color w:val="000000"/>
                <w:sz w:val="18"/>
                <w:szCs w:val="18"/>
                <w:lang w:eastAsia="en-CA"/>
              </w:rPr>
            </w:pPr>
            <w:r w:rsidRPr="000111AF">
              <w:rPr>
                <w:rFonts w:ascii="Calibri" w:eastAsia="Times New Roman" w:hAnsi="Calibri" w:cs="Times New Roman"/>
                <w:color w:val="000000"/>
                <w:sz w:val="18"/>
                <w:szCs w:val="18"/>
                <w:lang w:eastAsia="en-CA"/>
              </w:rPr>
              <w:fldChar w:fldCharType="begin" w:fldLock="1"/>
            </w:r>
            <w:r w:rsidRPr="000111AF">
              <w:rPr>
                <w:rFonts w:ascii="Calibri" w:eastAsia="Times New Roman" w:hAnsi="Calibri" w:cs="Times New Roman"/>
                <w:b w:val="0"/>
                <w:bCs w:val="0"/>
                <w:color w:val="000000"/>
                <w:sz w:val="18"/>
                <w:szCs w:val="18"/>
                <w:lang w:eastAsia="en-CA"/>
              </w:rPr>
              <w:instrText>ADDIN CSL_CITATION {"citationItems":[{"id":"ITEM-1","itemData":{"ISBN":"0016-5085","abstract":"BACKGROUND &amp; AIMS Proton pump inhibitors (PPIs), when given following endoscopy for acute upper gastrointestinal bleeding (UGIB), can reduce the need for blood transfusion and surgery; little is known about their benefit when used in the period before endoscopy. We therefore aimed to investigate the outcomes of UGIB in patients given intravenous PPIs before their endoscopy. METHODS A total of 404 patients with UGIB were included; 202 received intravenous omeprazole for a median of 1 day (IQR 0.25-2) before endoscopy and 202 did not, this treatment being at their physician's discretion. Omeprazole was given either in bolus doses of 40-mg bid (n=103; 51%), or as an infusion of 8-mg/ hour after a loading dose of 80-mg (n=99; 49%). After endoscopy, omeprazole was continued intravenously or orally in patients found to have ulcers/ erosions in their oesophagus, stomach, or duodenum. Patients' clinical details were noted including their Charlson comorbidity and Blatchford risk scores. Three major outcomes were measured: need for blood transfusion; hospital stay &gt; 6 days; and death within 30 days. The Mann-Whitney test, Chi-squared test and logistic regression were used as appropriate RESULTS The two groups were comparable with respect to their gender, smoking, alcohol intake, and use of NSAIDs, aspirin, antithrombotic and other drugs. The treated group was older and had higher Blatchford and Charlson scores. However, when these factors were adjusted for, as shown in Table-1, below, no significant differences were noted between patients who received pre-endoscopic PPI and those who did not in terms of need for blood transfusion, length of hospital stay, or 30-day mortality. CONCLUSIONS The administration of intravenous PPI before endoscopy did not affect the outcomes of acute upper gastrointestinal bleeding in this retrospective study. This is relevant to the appropriate management of this common condition. Table-1. Odds ratios (95% CI) for outcomes of UGIB, with vs. without pre-endoscopic PPI use, before and after adjustment for other factors in a logistic regression model (Table Presented).","author":[{"dropping-particle":"","family":"Taha","given":"AS","non-dropping-particle":"","parse-names":false,"suffix":""},{"dropping-particle":"","family":"Saffouri","given":"E","non-dropping-particle":"","parse-names":false,"suffix":""},{"dropping-particle":"","family":"McCloskey","given":"C","non-dropping-particle":"","parse-names":false,"suffix":""},{"dropping-particle":"","family":"Craigen","given":"T","non-dropping-particle":"","parse-names":false,"suffix":""},{"dropping-particle":"","family":"Angerson","given":"WJ","non-dropping-particle":"","parse-names":false,"suffix":""}],"collection-title":"Digestive Disease Week 2013, DDW 2013 Orlando, FL United States. Conference Start: 20130518 Conference End: 20130521","container-title":"Gastroenterology","id":"ITEM-1","issue":"5 SUPPL. 1","issued":{"date-parts":[["2013"]]},"note":"247","page":"S211","publisher":"W.B. Saunders","publisher-place":"A.S. Taha","title":"Pre-endoscopic intravenous proton pump inhibition and the outcomes of acute upper gastrointestinal bleeding","type":"article","volume":"144"},"uris":["http://www.mendeley.com/documents/?uuid=efd67aed-df2d-4c26-8511-ba27f39dce7a"]}],"mendeley":{"formattedCitation":"(Taha et al. 2013)","plainTextFormattedCitation":"(Taha et al. 2013)","previouslyFormattedCitation":"(Taha et al. 2013)"},"properties":{"noteIndex":0},"schema":"https://github.com/citation-style-language/schema/raw/master/csl-citation.json"}</w:instrText>
            </w:r>
            <w:r w:rsidRPr="000111AF">
              <w:rPr>
                <w:rFonts w:ascii="Calibri" w:eastAsia="Times New Roman" w:hAnsi="Calibri" w:cs="Times New Roman"/>
                <w:color w:val="000000"/>
                <w:sz w:val="18"/>
                <w:szCs w:val="18"/>
                <w:lang w:eastAsia="en-CA"/>
              </w:rPr>
              <w:fldChar w:fldCharType="separate"/>
            </w:r>
            <w:r w:rsidRPr="000111AF">
              <w:rPr>
                <w:rFonts w:ascii="Calibri" w:eastAsia="Times New Roman" w:hAnsi="Calibri" w:cs="Times New Roman"/>
                <w:b w:val="0"/>
                <w:bCs w:val="0"/>
                <w:noProof/>
                <w:color w:val="000000"/>
                <w:sz w:val="18"/>
                <w:szCs w:val="18"/>
                <w:lang w:eastAsia="en-CA"/>
              </w:rPr>
              <w:t>(Taha et al. 2013)</w:t>
            </w:r>
            <w:r w:rsidRPr="000111AF">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dotted" w:sz="4" w:space="0" w:color="auto"/>
            </w:tcBorders>
            <w:shd w:val="clear" w:color="auto" w:fill="FFFFFF" w:themeFill="background1"/>
            <w:vAlign w:val="center"/>
          </w:tcPr>
          <w:p w14:paraId="532130CF" w14:textId="413A6F94" w:rsidR="000111AF"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w:t>
            </w:r>
          </w:p>
        </w:tc>
        <w:tc>
          <w:tcPr>
            <w:tcW w:w="5245" w:type="dxa"/>
            <w:tcBorders>
              <w:top w:val="dotted" w:sz="4" w:space="0" w:color="auto"/>
              <w:bottom w:val="dotted" w:sz="4" w:space="0" w:color="auto"/>
            </w:tcBorders>
            <w:shd w:val="clear" w:color="auto" w:fill="FFFFFF" w:themeFill="background1"/>
            <w:vAlign w:val="center"/>
          </w:tcPr>
          <w:p w14:paraId="3B5A64B1" w14:textId="1FB37306"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sidRPr="00292850">
              <w:rPr>
                <w:rFonts w:ascii="Calibri" w:eastAsia="Times New Roman" w:hAnsi="Calibri" w:cs="Calibri"/>
                <w:color w:val="000000"/>
                <w:sz w:val="18"/>
                <w:szCs w:val="18"/>
                <w:lang w:eastAsia="en-CA"/>
              </w:rPr>
              <w:t>Abstract only</w:t>
            </w:r>
            <w:r>
              <w:rPr>
                <w:rFonts w:ascii="Calibri" w:eastAsia="Times New Roman" w:hAnsi="Calibri" w:cs="Calibri"/>
                <w:color w:val="000000"/>
                <w:sz w:val="18"/>
                <w:szCs w:val="18"/>
                <w:lang w:eastAsia="en-CA"/>
              </w:rPr>
              <w:t>; full text not found</w:t>
            </w:r>
            <w:r w:rsidRPr="00292850">
              <w:rPr>
                <w:rFonts w:ascii="Calibri" w:eastAsia="Times New Roman" w:hAnsi="Calibri" w:cs="Calibri"/>
                <w:color w:val="000000"/>
                <w:sz w:val="18"/>
                <w:szCs w:val="18"/>
                <w:lang w:eastAsia="en-CA"/>
              </w:rPr>
              <w:t>.</w:t>
            </w:r>
          </w:p>
        </w:tc>
      </w:tr>
      <w:tr w:rsidR="000111AF" w14:paraId="0AA97687"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hideMark/>
          </w:tcPr>
          <w:p w14:paraId="644E41A3" w14:textId="0E4A8275" w:rsidR="000111AF" w:rsidRPr="000111AF" w:rsidRDefault="000111AF" w:rsidP="000111AF">
            <w:pPr>
              <w:rPr>
                <w:rFonts w:ascii="Calibri" w:eastAsia="Times New Roman" w:hAnsi="Calibri" w:cs="Times New Roman"/>
                <w:b w:val="0"/>
                <w:bCs w:val="0"/>
                <w:color w:val="000000"/>
                <w:sz w:val="18"/>
                <w:szCs w:val="18"/>
                <w:lang w:eastAsia="en-CA"/>
              </w:rPr>
            </w:pPr>
            <w:r w:rsidRPr="000111AF">
              <w:rPr>
                <w:rFonts w:ascii="Calibri" w:eastAsia="Times New Roman" w:hAnsi="Calibri" w:cs="Times New Roman"/>
                <w:b w:val="0"/>
                <w:bCs w:val="0"/>
                <w:noProof/>
                <w:color w:val="000000"/>
                <w:sz w:val="18"/>
                <w:szCs w:val="18"/>
                <w:lang w:eastAsia="en-CA"/>
              </w:rPr>
              <w:t>(Lee et al. 2015)</w:t>
            </w:r>
          </w:p>
        </w:tc>
        <w:tc>
          <w:tcPr>
            <w:tcW w:w="2126" w:type="dxa"/>
            <w:tcBorders>
              <w:top w:val="dotted" w:sz="4" w:space="0" w:color="auto"/>
              <w:bottom w:val="dotted" w:sz="4" w:space="0" w:color="auto"/>
            </w:tcBorders>
            <w:vAlign w:val="center"/>
            <w:hideMark/>
          </w:tcPr>
          <w:p w14:paraId="2938E39B" w14:textId="1A672491"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w:t>
            </w:r>
          </w:p>
        </w:tc>
        <w:tc>
          <w:tcPr>
            <w:tcW w:w="5245" w:type="dxa"/>
            <w:tcBorders>
              <w:top w:val="dotted" w:sz="4" w:space="0" w:color="auto"/>
              <w:bottom w:val="dotted" w:sz="4" w:space="0" w:color="auto"/>
            </w:tcBorders>
            <w:vAlign w:val="center"/>
            <w:hideMark/>
          </w:tcPr>
          <w:p w14:paraId="06807F8A" w14:textId="293EF565"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Patient population (</w:t>
            </w:r>
            <w:r w:rsidRPr="00D8429A">
              <w:rPr>
                <w:rFonts w:ascii="Calibri" w:eastAsia="Times New Roman" w:hAnsi="Calibri" w:cs="Calibri"/>
                <w:color w:val="000000"/>
                <w:sz w:val="18"/>
                <w:szCs w:val="18"/>
                <w:lang w:eastAsia="en-CA"/>
              </w:rPr>
              <w:t>COPD</w:t>
            </w:r>
            <w:r>
              <w:rPr>
                <w:rFonts w:ascii="Calibri" w:eastAsia="Times New Roman" w:hAnsi="Calibri" w:cs="Calibri"/>
                <w:color w:val="000000"/>
                <w:sz w:val="18"/>
                <w:szCs w:val="18"/>
                <w:lang w:eastAsia="en-CA"/>
              </w:rPr>
              <w:t xml:space="preserve"> patients) cannot be combined with other study populations.</w:t>
            </w:r>
          </w:p>
        </w:tc>
      </w:tr>
      <w:tr w:rsidR="000111AF" w14:paraId="2C762CB0"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hideMark/>
          </w:tcPr>
          <w:p w14:paraId="2234BEA9" w14:textId="40637CAC" w:rsidR="000111AF" w:rsidRPr="000111AF" w:rsidRDefault="000111AF" w:rsidP="000111AF">
            <w:pPr>
              <w:rPr>
                <w:rFonts w:ascii="Calibri" w:eastAsia="Times New Roman" w:hAnsi="Calibri" w:cs="Times New Roman"/>
                <w:b w:val="0"/>
                <w:bCs w:val="0"/>
                <w:color w:val="000000"/>
                <w:sz w:val="18"/>
                <w:szCs w:val="18"/>
                <w:lang w:eastAsia="en-CA"/>
              </w:rPr>
            </w:pPr>
            <w:r w:rsidRPr="000111AF">
              <w:rPr>
                <w:rFonts w:ascii="Calibri" w:eastAsia="Times New Roman" w:hAnsi="Calibri" w:cs="Times New Roman"/>
                <w:color w:val="000000"/>
                <w:sz w:val="18"/>
                <w:szCs w:val="18"/>
                <w:lang w:eastAsia="en-CA"/>
              </w:rPr>
              <w:fldChar w:fldCharType="begin" w:fldLock="1"/>
            </w:r>
            <w:r w:rsidRPr="000111AF">
              <w:rPr>
                <w:rFonts w:ascii="Calibri" w:eastAsia="Times New Roman" w:hAnsi="Calibri" w:cs="Times New Roman"/>
                <w:b w:val="0"/>
                <w:bCs w:val="0"/>
                <w:color w:val="000000"/>
                <w:sz w:val="18"/>
                <w:szCs w:val="18"/>
                <w:lang w:eastAsia="en-CA"/>
              </w:rPr>
              <w:instrText>ADDIN CSL_CITATION {"citationItems":[{"id":"ITEM-1","itemData":{"DOI":"10.1001/jamainternmed.2013.2851","abstract":"Importance: The use of proton pump inhibitors (PPIs) has rapidly increased during the past several years. How- ever, concern remains about risks associated with their long-term use in older populations. Objective: To investigate the relationship between the use of PPIs and the risk of death or the combined end point of death or rehospitalization in older patients dis- charged from acute care hospitals. Design: We investigated the relationship between PPI use and study outcomes using time-dependent Cox pro- portional hazards regression in patients 65 years or older discharged from acute care medical wards from April 1 to June 30, 2007. Setting: Eleven acute care medical wards. Participants: Four hundred ninety-one patients (mean [SD] age, 80.0 [5.9] years).Main Outcome Measures: Mortality and the com- bined end point of death or rehospitalization. Results: The use of PPIs was independently associated with mortality (hazard ratio, 1.51 [95% CI, 1.03-2.77]) but not with the combined end point (1.49 [0.98- 2.17]).Anincreased risk of mortality was observedamong patients exposed to high-dose PPIs vs none (hazard ra- tio, 2.59 [95% CI, 1.22-7.16]). Conclusions and Relevance: In older patients dis- charged from acute care hospitals, the use of high-dose PPIs is associated with increased 1-year mortality. Ran- domized controlled studies including older frail pa- tients are needed. In the meantime, physicians need to use caution and balance benefits and harms in long- term prescription of high-dose PPIs. JAMA","author":[{"dropping-particle":"","family":"Maggio","given":"M","non-dropping-particle":"","parse-names":false,"suffix":""},{"dropping-particle":"","family":"Corsonello","given":"Andrea","non-dropping-particle":"","parse-names":false,"suffix":""},{"dropping-particle":"","family":"Ceda","given":"GP","non-dropping-particle":"","parse-names":false,"suffix":""},{"dropping-particle":"","family":"Cattabiani","given":"C","non-dropping-particle":"","parse-names":false,"suffix":""},{"dropping-particle":"","family":"Lauretani","given":"F","non-dropping-particle":"","parse-names":false,"suffix":""},{"dropping-particle":"","family":"Butto","given":"V","non-dropping-particle":"","parse-names":false,"suffix":""},{"dropping-particle":"","family":"Ferrucci","given":"L","non-dropping-particle":"","parse-names":false,"suffix":""},{"dropping-particle":"","family":"Bandinelli","given":"S","non-dropping-particle":"","parse-names":false,"suffix":""},{"dropping-particle":"","family":"Abbatecola","given":"AM","non-dropping-particle":"","parse-names":false,"suffix":""},{"dropping-particle":"","family":"Spazzafumo","given":"L","non-dropping-particle":"","parse-names":false,"suffix":""},{"dropping-particle":"","family":"Lattanzio","given":"F","non-dropping-particle":"","parse-names":false,"suffix":""}],"container-title":"Americal Medical Asociationsociation","id":"ITEM-1","issue":"7","issued":{"date-parts":[["2013"]]},"page":"518-523","title":"Proton Pump Inhibitors and Risk of 1-Year Mortality and Rehospitalization in Older Patients Discharged From Acute Care Hospitals","type":"article-journal","volume":"173"},"uris":["http://www.mendeley.com/documents/?uuid=0a5131cf-54ea-4375-a42f-4014eaf8fdaa"]}],"mendeley":{"formattedCitation":"(Maggio et al. 2013)","plainTextFormattedCitation":"(Maggio et al. 2013)","previouslyFormattedCitation":"(Maggio et al. 2013)"},"properties":{"noteIndex":0},"schema":"https://github.com/citation-style-language/schema/raw/master/csl-citation.json"}</w:instrText>
            </w:r>
            <w:r w:rsidRPr="000111AF">
              <w:rPr>
                <w:rFonts w:ascii="Calibri" w:eastAsia="Times New Roman" w:hAnsi="Calibri" w:cs="Times New Roman"/>
                <w:color w:val="000000"/>
                <w:sz w:val="18"/>
                <w:szCs w:val="18"/>
                <w:lang w:eastAsia="en-CA"/>
              </w:rPr>
              <w:fldChar w:fldCharType="separate"/>
            </w:r>
            <w:r w:rsidRPr="000111AF">
              <w:rPr>
                <w:rFonts w:ascii="Calibri" w:eastAsia="Times New Roman" w:hAnsi="Calibri" w:cs="Times New Roman"/>
                <w:b w:val="0"/>
                <w:bCs w:val="0"/>
                <w:noProof/>
                <w:color w:val="000000"/>
                <w:sz w:val="18"/>
                <w:szCs w:val="18"/>
                <w:lang w:eastAsia="en-CA"/>
              </w:rPr>
              <w:t>(Maggio et al. 2013)</w:t>
            </w:r>
            <w:r w:rsidRPr="000111AF">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dotted" w:sz="4" w:space="0" w:color="auto"/>
            </w:tcBorders>
            <w:vAlign w:val="center"/>
            <w:hideMark/>
          </w:tcPr>
          <w:p w14:paraId="5C8313EA" w14:textId="537CF58A"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w:t>
            </w:r>
          </w:p>
        </w:tc>
        <w:tc>
          <w:tcPr>
            <w:tcW w:w="5245" w:type="dxa"/>
            <w:tcBorders>
              <w:top w:val="dotted" w:sz="4" w:space="0" w:color="auto"/>
              <w:bottom w:val="dotted" w:sz="4" w:space="0" w:color="auto"/>
            </w:tcBorders>
            <w:vAlign w:val="center"/>
            <w:hideMark/>
          </w:tcPr>
          <w:p w14:paraId="2B9FCC87" w14:textId="6CFCD94B"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Patient population (elderly) cannot be combined with other study populations.</w:t>
            </w:r>
          </w:p>
        </w:tc>
      </w:tr>
      <w:tr w:rsidR="000111AF" w14:paraId="448E088B"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hideMark/>
          </w:tcPr>
          <w:p w14:paraId="4C9D2704" w14:textId="4B75828F" w:rsidR="000111AF" w:rsidRPr="000111AF" w:rsidRDefault="000111AF" w:rsidP="000111AF">
            <w:pPr>
              <w:rPr>
                <w:rFonts w:ascii="Calibri" w:eastAsia="Times New Roman" w:hAnsi="Calibri" w:cs="Calibri"/>
                <w:b w:val="0"/>
                <w:bCs w:val="0"/>
                <w:color w:val="000000"/>
                <w:sz w:val="18"/>
                <w:szCs w:val="18"/>
                <w:lang w:eastAsia="en-CA"/>
              </w:rPr>
            </w:pPr>
            <w:r w:rsidRPr="000111AF">
              <w:rPr>
                <w:rFonts w:ascii="Calibri" w:eastAsia="Times New Roman" w:hAnsi="Calibri" w:cs="Times New Roman"/>
                <w:color w:val="000000"/>
                <w:sz w:val="18"/>
                <w:szCs w:val="18"/>
                <w:lang w:eastAsia="en-CA"/>
              </w:rPr>
              <w:fldChar w:fldCharType="begin" w:fldLock="1"/>
            </w:r>
            <w:r w:rsidRPr="000111AF">
              <w:rPr>
                <w:rFonts w:ascii="Calibri" w:eastAsia="Times New Roman" w:hAnsi="Calibri" w:cs="Times New Roman"/>
                <w:b w:val="0"/>
                <w:bCs w:val="0"/>
                <w:color w:val="000000"/>
                <w:sz w:val="18"/>
                <w:szCs w:val="18"/>
                <w:lang w:eastAsia="en-CA"/>
              </w:rPr>
              <w:instrText>ADDIN CSL_CITATION {"citationItems":[{"id":"ITEM-1","itemData":{"ISBN":"1747-4930","ISSN":"1747-4949","abstract":"BACKGROUND: Antiplatelet therapy is known to decrease the risk of secondary ischemic stroke. However, the effectiveness and safety of antiplatelet therapy in patients with end-stage renal disease are uncertain, especially in dialysis., AIMS AND/OR HYPOTHESIS: We estimated the effectiveness and safety of antiplatelet drugs (aspirin and clopidogrel) for the prevention of recurrent ischemic stroke in end-stage renal disease patients undergoing dialysis during long-term follow-up after first-time ischemic stroke., METHODS: The cases were identified from the National Health Insurance Research Database. Antiplatelet therapy was administered for 11 years to patients experiencing a first ischemic stroke between 1998 and 2006. Primary outcomes, including death and readmission to hospital for stroke, and secondary outcomes, including death, stroke, and acute myocardial infarction or bleeding, were examined., RESULTS: In total, 1936 patients experienced a first ischemic stroke during the follow-up. In a time-dependent analysis, the hazard ratio for primary outcomes in patients treated with aspirin was 0671 (P&lt;0001) and that for clopidogrel was 0933 (P=0497). At secondary outcomes, patients treated with aspirin, hazard ratio for readmission for stroke was 0715 (P=0002) and that for bleeding was 0885 (P=0291). Independent risk factors for mortality and readmission due to ischemic stroke included age, diabetes mellitus, and administration of proton pump inhibitors., CONCLUSIONS: Antiplatelet therapy, especially aspirin, still offers safe and effective treatment for ischemic stroke prevention in patients with end-stage renal disease undergoing dialysis.Copyright © 2014 The Authors. International Journal of Stroke © 2014 World Stroke Organization.","author":[{"dropping-particle":"","family":"Chen","given":"Chung-Yu","non-dropping-particle":"","parse-names":false,"suffix":""},{"dropping-particle":"","family":"Lee","given":"Kun-Tai","non-dropping-particle":"","parse-names":false,"suffix":""},{"dropping-particle":"","family":"Lee","given":"Charles Tzu-Chi","non-dropping-particle":"","parse-names":false,"suffix":""},{"dropping-particle":"","family":"Lai","given":"Wen-Ter","non-dropping-particle":"","parse-names":false,"suffix":""},{"dropping-particle":"","family":"Huang","given":"Yaw-Bin","non-dropping-particle":"","parse-names":false,"suffix":""}],"container-title":"International journal of stroke : official journal of the International Stroke Society","id":"ITEM-1","issue":"5","issued":{"date-parts":[["2014"]]},"note":"202","page":"580-590","publisher":"Chen,Chung-Yu. School of Pharmacy, Kaohsiung Medical University, Kaohsiung, Taiwan.","publisher-place":"England","title":"Effectiveness and safety of antiplatelet in stroke patients with end-stage renal disease undergoing dialysis.","type":"article-journal","volume":"9"},"uris":["http://www.mendeley.com/documents/?uuid=e4b0dcbe-6c41-43ce-a7f6-630e58caa94d"]}],"mendeley":{"formattedCitation":"(Chen et al. 2014)","plainTextFormattedCitation":"(Chen et al. 2014)","previouslyFormattedCitation":"(Chen et al. 2014)"},"properties":{"noteIndex":0},"schema":"https://github.com/citation-style-language/schema/raw/master/csl-citation.json"}</w:instrText>
            </w:r>
            <w:r w:rsidRPr="000111AF">
              <w:rPr>
                <w:rFonts w:ascii="Calibri" w:eastAsia="Times New Roman" w:hAnsi="Calibri" w:cs="Times New Roman"/>
                <w:color w:val="000000"/>
                <w:sz w:val="18"/>
                <w:szCs w:val="18"/>
                <w:lang w:eastAsia="en-CA"/>
              </w:rPr>
              <w:fldChar w:fldCharType="separate"/>
            </w:r>
            <w:r w:rsidRPr="000111AF">
              <w:rPr>
                <w:rFonts w:ascii="Calibri" w:eastAsia="Times New Roman" w:hAnsi="Calibri" w:cs="Times New Roman"/>
                <w:b w:val="0"/>
                <w:bCs w:val="0"/>
                <w:noProof/>
                <w:color w:val="000000"/>
                <w:sz w:val="18"/>
                <w:szCs w:val="18"/>
                <w:lang w:eastAsia="en-CA"/>
              </w:rPr>
              <w:t>(Chen et al. 2014)</w:t>
            </w:r>
            <w:r w:rsidRPr="000111AF">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dotted" w:sz="4" w:space="0" w:color="auto"/>
            </w:tcBorders>
            <w:vAlign w:val="center"/>
            <w:hideMark/>
          </w:tcPr>
          <w:p w14:paraId="43EE9E71" w14:textId="0C757DF5"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w:t>
            </w:r>
          </w:p>
        </w:tc>
        <w:tc>
          <w:tcPr>
            <w:tcW w:w="5245" w:type="dxa"/>
            <w:tcBorders>
              <w:top w:val="dotted" w:sz="4" w:space="0" w:color="auto"/>
              <w:bottom w:val="dotted" w:sz="4" w:space="0" w:color="auto"/>
            </w:tcBorders>
            <w:vAlign w:val="center"/>
            <w:hideMark/>
          </w:tcPr>
          <w:p w14:paraId="344134A9" w14:textId="4F0FB927"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Patient population (ESRD patients) cannot be combined with other study populations.</w:t>
            </w:r>
          </w:p>
        </w:tc>
      </w:tr>
      <w:tr w:rsidR="000111AF" w14:paraId="25DDEDE1"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hideMark/>
          </w:tcPr>
          <w:p w14:paraId="17EA8B79" w14:textId="512226D6" w:rsidR="000111AF" w:rsidRPr="000111AF" w:rsidRDefault="000111AF" w:rsidP="000111AF">
            <w:pPr>
              <w:rPr>
                <w:rFonts w:ascii="Calibri" w:eastAsia="Times New Roman" w:hAnsi="Calibri" w:cs="Calibri"/>
                <w:b w:val="0"/>
                <w:bCs w:val="0"/>
                <w:color w:val="000000"/>
                <w:sz w:val="18"/>
                <w:szCs w:val="18"/>
                <w:lang w:eastAsia="en-CA"/>
              </w:rPr>
            </w:pPr>
            <w:r w:rsidRPr="000111AF">
              <w:rPr>
                <w:rFonts w:ascii="Calibri" w:eastAsia="Times New Roman" w:hAnsi="Calibri" w:cs="Times New Roman"/>
                <w:color w:val="000000"/>
                <w:sz w:val="18"/>
                <w:szCs w:val="18"/>
                <w:lang w:eastAsia="en-CA"/>
              </w:rPr>
              <w:fldChar w:fldCharType="begin" w:fldLock="1"/>
            </w:r>
            <w:r w:rsidRPr="000111AF">
              <w:rPr>
                <w:rFonts w:ascii="Calibri" w:eastAsia="Times New Roman" w:hAnsi="Calibri" w:cs="Times New Roman"/>
                <w:b w:val="0"/>
                <w:bCs w:val="0"/>
                <w:color w:val="000000"/>
                <w:sz w:val="18"/>
                <w:szCs w:val="18"/>
                <w:lang w:eastAsia="en-CA"/>
              </w:rPr>
              <w:instrText>ADDIN CSL_CITATION {"citationItems":[{"id":"ITEM-1","itemData":{"ISSN":"2005-1212","abstract":"BACKGROUND/AIMS: Knowledge of the risk factors associated with adverse outcomes after percutaneous endoscopic gastrostomy (PEG) may be helpful for developing PEG recommendations. The purpose of this study was to identify the clinical risk factors associated with adverse clinical outcomes after PEG, especially regarding the use of proton pump inhibitors (PPIs)., METHODS: We retrospectively reviewed the data from PEG patients at seven university hospitals between June 2006 and January 2012. All patients were followed up through February 2012 after PEG, and the clinical risk factors for adverse clinical outcomes after PEG were analyzed., RESULTS: Data from 1,021 PEG patients were analyzed. PPI users were more frequently included in the complication group than the noncomplication group (p=0.040). PEG-related complications (p=0.040) and mortality (p=0.003) were more frequent in the PPI group than in the control group. In the subgroup analysis of complicated PEG cases, infectious complications were more frequently found in the PPI group than in the control group (35.8% vs 27.8%). After adjustment for multiple possible confounding factors, PPI users (odds ratio, 1.531; 95% confidence interval, 1.017 to 2.305) and diabetic patients had increased mortality after PEG., CONCLUSIONS: PPI use may be associated with adverse outcomes in patients with PEG; however, further prospective studies investigating this issue are warranted.","author":[{"dropping-particle":"","family":"Im","given":"Jong Pil","non-dropping-particle":"","parse-names":false,"suffix":""},{"dropping-particle":"","family":"Cha","given":"Jae Myung","non-dropping-particle":"","parse-names":false,"suffix":""},{"dropping-particle":"","family":"Kim","given":"Ji Won","non-dropping-particle":"","parse-names":false,"suffix":""},{"dropping-particle":"","family":"Kim","given":"Seong Eun","non-dropping-particle":"","parse-names":false,"suffix":""},{"dropping-particle":"","family":"Ryu","given":"Dong Yup","non-dropping-particle":"","parse-names":false,"suffix":""},{"dropping-particle":"","family":"Kim","given":"Eun Young","non-dropping-particle":"","parse-names":false,"suffix":""},{"dropping-particle":"","family":"Kim","given":"Eun Ran","non-dropping-particle":"","parse-names":false,"suffix":""},{"dropping-particle":"","family":"Chang","given":"Dong Kyung","non-dropping-particle":"","parse-names":false,"suffix":""}],"container-title":"Gut and liver","id":"ITEM-1","issue":"3","issued":{"date-parts":[["2014"]]},"note":"162","page":"248-253","publisher":"Im,Jong Pil. Department of Internal Medicine, Seoul National University Hospital, Seoul National University College of Medicine, Seoul, Korea.","publisher-place":"Korea (South)","title":"Proton pump inhibitor use before percutaneous endoscopic gastrostomy is associated with adverse outcomes.","type":"article-journal","volume":"8"},"uris":["http://www.mendeley.com/documents/?uuid=14b4f646-5d3e-4e82-94d6-d957c33ccc3c"]}],"mendeley":{"formattedCitation":"(Im et al. 2014)","plainTextFormattedCitation":"(Im et al. 2014)","previouslyFormattedCitation":"(Im et al. 2014)"},"properties":{"noteIndex":0},"schema":"https://github.com/citation-style-language/schema/raw/master/csl-citation.json"}</w:instrText>
            </w:r>
            <w:r w:rsidRPr="000111AF">
              <w:rPr>
                <w:rFonts w:ascii="Calibri" w:eastAsia="Times New Roman" w:hAnsi="Calibri" w:cs="Times New Roman"/>
                <w:color w:val="000000"/>
                <w:sz w:val="18"/>
                <w:szCs w:val="18"/>
                <w:lang w:eastAsia="en-CA"/>
              </w:rPr>
              <w:fldChar w:fldCharType="separate"/>
            </w:r>
            <w:r w:rsidRPr="000111AF">
              <w:rPr>
                <w:rFonts w:ascii="Calibri" w:eastAsia="Times New Roman" w:hAnsi="Calibri" w:cs="Times New Roman"/>
                <w:b w:val="0"/>
                <w:bCs w:val="0"/>
                <w:noProof/>
                <w:color w:val="000000"/>
                <w:sz w:val="18"/>
                <w:szCs w:val="18"/>
                <w:lang w:eastAsia="en-CA"/>
              </w:rPr>
              <w:t>(Im et al. 2014)</w:t>
            </w:r>
            <w:r w:rsidRPr="000111AF">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dotted" w:sz="4" w:space="0" w:color="auto"/>
            </w:tcBorders>
            <w:vAlign w:val="center"/>
            <w:hideMark/>
          </w:tcPr>
          <w:p w14:paraId="1BF565AB" w14:textId="247E6C20"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w:t>
            </w:r>
          </w:p>
        </w:tc>
        <w:tc>
          <w:tcPr>
            <w:tcW w:w="5245" w:type="dxa"/>
            <w:tcBorders>
              <w:top w:val="dotted" w:sz="4" w:space="0" w:color="auto"/>
              <w:bottom w:val="dotted" w:sz="4" w:space="0" w:color="auto"/>
            </w:tcBorders>
            <w:vAlign w:val="center"/>
            <w:hideMark/>
          </w:tcPr>
          <w:p w14:paraId="304A1A41" w14:textId="7E91E1C8"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Patient population (PEG patients) cannot be combined with other study populations.</w:t>
            </w:r>
          </w:p>
        </w:tc>
      </w:tr>
      <w:tr w:rsidR="000111AF" w14:paraId="21B21A9D"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hideMark/>
          </w:tcPr>
          <w:p w14:paraId="4DFBA867" w14:textId="34AC3C18" w:rsidR="000111AF" w:rsidRPr="00D8429A" w:rsidRDefault="000111AF" w:rsidP="000111AF">
            <w:pPr>
              <w:rPr>
                <w:rFonts w:ascii="Calibri" w:eastAsia="Times New Roman" w:hAnsi="Calibri" w:cs="Calibri"/>
                <w:b w:val="0"/>
                <w:bCs w:val="0"/>
                <w:color w:val="000000"/>
                <w:sz w:val="18"/>
                <w:szCs w:val="18"/>
                <w:lang w:eastAsia="en-CA"/>
              </w:rPr>
            </w:pPr>
            <w:r w:rsidRPr="00D8429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{"citationItems":[{"id":"ITEM-1","itemData":{"ISBN":"1053-8569","ISSN":"1099-1557","abstract":"Background: Pneumonia is a common diagnosis in general practice in the United Kingdom. Previous studies suggest that commonly prescribed drugs in general practice may influence pneumonia mortality. Aim: We investigated whether statins, angiotensin converting enzyme inhibitors (ACEIs), proton pump inhibitors (PPIs) and Histamine-2-receptor antagonists (H2RAs) have an impact on short-term and long-term mortality in pneumonia cases. Design of Study: Population-based cohort study Settting: United Kingdom Methods: Data on 3681 pneumonia cases above the age of 40 years were obtained from a comprehensive database called the health improvement network (THIN) which has computerised medical records from 300 general practice surgeries in the United Kingdom.We used Cox regression for our analyses. Results: Current statin use was associated with a 67% decrease in 30-day mortality (adj. HR: 0.33, 95% CI: 0.19-0.58) and a 55% decrease in long-term mortality (adj. HR: 0.45, 95% CI: 0.32-0.62) over a median follow-up of 2.8 years as compared to no-use. Current ACEI use decreased the 30-day mortality risk by nearly 38% as compared to no-use (adj. HR: 0.62, 95% CI: 0.47-0.82) but was not associated with longterm mortality. No significant impact on mortality was observed for either gastric acid suppressant. Conclusion: The use of statins is associated with a lower risk of short- and long-term mortality following pneumonia whereas the use of ACEIs is associated with a decreased mortality risk only in the short-term. Copyright © 2009 John Wiley &amp; Sons, Ltd.","author":[{"dropping-particle":"","family":"Myles","given":"Puja R","non-dropping-particle":"","parse-names":false,"suffix":""},{"dropping-particle":"","family":"Hubbard","given":"Richard B","non-dropping-particle":"","parse-names":false,"suffix":""},{"dropping-particle":"","family":"Gibson","given":"Jack E","non-dropping-particle":"","parse-names":false,"suffix":""},{"dropping-particle":"","family":"Pogson","given":"Zara","non-dropping-particle":"","parse-names":false,"suffix":""},{"dropping-particle":"","family":"Smith","given":"Christopher J P","non-dropping-particle":"","parse-names":false,"suffix":""},{"dropping-particle":"","family":"McKeever","given":"Tricia M","non-dropping-particle":"","parse-names":false,"suffix":""}],"container-title":"Pharmacoepidemiology and drug safety","id":"ITEM-1","issue":"8","issued":{"date-parts":[["2009"]]},"note":"783\n\nFrom Duplicate 1 (The impact of statins, ACE inhibitors and gastric acid suppressants on pneumonia mortality in a UK general practice population cohort. - Myles, Puja R; Hubbard, Richard B; Gibson, Jack E; Pogson, Zara; Smith, Christopher J P; McKeever, Tricia M)\n\nComment in: Pharmacoepidemiol Drug Saf. 2009 Nov;18(11):1121-2; PMID: 19852000","page":"697-703","publisher":"Myles,Puja R. Division of Epidemiology &amp; Public Health, University of Nottingham, Clinical Sciences Building, City Hospital, Nottingham NG5 1PB, UK. puja.myles@nottingham.ac.uk","publisher-place":"England","title":"The impact of statins, ACE inhibitors and gastric acid suppressants on pneumonia mortality in a UK general practice population cohort.","type":"article-journal","volume":"18"},"uris":["http://www.mendeley.com/documents/?uuid=18d0c5f0-ea3d-4748-9090-4fb048684a0a"]}],"mendeley":{"formattedCitation":"(Myles et al. 2009)","plainTextFormattedCitation":"(Myles et al. 2009)","previouslyFormattedCitation":"(Myles et al. 2009)"},"properties":{"noteIndex":0},"schema":"https://github.com/citation-style-language/schema/raw/master/csl-citation.json"}</w:instrText>
            </w:r>
            <w:r w:rsidRPr="00D8429A">
              <w:rPr>
                <w:rFonts w:ascii="Calibri" w:eastAsia="Times New Roman" w:hAnsi="Calibri" w:cs="Times New Roman"/>
                <w:color w:val="000000"/>
                <w:sz w:val="18"/>
                <w:szCs w:val="18"/>
                <w:lang w:eastAsia="en-CA"/>
              </w:rPr>
              <w:fldChar w:fldCharType="separate"/>
            </w:r>
            <w:r w:rsidRPr="00D8429A">
              <w:rPr>
                <w:rFonts w:ascii="Calibri" w:eastAsia="Times New Roman" w:hAnsi="Calibri" w:cs="Times New Roman"/>
                <w:b w:val="0"/>
                <w:bCs w:val="0"/>
                <w:noProof/>
                <w:color w:val="000000"/>
                <w:sz w:val="18"/>
                <w:szCs w:val="18"/>
                <w:lang w:eastAsia="en-CA"/>
              </w:rPr>
              <w:t>(Myles et al. 2009)</w:t>
            </w:r>
            <w:r w:rsidRPr="00D8429A">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dotted" w:sz="4" w:space="0" w:color="auto"/>
            </w:tcBorders>
            <w:vAlign w:val="center"/>
            <w:hideMark/>
          </w:tcPr>
          <w:p w14:paraId="4A786530" w14:textId="77B87193"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w:t>
            </w:r>
          </w:p>
        </w:tc>
        <w:tc>
          <w:tcPr>
            <w:tcW w:w="5245" w:type="dxa"/>
            <w:tcBorders>
              <w:top w:val="dotted" w:sz="4" w:space="0" w:color="auto"/>
              <w:bottom w:val="dotted" w:sz="4" w:space="0" w:color="auto"/>
            </w:tcBorders>
            <w:vAlign w:val="center"/>
            <w:hideMark/>
          </w:tcPr>
          <w:p w14:paraId="07CEC040" w14:textId="4C11FF2A"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Patient population (pneumonia patients) cannot be combined with other study populations.</w:t>
            </w:r>
          </w:p>
        </w:tc>
      </w:tr>
      <w:tr w:rsidR="000111AF" w14:paraId="667240C6" w14:textId="77777777" w:rsidTr="000111A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hideMark/>
          </w:tcPr>
          <w:p w14:paraId="48B3B7D3" w14:textId="6A74DFD1" w:rsidR="000111AF" w:rsidRPr="000111AF" w:rsidRDefault="000111AF" w:rsidP="000111AF">
            <w:pPr>
              <w:rPr>
                <w:rFonts w:ascii="Calibri" w:eastAsia="Times New Roman" w:hAnsi="Calibri" w:cs="Calibri"/>
                <w:b w:val="0"/>
                <w:bCs w:val="0"/>
                <w:color w:val="000000"/>
                <w:sz w:val="18"/>
                <w:szCs w:val="18"/>
                <w:lang w:eastAsia="en-CA"/>
              </w:rPr>
            </w:pPr>
            <w:r w:rsidRPr="000111AF">
              <w:rPr>
                <w:rFonts w:ascii="Calibri" w:eastAsia="Times New Roman" w:hAnsi="Calibri" w:cs="Times New Roman"/>
                <w:color w:val="000000"/>
                <w:sz w:val="18"/>
                <w:szCs w:val="18"/>
                <w:lang w:eastAsia="en-CA"/>
              </w:rPr>
              <w:fldChar w:fldCharType="begin" w:fldLock="1"/>
            </w:r>
            <w:r w:rsidRPr="000111AF">
              <w:rPr>
                <w:rFonts w:ascii="Calibri" w:eastAsia="Times New Roman" w:hAnsi="Calibri" w:cs="Times New Roman"/>
                <w:b w:val="0"/>
                <w:bCs w:val="0"/>
                <w:color w:val="000000"/>
                <w:sz w:val="18"/>
                <w:szCs w:val="18"/>
                <w:lang w:eastAsia="en-CA"/>
              </w:rPr>
              <w:instrText>ADDIN CSL_CITATION {"citationItems":[{"id":"ITEM-1","itemData":{"ISSN":"1874-1754","abstract":"BACKGROUND: There is substantial debate regarding the development of acute coronary syndrome in patients using proton pump inhibitors (PPIs) combined with clopidogrel. However, data remain limited to address the effect of PPIs alone on the subsequent risk of myocardial infarction (MI). We aimed to explore the subsequent risk of MI in PPI users who had no previous history of MI., METHODS: The records of inpatients and outpatients with PPI prescriptions were retrieved from the Taiwan National Health Insurance Research Database between 2000 and 2009. We conducted two different study designs, the first using propensity score (PS)-matching analyses and the second using case-crossover analyses. The risk of developing MI for PPI users was analyzed in the PS-matched study. The association between risk of MI and prior PPI exposure was further validated in the case-crossover study., RESULTS: In the PS-matched study, we included 126,367 PPI users and 126,367 PS-matched PPI non-users. After 120 days of follow-up, PPI use was associated with a 1.58-fold greater risk of MI (adjusted hazard ratio [HR] = 1.58, 95% confidence interval [CI] = 1.11 to 2.25). In the case-crossover study, adjusted odds ratios of PPI for MI risk were 4.61 (95% CI = 1.76 to 12.07) for the 7-day window and 3.47 (95% CI = 1.76 to 6.83) for the 14-day window., CONCLUSIONS: Use of PPIs may be independently associated with an increased risk of MI. However, the benefits of PPIs may greatly outweigh the risks of adverse cardiovascular effects, with number needed to harm of 4357.Copyright © 2014 Elsevier Ireland Ltd. All rights reserved.","author":[{"dropping-particle":"","family":"Shih","given":"Chia-Jen","non-dropping-particle":"","parse-names":false,"suffix":""},{"dropping-particle":"","family":"Chen","given":"Yung-Tai","non-dropping-particle":"","parse-names":false,"suffix":""},{"dropping-particle":"","family":"Ou","given":"Shuo-Ming","non-dropping-particle":"","parse-names":false,"suffix":""},{"dropping-particle":"","family":"Li","given":"Szu-Yuan","non-dropping-particle":"","parse-names":false,"suffix":""},{"dropping-particle":"","family":"Chen","given":"Tzeng-Ji","non-dropping-particle":"","parse-names":false,"suffix":""},{"dropping-particle":"","family":"Wang","given":"Shuu-Jiun","non-dropping-particle":"","parse-names":false,"suffix":""}],"container-title":"International journal of cardiology","id":"ITEM-1","issue":"1","issued":{"date-parts":[["2014"]]},"note":"103","page":"292-297","publisher":"Shih,Chia-Jen. Department of Medicine, Taipei Veterans General Hospital, Yuanshan Branch, Yilan, Taiwan; School of Medicine, National Yang-Ming University, Taipei, Taiwan.","publisher-place":"Netherlands","title":"Proton pump inhibitor use represents an independent risk factor for myocardial infarction.","type":"article-journal","volume":"177"},"uris":["http://www.mendeley.com/documents/?uuid=cd2c7d11-bfbc-4cc2-9a87-b9374ffd5d7a"]}],"mendeley":{"formattedCitation":"(Shih et al. 2014)","plainTextFormattedCitation":"(Shih et al. 2014)","previouslyFormattedCitation":"(Shih et al. 2014)"},"properties":{"noteIndex":0},"schema":"https://github.com/citation-style-language/schema/raw/master/csl-citation.json"}</w:instrText>
            </w:r>
            <w:r w:rsidRPr="000111AF">
              <w:rPr>
                <w:rFonts w:ascii="Calibri" w:eastAsia="Times New Roman" w:hAnsi="Calibri" w:cs="Times New Roman"/>
                <w:color w:val="000000"/>
                <w:sz w:val="18"/>
                <w:szCs w:val="18"/>
                <w:lang w:eastAsia="en-CA"/>
              </w:rPr>
              <w:fldChar w:fldCharType="separate"/>
            </w:r>
            <w:r w:rsidRPr="000111AF">
              <w:rPr>
                <w:rFonts w:ascii="Calibri" w:eastAsia="Times New Roman" w:hAnsi="Calibri" w:cs="Times New Roman"/>
                <w:b w:val="0"/>
                <w:bCs w:val="0"/>
                <w:noProof/>
                <w:color w:val="000000"/>
                <w:sz w:val="18"/>
                <w:szCs w:val="18"/>
                <w:lang w:eastAsia="en-CA"/>
              </w:rPr>
              <w:t>(Shih et al. 2014)</w:t>
            </w:r>
            <w:r w:rsidRPr="000111AF">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dotted" w:sz="4" w:space="0" w:color="auto"/>
            </w:tcBorders>
            <w:vAlign w:val="center"/>
            <w:hideMark/>
          </w:tcPr>
          <w:p w14:paraId="319FFBBC" w14:textId="1D6A83EC"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w:t>
            </w:r>
          </w:p>
        </w:tc>
        <w:tc>
          <w:tcPr>
            <w:tcW w:w="5245" w:type="dxa"/>
            <w:tcBorders>
              <w:top w:val="dotted" w:sz="4" w:space="0" w:color="auto"/>
              <w:bottom w:val="dotted" w:sz="4" w:space="0" w:color="auto"/>
            </w:tcBorders>
            <w:vAlign w:val="center"/>
            <w:hideMark/>
          </w:tcPr>
          <w:p w14:paraId="61892C38" w14:textId="7EB307A0"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Patient population (PPI users) cannot be combined with other study populations.</w:t>
            </w:r>
          </w:p>
        </w:tc>
      </w:tr>
      <w:tr w:rsidR="000111AF" w14:paraId="34049727"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tcPr>
          <w:p w14:paraId="7D9918B7" w14:textId="6B74E0F1" w:rsidR="000111AF" w:rsidRPr="000111AF" w:rsidRDefault="000111AF" w:rsidP="000111AF">
            <w:pPr>
              <w:rPr>
                <w:rFonts w:ascii="Calibri" w:eastAsia="Times New Roman" w:hAnsi="Calibri" w:cs="Times New Roman"/>
                <w:b w:val="0"/>
                <w:bCs w:val="0"/>
                <w:color w:val="000000"/>
                <w:sz w:val="18"/>
                <w:szCs w:val="18"/>
                <w:lang w:eastAsia="en-CA"/>
              </w:rPr>
            </w:pPr>
            <w:r w:rsidRPr="000111AF">
              <w:rPr>
                <w:rFonts w:ascii="Calibri" w:eastAsia="Times New Roman" w:hAnsi="Calibri" w:cs="Times New Roman"/>
                <w:b w:val="0"/>
                <w:bCs w:val="0"/>
                <w:color w:val="000000"/>
                <w:sz w:val="18"/>
                <w:szCs w:val="18"/>
                <w:lang w:eastAsia="en-CA"/>
              </w:rPr>
              <w:t>(Sehested et al, 2018)</w:t>
            </w:r>
          </w:p>
        </w:tc>
        <w:tc>
          <w:tcPr>
            <w:tcW w:w="2126" w:type="dxa"/>
            <w:tcBorders>
              <w:top w:val="dotted" w:sz="4" w:space="0" w:color="auto"/>
              <w:bottom w:val="dotted" w:sz="4" w:space="0" w:color="auto"/>
            </w:tcBorders>
            <w:vAlign w:val="center"/>
          </w:tcPr>
          <w:p w14:paraId="75561864" w14:textId="5DE8E3BD" w:rsidR="000111AF"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Stroke</w:t>
            </w:r>
          </w:p>
        </w:tc>
        <w:tc>
          <w:tcPr>
            <w:tcW w:w="5245" w:type="dxa"/>
            <w:tcBorders>
              <w:top w:val="dotted" w:sz="4" w:space="0" w:color="auto"/>
              <w:bottom w:val="dotted" w:sz="4" w:space="0" w:color="auto"/>
            </w:tcBorders>
            <w:vAlign w:val="center"/>
          </w:tcPr>
          <w:p w14:paraId="02F2B489" w14:textId="0D622F65" w:rsidR="000111AF"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Patient population (UGIB) cannot be combined with other study populations.</w:t>
            </w:r>
          </w:p>
        </w:tc>
      </w:tr>
      <w:tr w:rsidR="000111AF" w14:paraId="45A8C08A"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hideMark/>
          </w:tcPr>
          <w:p w14:paraId="482BE35D" w14:textId="2ABD1AEE" w:rsidR="000111AF" w:rsidRPr="000111AF" w:rsidRDefault="000111AF" w:rsidP="000111AF">
            <w:pPr>
              <w:rPr>
                <w:rFonts w:ascii="Calibri" w:eastAsia="Times New Roman" w:hAnsi="Calibri" w:cs="Calibri"/>
                <w:b w:val="0"/>
                <w:bCs w:val="0"/>
                <w:color w:val="000000"/>
                <w:sz w:val="18"/>
                <w:szCs w:val="18"/>
                <w:lang w:eastAsia="en-CA"/>
              </w:rPr>
            </w:pPr>
            <w:r w:rsidRPr="000111AF">
              <w:rPr>
                <w:rFonts w:ascii="Calibri" w:eastAsia="Times New Roman" w:hAnsi="Calibri" w:cs="Times New Roman"/>
                <w:color w:val="000000"/>
                <w:sz w:val="18"/>
                <w:szCs w:val="18"/>
                <w:lang w:eastAsia="en-CA"/>
              </w:rPr>
              <w:fldChar w:fldCharType="begin" w:fldLock="1"/>
            </w:r>
            <w:r w:rsidRPr="000111AF">
              <w:rPr>
                <w:rFonts w:ascii="Calibri" w:eastAsia="Times New Roman" w:hAnsi="Calibri" w:cs="Times New Roman"/>
                <w:b w:val="0"/>
                <w:bCs w:val="0"/>
                <w:color w:val="000000"/>
                <w:sz w:val="18"/>
                <w:szCs w:val="18"/>
                <w:lang w:eastAsia="en-CA"/>
              </w:rPr>
              <w:instrText>ADDIN CSL_CITATION {"citationItems":[{"id":"ITEM-1","itemData":{"ISBN":"0003-4819","ISSN":"1539-3704","abstract":"Background: Controversy remains on whether the dual use of clopidogrel and proton-pump inhibitors (PPIs) affects clinical efficacy of clopidogrel. Objective: To examine the risk for adverse cardiovascular outcomes related to concomitant use of PPIs and clopidogrel compared with that of PPIs alone in adults hospitalized for myocardial infarction. Design: A nationwide cohort study based on linked administrative registry data. Setting: All hospitals in Denmark. Patients: All patients discharged after first-time myocardial infarction from 2000 to 2006. Measurements: The primary outcome was a composite of rehospitalization for myocardial infarction or stroke or cardiovascular death. Patients were examined at several assembly time points, including 7, 14, 21, and 30 days after myocardial infarction. Follow-up was 1 year. Results: Of 56 406 included patients, 9137 (16.2%) were rehospitalized for myocardial infarction or stroke or experienced cardiovascular death. Of the 24 702 patients (43.8%) who received clopidogrel, 6753 (27.3%) received concomitant PPIs. The hazard ratio for cardiovascular death or rehospitalization for myocardial infarction or stroke for concomitant use of a PPI and clopidogrel among the cohort assembled at day 30 after discharge was 1.29 (95% CI, 1.17 to 1.42). The corresponding ratio for use of a PPI in patients who did not receive clopidogrel was 1.29 (CI, 1.21 to 1.37). No statistically significant interaction occurred between a PPI and clopidogrel (P = 0.72). Limitations: Unmeasured and residual confounding, time-varying measurement errors of exposure, and biases from survival effects were possible. Conclusion: Proton-pump inhibitors seem to be associated with increased risk for adverse cardiovascular outcomes after discharge, regardless of clopidogrel use for myocardial infarction. Dual PPI and clopidogrel use was not associated with any additional risk for adverse cardiovascular events over that observed for patients prescribed a PPI alone. Primary Funding Source: The Danish Medical Research Council and the Danish Heart Foundation. © 2010 American College of Physicians.","author":[{"dropping-particle":"","family":"Charlot","given":"Mette","non-dropping-particle":"","parse-names":false,"suffix":""},{"dropping-particle":"","family":"Ahlehoff","given":"Ole","non-dropping-particle":"","parse-names":false,"suffix":""},{"dropping-particle":"","family":"Norgaard","given":"Mette Lykke","non-dropping-particle":"","parse-names":false,"suffix":""},{"dropping-particle":"","family":"Jorgensen","given":"Casper H","non-dropping-particle":"","parse-names":false,"suffix":""},{"dropping-particle":"","family":"Sorensen","given":"Rikke","non-dropping-particle":"","parse-names":false,"suffix":""},{"dropping-particle":"","family":"Abildstrom","given":"Steen Z","non-dropping-particle":"","parse-names":false,"suffix":""},{"dropping-particle":"","family":"Hansen","given":"Peter Riis","non-dropping-particle":"","parse-names":false,"suffix":""},{"dropping-particle":"","family":"Madsen","given":"Jan Kyst","non-dropping-particle":"","parse-names":false,"suffix":""},{"dropping-particle":"","family":"Kober","given":"Lars","non-dropping-particle":"","parse-names":false,"suffix":""},{"dropping-particle":"","family":"Torp-Pedersen","given":"Christian","non-dropping-particle":"","parse-names":false,"suffix":""},{"dropping-particle":"","family":"Gislason","given":"Gunnar","non-dropping-particle":"","parse-names":false,"suffix":""},{"dropping-particle":"","family":"M.","given":"Charlot","non-dropping-particle":"","parse-names":false,"suffix":""},{"dropping-particle":"","family":"O.","given":"Ahlehoff","non-dropping-particle":"","parse-names":false,"suffix":""},{"dropping-particle":"","family":"M.L.","given":"Norgaard","non-dropping-particle":"","parse-names":false,"suffix":""},{"dropping-particle":"","family":"C.H.","given":"Jorgensen","non-dropping-particle":"","parse-names":false,"suffix":""},{"dropping-particle":"","family":"R.","given":"Sorensen","non-dropping-particle":"","parse-names":false,"suffix":""},{"dropping-particle":"","family":"S.Z.","given":"Abildstrom","non-dropping-particle":"","parse-names":false,"suffix":""},{"dropping-particle":"","family":"P.R.","given":"Hansen","non-dropping-particle":"","parse-names":false,"suffix":""},{"dropping-particle":"","family":"J.K.","given":"Madsen","non-dropping-particle":"","parse-names":false,"suffix":""},{"dropping-particle":"","family":"L.","given":"Kober","non-dropping-particle":"","parse-names":false,"suffix":""},{"dropping-particle":"","family":"C.","given":"Torp-Pedersen","non-dropping-particle":"","parse-names":false,"suffix":""},{"dropping-particle":"","family":"G.","given":"Gislason","non-dropping-particle":"","parse-names":false,"suffix":""}],"collection-title":"[Erratum appears in Ann Intern Med. 2011 Jan 4;154(1):76]","container-title":"Annals of internal medicine","id":"ITEM-1","issue":"6","issued":{"date-parts":[["2010"]]},"note":"738\n\nFrom Duplicate 2 (Proton-pump inhibitors are associated with increased cardiovascular risk independent of clopidogrel use: a nationwide cohort study. - Charlot, Mette; Ahlehoff, Ole; Norgaard, Mette Lykke; Jorgensen, Casper H; Sorensen, Rikke; Abildstrom, Steen Z; Hansen, Peter Riis; Madsen, Jan Kyst; Kober, Lars; Torp-Pedersen, Christian; Gislason, Gunnar)\n\nComment in: Ann Intern Med. 2010 Sep 21;153(6):413-5; PMID: 20855806, Comment in: Ann Intern Med. 2010 Dec 21;153(12):JC6-13; PMID: 21173402","page":"378-386","publisher":"American College of Physicians (190 N. Indenpence Mall West, Philadelphia PA 19106-1572, United States)","publisher-place":"United States","title":"Proton-pump inhibitors are associated with increased cardiovascular risk independent of clopidogrel use: A nationwide cohort study","type":"article-journal","volume":"153"},"uris":["http://www.mendeley.com/documents/?uuid=635d380f-5f01-47cc-857d-b442de1e24ac"]}],"mendeley":{"formattedCitation":"(Charlot et al. 2010)","plainTextFormattedCitation":"(Charlot et al. 2010)","previouslyFormattedCitation":"(Charlot et al. 2010)"},"properties":{"noteIndex":0},"schema":"https://github.com/citation-style-language/schema/raw/master/csl-citation.json"}</w:instrText>
            </w:r>
            <w:r w:rsidRPr="000111AF">
              <w:rPr>
                <w:rFonts w:ascii="Calibri" w:eastAsia="Times New Roman" w:hAnsi="Calibri" w:cs="Times New Roman"/>
                <w:color w:val="000000"/>
                <w:sz w:val="18"/>
                <w:szCs w:val="18"/>
                <w:lang w:eastAsia="en-CA"/>
              </w:rPr>
              <w:fldChar w:fldCharType="separate"/>
            </w:r>
            <w:r w:rsidRPr="000111AF">
              <w:rPr>
                <w:rFonts w:ascii="Calibri" w:eastAsia="Times New Roman" w:hAnsi="Calibri" w:cs="Times New Roman"/>
                <w:b w:val="0"/>
                <w:bCs w:val="0"/>
                <w:noProof/>
                <w:color w:val="000000"/>
                <w:sz w:val="18"/>
                <w:szCs w:val="18"/>
                <w:lang w:eastAsia="en-CA"/>
              </w:rPr>
              <w:t>(Charlot et al. 2010)</w:t>
            </w:r>
            <w:r w:rsidRPr="000111AF">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dotted" w:sz="4" w:space="0" w:color="auto"/>
            </w:tcBorders>
            <w:vAlign w:val="center"/>
            <w:hideMark/>
          </w:tcPr>
          <w:p w14:paraId="56BE5527" w14:textId="350AE9EF"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Cardiovascular</w:t>
            </w:r>
            <w:r w:rsidRPr="00D8429A">
              <w:rPr>
                <w:rFonts w:ascii="Calibri" w:eastAsia="Times New Roman" w:hAnsi="Calibri" w:cs="Calibri"/>
                <w:color w:val="000000"/>
                <w:sz w:val="18"/>
                <w:szCs w:val="18"/>
                <w:lang w:eastAsia="en-CA"/>
              </w:rPr>
              <w:t xml:space="preserve"> mortality</w:t>
            </w:r>
          </w:p>
        </w:tc>
        <w:tc>
          <w:tcPr>
            <w:tcW w:w="5245" w:type="dxa"/>
            <w:tcBorders>
              <w:top w:val="dotted" w:sz="4" w:space="0" w:color="auto"/>
              <w:bottom w:val="dotted" w:sz="4" w:space="0" w:color="auto"/>
            </w:tcBorders>
            <w:vAlign w:val="center"/>
            <w:hideMark/>
          </w:tcPr>
          <w:p w14:paraId="5ED5A85C" w14:textId="4F69F928"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Patient population (MI patients) cannot be combined with other study populations.</w:t>
            </w:r>
          </w:p>
        </w:tc>
      </w:tr>
      <w:tr w:rsidR="000111AF" w14:paraId="0841E224"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hideMark/>
          </w:tcPr>
          <w:p w14:paraId="75EF5648" w14:textId="77777777" w:rsidR="000111AF" w:rsidRPr="00D8429A" w:rsidRDefault="000111AF" w:rsidP="000111AF">
            <w:pPr>
              <w:rPr>
                <w:rFonts w:ascii="Calibri" w:eastAsia="Times New Roman" w:hAnsi="Calibri" w:cs="Calibri"/>
                <w:b w:val="0"/>
                <w:bCs w:val="0"/>
                <w:color w:val="000000"/>
                <w:sz w:val="18"/>
                <w:szCs w:val="18"/>
                <w:lang w:eastAsia="en-CA"/>
              </w:rPr>
            </w:pPr>
            <w:r w:rsidRPr="00D8429A">
              <w:rPr>
                <w:rFonts w:ascii="Calibri" w:eastAsia="Times New Roman" w:hAnsi="Calibri" w:cs="Times New Roman"/>
                <w:b w:val="0"/>
                <w:bCs w:val="0"/>
                <w:color w:val="000000"/>
                <w:sz w:val="18"/>
                <w:szCs w:val="18"/>
                <w:lang w:eastAsia="en-CA"/>
              </w:rPr>
              <w:t>(Arana et al. 2015)</w:t>
            </w:r>
          </w:p>
        </w:tc>
        <w:tc>
          <w:tcPr>
            <w:tcW w:w="2126" w:type="dxa"/>
            <w:tcBorders>
              <w:top w:val="dotted" w:sz="4" w:space="0" w:color="auto"/>
              <w:bottom w:val="dotted" w:sz="4" w:space="0" w:color="auto"/>
            </w:tcBorders>
            <w:vAlign w:val="center"/>
            <w:hideMark/>
          </w:tcPr>
          <w:p w14:paraId="79CDF46D" w14:textId="42367274"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Cardiovascular</w:t>
            </w:r>
            <w:r w:rsidRPr="00D8429A">
              <w:rPr>
                <w:rFonts w:ascii="Calibri" w:eastAsia="Times New Roman" w:hAnsi="Calibri" w:cs="Calibri"/>
                <w:color w:val="000000"/>
                <w:sz w:val="18"/>
                <w:szCs w:val="18"/>
                <w:lang w:eastAsia="en-CA"/>
              </w:rPr>
              <w:t xml:space="preserve"> mortality</w:t>
            </w:r>
          </w:p>
        </w:tc>
        <w:tc>
          <w:tcPr>
            <w:tcW w:w="5245" w:type="dxa"/>
            <w:tcBorders>
              <w:top w:val="dotted" w:sz="4" w:space="0" w:color="auto"/>
              <w:bottom w:val="dotted" w:sz="4" w:space="0" w:color="auto"/>
            </w:tcBorders>
            <w:vAlign w:val="center"/>
            <w:hideMark/>
          </w:tcPr>
          <w:p w14:paraId="6D26E591" w14:textId="0AEC658C"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 xml:space="preserve">Patient population (patients on </w:t>
            </w:r>
            <w:r w:rsidRPr="00D8429A">
              <w:rPr>
                <w:rFonts w:ascii="Calibri" w:eastAsia="Times New Roman" w:hAnsi="Calibri" w:cs="Calibri"/>
                <w:color w:val="000000"/>
                <w:sz w:val="18"/>
                <w:szCs w:val="18"/>
                <w:lang w:eastAsia="en-CA"/>
              </w:rPr>
              <w:t>PPIs, domperidone or metoclopramide</w:t>
            </w:r>
            <w:r>
              <w:rPr>
                <w:rFonts w:ascii="Calibri" w:eastAsia="Times New Roman" w:hAnsi="Calibri" w:cs="Calibri"/>
                <w:color w:val="000000"/>
                <w:sz w:val="18"/>
                <w:szCs w:val="18"/>
                <w:lang w:eastAsia="en-CA"/>
              </w:rPr>
              <w:t>) cannot be combined with other study populations.</w:t>
            </w:r>
            <w:r w:rsidRPr="00D8429A">
              <w:rPr>
                <w:rFonts w:ascii="Calibri" w:eastAsia="Times New Roman" w:hAnsi="Calibri" w:cs="Calibri"/>
                <w:color w:val="000000"/>
                <w:sz w:val="18"/>
                <w:szCs w:val="18"/>
                <w:lang w:eastAsia="en-CA"/>
              </w:rPr>
              <w:t xml:space="preserve"> </w:t>
            </w:r>
          </w:p>
        </w:tc>
      </w:tr>
      <w:tr w:rsidR="000111AF" w14:paraId="0E4C5AA0"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hideMark/>
          </w:tcPr>
          <w:p w14:paraId="628D394C" w14:textId="50FB0A64" w:rsidR="000111AF" w:rsidRPr="00D8429A" w:rsidRDefault="000111AF" w:rsidP="000111AF">
            <w:pPr>
              <w:rPr>
                <w:rFonts w:ascii="Calibri" w:eastAsia="Times New Roman" w:hAnsi="Calibri" w:cs="Calibri"/>
                <w:b w:val="0"/>
                <w:bCs w:val="0"/>
                <w:color w:val="000000"/>
                <w:sz w:val="18"/>
                <w:szCs w:val="18"/>
                <w:lang w:eastAsia="en-CA"/>
              </w:rPr>
            </w:pPr>
            <w:r w:rsidRPr="00D8429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{"citationItems":[{"id":"ITEM-1","itemData":{"DOI":"10.1371/journal.pone.0124653","ISSN":"1932-6203","PMID":"26061035","abstract":"BACKGROUND AND AIMS Proton pump inhibitors (PPIs) have been associated with adverse clinical outcomes amongst clopidogrel users after an acute coronary syndrome. Recent pre-clinical results suggest that this risk might extend to subjects without any prior history of cardiovascular disease. We explore this potential risk in the general population via data-mining approaches. METHODS Using a novel approach for mining clinical data for pharmacovigilance, we queried over 16 million clinical documents on 2.9 million individuals to examine whether PPI usage was associated with cardiovascular risk in the general population. RESULTS In multiple data sources, we found gastroesophageal reflux disease (GERD) patients exposed to PPIs to have a 1.16 fold increased association (95% CI 1.09-1.24) with myocardial infarction (MI). Survival analysis in a prospective cohort found a two-fold (HR = 2.00; 95% CI 1.07-3.78; P = 0.031) increase in association with cardiovascular mortality. We found that this association exists regardless of clopidogrel use. We also found that H2 blockers, an alternate treatment for GERD, were not associated with increased cardiovascular risk; had they been in place, such pharmacovigilance algorithms could have flagged this risk as early as the year 2000. CONCLUSIONS Consistent with our pre-clinical findings that PPIs may adversely impact vascular function, our data-mining study supports the association of PPI exposure with risk for MI in the general population. These data provide an example of how a combination of experimental studies and data-mining approaches can be applied to prioritize drug safety signals for further investigation.","author":[{"dropping-particle":"","family":"Shah","given":"Nigam H","non-dropping-particle":"","parse-names":false,"suffix":""},{"dropping-particle":"","family":"LePendu","given":"Paea","non-dropping-particle":"","parse-names":false,"suffix":""},{"dropping-particle":"","family":"Bauer-Mehren","given":"Anna","non-dropping-particle":"","parse-names":false,"suffix":""},{"dropping-particle":"","family":"Ghebremariam","given":"Yohannes T","non-dropping-particle":"","parse-names":false,"suffix":""},{"dropping-particle":"V","family":"Iyer","given":"Srinivasan","non-dropping-particle":"","parse-names":false,"suffix":""},{"dropping-particle":"","family":"Marcus","given":"Jake","non-dropping-particle":"","parse-names":false,"suffix":""},{"dropping-particle":"","family":"Nead","given":"Kevin T","non-dropping-particle":"","parse-names":false,"suffix":""},{"dropping-particle":"","family":"Cooke","given":"John P","non-dropping-particle":"","parse-names":false,"suffix":""},{"dropping-particle":"","family":"Leeper","given":"Nicholas J","non-dropping-particle":"","parse-names":false,"suffix":""}],"container-title":"PloS one","id":"ITEM-1","issue":"6","issued":{"date-parts":[["2015"]]},"page":"e0124653","publisher":"Public Library of Science","title":"Proton Pump Inhibitor Usage and the Risk of Myocardial Infarction in the General Population.","type":"article-journal","volume":"10"},"uris":["http://www.mendeley.com/documents/?uuid=6eab5f74-e038-3bc6-94db-fb15d50426c2"]}],"mendeley":{"formattedCitation":"(Shah et al. 2015)","plainTextFormattedCitation":"(Shah et al. 2015)","previouslyFormattedCitation":"(Shah et al. 2015)"},"properties":{"noteIndex":0},"schema":"https://github.com/citation-style-language/schema/raw/master/csl-citation.json"}</w:instrText>
            </w:r>
            <w:r w:rsidRPr="00D8429A">
              <w:rPr>
                <w:rFonts w:ascii="Calibri" w:eastAsia="Times New Roman" w:hAnsi="Calibri" w:cs="Times New Roman"/>
                <w:color w:val="000000"/>
                <w:sz w:val="18"/>
                <w:szCs w:val="18"/>
                <w:lang w:eastAsia="en-CA"/>
              </w:rPr>
              <w:fldChar w:fldCharType="separate"/>
            </w:r>
            <w:r w:rsidRPr="00D8429A">
              <w:rPr>
                <w:rFonts w:ascii="Calibri" w:eastAsia="Times New Roman" w:hAnsi="Calibri" w:cs="Times New Roman"/>
                <w:b w:val="0"/>
                <w:bCs w:val="0"/>
                <w:noProof/>
                <w:color w:val="000000"/>
                <w:sz w:val="18"/>
                <w:szCs w:val="18"/>
                <w:lang w:eastAsia="en-CA"/>
              </w:rPr>
              <w:t>(Shah et al. 2015)</w:t>
            </w:r>
            <w:r w:rsidRPr="00D8429A">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dotted" w:sz="4" w:space="0" w:color="auto"/>
            </w:tcBorders>
            <w:vAlign w:val="center"/>
            <w:hideMark/>
          </w:tcPr>
          <w:p w14:paraId="5EDBF79E" w14:textId="3D38827A"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Cardiovascular</w:t>
            </w:r>
            <w:r w:rsidRPr="00D8429A">
              <w:rPr>
                <w:rFonts w:ascii="Calibri" w:eastAsia="Times New Roman" w:hAnsi="Calibri" w:cs="Calibri"/>
                <w:color w:val="000000"/>
                <w:sz w:val="18"/>
                <w:szCs w:val="18"/>
                <w:lang w:eastAsia="en-CA"/>
              </w:rPr>
              <w:t xml:space="preserve"> mortality</w:t>
            </w:r>
          </w:p>
        </w:tc>
        <w:tc>
          <w:tcPr>
            <w:tcW w:w="5245" w:type="dxa"/>
            <w:tcBorders>
              <w:top w:val="dotted" w:sz="4" w:space="0" w:color="auto"/>
              <w:bottom w:val="dotted" w:sz="4" w:space="0" w:color="auto"/>
            </w:tcBorders>
            <w:vAlign w:val="center"/>
            <w:hideMark/>
          </w:tcPr>
          <w:p w14:paraId="37B74E87" w14:textId="5EDA5B36"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en-CA"/>
              </w:rPr>
            </w:pPr>
            <w:r>
              <w:rPr>
                <w:rFonts w:ascii="Calibri" w:eastAsia="Times New Roman" w:hAnsi="Calibri" w:cs="Calibri"/>
                <w:color w:val="000000"/>
                <w:sz w:val="18"/>
                <w:szCs w:val="18"/>
                <w:lang w:eastAsia="en-CA"/>
              </w:rPr>
              <w:t>Patient population (patients with s</w:t>
            </w:r>
            <w:r w:rsidRPr="00D8429A">
              <w:rPr>
                <w:rFonts w:ascii="Calibri" w:eastAsia="Times New Roman" w:hAnsi="Calibri" w:cs="Calibri"/>
                <w:sz w:val="18"/>
                <w:szCs w:val="18"/>
                <w:lang w:eastAsia="en-CA"/>
              </w:rPr>
              <w:t>hortness of breath or abnormal stress test</w:t>
            </w:r>
            <w:r>
              <w:rPr>
                <w:rFonts w:ascii="Calibri" w:eastAsia="Times New Roman" w:hAnsi="Calibri" w:cs="Calibri"/>
                <w:color w:val="000000"/>
                <w:sz w:val="18"/>
                <w:szCs w:val="18"/>
                <w:lang w:eastAsia="en-CA"/>
              </w:rPr>
              <w:t>) cannot be combined with other study populations.</w:t>
            </w:r>
            <w:r w:rsidRPr="00D8429A">
              <w:rPr>
                <w:rFonts w:ascii="Calibri" w:eastAsia="Times New Roman" w:hAnsi="Calibri" w:cs="Calibri"/>
                <w:color w:val="000000"/>
                <w:sz w:val="18"/>
                <w:szCs w:val="18"/>
                <w:lang w:eastAsia="en-CA"/>
              </w:rPr>
              <w:t xml:space="preserve"> </w:t>
            </w:r>
          </w:p>
        </w:tc>
      </w:tr>
      <w:tr w:rsidR="000111AF" w14:paraId="6AA1F022"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single" w:sz="4" w:space="0" w:color="auto"/>
            </w:tcBorders>
            <w:vAlign w:val="center"/>
            <w:hideMark/>
          </w:tcPr>
          <w:p w14:paraId="223D6DD7" w14:textId="3BBC9BE9" w:rsidR="000111AF" w:rsidRPr="00D8429A" w:rsidRDefault="000111AF" w:rsidP="000111AF">
            <w:pPr>
              <w:rPr>
                <w:rFonts w:ascii="Calibri" w:eastAsia="Times New Roman" w:hAnsi="Calibri" w:cs="Times New Roman"/>
                <w:b w:val="0"/>
                <w:bCs w:val="0"/>
                <w:color w:val="000000"/>
                <w:sz w:val="18"/>
                <w:szCs w:val="18"/>
                <w:lang w:eastAsia="en-CA"/>
              </w:rPr>
            </w:pPr>
            <w:r w:rsidRPr="00D8429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{"citationItems":[{"id":"ITEM-1","itemData":{"ISBN":"1747-4930","ISSN":"1747-4949","abstract":"BACKGROUND: Antiplatelet therapy is known to decrease the risk of secondary ischemic stroke. However, the effectiveness and safety of antiplatelet therapy in patients with end-stage renal disease are uncertain, especially in dialysis., AIMS AND/OR HYPOTHESIS: We estimated the effectiveness and safety of antiplatelet drugs (aspirin and clopidogrel) for the prevention of recurrent ischemic stroke in end-stage renal disease patients undergoing dialysis during long-term follow-up after first-time ischemic stroke., METHODS: The cases were identified from the National Health Insurance Research Database. Antiplatelet therapy was administered for 11 years to patients experiencing a first ischemic stroke between 1998 and 2006. Primary outcomes, including death and readmission to hospital for stroke, and secondary outcomes, including death, stroke, and acute myocardial infarction or bleeding, were examined., RESULTS: In total, 1936 patients experienced a first ischemic stroke during the follow-up. In a time-dependent analysis, the hazard ratio for primary outcomes in patients treated with aspirin was 0671 (P&lt;0001) and that for clopidogrel was 0933 (P=0497). At secondary outcomes, patients treated with aspirin, hazard ratio for readmission for stroke was 0715 (P=0002) and that for bleeding was 0885 (P=0291). Independent risk factors for mortality and readmission due to ischemic stroke included age, diabetes mellitus, and administration of proton pump inhibitors., CONCLUSIONS: Antiplatelet therapy, especially aspirin, still offers safe and effective treatment for ischemic stroke prevention in patients with end-stage renal disease undergoing dialysis.Copyright © 2014 The Authors. International Journal of Stroke © 2014 World Stroke Organization.","author":[{"dropping-particle":"","family":"Chen","given":"Chung-Yu","non-dropping-particle":"","parse-names":false,"suffix":""},{"dropping-particle":"","family":"Lee","given":"Kun-Tai","non-dropping-particle":"","parse-names":false,"suffix":""},{"dropping-particle":"","family":"Lee","given":"Charles Tzu-Chi","non-dropping-particle":"","parse-names":false,"suffix":""},{"dropping-particle":"","family":"Lai","given":"Wen-Ter","non-dropping-particle":"","parse-names":false,"suffix":""},{"dropping-particle":"","family":"Huang","given":"Yaw-Bin","non-dropping-particle":"","parse-names":false,"suffix":""}],"container-title":"International journal of stroke : official journal of the International Stroke Society","id":"ITEM-1","issue":"5","issued":{"date-parts":[["2014"]]},"note":"202","page":"580-590","publisher":"Chen,Chung-Yu. School of Pharmacy, Kaohsiung Medical University, Kaohsiung, Taiwan.","publisher-place":"England","title":"Effectiveness and safety of antiplatelet in stroke patients with end-stage renal disease undergoing dialysis.","type":"article-journal","volume":"9"},"uris":["http://www.mendeley.com/documents/?uuid=e4b0dcbe-6c41-43ce-a7f6-630e58caa94d"]}],"mendeley":{"formattedCitation":"(Chen et al. 2014)","plainTextFormattedCitation":"(Chen et al. 2014)","previouslyFormattedCitation":"(Chen et al. 2014)"},"properties":{"noteIndex":0},"schema":"https://github.com/citation-style-language/schema/raw/master/csl-citation.json"}</w:instrText>
            </w:r>
            <w:r w:rsidRPr="00D8429A">
              <w:rPr>
                <w:rFonts w:ascii="Calibri" w:eastAsia="Times New Roman" w:hAnsi="Calibri" w:cs="Times New Roman"/>
                <w:color w:val="000000"/>
                <w:sz w:val="18"/>
                <w:szCs w:val="18"/>
                <w:lang w:eastAsia="en-CA"/>
              </w:rPr>
              <w:fldChar w:fldCharType="separate"/>
            </w:r>
            <w:r w:rsidRPr="00D8429A">
              <w:rPr>
                <w:rFonts w:ascii="Calibri" w:eastAsia="Times New Roman" w:hAnsi="Calibri" w:cs="Times New Roman"/>
                <w:b w:val="0"/>
                <w:bCs w:val="0"/>
                <w:noProof/>
                <w:color w:val="000000"/>
                <w:sz w:val="18"/>
                <w:szCs w:val="18"/>
                <w:lang w:eastAsia="en-CA"/>
              </w:rPr>
              <w:t>(Chen et al. 2014)</w:t>
            </w:r>
            <w:r w:rsidRPr="00D8429A">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single" w:sz="4" w:space="0" w:color="auto"/>
            </w:tcBorders>
            <w:vAlign w:val="center"/>
            <w:hideMark/>
          </w:tcPr>
          <w:p w14:paraId="29AB900C" w14:textId="32FF4FAE"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Myocardial infarction</w:t>
            </w:r>
          </w:p>
        </w:tc>
        <w:tc>
          <w:tcPr>
            <w:tcW w:w="5245" w:type="dxa"/>
            <w:tcBorders>
              <w:top w:val="dotted" w:sz="4" w:space="0" w:color="auto"/>
              <w:bottom w:val="single" w:sz="4" w:space="0" w:color="auto"/>
            </w:tcBorders>
            <w:vAlign w:val="center"/>
            <w:hideMark/>
          </w:tcPr>
          <w:p w14:paraId="35C1E604" w14:textId="667AAB84"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CA"/>
              </w:rPr>
            </w:pPr>
            <w:r>
              <w:rPr>
                <w:rFonts w:ascii="Calibri" w:eastAsia="Times New Roman" w:hAnsi="Calibri" w:cs="Calibri"/>
                <w:color w:val="000000"/>
                <w:sz w:val="18"/>
                <w:szCs w:val="18"/>
                <w:lang w:eastAsia="en-CA"/>
              </w:rPr>
              <w:t>Patient population (ESRD patients) cannot be combined with other study populations.</w:t>
            </w:r>
          </w:p>
        </w:tc>
      </w:tr>
      <w:tr w:rsidR="000111AF" w14:paraId="6A4775A7"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shd w:val="clear" w:color="auto" w:fill="DEEAF6" w:themeFill="accent1" w:themeFillTint="33"/>
            <w:vAlign w:val="center"/>
          </w:tcPr>
          <w:p w14:paraId="2D9DAEC9" w14:textId="4867A657" w:rsidR="000111AF" w:rsidRPr="00D8429A" w:rsidRDefault="000111AF" w:rsidP="000111AF">
            <w:pPr>
              <w:rPr>
                <w:rFonts w:ascii="Calibri" w:eastAsia="Times New Roman" w:hAnsi="Calibri" w:cs="Times New Roman"/>
                <w:b w:val="0"/>
                <w:bCs w:val="0"/>
                <w:color w:val="000000"/>
                <w:sz w:val="18"/>
                <w:szCs w:val="18"/>
                <w:lang w:eastAsia="en-CA"/>
              </w:rPr>
            </w:pPr>
            <w:r>
              <w:rPr>
                <w:rFonts w:ascii="Calibri" w:eastAsia="Times New Roman" w:hAnsi="Calibri" w:cs="Times New Roman"/>
                <w:color w:val="000000"/>
                <w:sz w:val="18"/>
                <w:szCs w:val="18"/>
                <w:lang w:eastAsia="en-CA"/>
              </w:rPr>
              <w:t>Group A – RCTs</w:t>
            </w:r>
          </w:p>
        </w:tc>
        <w:tc>
          <w:tcPr>
            <w:tcW w:w="2126" w:type="dxa"/>
            <w:tcBorders>
              <w:top w:val="single" w:sz="4" w:space="0" w:color="auto"/>
              <w:bottom w:val="single" w:sz="4" w:space="0" w:color="auto"/>
            </w:tcBorders>
            <w:shd w:val="clear" w:color="auto" w:fill="DEEAF6" w:themeFill="accent1" w:themeFillTint="33"/>
            <w:vAlign w:val="center"/>
          </w:tcPr>
          <w:p w14:paraId="15472C17" w14:textId="77777777"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p>
        </w:tc>
        <w:tc>
          <w:tcPr>
            <w:tcW w:w="5245" w:type="dxa"/>
            <w:tcBorders>
              <w:top w:val="single" w:sz="4" w:space="0" w:color="auto"/>
              <w:bottom w:val="single" w:sz="4" w:space="0" w:color="auto"/>
            </w:tcBorders>
            <w:shd w:val="clear" w:color="auto" w:fill="DEEAF6" w:themeFill="accent1" w:themeFillTint="33"/>
            <w:vAlign w:val="center"/>
          </w:tcPr>
          <w:p w14:paraId="66732460" w14:textId="77777777"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CA"/>
              </w:rPr>
            </w:pPr>
          </w:p>
        </w:tc>
      </w:tr>
      <w:tr w:rsidR="000111AF" w14:paraId="461BE281"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dotted" w:sz="4" w:space="0" w:color="auto"/>
            </w:tcBorders>
            <w:vAlign w:val="center"/>
            <w:hideMark/>
          </w:tcPr>
          <w:p w14:paraId="61862988" w14:textId="60A5AB4F" w:rsidR="000111AF" w:rsidRPr="00D8429A" w:rsidRDefault="000111AF" w:rsidP="000111AF">
            <w:pPr>
              <w:rPr>
                <w:rFonts w:ascii="Calibri" w:eastAsia="Times New Roman" w:hAnsi="Calibri" w:cs="Times New Roman"/>
                <w:b w:val="0"/>
                <w:bCs w:val="0"/>
                <w:color w:val="000000"/>
                <w:sz w:val="18"/>
                <w:szCs w:val="18"/>
                <w:lang w:eastAsia="en-CA"/>
              </w:rPr>
            </w:pPr>
            <w:r w:rsidRPr="00D8429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{"citationItems":[{"id":"ITEM-1","itemData":{"ISBN":"0022-3085","ISSN":"1933-0693","abstract":"OBJECT: Patients with intracerebral hemorrhage (ICH) are at high risk for severe stress-related upper gastrointestinal (UGI) bleeding, which is predictive of higher mortality. The aim of this study was to evaluate the effectiveness of omeprazole and cimetidine compared with a placebo in the prevention and management of stress-related UGI bleeding in patients with ICH., METHODS: In a single-center, randomized, placebo-controlled study, 184 surgically treated patients with CT-proven ICH within 72 hours of ictus and negative results for gastric occult blood testing were included. Of these patients, 165 who were qualified upon further evaluation were randomized into 3 groups: 58 patients received 40 mg intravenous omeprazole every 12 hours, 54 patients received 300 mg intravenous cimetidine every 6 hours, and 53 patients received a placebo. Patients whose gastric occult blood tests were positive at admission (n = 70) and during/after the prophylaxis procedure (n = 48) were treated with high-dose omeprazole at 80 mg bolus plus 8 mg/hr infusion for 3 days, followed by 40 mg intravenous omeprazole every 12 hours for 7 days., RESULTS: Of the 165 assessable patients, stress-related UGI bleeding occurred in 9 (15.5%) in the omeprazole group compared with 15 patients (27.8%) in the cimetidine group and 24 patients (45.3%) in the placebo group (p = 0.003). The occurrence of UGI bleeding was significantly related to death (p = 0.022). Nosocomial pneumonia occurred in 14 patients (24.1%) receiving omeprazole, 12 (22.2%) receiving cimetidine, and 8 (15.1%) receiving placebo (p &gt; 0.05). In patients with UGI bleeding in which high-dose omeprazole was initiated, UGI bleeding arrested within the first 3 days in 103 patients (87.3%)., CONCLUSIONS: Omeprazole significantly reduced the morbidity of stress-related UGI bleeding in patients with ICH due to its effective prophylactic effect without increasing the risk of nosocomial pneumonia, but it did not reduce the 1-month mortality or ICU stay. Further evaluation of high-dose omeprazole as the drug of choice for patients presenting with UGI bleeding is warranted. Clinical trial registration no.: ChiCTR-TRC-12001871, registered at the Chinese clinical trial registry (http://www.chictr.org/en/proj/show.aspx?proj=2384).","author":[{"dropping-particle":"","family":"Liu","given":"Bo-lin","non-dropping-particle":"","parse-names":false,"suffix":""},{"dropping-particle":"","family":"Li","given":"Bing","non-dropping-particle":"","parse-names":false,"suffix":""},{"dropping-particle":"","family":"Zhang","given":"Xiang","non-dropping-particle":"","parse-names":false,"suffix":""},{"dropping-particle":"","family":"Fei","given":"Zhou","non-dropping-particle":"","parse-names":false,"suffix":""},{"dropping-particle":"","family":"Hu","given":"Shi-jie","non-dropping-particle":"","parse-names":false,"suffix":""},{"dropping-particle":"","family":"Lin","given":"Wei","non-dropping-particle":"","parse-names":false,"suffix":""},{"dropping-particle":"","family":"Gao","given":"Da-kuan","non-dropping-particle":"","parse-names":false,"suffix":""},{"dropping-particle":"","family":"Zhang","given":"Li","non-dropping-particle":"","parse-names":false,"suffix":""}],"container-title":"Journal of neurosurgery","id":"ITEM-1","issue":"1","issued":{"date-parts":[["2013"]]},"note":"NULL","page":"115","publisher":"American Association of Neurological Surgeons (1224 West Main Street Suite 450, Charlottesville VA 22903, United States)","publisher-place":"United States","title":"A randomized controlled study comparing omeprazole and cimetidine for the prophylaxis of stress-related upper gastrointestinal bleeding in patients with intracerebral hemorrhage.","type":"article-journal","volume":"118"},"uris":["http://www.mendeley.com/documents/?uuid=ffe072ff-5b4e-42fb-bdc1-4454ddcd9c80"]}],"mendeley":{"formattedCitation":"(Liu et al. 2013)","plainTextFormattedCitation":"(Liu et al. 2013)","previouslyFormattedCitation":"(Liu et al. 2013)"},"properties":{"noteIndex":0},"schema":"https://github.com/citation-style-language/schema/raw/master/csl-citation.json"}</w:instrText>
            </w:r>
            <w:r w:rsidRPr="00D8429A">
              <w:rPr>
                <w:rFonts w:ascii="Calibri" w:eastAsia="Times New Roman" w:hAnsi="Calibri" w:cs="Times New Roman"/>
                <w:color w:val="000000"/>
                <w:sz w:val="18"/>
                <w:szCs w:val="18"/>
                <w:lang w:eastAsia="en-CA"/>
              </w:rPr>
              <w:fldChar w:fldCharType="separate"/>
            </w:r>
            <w:r w:rsidRPr="00D8429A">
              <w:rPr>
                <w:rFonts w:ascii="Calibri" w:eastAsia="Times New Roman" w:hAnsi="Calibri" w:cs="Times New Roman"/>
                <w:b w:val="0"/>
                <w:bCs w:val="0"/>
                <w:noProof/>
                <w:color w:val="000000"/>
                <w:sz w:val="18"/>
                <w:szCs w:val="18"/>
                <w:lang w:eastAsia="en-CA"/>
              </w:rPr>
              <w:t>(Liu et al. 2013)</w:t>
            </w:r>
            <w:r w:rsidRPr="00D8429A">
              <w:rPr>
                <w:rFonts w:ascii="Calibri" w:eastAsia="Times New Roman" w:hAnsi="Calibri" w:cs="Times New Roman"/>
                <w:color w:val="000000"/>
                <w:sz w:val="18"/>
                <w:szCs w:val="18"/>
                <w:lang w:eastAsia="en-CA"/>
              </w:rPr>
              <w:fldChar w:fldCharType="end"/>
            </w:r>
          </w:p>
        </w:tc>
        <w:tc>
          <w:tcPr>
            <w:tcW w:w="2126" w:type="dxa"/>
            <w:tcBorders>
              <w:top w:val="single" w:sz="4" w:space="0" w:color="auto"/>
              <w:bottom w:val="dotted" w:sz="4" w:space="0" w:color="auto"/>
            </w:tcBorders>
            <w:vAlign w:val="center"/>
            <w:hideMark/>
          </w:tcPr>
          <w:p w14:paraId="72F436CC" w14:textId="0B07C019"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CA"/>
              </w:rPr>
            </w:pPr>
            <w:r>
              <w:rPr>
                <w:rFonts w:ascii="Calibri" w:eastAsia="Times New Roman" w:hAnsi="Calibri" w:cs="Calibri"/>
                <w:color w:val="000000"/>
                <w:sz w:val="18"/>
                <w:szCs w:val="18"/>
                <w:lang w:eastAsia="en-CA"/>
              </w:rPr>
              <w:t>Myocardial infarction</w:t>
            </w:r>
          </w:p>
        </w:tc>
        <w:tc>
          <w:tcPr>
            <w:tcW w:w="5245" w:type="dxa"/>
            <w:tcBorders>
              <w:top w:val="single" w:sz="4" w:space="0" w:color="auto"/>
              <w:bottom w:val="dotted" w:sz="4" w:space="0" w:color="auto"/>
            </w:tcBorders>
            <w:vAlign w:val="center"/>
            <w:hideMark/>
          </w:tcPr>
          <w:p w14:paraId="1DE71BA2" w14:textId="491D7FB1"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CA"/>
              </w:rPr>
            </w:pPr>
            <w:r>
              <w:rPr>
                <w:rFonts w:ascii="Calibri" w:eastAsia="Times New Roman" w:hAnsi="Calibri" w:cs="Calibri"/>
                <w:color w:val="000000"/>
                <w:sz w:val="18"/>
                <w:szCs w:val="18"/>
                <w:lang w:eastAsia="en-CA"/>
              </w:rPr>
              <w:t>Patient population (</w:t>
            </w:r>
            <w:r w:rsidRPr="00D8429A">
              <w:rPr>
                <w:rFonts w:ascii="Calibri" w:eastAsia="Times New Roman" w:hAnsi="Calibri" w:cs="Times New Roman"/>
                <w:color w:val="000000"/>
                <w:sz w:val="18"/>
                <w:szCs w:val="18"/>
                <w:lang w:eastAsia="en-CA"/>
              </w:rPr>
              <w:t>Intracerebral hemorrhage</w:t>
            </w:r>
            <w:r>
              <w:rPr>
                <w:rFonts w:ascii="Calibri" w:eastAsia="Times New Roman" w:hAnsi="Calibri" w:cs="Calibri"/>
                <w:color w:val="000000"/>
                <w:sz w:val="18"/>
                <w:szCs w:val="18"/>
                <w:lang w:eastAsia="en-CA"/>
              </w:rPr>
              <w:t xml:space="preserve"> patients) cannot be combined with other study populations.</w:t>
            </w:r>
          </w:p>
        </w:tc>
      </w:tr>
      <w:tr w:rsidR="000111AF" w:rsidRPr="000111AF" w14:paraId="3F88CD27"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tcPr>
          <w:p w14:paraId="20DFC75D" w14:textId="05F282D3" w:rsidR="000111AF" w:rsidRPr="000111AF" w:rsidRDefault="000111AF" w:rsidP="000111AF">
            <w:pPr>
              <w:rPr>
                <w:rFonts w:ascii="Calibri" w:eastAsia="Times New Roman" w:hAnsi="Calibri" w:cs="Times New Roman"/>
                <w:color w:val="000000"/>
                <w:sz w:val="18"/>
                <w:szCs w:val="18"/>
                <w:lang w:eastAsia="en-CA"/>
              </w:rPr>
            </w:pPr>
            <w:r w:rsidRPr="000111AF">
              <w:rPr>
                <w:rFonts w:ascii="Calibri" w:eastAsia="Times New Roman" w:hAnsi="Calibri" w:cs="Times New Roman"/>
                <w:color w:val="000000"/>
                <w:sz w:val="18"/>
                <w:szCs w:val="18"/>
                <w:lang w:eastAsia="en-CA"/>
              </w:rPr>
              <w:t>(Leung et al 2018)</w:t>
            </w:r>
          </w:p>
        </w:tc>
        <w:tc>
          <w:tcPr>
            <w:tcW w:w="2126" w:type="dxa"/>
            <w:tcBorders>
              <w:top w:val="dotted" w:sz="4" w:space="0" w:color="auto"/>
              <w:bottom w:val="dotted" w:sz="4" w:space="0" w:color="auto"/>
            </w:tcBorders>
            <w:vAlign w:val="center"/>
          </w:tcPr>
          <w:p w14:paraId="43EFF348" w14:textId="278A89D0" w:rsidR="000111AF" w:rsidRPr="000111AF"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sidRPr="000111AF">
              <w:rPr>
                <w:rFonts w:ascii="Calibri" w:eastAsia="Times New Roman" w:hAnsi="Calibri" w:cs="Calibri"/>
                <w:color w:val="000000"/>
                <w:sz w:val="18"/>
                <w:szCs w:val="18"/>
                <w:lang w:eastAsia="en-CA"/>
              </w:rPr>
              <w:t>All-cause mortality</w:t>
            </w:r>
          </w:p>
        </w:tc>
        <w:tc>
          <w:tcPr>
            <w:tcW w:w="5245" w:type="dxa"/>
            <w:tcBorders>
              <w:top w:val="dotted" w:sz="4" w:space="0" w:color="auto"/>
              <w:bottom w:val="dotted" w:sz="4" w:space="0" w:color="auto"/>
            </w:tcBorders>
            <w:vAlign w:val="center"/>
          </w:tcPr>
          <w:p w14:paraId="6754E958" w14:textId="2DA641BF" w:rsidR="000111AF" w:rsidRPr="000111AF"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sidRPr="000111AF">
              <w:rPr>
                <w:rFonts w:ascii="Calibri" w:eastAsia="Times New Roman" w:hAnsi="Calibri" w:cs="Calibri"/>
                <w:color w:val="000000"/>
                <w:sz w:val="18"/>
                <w:szCs w:val="18"/>
                <w:lang w:eastAsia="en-CA"/>
              </w:rPr>
              <w:t xml:space="preserve">Patient population (patients undergoing </w:t>
            </w:r>
            <w:r w:rsidRPr="000111AF">
              <w:rPr>
                <w:rFonts w:ascii="Calibri" w:hAnsi="Calibri" w:cs="Calibri"/>
                <w:color w:val="000000"/>
                <w:sz w:val="18"/>
                <w:szCs w:val="18"/>
              </w:rPr>
              <w:t>ERCP sphincterotomy</w:t>
            </w:r>
            <w:r w:rsidRPr="000111AF">
              <w:rPr>
                <w:rFonts w:ascii="Calibri" w:eastAsia="Times New Roman" w:hAnsi="Calibri" w:cs="Calibri"/>
                <w:color w:val="000000"/>
                <w:sz w:val="18"/>
                <w:szCs w:val="18"/>
                <w:lang w:eastAsia="en-CA"/>
              </w:rPr>
              <w:t>) cannot be combined with other study populations.</w:t>
            </w:r>
          </w:p>
        </w:tc>
      </w:tr>
      <w:tr w:rsidR="000111AF" w14:paraId="729F2441"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hideMark/>
          </w:tcPr>
          <w:p w14:paraId="36CD41BC" w14:textId="41DB6C09" w:rsidR="000111AF" w:rsidRPr="00D8429A" w:rsidRDefault="000111AF" w:rsidP="000111AF">
            <w:pPr>
              <w:rPr>
                <w:rFonts w:ascii="Calibri" w:eastAsia="Times New Roman" w:hAnsi="Calibri" w:cs="Times New Roman"/>
                <w:b w:val="0"/>
                <w:bCs w:val="0"/>
                <w:color w:val="000000"/>
                <w:sz w:val="18"/>
                <w:szCs w:val="18"/>
                <w:lang w:eastAsia="en-CA"/>
              </w:rPr>
            </w:pPr>
            <w:r w:rsidRPr="00D8429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{"citationItems":[{"id":"ITEM-1","itemData":{"ISBN":"0195-668X","abstract":"Purpose: The use of multiple antithrombotic drugs and aggressive invasive strategies has increased the risk of major bleeding in acute coronary syndrome (ACS) patients. It is not known to what extent bleeding determines clinical outcome. The aim of this study was to assess the role of gastrointestinal bleeding on intrahospital prognosis in patients with acute coronary syndrome. Methods: Between January 2008 and December 2008, 300 patients, with acute coronary syndrome, were randomized to either oral pantoprazole (20 mg/day during hospital stay) or no therapy. The primary study end point was mortality and the secondary end points were recurrent myocardial infarction and stroke) during short term follow up. Results: Follow-up was completed in all 300 (100%) of patients. In the pantoprazole group, the drug was well tolerated (without any side effects) and was maintained in 100% of patients. 3/150 (2.%) pts in the pantoprazole group died and 7/150 (4.7%) died in the control group og patients (p&lt;0.05). 1/150 pts suffered re-infarction in the pantoprazole group and were no reinfarctions in the controle group of pts. In total, 9/300 (3.0%) of patients had gastrointestinal bleeding; 2/150 (1.3%) in pantoprazole group - without any major bleeding and 7/149 (4.7%) in the control group, (chi2 = 2.899; p=0.08) - 4/149 (2.7%) were major; (chi2 = 4.081; p=0.06) for major bleeding. Transfusion was required in 1/150 (0.7%) in the pantoprazole group and in 6/149 (4.0%) in the control group of patients (chi2 = 3.691; p=0.05). Conclusions: This randomized, controlled, and unblinded study showed that the administration of the oral pantoprazole, during hospital stay, in pts with acute coronary syndrome was associated with a trend towards lower mortality rate, lower bleeding rate and lower need for blood transfusion.","author":[{"dropping-particle":"","family":"Nikcevic","given":"G","non-dropping-particle":"","parse-names":false,"suffix":""},{"dropping-particle":"","family":"Pejic","given":"M","non-dropping-particle":"","parse-names":false,"suffix":""},{"dropping-particle":"","family":"Srdic","given":"M","non-dropping-particle":"","parse-names":false,"suffix":""},{"dropping-particle":"","family":"Djordjevic","given":"S","non-dropping-particle":"","parse-names":false,"suffix":""},{"dropping-particle":"","family":"Vukcevic","given":"G","non-dropping-particle":"","parse-names":false,"suffix":""},{"dropping-particle":"","family":"Tomic","given":"M","non-dropping-particle":"","parse-names":false,"suffix":""},{"dropping-particle":"","family":"Kostic","given":"J","non-dropping-particle":"","parse-names":false,"suffix":""},{"dropping-particle":"","family":"Vasiljevic","given":"Z","non-dropping-particle":"","parse-names":false,"suffix":""},{"dropping-particle":"","family":"Milasinovic","given":"G","non-dropping-particle":"","parse-names":false,"suffix":""},{"dropping-particle":"","family":"S","given":"Raspopovic","non-dropping-particle":"","parse-names":false,"suffix":""}],"container-title":"European heart journal","id":"ITEM-1","issued":{"date-parts":[["2011"]]},"note":"565","page":"100","publisher":"Oxford University Press","title":"Prognostic implications of acute gastrointestinal bleeding in acute coronary syndrome: Intrahospital follow up.","type":"article","volume":"32"},"uris":["http://www.mendeley.com/documents/?uuid=748ca1f0-57d6-4ede-a054-814b54a99090"]}],"mendeley":{"formattedCitation":"(Nikcevic et al. 2011)","plainTextFormattedCitation":"(Nikcevic et al. 2011)","previouslyFormattedCitation":"(Nikcevic et al. 2011)"},"properties":{"noteIndex":0},"schema":"https://github.com/citation-style-language/schema/raw/master/csl-citation.json"}</w:instrText>
            </w:r>
            <w:r w:rsidRPr="00D8429A">
              <w:rPr>
                <w:rFonts w:ascii="Calibri" w:eastAsia="Times New Roman" w:hAnsi="Calibri" w:cs="Times New Roman"/>
                <w:color w:val="000000"/>
                <w:sz w:val="18"/>
                <w:szCs w:val="18"/>
                <w:lang w:eastAsia="en-CA"/>
              </w:rPr>
              <w:fldChar w:fldCharType="separate"/>
            </w:r>
            <w:r w:rsidRPr="00D8429A">
              <w:rPr>
                <w:rFonts w:ascii="Calibri" w:eastAsia="Times New Roman" w:hAnsi="Calibri" w:cs="Times New Roman"/>
                <w:b w:val="0"/>
                <w:bCs w:val="0"/>
                <w:noProof/>
                <w:color w:val="000000"/>
                <w:sz w:val="18"/>
                <w:szCs w:val="18"/>
                <w:lang w:eastAsia="en-CA"/>
              </w:rPr>
              <w:t>(Nikcevic et al. 2011)</w:t>
            </w:r>
            <w:r w:rsidRPr="00D8429A">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dotted" w:sz="4" w:space="0" w:color="auto"/>
            </w:tcBorders>
            <w:vAlign w:val="center"/>
            <w:hideMark/>
          </w:tcPr>
          <w:p w14:paraId="7B5F9F16" w14:textId="6BDFB6F2"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CA"/>
              </w:rPr>
            </w:pPr>
            <w:r>
              <w:rPr>
                <w:rFonts w:ascii="Calibri" w:eastAsia="Times New Roman" w:hAnsi="Calibri" w:cs="Calibri"/>
                <w:color w:val="000000"/>
                <w:sz w:val="18"/>
                <w:szCs w:val="18"/>
                <w:lang w:eastAsia="en-CA"/>
              </w:rPr>
              <w:t>Myocardial infarction</w:t>
            </w:r>
          </w:p>
        </w:tc>
        <w:tc>
          <w:tcPr>
            <w:tcW w:w="5245" w:type="dxa"/>
            <w:tcBorders>
              <w:top w:val="dotted" w:sz="4" w:space="0" w:color="auto"/>
              <w:bottom w:val="dotted" w:sz="4" w:space="0" w:color="auto"/>
            </w:tcBorders>
            <w:vAlign w:val="center"/>
            <w:hideMark/>
          </w:tcPr>
          <w:p w14:paraId="1E670E5F" w14:textId="7923155B"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CA"/>
              </w:rPr>
            </w:pPr>
            <w:r w:rsidRPr="00292850">
              <w:rPr>
                <w:rFonts w:ascii="Calibri" w:eastAsia="Times New Roman" w:hAnsi="Calibri" w:cs="Calibri"/>
                <w:color w:val="000000"/>
                <w:sz w:val="18"/>
                <w:szCs w:val="18"/>
                <w:lang w:eastAsia="en-CA"/>
              </w:rPr>
              <w:t>Abstract only</w:t>
            </w:r>
            <w:r>
              <w:rPr>
                <w:rFonts w:ascii="Calibri" w:eastAsia="Times New Roman" w:hAnsi="Calibri" w:cs="Calibri"/>
                <w:color w:val="000000"/>
                <w:sz w:val="18"/>
                <w:szCs w:val="18"/>
                <w:lang w:eastAsia="en-CA"/>
              </w:rPr>
              <w:t>; full text not found</w:t>
            </w:r>
            <w:r w:rsidRPr="00292850">
              <w:rPr>
                <w:rFonts w:ascii="Calibri" w:eastAsia="Times New Roman" w:hAnsi="Calibri" w:cs="Calibri"/>
                <w:color w:val="000000"/>
                <w:sz w:val="18"/>
                <w:szCs w:val="18"/>
                <w:lang w:eastAsia="en-CA"/>
              </w:rPr>
              <w:t>.</w:t>
            </w:r>
          </w:p>
        </w:tc>
      </w:tr>
      <w:tr w:rsidR="000111AF" w14:paraId="7811B21A"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hideMark/>
          </w:tcPr>
          <w:p w14:paraId="5E3ED855" w14:textId="20185826" w:rsidR="000111AF" w:rsidRPr="00D8429A" w:rsidRDefault="000111AF" w:rsidP="000111AF">
            <w:pPr>
              <w:rPr>
                <w:rFonts w:ascii="Calibri" w:eastAsia="Times New Roman" w:hAnsi="Calibri" w:cs="Times New Roman"/>
                <w:b w:val="0"/>
                <w:bCs w:val="0"/>
                <w:color w:val="000000"/>
                <w:sz w:val="18"/>
                <w:szCs w:val="18"/>
                <w:lang w:eastAsia="en-CA"/>
              </w:rPr>
            </w:pPr>
            <w:r w:rsidRPr="00D8429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{"citationItems":[{"id":"ITEM-1","itemData":{"ISBN":"0929-5305","ISSN":"1573-742X","abstract":"Background: Bleeding complications are not uncommon in patients with acute myocardial infarction (AMI) during treatments. How to prevent the occurrence of upper gastrointestinal bleeding in AMI patients has become one of the most intractable problems. And there are conflicting data on the efficacy and complication rate of omeprazole treatment. We conducted an intervention study to determine whether using omeprazole could benefit AMI patients. Methods: A total of 237 patients with AMI were divided into two groups at random: omeprazole group including 114 patients and control group including 123 patients. Omeprazole 40 mg by intravenous drip was given to the patients in omeprazole group when they were admitted to the hospitals. From the second day they were given omeprazole 20 mg per day by oral administration for 7 days. In contrast, no gastric acid inhibitor was given to the patients in control group. The incidence of upper gastrointestinal bleeding, the recanalization rate and overall mortality in both groups were observed. Results: The incidence of uppergastrointestinal bleeding in omeprazole group was 5.3% (6/114) which was much lower than 14.6% (18/123) in control group (P = 0.017), but the recanalization rate had no significant difference between the two groups (P = 0.681). The overall mortality in omeprazole group was lower than that of control group (3.5% vs. 10.6%, P = 0.035). Conclusions: Our findings suggest that early useof omeprazole in AMI patients could decrease the incidence of upper gastrointestinal bleeding and the overall mortality, without influencing the recanalization rate. Early use of omeprazole might benefit AMI patients. © Springer Science+Business Media, LLC 2008.","author":[{"dropping-particle":"","family":"Gao","given":"Qian-Ping","non-dropping-particle":"","parse-names":false,"suffix":""},{"dropping-particle":"","family":"Sun","given":"Yan Yu-Xue","non-dropping-particle":"","parse-names":false,"suffix":""},{"dropping-particle":"","family":"Sun","given":"Yan Yu-Xue","non-dropping-particle":"","parse-names":false,"suffix":""},{"dropping-particle":"","family":"Wang","given":"Lan-Feng","non-dropping-particle":"","parse-names":false,"suffix":""},{"dropping-particle":"","family":"Fu","given":"Lu","non-dropping-particle":"","parse-names":false,"suffix":""}],"container-title":"Journal of thrombosis and thrombolysis","id":"ITEM-1","issue":"3","issued":{"date-parts":[["2009"]]},"note":"811","page":"282-287","publisher":"Gao,Qian-Ping. Department of Cardiology, The First Affiliated Hospital of Harbin Medical University, Harbin, Heilongjiang Province, China.","publisher-place":"Netherlands","title":"Early use of omeprazole benefits patients with acute myocardial infarction.","type":"article-journal","volume":"28"},"uris":["http://www.mendeley.com/documents/?uuid=7e930386-6b16-4b49-9fe0-91e7b22220f3"]}],"mendeley":{"formattedCitation":"(Gao et al. 2009)","plainTextFormattedCitation":"(Gao et al. 2009)","previouslyFormattedCitation":"(Gao et al. 2009)"},"properties":{"noteIndex":0},"schema":"https://github.com/citation-style-language/schema/raw/master/csl-citation.json"}</w:instrText>
            </w:r>
            <w:r w:rsidRPr="00D8429A">
              <w:rPr>
                <w:rFonts w:ascii="Calibri" w:eastAsia="Times New Roman" w:hAnsi="Calibri" w:cs="Times New Roman"/>
                <w:color w:val="000000"/>
                <w:sz w:val="18"/>
                <w:szCs w:val="18"/>
                <w:lang w:eastAsia="en-CA"/>
              </w:rPr>
              <w:fldChar w:fldCharType="separate"/>
            </w:r>
            <w:r w:rsidRPr="00D8429A">
              <w:rPr>
                <w:rFonts w:ascii="Calibri" w:eastAsia="Times New Roman" w:hAnsi="Calibri" w:cs="Times New Roman"/>
                <w:b w:val="0"/>
                <w:bCs w:val="0"/>
                <w:noProof/>
                <w:color w:val="000000"/>
                <w:sz w:val="18"/>
                <w:szCs w:val="18"/>
                <w:lang w:eastAsia="en-CA"/>
              </w:rPr>
              <w:t>(Gao et al. 2009)</w:t>
            </w:r>
            <w:r w:rsidRPr="00D8429A">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dotted" w:sz="4" w:space="0" w:color="auto"/>
            </w:tcBorders>
            <w:vAlign w:val="center"/>
            <w:hideMark/>
          </w:tcPr>
          <w:p w14:paraId="2BFE257F" w14:textId="2EF74A3B"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Myocardial infarction</w:t>
            </w:r>
          </w:p>
        </w:tc>
        <w:tc>
          <w:tcPr>
            <w:tcW w:w="5245" w:type="dxa"/>
            <w:tcBorders>
              <w:top w:val="dotted" w:sz="4" w:space="0" w:color="auto"/>
              <w:bottom w:val="dotted" w:sz="4" w:space="0" w:color="auto"/>
            </w:tcBorders>
            <w:vAlign w:val="center"/>
            <w:hideMark/>
          </w:tcPr>
          <w:p w14:paraId="4FF15333" w14:textId="5453FE8B"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en-CA"/>
              </w:rPr>
            </w:pPr>
            <w:r>
              <w:rPr>
                <w:rFonts w:ascii="Calibri" w:eastAsia="Times New Roman" w:hAnsi="Calibri" w:cs="Calibri"/>
                <w:color w:val="000000"/>
                <w:sz w:val="18"/>
                <w:szCs w:val="18"/>
                <w:lang w:eastAsia="en-CA"/>
              </w:rPr>
              <w:t>Patient population (MI patients) cannot be combined with other study populations.</w:t>
            </w:r>
          </w:p>
        </w:tc>
      </w:tr>
      <w:tr w:rsidR="000111AF" w14:paraId="51D4272B"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hideMark/>
          </w:tcPr>
          <w:p w14:paraId="59EA82D5" w14:textId="2CC5B8AA" w:rsidR="000111AF" w:rsidRPr="00D8429A" w:rsidRDefault="000111AF" w:rsidP="000111AF">
            <w:pPr>
              <w:rPr>
                <w:rFonts w:ascii="Calibri" w:eastAsia="Times New Roman" w:hAnsi="Calibri" w:cs="Times New Roman"/>
                <w:b w:val="0"/>
                <w:bCs w:val="0"/>
                <w:color w:val="000000"/>
                <w:sz w:val="18"/>
                <w:szCs w:val="18"/>
                <w:lang w:eastAsia="en-CA"/>
              </w:rPr>
            </w:pPr>
            <w:r w:rsidRPr="00CA7D02">
              <w:rPr>
                <w:rFonts w:ascii="Calibri" w:eastAsia="Times New Roman" w:hAnsi="Calibri" w:cs="Times New Roman"/>
                <w:b w:val="0"/>
                <w:bCs w:val="0"/>
                <w:color w:val="000000"/>
                <w:sz w:val="18"/>
                <w:szCs w:val="18"/>
                <w:lang w:eastAsia="en-CA"/>
              </w:rPr>
              <w:t>(Wei et al. 2007)</w:t>
            </w:r>
          </w:p>
        </w:tc>
        <w:tc>
          <w:tcPr>
            <w:tcW w:w="2126" w:type="dxa"/>
            <w:tcBorders>
              <w:top w:val="dotted" w:sz="4" w:space="0" w:color="auto"/>
              <w:bottom w:val="dotted" w:sz="4" w:space="0" w:color="auto"/>
            </w:tcBorders>
            <w:vAlign w:val="center"/>
            <w:hideMark/>
          </w:tcPr>
          <w:p w14:paraId="14AA1B18" w14:textId="44DC1D71"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Myocardial infarction</w:t>
            </w:r>
          </w:p>
        </w:tc>
        <w:tc>
          <w:tcPr>
            <w:tcW w:w="5245" w:type="dxa"/>
            <w:tcBorders>
              <w:top w:val="dotted" w:sz="4" w:space="0" w:color="auto"/>
              <w:bottom w:val="dotted" w:sz="4" w:space="0" w:color="auto"/>
            </w:tcBorders>
            <w:vAlign w:val="center"/>
            <w:hideMark/>
          </w:tcPr>
          <w:p w14:paraId="5CDE28E8" w14:textId="77777777"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CA"/>
              </w:rPr>
            </w:pPr>
            <w:r w:rsidRPr="00D8429A">
              <w:rPr>
                <w:rFonts w:ascii="Calibri" w:eastAsia="Times New Roman" w:hAnsi="Calibri" w:cs="Calibri"/>
                <w:sz w:val="18"/>
                <w:szCs w:val="18"/>
                <w:lang w:eastAsia="en-CA"/>
              </w:rPr>
              <w:t>No deaths in either group</w:t>
            </w:r>
          </w:p>
        </w:tc>
      </w:tr>
      <w:tr w:rsidR="000111AF" w14:paraId="6209AE2C"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single" w:sz="4" w:space="0" w:color="auto"/>
            </w:tcBorders>
            <w:vAlign w:val="center"/>
            <w:hideMark/>
          </w:tcPr>
          <w:p w14:paraId="52EF831F" w14:textId="1780620F" w:rsidR="000111AF" w:rsidRPr="00D8429A" w:rsidRDefault="000111AF" w:rsidP="000111AF">
            <w:pPr>
              <w:rPr>
                <w:rFonts w:ascii="Calibri" w:eastAsia="Times New Roman" w:hAnsi="Calibri" w:cs="Times New Roman"/>
                <w:b w:val="0"/>
                <w:bCs w:val="0"/>
                <w:color w:val="000000"/>
                <w:sz w:val="18"/>
                <w:szCs w:val="18"/>
                <w:lang w:eastAsia="en-CA"/>
              </w:rPr>
            </w:pPr>
            <w:r w:rsidRPr="00D8429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{"citationItems":[{"id":"ITEM-1","itemData":{"ISBN":"0036-5521","ISSN":"0036-5521","abstract":"BACKGROUND: Does profound acid inhibition by continuous infusion of omeprazole for 72 h reduce further bleeding in elderly patients with peptic ulcer bleeding (PUB)?, METHODS: Three hundred and thirty-three patients &gt; or = 60 years old with PUB were randomized to omeprazole (80 mg + mg/h) or placebo as continuous infusion for 72 h. From day 4 to 21 all patients received 20 mg omeprazole orally once daily., RESULTS: When evaluated on day 3, the primary variable 'overall outcome' (based on an ordinal ranking scale; see Study variables) (P = 0.017) and the secondary variables, surgery (P = 0.003), degree (P = 0.004) and duration of bleeding (P = 0.003) all favored the omeprazole group. Blood transfusions, need for endoscopic treatment, and mortality were not statistically different. On follow-up, by day 21, the mortality in the group initially receiving intravenous omeprazole was 6.9%, while the intravenous placebo group showed an extremely low mortality, 0.6%., CONCLUSION: Three days' infusion of omeprazole improved overall outcome and reduced need for intervention in PUB patients.","author":[{"dropping-particle":"","family":"Hasselgren","given":"G","non-dropping-particle":"","parse-names":false,"suffix":""},{"dropping-particle":"","family":"Lundell","given":"L","non-dropping-particle":"","parse-names":false,"suffix":""},{"dropping-particle":"","family":"Aadland","given":"E","non-dropping-particle":"","parse-names":false,"suffix":""},{"dropping-particle":"","family":"Efskind","given":"P","non-dropping-particle":"","parse-names":false,"suffix":""},{"dropping-particle":"","family":"Falk","given":"A","non-dropping-particle":"","parse-names":false,"suffix":""},{"dropping-particle":"","family":"Hyltander","given":"A","non-dropping-particle":"","parse-names":false,"suffix":""},{"dropping-particle":"","family":"Soderlund","given":"C","non-dropping-particle":"","parse-names":false,"suffix":""},{"dropping-particle":"","family":"Eriksson","given":"S","non-dropping-particle":"","parse-names":false,"suffix":""},{"dropping-particle":"","family":"Fernstrom","given":"P","non-dropping-particle":"","parse-names":false,"suffix":""},{"dropping-particle":"","family":"Lind","given":"T","non-dropping-particle":"","parse-names":false,"suffix":""}],"container-title":"Scandinavian journal of gastroenterology","id":"ITEM-1","issue":"4","issued":{"date-parts":[["1997"]]},"note":"From Duplicate 1 (Continuous intravenous infusion of omeprazole in elderly patients with peptic ulcer bleeding. Results of a placebo-controlled multicenter study. - Hasselgren, G; Lind, T; Lundell, L; Aadland, E; Efskind, P; Falk, A; Hyltander, A; Soderlund, C; Eriksson, S; Fernstrom, P)\n\nComment in: Scand J Gastroenterol. 1997 Apr;32(4):396-8; PMID: 9140165","page":"328-333","publisher":"Hasselgren,G. Dept. of Surgery, Sahlgrenska University Hospital, Goteborg, Sweden.","publisher-place":"T. Lind, Dept. of Surgery, Karnsjukhuset, S-541 85 Skovde, Sweden","title":"Continuous intravenous infusion of omeprazole in elderly patients with peptic ulcer bleeding. Results of a placebo-controlled multicenter study.","type":"article-journal","volume":"32"},"uris":["http://www.mendeley.com/documents/?uuid=71880bdb-7da4-40fe-8eac-2c97f9199e82"]}],"mendeley":{"formattedCitation":"(Hasselgren et al. 1997)","plainTextFormattedCitation":"(Hasselgren et al. 1997)","previouslyFormattedCitation":"(Hasselgren et al. 1997)"},"properties":{"noteIndex":0},"schema":"https://github.com/citation-style-language/schema/raw/master/csl-citation.json"}</w:instrText>
            </w:r>
            <w:r w:rsidRPr="00D8429A">
              <w:rPr>
                <w:rFonts w:ascii="Calibri" w:eastAsia="Times New Roman" w:hAnsi="Calibri" w:cs="Times New Roman"/>
                <w:color w:val="000000"/>
                <w:sz w:val="18"/>
                <w:szCs w:val="18"/>
                <w:lang w:eastAsia="en-CA"/>
              </w:rPr>
              <w:fldChar w:fldCharType="separate"/>
            </w:r>
            <w:r w:rsidRPr="00D8429A">
              <w:rPr>
                <w:rFonts w:ascii="Calibri" w:eastAsia="Times New Roman" w:hAnsi="Calibri" w:cs="Times New Roman"/>
                <w:b w:val="0"/>
                <w:bCs w:val="0"/>
                <w:noProof/>
                <w:color w:val="000000"/>
                <w:sz w:val="18"/>
                <w:szCs w:val="18"/>
                <w:lang w:eastAsia="en-CA"/>
              </w:rPr>
              <w:t>(Hasselgren et al. 1997)</w:t>
            </w:r>
            <w:r w:rsidRPr="00D8429A">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single" w:sz="4" w:space="0" w:color="auto"/>
            </w:tcBorders>
            <w:vAlign w:val="center"/>
            <w:hideMark/>
          </w:tcPr>
          <w:p w14:paraId="498628AF" w14:textId="3D57C42C"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Stroke</w:t>
            </w:r>
          </w:p>
        </w:tc>
        <w:tc>
          <w:tcPr>
            <w:tcW w:w="5245" w:type="dxa"/>
            <w:tcBorders>
              <w:top w:val="dotted" w:sz="4" w:space="0" w:color="auto"/>
              <w:bottom w:val="single" w:sz="4" w:space="0" w:color="auto"/>
            </w:tcBorders>
            <w:vAlign w:val="center"/>
            <w:hideMark/>
          </w:tcPr>
          <w:p w14:paraId="3AD3950C" w14:textId="16D4A987"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en-CA"/>
              </w:rPr>
            </w:pPr>
            <w:r>
              <w:rPr>
                <w:rFonts w:ascii="Calibri" w:eastAsia="Times New Roman" w:hAnsi="Calibri" w:cs="Calibri"/>
                <w:sz w:val="18"/>
                <w:szCs w:val="18"/>
                <w:lang w:eastAsia="en-CA"/>
              </w:rPr>
              <w:t>The only Group A RCT for this outcome.</w:t>
            </w:r>
          </w:p>
        </w:tc>
      </w:tr>
      <w:tr w:rsidR="000111AF" w:rsidRPr="00E3102A" w14:paraId="2CF319A4"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4961" w:type="dxa"/>
            <w:gridSpan w:val="2"/>
            <w:tcBorders>
              <w:top w:val="single" w:sz="4" w:space="0" w:color="auto"/>
              <w:bottom w:val="single" w:sz="4" w:space="0" w:color="auto"/>
            </w:tcBorders>
            <w:shd w:val="clear" w:color="auto" w:fill="DEEAF6" w:themeFill="accent1" w:themeFillTint="33"/>
            <w:vAlign w:val="center"/>
          </w:tcPr>
          <w:p w14:paraId="351D8AC3" w14:textId="63F7FFD6" w:rsidR="000111AF" w:rsidRPr="00E3102A" w:rsidRDefault="000111AF" w:rsidP="000111AF">
            <w:pPr>
              <w:rPr>
                <w:rFonts w:ascii="Calibri" w:eastAsia="Times New Roman" w:hAnsi="Calibri" w:cs="Calibri"/>
                <w:color w:val="000000"/>
                <w:sz w:val="18"/>
                <w:szCs w:val="18"/>
                <w:lang w:eastAsia="en-CA"/>
              </w:rPr>
            </w:pPr>
            <w:r w:rsidRPr="00E3102A">
              <w:rPr>
                <w:rFonts w:ascii="Calibri" w:eastAsia="Times New Roman" w:hAnsi="Calibri" w:cs="Times New Roman"/>
                <w:noProof/>
                <w:color w:val="000000"/>
                <w:sz w:val="18"/>
                <w:szCs w:val="18"/>
                <w:lang w:eastAsia="en-CA"/>
              </w:rPr>
              <w:t>Grou</w:t>
            </w:r>
            <w:r>
              <w:rPr>
                <w:rFonts w:ascii="Calibri" w:eastAsia="Times New Roman" w:hAnsi="Calibri" w:cs="Times New Roman"/>
                <w:noProof/>
                <w:color w:val="000000"/>
                <w:sz w:val="18"/>
                <w:szCs w:val="18"/>
                <w:lang w:eastAsia="en-CA"/>
              </w:rPr>
              <w:t>p</w:t>
            </w:r>
            <w:r w:rsidRPr="00E3102A">
              <w:rPr>
                <w:rFonts w:ascii="Calibri" w:eastAsia="Times New Roman" w:hAnsi="Calibri" w:cs="Times New Roman"/>
                <w:noProof/>
                <w:color w:val="000000"/>
                <w:sz w:val="18"/>
                <w:szCs w:val="18"/>
                <w:lang w:eastAsia="en-CA"/>
              </w:rPr>
              <w:t xml:space="preserve"> B –obs</w:t>
            </w:r>
            <w:r>
              <w:rPr>
                <w:rFonts w:ascii="Calibri" w:eastAsia="Times New Roman" w:hAnsi="Calibri" w:cs="Times New Roman"/>
                <w:noProof/>
                <w:color w:val="000000"/>
                <w:sz w:val="18"/>
                <w:szCs w:val="18"/>
                <w:lang w:eastAsia="en-CA"/>
              </w:rPr>
              <w:t>e</w:t>
            </w:r>
            <w:r w:rsidRPr="00E3102A">
              <w:rPr>
                <w:rFonts w:ascii="Calibri" w:eastAsia="Times New Roman" w:hAnsi="Calibri" w:cs="Times New Roman"/>
                <w:noProof/>
                <w:color w:val="000000"/>
                <w:sz w:val="18"/>
                <w:szCs w:val="18"/>
                <w:lang w:eastAsia="en-CA"/>
              </w:rPr>
              <w:t>rvational studies</w:t>
            </w:r>
          </w:p>
        </w:tc>
        <w:tc>
          <w:tcPr>
            <w:tcW w:w="5245" w:type="dxa"/>
            <w:tcBorders>
              <w:top w:val="single" w:sz="4" w:space="0" w:color="auto"/>
              <w:bottom w:val="single" w:sz="4" w:space="0" w:color="auto"/>
            </w:tcBorders>
            <w:shd w:val="clear" w:color="auto" w:fill="DEEAF6" w:themeFill="accent1" w:themeFillTint="33"/>
            <w:vAlign w:val="center"/>
          </w:tcPr>
          <w:p w14:paraId="4961186E" w14:textId="77777777" w:rsidR="000111AF" w:rsidRPr="00E3102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szCs w:val="18"/>
                <w:lang w:eastAsia="en-CA"/>
              </w:rPr>
            </w:pPr>
          </w:p>
        </w:tc>
      </w:tr>
      <w:tr w:rsidR="000111AF" w14:paraId="3B7C7717"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dotted" w:sz="4" w:space="0" w:color="auto"/>
            </w:tcBorders>
            <w:vAlign w:val="center"/>
            <w:hideMark/>
          </w:tcPr>
          <w:p w14:paraId="286BAC65" w14:textId="5B7B8364" w:rsidR="000111AF" w:rsidRPr="00D8429A" w:rsidRDefault="000111AF" w:rsidP="000111AF">
            <w:pPr>
              <w:rPr>
                <w:rFonts w:ascii="Calibri" w:eastAsia="Times New Roman" w:hAnsi="Calibri" w:cs="Times New Roman"/>
                <w:b w:val="0"/>
                <w:bCs w:val="0"/>
                <w:color w:val="000000"/>
                <w:sz w:val="18"/>
                <w:szCs w:val="18"/>
                <w:lang w:eastAsia="en-CA"/>
              </w:rPr>
            </w:pPr>
            <w:r>
              <w:rPr>
                <w:rFonts w:ascii="Calibri" w:eastAsia="Times New Roman" w:hAnsi="Calibri" w:cs="Times New Roman"/>
                <w:b w:val="0"/>
                <w:bCs w:val="0"/>
                <w:noProof/>
                <w:color w:val="000000"/>
                <w:sz w:val="18"/>
                <w:szCs w:val="18"/>
                <w:lang w:eastAsia="en-CA"/>
              </w:rPr>
              <w:t>(</w:t>
            </w:r>
            <w:r w:rsidRPr="00D8429A">
              <w:rPr>
                <w:rFonts w:ascii="Calibri" w:eastAsia="Times New Roman" w:hAnsi="Calibri" w:cs="Times New Roman"/>
                <w:b w:val="0"/>
                <w:bCs w:val="0"/>
                <w:noProof/>
                <w:color w:val="000000"/>
                <w:sz w:val="18"/>
                <w:szCs w:val="18"/>
                <w:lang w:eastAsia="en-CA"/>
              </w:rPr>
              <w:t>Sweeny et al. 2009)</w:t>
            </w:r>
          </w:p>
        </w:tc>
        <w:tc>
          <w:tcPr>
            <w:tcW w:w="2126" w:type="dxa"/>
            <w:tcBorders>
              <w:top w:val="single" w:sz="4" w:space="0" w:color="auto"/>
              <w:bottom w:val="dotted" w:sz="4" w:space="0" w:color="auto"/>
            </w:tcBorders>
            <w:vAlign w:val="center"/>
            <w:hideMark/>
          </w:tcPr>
          <w:p w14:paraId="45C1736F" w14:textId="5005A2A8"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w:t>
            </w:r>
          </w:p>
        </w:tc>
        <w:tc>
          <w:tcPr>
            <w:tcW w:w="5245" w:type="dxa"/>
            <w:tcBorders>
              <w:top w:val="single" w:sz="4" w:space="0" w:color="auto"/>
              <w:bottom w:val="dotted" w:sz="4" w:space="0" w:color="auto"/>
            </w:tcBorders>
            <w:vAlign w:val="center"/>
            <w:hideMark/>
          </w:tcPr>
          <w:p w14:paraId="297653E0" w14:textId="7ED1F6C6"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en-CA"/>
              </w:rPr>
            </w:pPr>
            <w:r w:rsidRPr="00292850">
              <w:rPr>
                <w:rFonts w:ascii="Calibri" w:eastAsia="Times New Roman" w:hAnsi="Calibri" w:cs="Calibri"/>
                <w:color w:val="000000"/>
                <w:sz w:val="18"/>
                <w:szCs w:val="18"/>
                <w:lang w:eastAsia="en-CA"/>
              </w:rPr>
              <w:t>Abstract only</w:t>
            </w:r>
            <w:r>
              <w:rPr>
                <w:rFonts w:ascii="Calibri" w:eastAsia="Times New Roman" w:hAnsi="Calibri" w:cs="Calibri"/>
                <w:color w:val="000000"/>
                <w:sz w:val="18"/>
                <w:szCs w:val="18"/>
                <w:lang w:eastAsia="en-CA"/>
              </w:rPr>
              <w:t>; full text not found</w:t>
            </w:r>
            <w:r w:rsidRPr="00292850">
              <w:rPr>
                <w:rFonts w:ascii="Calibri" w:eastAsia="Times New Roman" w:hAnsi="Calibri" w:cs="Calibri"/>
                <w:color w:val="000000"/>
                <w:sz w:val="18"/>
                <w:szCs w:val="18"/>
                <w:lang w:eastAsia="en-CA"/>
              </w:rPr>
              <w:t>.</w:t>
            </w:r>
          </w:p>
        </w:tc>
      </w:tr>
      <w:tr w:rsidR="000111AF" w14:paraId="7ACB4305"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single" w:sz="4" w:space="0" w:color="auto"/>
            </w:tcBorders>
            <w:vAlign w:val="center"/>
            <w:hideMark/>
          </w:tcPr>
          <w:p w14:paraId="30F18878" w14:textId="2128B77E" w:rsidR="000111AF" w:rsidRPr="00D8429A" w:rsidRDefault="000111AF" w:rsidP="000111AF">
            <w:pPr>
              <w:rPr>
                <w:rFonts w:ascii="Calibri" w:eastAsia="Times New Roman" w:hAnsi="Calibri" w:cs="Calibri"/>
                <w:b w:val="0"/>
                <w:bCs w:val="0"/>
                <w:color w:val="000000"/>
                <w:sz w:val="18"/>
                <w:szCs w:val="18"/>
                <w:lang w:eastAsia="en-CA"/>
              </w:rPr>
            </w:pPr>
            <w:r w:rsidRPr="00D8429A">
              <w:rPr>
                <w:rFonts w:ascii="Calibri" w:eastAsia="Times New Roman" w:hAnsi="Calibri" w:cs="Times New Roman"/>
                <w:color w:val="000000"/>
                <w:sz w:val="18"/>
                <w:szCs w:val="18"/>
                <w:lang w:eastAsia="en-CA"/>
              </w:rPr>
              <w:lastRenderedPageBreak/>
              <w:fldChar w:fldCharType="begin" w:fldLock="1"/>
            </w:r>
            <w:r>
              <w:rPr>
                <w:rFonts w:ascii="Calibri" w:eastAsia="Times New Roman" w:hAnsi="Calibri" w:cs="Times New Roman"/>
                <w:b w:val="0"/>
                <w:bCs w:val="0"/>
                <w:color w:val="000000"/>
                <w:sz w:val="18"/>
                <w:szCs w:val="18"/>
                <w:lang w:eastAsia="en-CA"/>
              </w:rPr>
              <w:instrText>ADDIN CSL_CITATION {"citationItems":[{"id":"ITEM-1","itemData":{"ISBN":"1053-8569","abstract":"Background: Concomitant use of proton pump inhibitor (PPI) is recommended to reduce the gastrointestinal bleeding events in high risk patients received anti-platelet therapy. In recent years, some or all PPIs might decrease the platelet inhibitory effects of antiplatelet drugs there has been controversy about the impact of clinical outcomes. Case-based design accounted for confounding between patients such as the genetic and functional variability in the hepatic CYP P450 isoenzymes. Objectives: To investigate the association between use of PPI and risk of recurrent MI in patients receiving dual anti-platelet therapy (DAPT) consisting aspirin and clopidogrel. Methods: We conducted a population-based casecrossover study using the Korean Health Insurance Review and Assessment Service database in patients aged 30 to 99 years old, received DAPT from January 1, 2008 to December 31, 2010 after hospitalization for acute myocardial infarction (AMI). We identified recurrent MI cases as principal and subsidiary diagnosis of hospitalization or emergency department visit including AMI (I21) and subsidiary MI (I22). For each case, PPI use in 14 day period prior to the first recurrent date for MI was compared with PPI use in four earlier 14 day control period. Conditional logistic regression was used to calculate odds ratio (OR) and 95% confidence interval (CI), adjusting for concomitant medications that could affect recurrent MI. Results: We identified 43,822 AMI patients received DAPT consisting aspirin and clopidogrel. Among the AMI patients 3,583 cases were found. After adjustment, use of PPI was associated with an increased the risk of recurrent MI (adjusted OR 1.35, 95%CI, 1.05-1.75). In a stratified analysis, all PPIs except pantoprazole increased the risk of recurrent MI (1.56, 95%CI, 1.16-2.10). However, the aORs of recurrent MI for omeprazole, pantoprazole, lansoprazole, and esomeprazole were not statistically significant. Conclusions: The study result suggests careful monitorings are needed when concomitant use of PPI in AMI patients receiving DAPT particularly within 14 days after initiation.","author":[{"dropping-particle":"","family":"Kim","given":"MS","non-dropping-particle":"","parse-names":false,"suffix":""},{"dropping-particle":"","family":"Shin","given":"JY","non-dropping-particle":"","parse-names":false,"suffix":""},{"dropping-particle":"","family":"Jung","given":"SY","non-dropping-particle":"","parse-names":false,"suffix":""},{"dropping-particle":"","family":"Song","given":"HJ","non-dropping-particle":"","parse-names":false,"suffix":""},{"dropping-particle":"","family":"Park","given":"BJ","non-dropping-particle":"","parse-names":false,"suffix":""}],"collection-title":"30th International Conference on Pharmacoepidemiology and Therapeutic Risk Management Taipei Taiwan (Republic of China). Conference Start: 20141024 Conference End: 20141027","container-title":"Pharmacoepidemiology and Drug Safety","id":"ITEM-1","issued":{"date-parts":[["2014"]]},"note":"151cant find","page":"456-457","publisher":"John Wiley and Sons Ltd","publisher-place":"Y.-J. Kim, Department of Preventive Medicine, Seoul National University, College of Medicine, Seoul, South Korea","title":"Impact of concomitant use of proton pump inhibitors and dual antiplatelet therapy on recurrent myocardial infarction: A population-based case cross-over study","type":"article","volume":"23"},"uris":["http://www.mendeley.com/documents/?uuid=81f94e2e-b884-4201-965e-547ad0b8b3f4"]}],"mendeley":{"formattedCitation":"(Kim et al. 2014)","plainTextFormattedCitation":"(Kim et al. 2014)","previouslyFormattedCitation":"(Kim et al. 2014)"},"properties":{"noteIndex":0},"schema":"https://github.com/citation-style-language/schema/raw/master/csl-citation.json"}</w:instrText>
            </w:r>
            <w:r w:rsidRPr="00D8429A">
              <w:rPr>
                <w:rFonts w:ascii="Calibri" w:eastAsia="Times New Roman" w:hAnsi="Calibri" w:cs="Times New Roman"/>
                <w:color w:val="000000"/>
                <w:sz w:val="18"/>
                <w:szCs w:val="18"/>
                <w:lang w:eastAsia="en-CA"/>
              </w:rPr>
              <w:fldChar w:fldCharType="separate"/>
            </w:r>
            <w:r w:rsidRPr="00D8429A">
              <w:rPr>
                <w:rFonts w:ascii="Calibri" w:eastAsia="Times New Roman" w:hAnsi="Calibri" w:cs="Times New Roman"/>
                <w:b w:val="0"/>
                <w:bCs w:val="0"/>
                <w:noProof/>
                <w:color w:val="000000"/>
                <w:sz w:val="18"/>
                <w:szCs w:val="18"/>
                <w:lang w:eastAsia="en-CA"/>
              </w:rPr>
              <w:t>(Kim et al. 2014)</w:t>
            </w:r>
            <w:r w:rsidRPr="00D8429A">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single" w:sz="4" w:space="0" w:color="auto"/>
            </w:tcBorders>
            <w:vAlign w:val="center"/>
            <w:hideMark/>
          </w:tcPr>
          <w:p w14:paraId="3D0D38A3" w14:textId="13DC92A8"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w:t>
            </w:r>
          </w:p>
        </w:tc>
        <w:tc>
          <w:tcPr>
            <w:tcW w:w="5245" w:type="dxa"/>
            <w:tcBorders>
              <w:top w:val="dotted" w:sz="4" w:space="0" w:color="auto"/>
              <w:bottom w:val="single" w:sz="4" w:space="0" w:color="auto"/>
            </w:tcBorders>
            <w:vAlign w:val="center"/>
            <w:hideMark/>
          </w:tcPr>
          <w:p w14:paraId="3F42A546" w14:textId="1BD7D932"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CA"/>
              </w:rPr>
            </w:pPr>
            <w:r w:rsidRPr="00292850">
              <w:rPr>
                <w:rFonts w:ascii="Calibri" w:eastAsia="Times New Roman" w:hAnsi="Calibri" w:cs="Calibri"/>
                <w:color w:val="000000"/>
                <w:sz w:val="18"/>
                <w:szCs w:val="18"/>
                <w:lang w:eastAsia="en-CA"/>
              </w:rPr>
              <w:t>Abstract only</w:t>
            </w:r>
            <w:r>
              <w:rPr>
                <w:rFonts w:ascii="Calibri" w:eastAsia="Times New Roman" w:hAnsi="Calibri" w:cs="Calibri"/>
                <w:color w:val="000000"/>
                <w:sz w:val="18"/>
                <w:szCs w:val="18"/>
                <w:lang w:eastAsia="en-CA"/>
              </w:rPr>
              <w:t>; full text not found</w:t>
            </w:r>
            <w:r w:rsidRPr="00292850">
              <w:rPr>
                <w:rFonts w:ascii="Calibri" w:eastAsia="Times New Roman" w:hAnsi="Calibri" w:cs="Calibri"/>
                <w:color w:val="000000"/>
                <w:sz w:val="18"/>
                <w:szCs w:val="18"/>
                <w:lang w:eastAsia="en-CA"/>
              </w:rPr>
              <w:t>.</w:t>
            </w:r>
          </w:p>
        </w:tc>
      </w:tr>
      <w:tr w:rsidR="000111AF" w14:paraId="1FDCE644"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shd w:val="clear" w:color="auto" w:fill="DEEAF6" w:themeFill="accent1" w:themeFillTint="33"/>
            <w:vAlign w:val="center"/>
          </w:tcPr>
          <w:p w14:paraId="404AAEC2" w14:textId="7C806036" w:rsidR="000111AF" w:rsidRPr="00D8429A" w:rsidRDefault="000111AF" w:rsidP="000111AF">
            <w:pPr>
              <w:rPr>
                <w:rFonts w:ascii="Calibri" w:eastAsia="Times New Roman" w:hAnsi="Calibri" w:cs="Times New Roman"/>
                <w:b w:val="0"/>
                <w:bCs w:val="0"/>
                <w:color w:val="000000"/>
                <w:sz w:val="18"/>
                <w:szCs w:val="18"/>
                <w:lang w:eastAsia="en-CA"/>
              </w:rPr>
            </w:pPr>
            <w:r w:rsidRPr="00E3102A">
              <w:rPr>
                <w:rFonts w:ascii="Calibri" w:eastAsia="Times New Roman" w:hAnsi="Calibri" w:cs="Times New Roman"/>
                <w:noProof/>
                <w:color w:val="000000"/>
                <w:sz w:val="18"/>
                <w:szCs w:val="18"/>
                <w:lang w:eastAsia="en-CA"/>
              </w:rPr>
              <w:t>Groub B –</w:t>
            </w:r>
            <w:r>
              <w:rPr>
                <w:rFonts w:ascii="Calibri" w:eastAsia="Times New Roman" w:hAnsi="Calibri" w:cs="Times New Roman"/>
                <w:noProof/>
                <w:color w:val="000000"/>
                <w:sz w:val="18"/>
                <w:szCs w:val="18"/>
                <w:lang w:eastAsia="en-CA"/>
              </w:rPr>
              <w:t xml:space="preserve"> RCTs</w:t>
            </w:r>
          </w:p>
        </w:tc>
        <w:tc>
          <w:tcPr>
            <w:tcW w:w="2126" w:type="dxa"/>
            <w:tcBorders>
              <w:top w:val="single" w:sz="4" w:space="0" w:color="auto"/>
              <w:bottom w:val="single" w:sz="4" w:space="0" w:color="auto"/>
            </w:tcBorders>
            <w:shd w:val="clear" w:color="auto" w:fill="DEEAF6" w:themeFill="accent1" w:themeFillTint="33"/>
            <w:vAlign w:val="center"/>
          </w:tcPr>
          <w:p w14:paraId="0C1F198D" w14:textId="77777777"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CA"/>
              </w:rPr>
            </w:pPr>
          </w:p>
        </w:tc>
        <w:tc>
          <w:tcPr>
            <w:tcW w:w="5245" w:type="dxa"/>
            <w:tcBorders>
              <w:top w:val="single" w:sz="4" w:space="0" w:color="auto"/>
              <w:bottom w:val="single" w:sz="4" w:space="0" w:color="auto"/>
            </w:tcBorders>
            <w:shd w:val="clear" w:color="auto" w:fill="DEEAF6" w:themeFill="accent1" w:themeFillTint="33"/>
            <w:vAlign w:val="center"/>
          </w:tcPr>
          <w:p w14:paraId="2023FE3B" w14:textId="77777777"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CA"/>
              </w:rPr>
            </w:pPr>
          </w:p>
        </w:tc>
      </w:tr>
      <w:tr w:rsidR="000111AF" w14:paraId="7D832E59"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dotted" w:sz="4" w:space="0" w:color="auto"/>
            </w:tcBorders>
            <w:vAlign w:val="center"/>
            <w:hideMark/>
          </w:tcPr>
          <w:p w14:paraId="62D719CA" w14:textId="20F66E5D" w:rsidR="000111AF" w:rsidRPr="00D8429A" w:rsidRDefault="000111AF" w:rsidP="000111AF">
            <w:pPr>
              <w:rPr>
                <w:rFonts w:ascii="Calibri" w:eastAsia="Times New Roman" w:hAnsi="Calibri" w:cs="Times New Roman"/>
                <w:b w:val="0"/>
                <w:bCs w:val="0"/>
                <w:color w:val="000000"/>
                <w:sz w:val="18"/>
                <w:szCs w:val="18"/>
                <w:lang w:eastAsia="en-CA"/>
              </w:rPr>
            </w:pPr>
            <w:r w:rsidRPr="00D8429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{"citationItems":[{"id":"ITEM-1","itemData":{"ISBN":"0028-4793","ISSN":"1533-4406","abstract":"BACKGROUND: Gastrointestinal complications are an important problem of antithrombotic therapy. Proton-pump inhibitors (PPIs) are believed to decrease the risk of such complications, though no randomized trial has proved this in patients receiving dual antiplatelet therapy. Recently, concerns have been raised about the potential for PPIs to blunt the efficacy of clopidogrel., METHODS: We randomly assigned patients with an indication for dual antiplatelet therapy to receive clopidogrel in combination with either omeprazole or placebo, in addition to aspirin. The primary gastrointestinal end point was a composite of overt or occult bleeding, symptomatic gastroduodenal ulcers or erosions, obstruction, or perforation. The primary cardiovascular end point was a composite of death from cardiovascular causes, nonfatal myocardial infarction, revascularization, or stroke. The trial was terminated prematurely when the sponsor lost financing., RESULTS: We planned to enroll about 5000 patients; a total of 3873 were randomly assigned and 3761 were included in analyses. In all, 51 patients had a gastrointestinal event; the event rate was 1.1% with omeprazole and 2.9% with placebo at 180 days (hazard ratio with omeprazole, 0.34, 95% confidence interval [CI], 0.18 to 0.63; P&lt;0.001). The rate of overt upper gastrointestinal bleeding was also reduced with omeprazole as compared with placebo (hazard ratio, 0.13; 95% CI, 0.03 to 0.56; P = 0.001). A total of 109 patients had a cardiovascular event, with event rates of 4.9% with omeprazole and 5.7% with placebo (hazard ratio with omeprazole, 0.99; 95% CI, 0.68 to 1.44; P = 0.96); high-risk subgroups did not show significant heterogeneity. The two groups did not differ significantly in the rate of serious adverse events, though the risk of diarrhea was increased with omeprazole., CONCLUSIONS: Among patients receiving aspirin and clopidogrel, prophylactic use of a PPI reduced the rate of upper gastrointestinal bleeding. There was no apparent cardiovascular interaction between clopidogrel and omeprazole, but our results do not rule out a clinically meaningful difference in cardiovascular events due to use of a PPI. (Funded by Cogentus Pharmaceuticals; ClinicalTrials.gov number, NCT00557921.).","author":[{"dropping-particle":"","family":"Bhatt","given":"DL","non-dropping-particle":"","parse-names":false,"suffix":""},{"dropping-particle":"","family":"Contant","given":"CL","non-dropping-particle":"","parse-names":false,"suffix":""},{"dropping-particle":"","family":"Cohen","given":"M","non-dropping-particle":"","parse-names":false,"suffix":""},{"dropping-particle":"","family":"Lanas","given":"A","non-dropping-particle":"","parse-names":false,"suffix":""},{"dropping-particle":"","family":"Schnitzer","given":"TJ","non-dropping-particle":"","parse-names":false,"suffix":""},{"dropping-particle":"","family":"Shook","given":"TL","non-dropping-particle":"","parse-names":false,"suffix":""},{"dropping-particle":"","family":"Lapuerta","given":"P","non-dropping-particle":"","parse-names":false,"suffix":""},{"dropping-particle":"","family":"Goldsmith","given":"MA","non-dropping-particle":"","parse-names":false,"suffix":""},{"dropping-particle":"","family":"Laine","given":"L","non-dropping-particle":"","parse-names":false,"suffix":""},{"dropping-particle":"","family":"Scirica","given":"BM","non-dropping-particle":"","parse-names":false,"suffix":""},{"dropping-particle":"","family":"Murphy","given":"SA","non-dropping-particle":"","parse-names":false,"suffix":""},{"dropping-particle":"","family":"Cannon","given":"CP","non-dropping-particle":"","parse-names":false,"suffix":""},{"dropping-particle":"","family":"Cryer","given":"B L","non-dropping-particle":"","parse-names":false,"suffix":""}],"container-title":"New England Journal of Medicine","id":"ITEM-1","issue":"20","issued":{"date-parts":[["2010"]]},"note":"745\n\n\nFrom Duplicate 1 (Clopidogrel with or without omeprazole in coronary artery disease. - Bhatt, Deepak L; Cryer, Byron L; Contant, Charles F; Cohen, Marc; Lanas, Angel; Schnitzer, Thomas J; Shook, Thomas L; Lapuerta, Pablo; Goldsmith, Mark A; Laine, Loren; Scirica, Benjamin M; Murphy, Sabina A; Cannon, Christopher P; Investigators, COGENT)\n\nComment in: Evid Based Med. 2011 Oct;16(5):144-5; PMID: 21558563, Comment in: Ann Intern Med. 2011 Mar 15;154(6):JC3-7; PMID: 21403070, Comment in: N Engl J Med. 2011 Feb 17;364(7):681; author reply 682-3; PMID: 21323549, Comment in: Intern Emerg Med. 2011 Apr;6(2):159-60; PMID: 21369851, Comment in: N Engl J Med. 2011 Feb 17;364(7):681-2; author reply 682-3; PMID: 21323548, Comment in: N Engl J Med. 2010 Nov 11;363(20):1977; PMID: 21067412","page":"1909-1917","publisher":"Massachussetts Medical Society (860 Winter Street, Waltham MA 02451-1413, United States)","publisher-place":"United States","title":"Clopidogrel with or without omeprazole in coronary artery disease.","type":"article-journal","volume":"363"},"uris":["http://www.mendeley.com/documents/?uuid=a5736f52-75be-48eb-af60-5a3b5b5e5a44"]}],"mendeley":{"formattedCitation":"(Bhatt et al. 2010)","plainTextFormattedCitation":"(Bhatt et al. 2010)","previouslyFormattedCitation":"(Bhatt et al. 2010)"},"properties":{"noteIndex":0},"schema":"https://github.com/citation-style-language/schema/raw/master/csl-citation.json"}</w:instrText>
            </w:r>
            <w:r w:rsidRPr="00D8429A">
              <w:rPr>
                <w:rFonts w:ascii="Calibri" w:eastAsia="Times New Roman" w:hAnsi="Calibri" w:cs="Times New Roman"/>
                <w:color w:val="000000"/>
                <w:sz w:val="18"/>
                <w:szCs w:val="18"/>
                <w:lang w:eastAsia="en-CA"/>
              </w:rPr>
              <w:fldChar w:fldCharType="separate"/>
            </w:r>
            <w:r w:rsidRPr="00D8429A">
              <w:rPr>
                <w:rFonts w:ascii="Calibri" w:eastAsia="Times New Roman" w:hAnsi="Calibri" w:cs="Times New Roman"/>
                <w:b w:val="0"/>
                <w:bCs w:val="0"/>
                <w:noProof/>
                <w:color w:val="000000"/>
                <w:sz w:val="18"/>
                <w:szCs w:val="18"/>
                <w:lang w:eastAsia="en-CA"/>
              </w:rPr>
              <w:t>(Bhatt et al. 2010)</w:t>
            </w:r>
            <w:r w:rsidRPr="00D8429A">
              <w:rPr>
                <w:rFonts w:ascii="Calibri" w:eastAsia="Times New Roman" w:hAnsi="Calibri" w:cs="Times New Roman"/>
                <w:color w:val="000000"/>
                <w:sz w:val="18"/>
                <w:szCs w:val="18"/>
                <w:lang w:eastAsia="en-CA"/>
              </w:rPr>
              <w:fldChar w:fldCharType="end"/>
            </w:r>
          </w:p>
        </w:tc>
        <w:tc>
          <w:tcPr>
            <w:tcW w:w="2126" w:type="dxa"/>
            <w:tcBorders>
              <w:top w:val="single" w:sz="4" w:space="0" w:color="auto"/>
              <w:bottom w:val="dotted" w:sz="4" w:space="0" w:color="auto"/>
            </w:tcBorders>
            <w:vAlign w:val="center"/>
            <w:hideMark/>
          </w:tcPr>
          <w:p w14:paraId="710547B3" w14:textId="4111AEAE"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CA"/>
              </w:rPr>
            </w:pPr>
            <w:r>
              <w:rPr>
                <w:rFonts w:ascii="Calibri" w:eastAsia="Times New Roman" w:hAnsi="Calibri" w:cs="Calibri"/>
                <w:color w:val="000000"/>
                <w:sz w:val="18"/>
                <w:szCs w:val="18"/>
                <w:lang w:eastAsia="en-CA"/>
              </w:rPr>
              <w:t>All-cause mortality</w:t>
            </w:r>
          </w:p>
        </w:tc>
        <w:tc>
          <w:tcPr>
            <w:tcW w:w="5245" w:type="dxa"/>
            <w:tcBorders>
              <w:top w:val="single" w:sz="4" w:space="0" w:color="auto"/>
              <w:bottom w:val="dotted" w:sz="4" w:space="0" w:color="auto"/>
            </w:tcBorders>
            <w:vAlign w:val="center"/>
            <w:hideMark/>
          </w:tcPr>
          <w:p w14:paraId="729C9EC0" w14:textId="0EBA787D"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CA"/>
              </w:rPr>
            </w:pPr>
            <w:r>
              <w:rPr>
                <w:rFonts w:ascii="Calibri" w:eastAsia="Times New Roman" w:hAnsi="Calibri" w:cs="Calibri"/>
                <w:color w:val="000000"/>
                <w:sz w:val="18"/>
                <w:szCs w:val="18"/>
                <w:lang w:eastAsia="en-CA"/>
              </w:rPr>
              <w:t>Patient population (ACS patients) cannot be combined with other study populations.</w:t>
            </w:r>
          </w:p>
        </w:tc>
      </w:tr>
      <w:tr w:rsidR="000111AF" w14:paraId="7D4802CC"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hideMark/>
          </w:tcPr>
          <w:p w14:paraId="2C95FD40" w14:textId="5261C7AB" w:rsidR="000111AF" w:rsidRPr="00D8429A" w:rsidRDefault="000111AF" w:rsidP="000111AF">
            <w:pPr>
              <w:rPr>
                <w:rFonts w:ascii="Calibri" w:eastAsia="Times New Roman" w:hAnsi="Calibri" w:cs="Times New Roman"/>
                <w:b w:val="0"/>
                <w:bCs w:val="0"/>
                <w:color w:val="000000"/>
                <w:sz w:val="18"/>
                <w:szCs w:val="18"/>
                <w:lang w:eastAsia="en-CA"/>
              </w:rPr>
            </w:pPr>
            <w:r w:rsidRPr="00D8429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{"citationItems":[{"id":"ITEM-1","itemData":{"ISBN":"0883-9441","ISSN":"1557-8615","abstract":"PURPOSE: The aim of this study is to evaluate the preventive effect of proton pump inhibitors on gastrointestinal (GI) bleeding in patients with acute coronary syndromes (ACS) who are at high risk for GI bleeding., MATERIALS AND METHODS: We enrolled 665 patients with ACS who had one or more of the following risk factors for GI bleeding: 75 years of age or older, history of peptic ulcer disease, history of GI bleeding, cardiogenic shock, and chronic renal dysfunction (serum creatinine, &gt;2 mg/dL). Patients were randomly assigned to receive 40 mg of pantoprazole or placebo twice daily for 7 days, in addition to standard treatment of ACS. The primary end point was the occurrence of GI bleeding during hospitalization., RESULTS: During a median time of hospitalization of 12 days, 12 (3.6%) of 332 patients in the placebo group had an occurrence of GI bleeding, as compared with 4 (1.2%) of the 333 patients in the pantoprazole group (P = .046, Fisher exact test). The log-rank test showed a significant difference between the 2 groups in the time to the occurrence of GI bleeding (P = .015). Major GI bleeding occurred in 5 (1.5%) patients in the placebo group but only in 1 (0.3%) in the pantoprazole group (P = .12). Pneumonia developed in 22 (6.6%) patients in the placebo group and 24 (7.2%) in the pantoprazole group (chi(2) = 0.077, P = .88). The 30-day mortality was 10.2% (34/332) in the placebo group and 10.5% (35/333) in the pantoprazole group., CONCLUSIONS: In patients with ACS who are at high risk for GI hemorrhage, prophylactic treatment with pantoprazole could reduce the risk of GI bleeding with no significant effects on the incidence of hospital-acquired pneumonia and 30-day mortality.Copyright © 2011 Elsevier Inc. All rights reserved.","author":[{"dropping-particle":"","family":"Wu","given":"H","non-dropping-particle":"","parse-names":false,"suffix":""},{"dropping-particle":"","family":"Wang","given":"J","non-dropping-particle":"","parse-names":false,"suffix":""},{"dropping-particle":"","family":"Guo","given":"X","non-dropping-particle":"","parse-names":false,"suffix":""},{"dropping-particle":"","family":"Jing","given":"Q","non-dropping-particle":"","parse-names":false,"suffix":""}],"container-title":"Journal of critical care","id":"ITEM-1","issue":"4","issued":{"date-parts":[["2011"]]},"note":"530","page":"434","publisher":"W.B. Saunders (Independence Square West, Philadelphia PA 19106-3399, United States)","publisher-place":"United States","title":"Pantoprazole for the prevention of gastrointestinal bleeding in high-risk patients with acute coronary syndromes.","type":"article-journal","volume":"26"},"uris":["http://www.mendeley.com/documents/?uuid=c6d6ee7c-f1fc-49de-b264-e1078d8fc775"]}],"mendeley":{"formattedCitation":"(Wu et al. 2011)","plainTextFormattedCitation":"(Wu et al. 2011)","previouslyFormattedCitation":"(Wu et al. 2011)"},"properties":{"noteIndex":0},"schema":"https://github.com/citation-style-language/schema/raw/master/csl-citation.json"}</w:instrText>
            </w:r>
            <w:r w:rsidRPr="00D8429A">
              <w:rPr>
                <w:rFonts w:ascii="Calibri" w:eastAsia="Times New Roman" w:hAnsi="Calibri" w:cs="Times New Roman"/>
                <w:color w:val="000000"/>
                <w:sz w:val="18"/>
                <w:szCs w:val="18"/>
                <w:lang w:eastAsia="en-CA"/>
              </w:rPr>
              <w:fldChar w:fldCharType="separate"/>
            </w:r>
            <w:r w:rsidRPr="00D8429A">
              <w:rPr>
                <w:rFonts w:ascii="Calibri" w:eastAsia="Times New Roman" w:hAnsi="Calibri" w:cs="Times New Roman"/>
                <w:b w:val="0"/>
                <w:bCs w:val="0"/>
                <w:noProof/>
                <w:color w:val="000000"/>
                <w:sz w:val="18"/>
                <w:szCs w:val="18"/>
                <w:lang w:eastAsia="en-CA"/>
              </w:rPr>
              <w:t>(Wu et al. 2011)</w:t>
            </w:r>
            <w:r w:rsidRPr="00D8429A">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dotted" w:sz="4" w:space="0" w:color="auto"/>
            </w:tcBorders>
            <w:vAlign w:val="center"/>
            <w:hideMark/>
          </w:tcPr>
          <w:p w14:paraId="11214FE7" w14:textId="335FB66D"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CA"/>
              </w:rPr>
            </w:pPr>
            <w:r>
              <w:rPr>
                <w:rFonts w:ascii="Calibri" w:eastAsia="Times New Roman" w:hAnsi="Calibri" w:cs="Calibri"/>
                <w:color w:val="000000"/>
                <w:sz w:val="18"/>
                <w:szCs w:val="18"/>
                <w:lang w:eastAsia="en-CA"/>
              </w:rPr>
              <w:t>All-cause mortality</w:t>
            </w:r>
          </w:p>
        </w:tc>
        <w:tc>
          <w:tcPr>
            <w:tcW w:w="5245" w:type="dxa"/>
            <w:tcBorders>
              <w:top w:val="dotted" w:sz="4" w:space="0" w:color="auto"/>
              <w:bottom w:val="dotted" w:sz="4" w:space="0" w:color="auto"/>
            </w:tcBorders>
            <w:vAlign w:val="center"/>
            <w:hideMark/>
          </w:tcPr>
          <w:p w14:paraId="4603079E" w14:textId="510E849D"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CA"/>
              </w:rPr>
            </w:pPr>
            <w:r>
              <w:rPr>
                <w:rFonts w:ascii="Calibri" w:eastAsia="Times New Roman" w:hAnsi="Calibri" w:cs="Calibri"/>
                <w:color w:val="000000"/>
                <w:sz w:val="18"/>
                <w:szCs w:val="18"/>
                <w:lang w:eastAsia="en-CA"/>
              </w:rPr>
              <w:t>Patient population (ACS and high risk for UGIB) cannot be combined with other study populations.</w:t>
            </w:r>
          </w:p>
        </w:tc>
      </w:tr>
      <w:tr w:rsidR="000111AF" w14:paraId="30346FA3"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hideMark/>
          </w:tcPr>
          <w:p w14:paraId="4EA05A79" w14:textId="29990C71" w:rsidR="000111AF" w:rsidRPr="00D8429A" w:rsidRDefault="000111AF" w:rsidP="000111AF">
            <w:pPr>
              <w:rPr>
                <w:rFonts w:ascii="Calibri" w:eastAsia="Times New Roman" w:hAnsi="Calibri" w:cs="Times New Roman"/>
                <w:b w:val="0"/>
                <w:bCs w:val="0"/>
                <w:color w:val="000000"/>
                <w:sz w:val="18"/>
                <w:szCs w:val="18"/>
                <w:lang w:eastAsia="en-CA"/>
              </w:rPr>
            </w:pPr>
            <w:r w:rsidRPr="00D8429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{"citationItems":[{"id":"ITEM-1","itemData":{"ISBN":"0028-4793","ISSN":"1533-4406","abstract":"BACKGROUND: Gastrointestinal complications are an important problem of antithrombotic therapy. Proton-pump inhibitors (PPIs) are believed to decrease the risk of such complications, though no randomized trial has proved this in patients receiving dual antiplatelet therapy. Recently, concerns have been raised about the potential for PPIs to blunt the efficacy of clopidogrel., METHODS: We randomly assigned patients with an indication for dual antiplatelet therapy to receive clopidogrel in combination with either omeprazole or placebo, in addition to aspirin. The primary gastrointestinal end point was a composite of overt or occult bleeding, symptomatic gastroduodenal ulcers or erosions, obstruction, or perforation. The primary cardiovascular end point was a composite of death from cardiovascular causes, nonfatal myocardial infarction, revascularization, or stroke. The trial was terminated prematurely when the sponsor lost financing., RESULTS: We planned to enroll about 5000 patients; a total of 3873 were randomly assigned and 3761 were included in analyses. In all, 51 patients had a gastrointestinal event; the event rate was 1.1% with omeprazole and 2.9% with placebo at 180 days (hazard ratio with omeprazole, 0.34, 95% confidence interval [CI], 0.18 to 0.63; P&lt;0.001). The rate of overt upper gastrointestinal bleeding was also reduced with omeprazole as compared with placebo (hazard ratio, 0.13; 95% CI, 0.03 to 0.56; P = 0.001). A total of 109 patients had a cardiovascular event, with event rates of 4.9% with omeprazole and 5.7% with placebo (hazard ratio with omeprazole, 0.99; 95% CI, 0.68 to 1.44; P = 0.96); high-risk subgroups did not show significant heterogeneity. The two groups did not differ significantly in the rate of serious adverse events, though the risk of diarrhea was increased with omeprazole., CONCLUSIONS: Among patients receiving aspirin and clopidogrel, prophylactic use of a PPI reduced the rate of upper gastrointestinal bleeding. There was no apparent cardiovascular interaction between clopidogrel and omeprazole, but our results do not rule out a clinically meaningful difference in cardiovascular events due to use of a PPI. (Funded by Cogentus Pharmaceuticals; ClinicalTrials.gov number, NCT00557921.).","author":[{"dropping-particle":"","family":"Bhatt","given":"DL","non-dropping-particle":"","parse-names":false,"suffix":""},{"dropping-particle":"","family":"Contant","given":"CL","non-dropping-particle":"","parse-names":false,"suffix":""},{"dropping-particle":"","family":"Cohen","given":"M","non-dropping-particle":"","parse-names":false,"suffix":""},{"dropping-particle":"","family":"Lanas","given":"A","non-dropping-particle":"","parse-names":false,"suffix":""},{"dropping-particle":"","family":"Schnitzer","given":"TJ","non-dropping-particle":"","parse-names":false,"suffix":""},{"dropping-particle":"","family":"Shook","given":"TL","non-dropping-particle":"","parse-names":false,"suffix":""},{"dropping-particle":"","family":"Lapuerta","given":"P","non-dropping-particle":"","parse-names":false,"suffix":""},{"dropping-particle":"","family":"Goldsmith","given":"MA","non-dropping-particle":"","parse-names":false,"suffix":""},{"dropping-particle":"","family":"Laine","given":"L","non-dropping-particle":"","parse-names":false,"suffix":""},{"dropping-particle":"","family":"Scirica","given":"BM","non-dropping-particle":"","parse-names":false,"suffix":""},{"dropping-particle":"","family":"Murphy","given":"SA","non-dropping-particle":"","parse-names":false,"suffix":""},{"dropping-particle":"","family":"Cannon","given":"CP","non-dropping-particle":"","parse-names":false,"suffix":""},{"dropping-particle":"","family":"Cryer","given":"B L","non-dropping-particle":"","parse-names":false,"suffix":""}],"container-title":"New England Journal of Medicine","id":"ITEM-1","issue":"20","issued":{"date-parts":[["2010"]]},"note":"745\n\n\nFrom Duplicate 1 (Clopidogrel with or without omeprazole in coronary artery disease. - Bhatt, Deepak L; Cryer, Byron L; Contant, Charles F; Cohen, Marc; Lanas, Angel; Schnitzer, Thomas J; Shook, Thomas L; Lapuerta, Pablo; Goldsmith, Mark A; Laine, Loren; Scirica, Benjamin M; Murphy, Sabina A; Cannon, Christopher P; Investigators, COGENT)\n\nComment in: Evid Based Med. 2011 Oct;16(5):144-5; PMID: 21558563, Comment in: Ann Intern Med. 2011 Mar 15;154(6):JC3-7; PMID: 21403070, Comment in: N Engl J Med. 2011 Feb 17;364(7):681; author reply 682-3; PMID: 21323549, Comment in: Intern Emerg Med. 2011 Apr;6(2):159-60; PMID: 21369851, Comment in: N Engl J Med. 2011 Feb 17;364(7):681-2; author reply 682-3; PMID: 21323548, Comment in: N Engl J Med. 2010 Nov 11;363(20):1977; PMID: 21067412","page":"1909-1917","publisher":"Massachussetts Medical Society (860 Winter Street, Waltham MA 02451-1413, United States)","publisher-place":"United States","title":"Clopidogrel with or without omeprazole in coronary artery disease.","type":"article-journal","volume":"363"},"uris":["http://www.mendeley.com/documents/?uuid=a5736f52-75be-48eb-af60-5a3b5b5e5a44"]}],"mendeley":{"formattedCitation":"(Bhatt et al. 2010)","plainTextFormattedCitation":"(Bhatt et al. 2010)","previouslyFormattedCitation":"(Bhatt et al. 2010)"},"properties":{"noteIndex":0},"schema":"https://github.com/citation-style-language/schema/raw/master/csl-citation.json"}</w:instrText>
            </w:r>
            <w:r w:rsidRPr="00D8429A">
              <w:rPr>
                <w:rFonts w:ascii="Calibri" w:eastAsia="Times New Roman" w:hAnsi="Calibri" w:cs="Times New Roman"/>
                <w:color w:val="000000"/>
                <w:sz w:val="18"/>
                <w:szCs w:val="18"/>
                <w:lang w:eastAsia="en-CA"/>
              </w:rPr>
              <w:fldChar w:fldCharType="separate"/>
            </w:r>
            <w:r w:rsidRPr="00D8429A">
              <w:rPr>
                <w:rFonts w:ascii="Calibri" w:eastAsia="Times New Roman" w:hAnsi="Calibri" w:cs="Times New Roman"/>
                <w:b w:val="0"/>
                <w:bCs w:val="0"/>
                <w:noProof/>
                <w:color w:val="000000"/>
                <w:sz w:val="18"/>
                <w:szCs w:val="18"/>
                <w:lang w:eastAsia="en-CA"/>
              </w:rPr>
              <w:t>(Bhatt et al. 2010)</w:t>
            </w:r>
            <w:r w:rsidRPr="00D8429A">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dotted" w:sz="4" w:space="0" w:color="auto"/>
            </w:tcBorders>
            <w:vAlign w:val="center"/>
            <w:hideMark/>
          </w:tcPr>
          <w:p w14:paraId="78BBB24A" w14:textId="610214D8"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CA"/>
              </w:rPr>
            </w:pPr>
            <w:r>
              <w:rPr>
                <w:rFonts w:ascii="Calibri" w:eastAsia="Times New Roman" w:hAnsi="Calibri" w:cs="Calibri"/>
                <w:color w:val="000000"/>
                <w:sz w:val="18"/>
                <w:szCs w:val="18"/>
                <w:lang w:eastAsia="en-CA"/>
              </w:rPr>
              <w:t>Cardiovascular</w:t>
            </w:r>
            <w:r w:rsidRPr="00D8429A">
              <w:rPr>
                <w:rFonts w:ascii="Calibri" w:eastAsia="Times New Roman" w:hAnsi="Calibri" w:cs="Calibri"/>
                <w:color w:val="000000"/>
                <w:sz w:val="18"/>
                <w:szCs w:val="18"/>
                <w:lang w:eastAsia="en-CA"/>
              </w:rPr>
              <w:t xml:space="preserve"> mortality</w:t>
            </w:r>
          </w:p>
        </w:tc>
        <w:tc>
          <w:tcPr>
            <w:tcW w:w="5245" w:type="dxa"/>
            <w:tcBorders>
              <w:top w:val="dotted" w:sz="4" w:space="0" w:color="auto"/>
              <w:bottom w:val="dotted" w:sz="4" w:space="0" w:color="auto"/>
            </w:tcBorders>
            <w:vAlign w:val="center"/>
            <w:hideMark/>
          </w:tcPr>
          <w:p w14:paraId="53B3B505" w14:textId="40C0632C"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CA"/>
              </w:rPr>
            </w:pPr>
            <w:r>
              <w:rPr>
                <w:rFonts w:ascii="Calibri" w:eastAsia="Times New Roman" w:hAnsi="Calibri" w:cs="Calibri"/>
                <w:color w:val="000000"/>
                <w:sz w:val="18"/>
                <w:szCs w:val="18"/>
                <w:lang w:eastAsia="en-CA"/>
              </w:rPr>
              <w:t>Patient population (ACS patients) cannot be combined with other study populations.</w:t>
            </w:r>
          </w:p>
        </w:tc>
      </w:tr>
      <w:tr w:rsidR="000111AF" w14:paraId="3477792D"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hideMark/>
          </w:tcPr>
          <w:p w14:paraId="66AB8C7D" w14:textId="5A234B49" w:rsidR="000111AF" w:rsidRPr="00D8429A" w:rsidRDefault="000111AF" w:rsidP="000111AF">
            <w:pPr>
              <w:rPr>
                <w:rFonts w:ascii="Calibri" w:eastAsia="Times New Roman" w:hAnsi="Calibri" w:cs="Times New Roman"/>
                <w:b w:val="0"/>
                <w:bCs w:val="0"/>
                <w:color w:val="000000"/>
                <w:sz w:val="18"/>
                <w:szCs w:val="18"/>
                <w:lang w:eastAsia="en-CA"/>
              </w:rPr>
            </w:pPr>
            <w:r w:rsidRPr="00D8429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{"citationItems":[{"id":"ITEM-1","itemData":{"DOI":"10.1053/j.gastro.2010.11.056","ISSN":"0016-5085","author":[{"dropping-particle":"","family":"Hsu","given":"Ping I","non-dropping-particle":"","parse-names":false,"suffix":""},{"dropping-particle":"","family":"Lai","given":"Kwok Hung","non-dropping-particle":"","parse-names":false,"suffix":""},{"dropping-particle":"","family":"Liu","given":"Chun Peng","non-dropping-particle":"","parse-names":false,"suffix":""}],"container-title":"Gastroenterology","id":"ITEM-1","issue":"3","issued":{"date-parts":[["2011"]]},"page":"791-798","publisher":"Elsevier Inc.","title":"Esomeprazole With Clopidogrel Reduces Peptic Ulcer Recurrence , Compared With Clopidogrel Alone, in Patients With Atherosclerosis","type":"article-journal","volume":"140"},"uris":["http://www.mendeley.com/documents/?uuid=1c8407c6-7bfc-4efa-bd5e-8779cfc698dc"]}],"mendeley":{"formattedCitation":"(Hsu et al. 2011)","plainTextFormattedCitation":"(Hsu et al. 2011)","previouslyFormattedCitation":"(Hsu et al. 2011)"},"properties":{"noteIndex":0},"schema":"https://github.com/citation-style-language/schema/raw/master/csl-citation.json"}</w:instrText>
            </w:r>
            <w:r w:rsidRPr="00D8429A">
              <w:rPr>
                <w:rFonts w:ascii="Calibri" w:eastAsia="Times New Roman" w:hAnsi="Calibri" w:cs="Times New Roman"/>
                <w:color w:val="000000"/>
                <w:sz w:val="18"/>
                <w:szCs w:val="18"/>
                <w:lang w:eastAsia="en-CA"/>
              </w:rPr>
              <w:fldChar w:fldCharType="separate"/>
            </w:r>
            <w:r w:rsidRPr="00D8429A">
              <w:rPr>
                <w:rFonts w:ascii="Calibri" w:eastAsia="Times New Roman" w:hAnsi="Calibri" w:cs="Times New Roman"/>
                <w:b w:val="0"/>
                <w:bCs w:val="0"/>
                <w:noProof/>
                <w:color w:val="000000"/>
                <w:sz w:val="18"/>
                <w:szCs w:val="18"/>
                <w:lang w:eastAsia="en-CA"/>
              </w:rPr>
              <w:t>(Hsu et al. 2011)</w:t>
            </w:r>
            <w:r w:rsidRPr="00D8429A">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dotted" w:sz="4" w:space="0" w:color="auto"/>
            </w:tcBorders>
            <w:vAlign w:val="center"/>
            <w:hideMark/>
          </w:tcPr>
          <w:p w14:paraId="5E39942A" w14:textId="75BBE1D5"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CA"/>
              </w:rPr>
            </w:pPr>
            <w:r>
              <w:rPr>
                <w:rFonts w:ascii="Calibri" w:eastAsia="Times New Roman" w:hAnsi="Calibri" w:cs="Calibri"/>
                <w:color w:val="000000"/>
                <w:sz w:val="18"/>
                <w:szCs w:val="18"/>
                <w:lang w:eastAsia="en-CA"/>
              </w:rPr>
              <w:t>Cardiovascular</w:t>
            </w:r>
            <w:r w:rsidRPr="00D8429A">
              <w:rPr>
                <w:rFonts w:ascii="Calibri" w:eastAsia="Times New Roman" w:hAnsi="Calibri" w:cs="Calibri"/>
                <w:color w:val="000000"/>
                <w:sz w:val="18"/>
                <w:szCs w:val="18"/>
                <w:lang w:eastAsia="en-CA"/>
              </w:rPr>
              <w:t xml:space="preserve"> mortality</w:t>
            </w:r>
          </w:p>
        </w:tc>
        <w:tc>
          <w:tcPr>
            <w:tcW w:w="5245" w:type="dxa"/>
            <w:tcBorders>
              <w:top w:val="dotted" w:sz="4" w:space="0" w:color="auto"/>
              <w:bottom w:val="dotted" w:sz="4" w:space="0" w:color="auto"/>
            </w:tcBorders>
            <w:vAlign w:val="center"/>
            <w:hideMark/>
          </w:tcPr>
          <w:p w14:paraId="61F5F9A7" w14:textId="785F9C5B"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CA"/>
              </w:rPr>
            </w:pPr>
            <w:r>
              <w:rPr>
                <w:rFonts w:ascii="Calibri" w:eastAsia="Times New Roman" w:hAnsi="Calibri" w:cs="Calibri"/>
                <w:color w:val="000000"/>
                <w:sz w:val="18"/>
                <w:szCs w:val="18"/>
                <w:lang w:eastAsia="en-CA"/>
              </w:rPr>
              <w:t>Patient population (atherosclerosis patients with peptic ulcer history) cannot be combined with other study populations.</w:t>
            </w:r>
          </w:p>
        </w:tc>
      </w:tr>
      <w:tr w:rsidR="000111AF" w14:paraId="6D78DF79"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hideMark/>
          </w:tcPr>
          <w:p w14:paraId="66707056" w14:textId="5FBCF032" w:rsidR="000111AF" w:rsidRPr="00D8429A" w:rsidRDefault="000111AF" w:rsidP="000111AF">
            <w:pPr>
              <w:rPr>
                <w:rFonts w:ascii="Calibri" w:eastAsia="Times New Roman" w:hAnsi="Calibri" w:cs="Times New Roman"/>
                <w:b w:val="0"/>
                <w:bCs w:val="0"/>
                <w:color w:val="000000"/>
                <w:sz w:val="18"/>
                <w:szCs w:val="18"/>
                <w:lang w:eastAsia="en-CA"/>
              </w:rPr>
            </w:pPr>
            <w:r w:rsidRPr="00D8429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{"citationItems":[{"id":"ITEM-1","itemData":{"ISBN":"0028-4793","ISSN":"1533-4406","abstract":"BACKGROUND: Gastrointestinal complications are an important problem of antithrombotic therapy. Proton-pump inhibitors (PPIs) are believed to decrease the risk of such complications, though no randomized trial has proved this in patients receiving dual antiplatelet therapy. Recently, concerns have been raised about the potential for PPIs to blunt the efficacy of clopidogrel., METHODS: We randomly assigned patients with an indication for dual antiplatelet therapy to receive clopidogrel in combination with either omeprazole or placebo, in addition to aspirin. The primary gastrointestinal end point was a composite of overt or occult bleeding, symptomatic gastroduodenal ulcers or erosions, obstruction, or perforation. The primary cardiovascular end point was a composite of death from cardiovascular causes, nonfatal myocardial infarction, revascularization, or stroke. The trial was terminated prematurely when the sponsor lost financing., RESULTS: We planned to enroll about 5000 patients; a total of 3873 were randomly assigned and 3761 were included in analyses. In all, 51 patients had a gastrointestinal event; the event rate was 1.1% with omeprazole and 2.9% with placebo at 180 days (hazard ratio with omeprazole, 0.34, 95% confidence interval [CI], 0.18 to 0.63; P&lt;0.001). The rate of overt upper gastrointestinal bleeding was also reduced with omeprazole as compared with placebo (hazard ratio, 0.13; 95% CI, 0.03 to 0.56; P = 0.001). A total of 109 patients had a cardiovascular event, with event rates of 4.9% with omeprazole and 5.7% with placebo (hazard ratio with omeprazole, 0.99; 95% CI, 0.68 to 1.44; P = 0.96); high-risk subgroups did not show significant heterogeneity. The two groups did not differ significantly in the rate of serious adverse events, though the risk of diarrhea was increased with omeprazole., CONCLUSIONS: Among patients receiving aspirin and clopidogrel, prophylactic use of a PPI reduced the rate of upper gastrointestinal bleeding. There was no apparent cardiovascular interaction between clopidogrel and omeprazole, but our results do not rule out a clinically meaningful difference in cardiovascular events due to use of a PPI. (Funded by Cogentus Pharmaceuticals; ClinicalTrials.gov number, NCT00557921.).","author":[{"dropping-particle":"","family":"Bhatt","given":"DL","non-dropping-particle":"","parse-names":false,"suffix":""},{"dropping-particle":"","family":"Contant","given":"CL","non-dropping-particle":"","parse-names":false,"suffix":""},{"dropping-particle":"","family":"Cohen","given":"M","non-dropping-particle":"","parse-names":false,"suffix":""},{"dropping-particle":"","family":"Lanas","given":"A","non-dropping-particle":"","parse-names":false,"suffix":""},{"dropping-particle":"","family":"Schnitzer","given":"TJ","non-dropping-particle":"","parse-names":false,"suffix":""},{"dropping-particle":"","family":"Shook","given":"TL","non-dropping-particle":"","parse-names":false,"suffix":""},{"dropping-particle":"","family":"Lapuerta","given":"P","non-dropping-particle":"","parse-names":false,"suffix":""},{"dropping-particle":"","family":"Goldsmith","given":"MA","non-dropping-particle":"","parse-names":false,"suffix":""},{"dropping-particle":"","family":"Laine","given":"L","non-dropping-particle":"","parse-names":false,"suffix":""},{"dropping-particle":"","family":"Scirica","given":"BM","non-dropping-particle":"","parse-names":false,"suffix":""},{"dropping-particle":"","family":"Murphy","given":"SA","non-dropping-particle":"","parse-names":false,"suffix":""},{"dropping-particle":"","family":"Cannon","given":"CP","non-dropping-particle":"","parse-names":false,"suffix":""},{"dropping-particle":"","family":"Cryer","given":"B L","non-dropping-particle":"","parse-names":false,"suffix":""}],"container-title":"New England Journal of Medicine","id":"ITEM-1","issue":"20","issued":{"date-parts":[["2010"]]},"note":"745\n\n\nFrom Duplicate 1 (Clopidogrel with or without omeprazole in coronary artery disease. - Bhatt, Deepak L; Cryer, Byron L; Contant, Charles F; Cohen, Marc; Lanas, Angel; Schnitzer, Thomas J; Shook, Thomas L; Lapuerta, Pablo; Goldsmith, Mark A; Laine, Loren; Scirica, Benjamin M; Murphy, Sabina A; Cannon, Christopher P; Investigators, COGENT)\n\nComment in: Evid Based Med. 2011 Oct;16(5):144-5; PMID: 21558563, Comment in: Ann Intern Med. 2011 Mar 15;154(6):JC3-7; PMID: 21403070, Comment in: N Engl J Med. 2011 Feb 17;364(7):681; author reply 682-3; PMID: 21323549, Comment in: Intern Emerg Med. 2011 Apr;6(2):159-60; PMID: 21369851, Comment in: N Engl J Med. 2011 Feb 17;364(7):681-2; author reply 682-3; PMID: 21323548, Comment in: N Engl J Med. 2010 Nov 11;363(20):1977; PMID: 21067412","page":"1909-1917","publisher":"Massachussetts Medical Society (860 Winter Street, Waltham MA 02451-1413, United States)","publisher-place":"United States","title":"Clopidogrel with or without omeprazole in coronary artery disease.","type":"article-journal","volume":"363"},"uris":["http://www.mendeley.com/documents/?uuid=a5736f52-75be-48eb-af60-5a3b5b5e5a44"]}],"mendeley":{"formattedCitation":"(Bhatt et al. 2010)","plainTextFormattedCitation":"(Bhatt et al. 2010)","previouslyFormattedCitation":"(Bhatt et al. 2010)"},"properties":{"noteIndex":0},"schema":"https://github.com/citation-style-language/schema/raw/master/csl-citation.json"}</w:instrText>
            </w:r>
            <w:r w:rsidRPr="00D8429A">
              <w:rPr>
                <w:rFonts w:ascii="Calibri" w:eastAsia="Times New Roman" w:hAnsi="Calibri" w:cs="Times New Roman"/>
                <w:color w:val="000000"/>
                <w:sz w:val="18"/>
                <w:szCs w:val="18"/>
                <w:lang w:eastAsia="en-CA"/>
              </w:rPr>
              <w:fldChar w:fldCharType="separate"/>
            </w:r>
            <w:r w:rsidRPr="00D8429A">
              <w:rPr>
                <w:rFonts w:ascii="Calibri" w:eastAsia="Times New Roman" w:hAnsi="Calibri" w:cs="Times New Roman"/>
                <w:b w:val="0"/>
                <w:bCs w:val="0"/>
                <w:noProof/>
                <w:color w:val="000000"/>
                <w:sz w:val="18"/>
                <w:szCs w:val="18"/>
                <w:lang w:eastAsia="en-CA"/>
              </w:rPr>
              <w:t>(Bhatt et al. 2010)</w:t>
            </w:r>
            <w:r w:rsidRPr="00D8429A">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dotted" w:sz="4" w:space="0" w:color="auto"/>
            </w:tcBorders>
            <w:vAlign w:val="center"/>
            <w:hideMark/>
          </w:tcPr>
          <w:p w14:paraId="02928DE7" w14:textId="0097E380"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Stroke</w:t>
            </w:r>
          </w:p>
        </w:tc>
        <w:tc>
          <w:tcPr>
            <w:tcW w:w="5245" w:type="dxa"/>
            <w:tcBorders>
              <w:top w:val="dotted" w:sz="4" w:space="0" w:color="auto"/>
              <w:bottom w:val="dotted" w:sz="4" w:space="0" w:color="auto"/>
            </w:tcBorders>
            <w:vAlign w:val="center"/>
            <w:hideMark/>
          </w:tcPr>
          <w:p w14:paraId="4B5A97A8" w14:textId="72B9D62B"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18"/>
                <w:szCs w:val="18"/>
                <w:lang w:eastAsia="en-CA"/>
              </w:rPr>
            </w:pPr>
            <w:r>
              <w:rPr>
                <w:rFonts w:ascii="Calibri" w:eastAsia="Times New Roman" w:hAnsi="Calibri" w:cs="Calibri"/>
                <w:color w:val="000000"/>
                <w:sz w:val="18"/>
                <w:szCs w:val="18"/>
                <w:lang w:eastAsia="en-CA"/>
              </w:rPr>
              <w:t>Patient population (ACS patients) cannot be combined with other study populations.</w:t>
            </w:r>
          </w:p>
        </w:tc>
      </w:tr>
      <w:tr w:rsidR="000111AF" w14:paraId="44F51B17"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single" w:sz="4" w:space="0" w:color="auto"/>
            </w:tcBorders>
            <w:vAlign w:val="center"/>
            <w:hideMark/>
          </w:tcPr>
          <w:p w14:paraId="512214D3" w14:textId="33315B50" w:rsidR="000111AF" w:rsidRPr="00D8429A" w:rsidRDefault="000111AF" w:rsidP="000111AF">
            <w:pPr>
              <w:rPr>
                <w:rFonts w:ascii="Calibri" w:eastAsia="Times New Roman" w:hAnsi="Calibri" w:cs="Times New Roman"/>
                <w:b w:val="0"/>
                <w:bCs w:val="0"/>
                <w:color w:val="000000"/>
                <w:sz w:val="18"/>
                <w:szCs w:val="18"/>
                <w:lang w:eastAsia="en-CA"/>
              </w:rPr>
            </w:pPr>
            <w:r w:rsidRPr="00D8429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{"citationItems":[{"id":"ITEM-1","itemData":{"DOI":"10.1053/j.gastro.2010.11.056","ISSN":"0016-5085","author":[{"dropping-particle":"","family":"Hsu","given":"Ping I","non-dropping-particle":"","parse-names":false,"suffix":""},{"dropping-particle":"","family":"Lai","given":"Kwok Hung","non-dropping-particle":"","parse-names":false,"suffix":""},{"dropping-particle":"","family":"Liu","given":"Chun Peng","non-dropping-particle":"","parse-names":false,"suffix":""}],"container-title":"Gastroenterology","id":"ITEM-1","issue":"3","issued":{"date-parts":[["2011"]]},"page":"791-798","publisher":"Elsevier Inc.","title":"Esomeprazole With Clopidogrel Reduces Peptic Ulcer Recurrence , Compared With Clopidogrel Alone, in Patients With Atherosclerosis","type":"article-journal","volume":"140"},"uris":["http://www.mendeley.com/documents/?uuid=1c8407c6-7bfc-4efa-bd5e-8779cfc698dc"]}],"mendeley":{"formattedCitation":"(Hsu et al. 2011)","plainTextFormattedCitation":"(Hsu et al. 2011)","previouslyFormattedCitation":"(Hsu et al. 2011)"},"properties":{"noteIndex":0},"schema":"https://github.com/citation-style-language/schema/raw/master/csl-citation.json"}</w:instrText>
            </w:r>
            <w:r w:rsidRPr="00D8429A">
              <w:rPr>
                <w:rFonts w:ascii="Calibri" w:eastAsia="Times New Roman" w:hAnsi="Calibri" w:cs="Times New Roman"/>
                <w:color w:val="000000"/>
                <w:sz w:val="18"/>
                <w:szCs w:val="18"/>
                <w:lang w:eastAsia="en-CA"/>
              </w:rPr>
              <w:fldChar w:fldCharType="separate"/>
            </w:r>
            <w:r w:rsidRPr="00D8429A">
              <w:rPr>
                <w:rFonts w:ascii="Calibri" w:eastAsia="Times New Roman" w:hAnsi="Calibri" w:cs="Times New Roman"/>
                <w:b w:val="0"/>
                <w:bCs w:val="0"/>
                <w:noProof/>
                <w:color w:val="000000"/>
                <w:sz w:val="18"/>
                <w:szCs w:val="18"/>
                <w:lang w:eastAsia="en-CA"/>
              </w:rPr>
              <w:t>(Hsu et al. 2011)</w:t>
            </w:r>
            <w:r w:rsidRPr="00D8429A">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single" w:sz="4" w:space="0" w:color="auto"/>
            </w:tcBorders>
            <w:vAlign w:val="center"/>
            <w:hideMark/>
          </w:tcPr>
          <w:p w14:paraId="2385C3D6" w14:textId="62A88B34"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CA"/>
              </w:rPr>
            </w:pPr>
            <w:r>
              <w:rPr>
                <w:rFonts w:ascii="Calibri" w:eastAsia="Times New Roman" w:hAnsi="Calibri" w:cs="Calibri"/>
                <w:color w:val="000000"/>
                <w:sz w:val="18"/>
                <w:szCs w:val="18"/>
                <w:lang w:eastAsia="en-CA"/>
              </w:rPr>
              <w:t xml:space="preserve">Stroke </w:t>
            </w:r>
          </w:p>
        </w:tc>
        <w:tc>
          <w:tcPr>
            <w:tcW w:w="5245" w:type="dxa"/>
            <w:tcBorders>
              <w:top w:val="dotted" w:sz="4" w:space="0" w:color="auto"/>
              <w:bottom w:val="single" w:sz="4" w:space="0" w:color="auto"/>
            </w:tcBorders>
            <w:vAlign w:val="center"/>
            <w:hideMark/>
          </w:tcPr>
          <w:p w14:paraId="5DB6B2C5" w14:textId="56E3D175"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18"/>
                <w:szCs w:val="18"/>
                <w:lang w:eastAsia="en-CA"/>
              </w:rPr>
            </w:pPr>
            <w:r>
              <w:rPr>
                <w:rFonts w:ascii="Calibri" w:eastAsia="Times New Roman" w:hAnsi="Calibri" w:cs="Calibri"/>
                <w:color w:val="000000"/>
                <w:sz w:val="18"/>
                <w:szCs w:val="18"/>
                <w:lang w:eastAsia="en-CA"/>
              </w:rPr>
              <w:t>Patient population (atherosclerosis patients with peptic ulcer history) cannot be combined with other study populations.</w:t>
            </w:r>
          </w:p>
        </w:tc>
      </w:tr>
      <w:tr w:rsidR="000111AF" w:rsidRPr="00E3102A" w14:paraId="33C347E4"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4961" w:type="dxa"/>
            <w:gridSpan w:val="2"/>
            <w:tcBorders>
              <w:top w:val="single" w:sz="4" w:space="0" w:color="auto"/>
              <w:bottom w:val="single" w:sz="4" w:space="0" w:color="auto"/>
            </w:tcBorders>
            <w:shd w:val="clear" w:color="auto" w:fill="DEEAF6" w:themeFill="accent1" w:themeFillTint="33"/>
            <w:vAlign w:val="center"/>
          </w:tcPr>
          <w:p w14:paraId="3DB4E822" w14:textId="5D5F2676" w:rsidR="000111AF" w:rsidRPr="00E3102A" w:rsidRDefault="000111AF" w:rsidP="000111AF">
            <w:pPr>
              <w:rPr>
                <w:rFonts w:ascii="Calibri" w:eastAsia="Times New Roman" w:hAnsi="Calibri" w:cs="Calibri"/>
                <w:color w:val="000000"/>
                <w:sz w:val="18"/>
                <w:szCs w:val="18"/>
                <w:lang w:eastAsia="en-CA"/>
              </w:rPr>
            </w:pPr>
            <w:r w:rsidRPr="00E3102A">
              <w:rPr>
                <w:rFonts w:ascii="Calibri" w:eastAsia="Times New Roman" w:hAnsi="Calibri" w:cs="Times New Roman"/>
                <w:color w:val="000000"/>
                <w:sz w:val="18"/>
                <w:szCs w:val="18"/>
                <w:lang w:eastAsia="en-CA"/>
              </w:rPr>
              <w:t>Group C – observational studies</w:t>
            </w:r>
          </w:p>
        </w:tc>
        <w:tc>
          <w:tcPr>
            <w:tcW w:w="5245" w:type="dxa"/>
            <w:tcBorders>
              <w:top w:val="single" w:sz="4" w:space="0" w:color="auto"/>
              <w:bottom w:val="single" w:sz="4" w:space="0" w:color="auto"/>
            </w:tcBorders>
            <w:shd w:val="clear" w:color="auto" w:fill="DEEAF6" w:themeFill="accent1" w:themeFillTint="33"/>
            <w:vAlign w:val="center"/>
          </w:tcPr>
          <w:p w14:paraId="603A32FF" w14:textId="77777777" w:rsidR="000111AF" w:rsidRPr="00E3102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sz w:val="18"/>
                <w:szCs w:val="18"/>
                <w:lang w:eastAsia="en-CA"/>
              </w:rPr>
            </w:pPr>
          </w:p>
        </w:tc>
      </w:tr>
      <w:tr w:rsidR="000111AF" w14:paraId="40705FB0"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dotted" w:sz="4" w:space="0" w:color="auto"/>
            </w:tcBorders>
            <w:vAlign w:val="center"/>
            <w:hideMark/>
          </w:tcPr>
          <w:p w14:paraId="0A1D0DF0" w14:textId="66DD4F54" w:rsidR="000111AF" w:rsidRPr="00D8429A" w:rsidRDefault="000111AF" w:rsidP="000111AF">
            <w:pPr>
              <w:rPr>
                <w:rFonts w:ascii="Calibri" w:eastAsia="Times New Roman" w:hAnsi="Calibri" w:cs="Calibri"/>
                <w:b w:val="0"/>
                <w:bCs w:val="0"/>
                <w:color w:val="000000"/>
                <w:sz w:val="18"/>
                <w:szCs w:val="18"/>
                <w:lang w:eastAsia="en-CA"/>
              </w:rPr>
            </w:pPr>
            <w:r w:rsidRPr="00D8429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{"citationItems":[{"id":"ITEM-1","itemData":{"ISSN":"1756-1833","abstract":"OBJECTIVE: To examine the effect of proton pump inhibitors on adverse cardiovascular events in aspirin treated patients with first time myocardial infarction., DESIGN: Retrospective nationwide propensity score matched study based on administrative data. Setting All hospitals in Denmark., PARTICIPANTS: All aspirin treated patients surviving 30 days after a first myocardial infarction from 1997 to 2006, with follow-up for one year. Patients treated with clopidogrel were excluded., MAIN OUTCOME MEASURES: The risk of the combined end point of cardiovascular death, myocardial infarction, or stroke associated with use of proton pump inhibitors was analysed using Kaplan-Meier analysis, Cox proportional hazard models, and propensity score matched Cox proportional hazard models. Results 3366 of 19,925 (16.9%) aspirin treated patients experienced recurrent myocardial infarction, stroke, or cardiovascular death. The hazard ratio for the combined end point in patients receiving proton pump inhibitors based on the time dependent Cox proportional hazard model was 1.46 (1.33 to 1.61; P&lt;0.001) and for the propensity score matched model based on 8318 patients it was 1.61 (1.45 to 1.79; P&lt;0.001). A sensitivity analysis showed no increase in risk related to use of H(2) receptor blockers (1.04, 0.79 to 1.38; P=0.78). Conclusion In aspirin treated patients with first time myocardial infarction, treatment with proton pump inhibitors was associated with an increased risk of adverse cardiovascular events.","author":[{"dropping-particle":"","family":"Charlot","given":"M","non-dropping-particle":"","parse-names":false,"suffix":""},{"dropping-particle":"","family":"Grove","given":"G","non-dropping-particle":"","parse-names":false,"suffix":""},{"dropping-particle":"","family":"Hansen","given":"P","non-dropping-particle":"","parse-names":false,"suffix":""},{"dropping-particle":"","family":"Olesen","given":"J","non-dropping-particle":"","parse-names":false,"suffix":""},{"dropping-particle":"","family":"Ahlehoff","given":"O","non-dropping-particle":"","parse-names":false,"suffix":""},{"dropping-particle":"","family":"Selmer","given":"C","non-dropping-particle":"","parse-names":false,"suffix":""},{"dropping-particle":"","family":"Lindhardsen","given":"J","non-dropping-particle":"","parse-names":false,"suffix":""},{"dropping-particle":"","family":"Madsen","given":"J","non-dropping-particle":"","parse-names":false,"suffix":""},{"dropping-particle":"","family":"Kober","given":"L","non-dropping-particle":"","parse-names":false,"suffix":""},{"dropping-particle":"","family":"Torp-Pedersen","given":"C","non-dropping-particle":"","parse-names":false,"suffix":""},{"dropping-particle":"","family":"Gislason","given":"G","non-dropping-particle":"","parse-names":false,"suffix":""}],"container-title":"BMJ (Clinical research ed.)","id":"ITEM-1","issue":"7807","issued":{"date-parts":[["2011"]]},"note":"623\n\nFrom Duplicate 1 (Proton pump inhibitor use and risk of adverse cardiovascular events in aspirin treated patients with first time myocardial infarction: nationwide propensity score matched study. - Charlot, Mette; Grove, Erik L; Hansen, Peter Riis; Olesen, Jonas B; Ahlehoff, Ole; Selmer, Christian; Lindhardsen, Jesper; Madsen, Jan Kyst; Kober, Lars; Torp-Pedersen, Christian; Gislason, Gunnar H)\n\nComment in: Evid Based Med. 2012 Feb;17(1):33-4; PMID: 22108076","page":"d2690","publisher":"Charlot,Mette. Department of Cardiology, Copenhagen University Hospital Gentofte, Post 635, Niels Andersens Vej 65, 2900 Hellerup, Denmark. mc@heart.dk","publisher-place":"England","title":"Proton pump inhibitor use and risk of adverse cardiovascular events in aspirin treated patients with first time myocardial infarction: nationwide propensity score matched study.","type":"article-journal","volume":"342"},"uris":["http://www.mendeley.com/documents/?uuid=d72f3c9d-85c8-46e7-92be-56831867e69a"]}],"mendeley":{"formattedCitation":"(Charlot et al. 2011)","plainTextFormattedCitation":"(Charlot et al. 2011)","previouslyFormattedCitation":"(Charlot et al. 2011)"},"properties":{"noteIndex":0},"schema":"https://github.com/citation-style-language/schema/raw/master/csl-citation.json"}</w:instrText>
            </w:r>
            <w:r w:rsidRPr="00D8429A">
              <w:rPr>
                <w:rFonts w:ascii="Calibri" w:eastAsia="Times New Roman" w:hAnsi="Calibri" w:cs="Times New Roman"/>
                <w:color w:val="000000"/>
                <w:sz w:val="18"/>
                <w:szCs w:val="18"/>
                <w:lang w:eastAsia="en-CA"/>
              </w:rPr>
              <w:fldChar w:fldCharType="separate"/>
            </w:r>
            <w:r w:rsidRPr="00D8429A">
              <w:rPr>
                <w:rFonts w:ascii="Calibri" w:eastAsia="Times New Roman" w:hAnsi="Calibri" w:cs="Times New Roman"/>
                <w:b w:val="0"/>
                <w:bCs w:val="0"/>
                <w:noProof/>
                <w:color w:val="000000"/>
                <w:sz w:val="18"/>
                <w:szCs w:val="18"/>
                <w:lang w:eastAsia="en-CA"/>
              </w:rPr>
              <w:t>(Charlot et al. 2011)</w:t>
            </w:r>
            <w:r w:rsidRPr="00D8429A">
              <w:rPr>
                <w:rFonts w:ascii="Calibri" w:eastAsia="Times New Roman" w:hAnsi="Calibri" w:cs="Times New Roman"/>
                <w:color w:val="000000"/>
                <w:sz w:val="18"/>
                <w:szCs w:val="18"/>
                <w:lang w:eastAsia="en-CA"/>
              </w:rPr>
              <w:fldChar w:fldCharType="end"/>
            </w:r>
          </w:p>
        </w:tc>
        <w:tc>
          <w:tcPr>
            <w:tcW w:w="2126" w:type="dxa"/>
            <w:tcBorders>
              <w:top w:val="single" w:sz="4" w:space="0" w:color="auto"/>
              <w:bottom w:val="dotted" w:sz="4" w:space="0" w:color="auto"/>
            </w:tcBorders>
            <w:vAlign w:val="center"/>
            <w:hideMark/>
          </w:tcPr>
          <w:p w14:paraId="17AC55BB" w14:textId="58883476"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 myocardial infarction and cardiovascular mortality</w:t>
            </w:r>
          </w:p>
        </w:tc>
        <w:tc>
          <w:tcPr>
            <w:tcW w:w="5245" w:type="dxa"/>
            <w:tcBorders>
              <w:top w:val="single" w:sz="4" w:space="0" w:color="auto"/>
              <w:bottom w:val="dotted" w:sz="4" w:space="0" w:color="auto"/>
            </w:tcBorders>
            <w:vAlign w:val="center"/>
            <w:hideMark/>
          </w:tcPr>
          <w:p w14:paraId="49619A7C" w14:textId="7CE756E8"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en-CA"/>
              </w:rPr>
            </w:pPr>
            <w:r w:rsidRPr="00D8429A">
              <w:rPr>
                <w:rFonts w:ascii="Calibri" w:eastAsia="Times New Roman" w:hAnsi="Calibri" w:cs="Calibri"/>
                <w:sz w:val="18"/>
                <w:szCs w:val="18"/>
                <w:lang w:eastAsia="en-CA"/>
              </w:rPr>
              <w:t>Different intervention</w:t>
            </w:r>
            <w:r>
              <w:rPr>
                <w:rFonts w:ascii="Calibri" w:eastAsia="Times New Roman" w:hAnsi="Calibri" w:cs="Calibri"/>
                <w:sz w:val="18"/>
                <w:szCs w:val="18"/>
                <w:lang w:eastAsia="en-CA"/>
              </w:rPr>
              <w:t>s across studies.</w:t>
            </w:r>
          </w:p>
        </w:tc>
      </w:tr>
      <w:tr w:rsidR="000111AF" w14:paraId="6C93DE6B"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hideMark/>
          </w:tcPr>
          <w:p w14:paraId="03722CA8" w14:textId="37E6742B" w:rsidR="000111AF" w:rsidRPr="00D8429A" w:rsidRDefault="000111AF" w:rsidP="000111AF">
            <w:pPr>
              <w:rPr>
                <w:rFonts w:ascii="Calibri" w:eastAsia="Times New Roman" w:hAnsi="Calibri" w:cs="Calibri"/>
                <w:b w:val="0"/>
                <w:bCs w:val="0"/>
                <w:color w:val="000000"/>
                <w:sz w:val="18"/>
                <w:szCs w:val="18"/>
                <w:lang w:eastAsia="en-CA"/>
              </w:rPr>
            </w:pPr>
            <w:r w:rsidRPr="00D8429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{"citationItems":[{"id":"ITEM-1","itemData":{"ISSN":"1474-547X","abstract":"BACKGROUND: Proton-pump inhibitors (PPIs) are often prescribed in combination with thienopyridines. Conflicting data exist as to whether PPIs diminish the efficacy of clopidogrel. We assessed the association between PPI use, measures of platelet function, and clinical outcomes for patients treated with clopidogrel or prasugrel., METHODS: In the PRINCIPLE-TIMI 44 trial, the primary outcome was inhibition of platelet aggregation at 6 h assessed by light-transmission aggregometry. In the TRITON-TIMI 38 trial, the primary endpoint was the composite of cardiovascular death, myocardial infarction, or stroke. In both studies, PPI use was at physician's discretion. We used a multivariable Cox model with propensity score to assess the association of PPI use with clinical outcomes., FINDINGS: In the PRINCIPLE-TIMI 44 trial, 201 patients undergoing elective percutaneous coronary intervention were randomly assigned to prasugrel (n=102) or high-dose clopidogrel (n=99). Mean inhibition of platelet aggregation was significantly lower for patients on a PPI than for those not on a PPI at 6 h after a 600 mg clopidogrel loading dose (23.2+/-19.5% vs 35.2+/-20.9%, p=0.02), whereas a more modest difference was seen with and without a PPI after a 60 mg loading dose of prasugrel (69.6+/-13.5% vs 76.7+/-12.4%, p=0.054). In the TRITON-TIMI 38 trial, 13,608 patients with an acute coronary syndrome were randomly assigned to prasugrel (n=6813) or clopidogrel (n=6795). In this study, 33% (n=4529) of patients were on a PPI at randomisation. No association existed between PPI use and risk of the primary endpoint for patients treated with clopidogrel (adjusted hazard ratio [HR] 0.94, 95% CI 0.80-1.11) or prasugrel (1.00, 0.84-1.20)., INTERPRETATION: The current findings do not support the need to avoid concomitant use of PPIs, when clinically indicated, in patients receiving clopidogrel or prasugrel., FUNDING: Daiichi Sankyo Company Limited and Eli Lilly and Company sponsored the trials. This analysis had no funding.","author":[{"dropping-particle":"","family":"O'Donoghue","given":"Michelle L","non-dropping-particle":"","parse-names":false,"suffix":""},{"dropping-particle":"","family":"Braunwald","given":"Eugene","non-dropping-particle":"","parse-names":false,"suffix":""},{"dropping-particle":"","family":"Antman","given":"Elliott M","non-dropping-particle":"","parse-names":false,"suffix":""},{"dropping-particle":"","family":"Murphy","given":"Sabina A","non-dropping-particle":"","parse-names":false,"suffix":""},{"dropping-particle":"","family":"Bates","given":"Eric R","non-dropping-particle":"","parse-names":false,"suffix":""},{"dropping-particle":"","family":"Rozenman","given":"Yoseph","non-dropping-particle":"","parse-names":false,"suffix":""},{"dropping-particle":"","family":"Michelson","given":"Alan D","non-dropping-particle":"","parse-names":false,"suffix":""},{"dropping-particle":"","family":"Hautvast","given":"Raymond W","non-dropping-particle":"","parse-names":false,"suffix":""},{"dropping-particle":"","family":"Lee","given":"Peter N","non-dropping-particle":"Ver","parse-names":false,"suffix":""},{"dropping-particle":"","family":"Close","given":"Sandra L","non-dropping-particle":"","parse-names":false,"suffix":""},{"dropping-particle":"","family":"Shen","given":"Lei","non-dropping-particle":"","parse-names":false,"suffix":""},{"dropping-particle":"","family":"Mega","given":"Jessica L","non-dropping-particle":"","parse-names":false,"suffix":""},{"dropping-particle":"","family":"Sabatine","given":"Marc S","non-dropping-particle":"","parse-names":false,"suffix":""},{"dropping-particle":"","family":"Wiviott","given":"Stephen D","non-dropping-particle":"","parse-names":false,"suffix":""}],"container-title":"Lancet","id":"ITEM-1","issue":"9694","issued":{"date-parts":[["2009"]]},"note":"From Duplicate 1 (Pharmacodynamic effect and clinical efficacy of clopidogrel and prasugrel with or without a proton-pump inhibitor: an analysis of two randomised trials. - O'Donoghue, Michelle L; Braunwald, Eugene; Antman, Elliott M; Murphy, Sabina A; Bates, Eric R; Rozenman, Yoseph; Michelson, Alan D; Hautvast, Raymond W; Ver Lee, Peter N; Close, Sandra L; Shen, Lei; Mega, Jessica L; Sabatine, Marc S; Wiviott, Stephen D)\n\nComment in: Lancet. 2010 Jan 2;375(9708):28; author reply 28-9; PMID: 20109858, Comment in: Lancet. 2009 Sep 19;374(9694):952-4; PMID: 19726077, Comment in: Lancet. 2010 Jan 2;375(9708):27-8; author reply 28-9; PMID: 20109855\n\nFrom Duplicate 2 (Pharmacodynamic effect and clinical efficacy of clopidogrel and prasugrel with or without a proton-pump inhibitor: an analysis of two randomised trials. - O'Donoghue, Michelle L; Braunwald, Eugene; Antman, Elliott M; Murphy, Sabina A; Bates, Eric R; Rozenman, Yoseph; Michelson, Alan D; Hautvast, Raymond W; Ver Lee, Peter N; Close, Sandra L; Shen, Lei; Mega, Jessica L; Sabatine, Marc S; Wiviott, Stephen D)\n\nComment in: Lancet. 2009 Sep 19;374(9694):952-4; PMID: 19726077, Comment in: Lancet. 2010 Jan 2;375(9708):27-8; author reply 28-9; PMID: 20109855, Comment in: Lancet. 2010 Jan 2;375(9708):28; author reply 28-9; PMID: 20109858","page":"989-997","publisher":"O'Donoghue,Michelle L. TIMI Study Group, Brigham and Women's Hospital, Boston, MA 02115, USA. modonoghue@partners.org","publisher-place":"England","title":"Pharmacodynamic effect and clinical efficacy of clopidogrel and prasugrel with or without a proton-pump inhibitor: an analysis of two randomised trials.","type":"article-journal","volume":"374"},"uris":["http://www.mendeley.com/documents/?uuid=4c8ff788-289a-4c43-b36e-2a2df4412ead"]}],"mendeley":{"formattedCitation":"(O’Donoghue et al. 2009)","plainTextFormattedCitation":"(O’Donoghue et al. 2009)","previouslyFormattedCitation":"(O’Donoghue et al. 2009)"},"properties":{"noteIndex":0},"schema":"https://github.com/citation-style-language/schema/raw/master/csl-citation.json"}</w:instrText>
            </w:r>
            <w:r w:rsidRPr="00D8429A">
              <w:rPr>
                <w:rFonts w:ascii="Calibri" w:eastAsia="Times New Roman" w:hAnsi="Calibri" w:cs="Times New Roman"/>
                <w:color w:val="000000"/>
                <w:sz w:val="18"/>
                <w:szCs w:val="18"/>
                <w:lang w:eastAsia="en-CA"/>
              </w:rPr>
              <w:fldChar w:fldCharType="separate"/>
            </w:r>
            <w:r w:rsidRPr="00D8429A">
              <w:rPr>
                <w:rFonts w:ascii="Calibri" w:eastAsia="Times New Roman" w:hAnsi="Calibri" w:cs="Times New Roman"/>
                <w:b w:val="0"/>
                <w:bCs w:val="0"/>
                <w:noProof/>
                <w:color w:val="000000"/>
                <w:sz w:val="18"/>
                <w:szCs w:val="18"/>
                <w:lang w:eastAsia="en-CA"/>
              </w:rPr>
              <w:t>(O’Donoghue et al. 2009)</w:t>
            </w:r>
            <w:r w:rsidRPr="00D8429A">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dotted" w:sz="4" w:space="0" w:color="auto"/>
            </w:tcBorders>
            <w:vAlign w:val="center"/>
            <w:hideMark/>
          </w:tcPr>
          <w:p w14:paraId="4E27EBF1" w14:textId="344C096F"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 myocardial infarction and cardiovascular mortality</w:t>
            </w:r>
          </w:p>
        </w:tc>
        <w:tc>
          <w:tcPr>
            <w:tcW w:w="5245" w:type="dxa"/>
            <w:tcBorders>
              <w:top w:val="dotted" w:sz="4" w:space="0" w:color="auto"/>
              <w:bottom w:val="dotted" w:sz="4" w:space="0" w:color="auto"/>
            </w:tcBorders>
            <w:vAlign w:val="center"/>
            <w:hideMark/>
          </w:tcPr>
          <w:p w14:paraId="6C935E41" w14:textId="3D69EECF" w:rsidR="000111AF" w:rsidRPr="00D8429A"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CA"/>
              </w:rPr>
            </w:pPr>
            <w:r w:rsidRPr="00D8429A">
              <w:rPr>
                <w:rFonts w:ascii="Calibri" w:eastAsia="Times New Roman" w:hAnsi="Calibri" w:cs="Calibri"/>
                <w:sz w:val="18"/>
                <w:szCs w:val="18"/>
                <w:lang w:eastAsia="en-CA"/>
              </w:rPr>
              <w:t>Different intervention</w:t>
            </w:r>
            <w:r>
              <w:rPr>
                <w:rFonts w:ascii="Calibri" w:eastAsia="Times New Roman" w:hAnsi="Calibri" w:cs="Calibri"/>
                <w:sz w:val="18"/>
                <w:szCs w:val="18"/>
                <w:lang w:eastAsia="en-CA"/>
              </w:rPr>
              <w:t>s across studies.</w:t>
            </w:r>
          </w:p>
        </w:tc>
      </w:tr>
      <w:tr w:rsidR="000111AF" w14:paraId="54B36AB9"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single" w:sz="4" w:space="0" w:color="auto"/>
            </w:tcBorders>
            <w:shd w:val="clear" w:color="auto" w:fill="auto"/>
            <w:vAlign w:val="center"/>
          </w:tcPr>
          <w:p w14:paraId="7FC8A3FB" w14:textId="457E695B" w:rsidR="000111AF" w:rsidRPr="00E3102A" w:rsidRDefault="000111AF" w:rsidP="000111AF">
            <w:pPr>
              <w:rPr>
                <w:rFonts w:ascii="Calibri" w:eastAsia="Times New Roman" w:hAnsi="Calibri" w:cs="Times New Roman"/>
                <w:b w:val="0"/>
                <w:bCs w:val="0"/>
                <w:color w:val="000000"/>
                <w:sz w:val="18"/>
                <w:szCs w:val="18"/>
                <w:lang w:eastAsia="en-CA"/>
              </w:rPr>
            </w:pPr>
            <w:r w:rsidRPr="00E3102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{"citationItems":[{"id":"ITEM-1","itemData":{"ISSN":"1756-1833","abstract":"OBJECTIVE: To examine the effect of proton pump inhibitors on adverse cardiovascular events in aspirin treated patients with first time myocardial infarction., DESIGN: Retrospective nationwide propensity score matched study based on administrative data. Setting All hospitals in Denmark., PARTICIPANTS: All aspirin treated patients surviving 30 days after a first myocardial infarction from 1997 to 2006, with follow-up for one year. Patients treated with clopidogrel were excluded., MAIN OUTCOME MEASURES: The risk of the combined end point of cardiovascular death, myocardial infarction, or stroke associated with use of proton pump inhibitors was analysed using Kaplan-Meier analysis, Cox proportional hazard models, and propensity score matched Cox proportional hazard models. Results 3366 of 19,925 (16.9%) aspirin treated patients experienced recurrent myocardial infarction, stroke, or cardiovascular death. The hazard ratio for the combined end point in patients receiving proton pump inhibitors based on the time dependent Cox proportional hazard model was 1.46 (1.33 to 1.61; P&lt;0.001) and for the propensity score matched model based on 8318 patients it was 1.61 (1.45 to 1.79; P&lt;0.001). A sensitivity analysis showed no increase in risk related to use of H(2) receptor blockers (1.04, 0.79 to 1.38; P=0.78). Conclusion In aspirin treated patients with first time myocardial infarction, treatment with proton pump inhibitors was associated with an increased risk of adverse cardiovascular events.","author":[{"dropping-particle":"","family":"Charlot","given":"M","non-dropping-particle":"","parse-names":false,"suffix":""},{"dropping-particle":"","family":"Grove","given":"G","non-dropping-particle":"","parse-names":false,"suffix":""},{"dropping-particle":"","family":"Hansen","given":"P","non-dropping-particle":"","parse-names":false,"suffix":""},{"dropping-particle":"","family":"Olesen","given":"J","non-dropping-particle":"","parse-names":false,"suffix":""},{"dropping-particle":"","family":"Ahlehoff","given":"O","non-dropping-particle":"","parse-names":false,"suffix":""},{"dropping-particle":"","family":"Selmer","given":"C","non-dropping-particle":"","parse-names":false,"suffix":""},{"dropping-particle":"","family":"Lindhardsen","given":"J","non-dropping-particle":"","parse-names":false,"suffix":""},{"dropping-particle":"","family":"Madsen","given":"J","non-dropping-particle":"","parse-names":false,"suffix":""},{"dropping-particle":"","family":"Kober","given":"L","non-dropping-particle":"","parse-names":false,"suffix":""},{"dropping-particle":"","family":"Torp-Pedersen","given":"C","non-dropping-particle":"","parse-names":false,"suffix":""},{"dropping-particle":"","family":"Gislason","given":"G","non-dropping-particle":"","parse-names":false,"suffix":""}],"container-title":"BMJ (Clinical research ed.)","id":"ITEM-1","issue":"7807","issued":{"date-parts":[["2011"]]},"note":"623\n\nFrom Duplicate 1 (Proton pump inhibitor use and risk of adverse cardiovascular events in aspirin treated patients with first time myocardial infarction: nationwide propensity score matched study. - Charlot, Mette; Grove, Erik L; Hansen, Peter Riis; Olesen, Jonas B; Ahlehoff, Ole; Selmer, Christian; Lindhardsen, Jesper; Madsen, Jan Kyst; Kober, Lars; Torp-Pedersen, Christian; Gislason, Gunnar H)\n\nComment in: Evid Based Med. 2012 Feb;17(1):33-4; PMID: 22108076","page":"d2690","publisher":"Charlot,Mette. Department of Cardiology, Copenhagen University Hospital Gentofte, Post 635, Niels Andersens Vej 65, 2900 Hellerup, Denmark. mc@heart.dk","publisher-place":"England","title":"Proton pump inhibitor use and risk of adverse cardiovascular events in aspirin treated patients with first time myocardial infarction: nationwide propensity score matched study.","type":"article-journal","volume":"342"},"uris":["http://www.mendeley.com/documents/?uuid=d72f3c9d-85c8-46e7-92be-56831867e69a"]}],"mendeley":{"formattedCitation":"(Charlot et al. 2011)","plainTextFormattedCitation":"(Charlot et al. 2011)","previouslyFormattedCitation":"(Charlot et al. 2011)"},"properties":{"noteIndex":0},"schema":"https://github.com/citation-style-language/schema/raw/master/csl-citation.json"}</w:instrText>
            </w:r>
            <w:r w:rsidRPr="00E3102A">
              <w:rPr>
                <w:rFonts w:ascii="Calibri" w:eastAsia="Times New Roman" w:hAnsi="Calibri" w:cs="Times New Roman"/>
                <w:color w:val="000000"/>
                <w:sz w:val="18"/>
                <w:szCs w:val="18"/>
                <w:lang w:eastAsia="en-CA"/>
              </w:rPr>
              <w:fldChar w:fldCharType="separate"/>
            </w:r>
            <w:r w:rsidRPr="00E3102A">
              <w:rPr>
                <w:rFonts w:ascii="Calibri" w:eastAsia="Times New Roman" w:hAnsi="Calibri" w:cs="Times New Roman"/>
                <w:b w:val="0"/>
                <w:bCs w:val="0"/>
                <w:noProof/>
                <w:color w:val="000000"/>
                <w:sz w:val="18"/>
                <w:szCs w:val="18"/>
                <w:lang w:eastAsia="en-CA"/>
              </w:rPr>
              <w:t>(Charlot et al. 2011)</w:t>
            </w:r>
            <w:r w:rsidRPr="00E3102A">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single" w:sz="4" w:space="0" w:color="auto"/>
            </w:tcBorders>
            <w:shd w:val="clear" w:color="auto" w:fill="auto"/>
            <w:vAlign w:val="center"/>
          </w:tcPr>
          <w:p w14:paraId="4F47D0CA" w14:textId="25CC48EF" w:rsidR="000111AF" w:rsidRPr="00E3102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sidRPr="00E3102A">
              <w:rPr>
                <w:rFonts w:ascii="Calibri" w:eastAsia="Times New Roman" w:hAnsi="Calibri" w:cs="Calibri"/>
                <w:color w:val="000000"/>
                <w:sz w:val="18"/>
                <w:szCs w:val="18"/>
                <w:lang w:eastAsia="en-CA"/>
              </w:rPr>
              <w:t>Stroke</w:t>
            </w:r>
          </w:p>
        </w:tc>
        <w:tc>
          <w:tcPr>
            <w:tcW w:w="5245" w:type="dxa"/>
            <w:tcBorders>
              <w:top w:val="dotted" w:sz="4" w:space="0" w:color="auto"/>
              <w:bottom w:val="single" w:sz="4" w:space="0" w:color="auto"/>
            </w:tcBorders>
            <w:shd w:val="clear" w:color="auto" w:fill="auto"/>
            <w:vAlign w:val="center"/>
          </w:tcPr>
          <w:p w14:paraId="1121B1EC" w14:textId="16830927" w:rsidR="000111AF" w:rsidRPr="00D8429A"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en-CA"/>
              </w:rPr>
            </w:pPr>
            <w:r>
              <w:rPr>
                <w:rFonts w:ascii="Calibri" w:eastAsia="Times New Roman" w:hAnsi="Calibri" w:cs="Calibri"/>
                <w:sz w:val="18"/>
                <w:szCs w:val="18"/>
                <w:lang w:eastAsia="en-CA"/>
              </w:rPr>
              <w:t>The only observational study in Group C for this outcome.</w:t>
            </w:r>
          </w:p>
        </w:tc>
      </w:tr>
      <w:tr w:rsidR="000111AF" w14:paraId="36588867"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single" w:sz="4" w:space="0" w:color="auto"/>
            </w:tcBorders>
            <w:shd w:val="clear" w:color="auto" w:fill="DEEAF6" w:themeFill="accent1" w:themeFillTint="33"/>
            <w:vAlign w:val="center"/>
          </w:tcPr>
          <w:p w14:paraId="021219B2" w14:textId="3AB1DD46" w:rsidR="000111AF" w:rsidRDefault="000111AF" w:rsidP="000111AF">
            <w:pPr>
              <w:rPr>
                <w:rFonts w:ascii="Calibri" w:eastAsia="Times New Roman" w:hAnsi="Calibri" w:cs="Times New Roman"/>
                <w:color w:val="000000"/>
                <w:sz w:val="18"/>
                <w:szCs w:val="18"/>
                <w:lang w:eastAsia="en-CA"/>
              </w:rPr>
            </w:pPr>
            <w:r w:rsidRPr="00E3102A">
              <w:rPr>
                <w:rFonts w:ascii="Calibri" w:eastAsia="Times New Roman" w:hAnsi="Calibri" w:cs="Times New Roman"/>
                <w:color w:val="000000"/>
                <w:sz w:val="18"/>
                <w:szCs w:val="18"/>
                <w:lang w:eastAsia="en-CA"/>
              </w:rPr>
              <w:t xml:space="preserve">Group C – </w:t>
            </w:r>
            <w:r>
              <w:rPr>
                <w:rFonts w:ascii="Calibri" w:eastAsia="Times New Roman" w:hAnsi="Calibri" w:cs="Times New Roman"/>
                <w:color w:val="000000"/>
                <w:sz w:val="18"/>
                <w:szCs w:val="18"/>
                <w:lang w:eastAsia="en-CA"/>
              </w:rPr>
              <w:t>RCTs</w:t>
            </w:r>
          </w:p>
        </w:tc>
        <w:tc>
          <w:tcPr>
            <w:tcW w:w="2126" w:type="dxa"/>
            <w:tcBorders>
              <w:top w:val="single" w:sz="4" w:space="0" w:color="auto"/>
              <w:bottom w:val="single" w:sz="4" w:space="0" w:color="auto"/>
            </w:tcBorders>
            <w:shd w:val="clear" w:color="auto" w:fill="DEEAF6" w:themeFill="accent1" w:themeFillTint="33"/>
            <w:vAlign w:val="center"/>
          </w:tcPr>
          <w:p w14:paraId="0B707704" w14:textId="77777777" w:rsidR="000111AF"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p>
        </w:tc>
        <w:tc>
          <w:tcPr>
            <w:tcW w:w="5245" w:type="dxa"/>
            <w:tcBorders>
              <w:top w:val="single" w:sz="4" w:space="0" w:color="auto"/>
              <w:bottom w:val="single" w:sz="4" w:space="0" w:color="auto"/>
            </w:tcBorders>
            <w:shd w:val="clear" w:color="auto" w:fill="DEEAF6" w:themeFill="accent1" w:themeFillTint="33"/>
            <w:vAlign w:val="center"/>
          </w:tcPr>
          <w:p w14:paraId="74929484" w14:textId="77777777" w:rsidR="000111AF"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CA"/>
              </w:rPr>
            </w:pPr>
          </w:p>
        </w:tc>
      </w:tr>
      <w:tr w:rsidR="000111AF" w14:paraId="5DD45A1C"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bottom w:val="dotted" w:sz="4" w:space="0" w:color="auto"/>
            </w:tcBorders>
            <w:vAlign w:val="center"/>
          </w:tcPr>
          <w:p w14:paraId="00B15159" w14:textId="6957E9BC" w:rsidR="000111AF" w:rsidRPr="00E3102A" w:rsidRDefault="000111AF" w:rsidP="000111AF">
            <w:pPr>
              <w:rPr>
                <w:rFonts w:ascii="Calibri" w:eastAsia="Times New Roman" w:hAnsi="Calibri" w:cs="Times New Roman"/>
                <w:b w:val="0"/>
                <w:bCs w:val="0"/>
                <w:color w:val="000000"/>
                <w:sz w:val="18"/>
                <w:szCs w:val="18"/>
                <w:lang w:eastAsia="en-CA"/>
              </w:rPr>
            </w:pPr>
            <w:r w:rsidRPr="00E3102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{"citationItems":[{"id":"ITEM-1","itemData":{"ISBN":"0929-5305","abstract":"Patients receiving chronic nonsteroidal anti-inflammatory drugs (NSAIDs) and concomitant low-dose aspirin (LDA) are at increased risk of gastrointestinal (GI) toxicity. A fixed-dose combination of enteric-coated (EC) naproxen and immediate-release esomeprazole magnesium (NAP/ESO) has been designed to deliver a proton-pump inhibitor followed by an NSAID in a single tablet. To examine safety data from 5 Phase III studies of NAP/ESO in LDA users (&lt;325 mg daily, administered at any time during the study), and LDA non-users, data were analyzed from 6-month studies assessing NAP/ESO versus EC naproxen in patients with osteoarthritis, rheumatoid arthritis, or ankylosing spondylitis (n = 2), 3-month studies assessing NAP/ESO vs celecoxib or placebo in patients with knee osteoarthritis (n = 2), and a 12-month, open-label, safety study of NAP/ESO (n = 1). In an analysis of two studies, incidences of endoscopically confirmed gastric ulcers (GUs) and duodenal ulcers (DUs) were summarized by LDA subgroups. In the pooled analysis from all five studies, incidences of treatment-emergent adverse events (AEs) (including prespecified NSAID-associated upper GI AEs and cardiovascular AEs), serious AEs, and AE-related discontinuations were stratified by LDA subgroups. Overall, 2,317 patients received treatment; 1,157 patients received NAP/ESO and, of these, 298 received LDA. The cumulative incidence of GUs and DUs in the two studies with 6-month follow-up was lower for NAP/ESO vs EC naproxen in both LDA subgroups [GUs: 3.0 vs 27.9 %, respectively, for LDA users, 6.4 vs 22.4 %, respectively, for LDA non-users (both P &lt; 0.001); DUs: 1.0 vs 5.8 % for LDA users, 0.6 vs 5.3 % for LDA non-users]. The incidence of erosive gastritis was lower in NAP/ESO- vs EC naproxen-treated patients for both LDA users [18.2 vs 36.5 %, respectively (P = 0.004)] and LDA non-users [19.8 vs 38.5 %, respectively (P &lt; 0.001)]. Among LDA users, incidences of NSAID-associated upper GI AEs were: NAP/ESO, 16.1 %; EC naproxen, 31.7 %; celecoxib, 22.1 %; placebo, 23.2 %. Among LDA non-users, incidences of NSAID-associated upper GI AEs were: NAP/ESO, 20.3 %; EC naproxen, 36.6 %; celecoxib, 18.5 %; placebo, 18.9 %. For LDA users, incidences of cardiovascular AEs were: NAP/ESO, 3.0 %; EC naproxen, 1.0 %; celecoxib, 0 %; placebo, 0 %. For LDA non-users, incidences of cardiovascular AEs were: NAP/ESO, 1.0 %; EC naproxen, 0.6 %; celecoxib, 0.3 %; placebo, 0 %. NAP/ESO appears to be well-tolerated in patients recei…","author":[{"dropping-particle":"","family":"Angiolillo","given":"DJ","non-dropping-particle":"","parse-names":false,"suffix":""},{"dropping-particle":"","family":"Datto","given":"C","non-dropping-particle":"","parse-names":false,"suffix":""},{"dropping-particle":"","family":"Raines","given":"S","non-dropping-particle":"","parse-names":false,"suffix":""},{"dropping-particle":"","family":"Yeomans","given":"ND","non-dropping-particle":"","parse-names":false,"suffix":""}],"container-title":"Journal of Thrombosis and Thrombolysis","id":"ITEM-1","issue":"1","issued":{"date-parts":[["2014"]]},"note":"219","page":"11-23","publisher":"Kluwer Academic Publishers","publisher-place":"D.J. Angiolillo, Division of Cardiology, University of Florida College of Medicine-Jacksonville, ACC Building, 655 West 8th Street, Jacksonville, FL 32209, United States. E-mail: dominick.angiolillo@jax.ufl.edu","title":"Impact of concomitant low-dose aspirin on the safety and tolerability of naproxen and esomeprazole magnesium delayed-release tablets in patients requiring chronic nonsteroidal anti-inflammatory drug therapy: An analysis from 5 Phase III studies","type":"article","volume":"38"},"uris":["http://www.mendeley.com/documents/?uuid=d3949ee1-a391-447a-adb0-f4f3013232e8"]}],"mendeley":{"formattedCitation":"(Angiolillo et al. 2014)","plainTextFormattedCitation":"(Angiolillo et al. 2014)","previouslyFormattedCitation":"(Angiolillo et al. 2014)"},"properties":{"noteIndex":0},"schema":"https://github.com/citation-style-language/schema/raw/master/csl-citation.json"}</w:instrText>
            </w:r>
            <w:r w:rsidRPr="00E3102A">
              <w:rPr>
                <w:rFonts w:ascii="Calibri" w:eastAsia="Times New Roman" w:hAnsi="Calibri" w:cs="Times New Roman"/>
                <w:color w:val="000000"/>
                <w:sz w:val="18"/>
                <w:szCs w:val="18"/>
                <w:lang w:eastAsia="en-CA"/>
              </w:rPr>
              <w:fldChar w:fldCharType="separate"/>
            </w:r>
            <w:r w:rsidRPr="00E3102A">
              <w:rPr>
                <w:rFonts w:ascii="Calibri" w:eastAsia="Times New Roman" w:hAnsi="Calibri" w:cs="Times New Roman"/>
                <w:b w:val="0"/>
                <w:bCs w:val="0"/>
                <w:noProof/>
                <w:color w:val="000000"/>
                <w:sz w:val="18"/>
                <w:szCs w:val="18"/>
                <w:lang w:eastAsia="en-CA"/>
              </w:rPr>
              <w:t>(Angiolillo et al. 2014)</w:t>
            </w:r>
            <w:r w:rsidRPr="00E3102A">
              <w:rPr>
                <w:rFonts w:ascii="Calibri" w:eastAsia="Times New Roman" w:hAnsi="Calibri" w:cs="Times New Roman"/>
                <w:color w:val="000000"/>
                <w:sz w:val="18"/>
                <w:szCs w:val="18"/>
                <w:lang w:eastAsia="en-CA"/>
              </w:rPr>
              <w:fldChar w:fldCharType="end"/>
            </w:r>
          </w:p>
          <w:p w14:paraId="7D7596BB" w14:textId="2D8A747D" w:rsidR="000111AF" w:rsidRPr="00E3102A" w:rsidRDefault="000111AF" w:rsidP="000111AF">
            <w:pPr>
              <w:rPr>
                <w:rFonts w:ascii="Calibri" w:eastAsia="Times New Roman" w:hAnsi="Calibri" w:cs="Times New Roman"/>
                <w:b w:val="0"/>
                <w:bCs w:val="0"/>
                <w:color w:val="000000"/>
                <w:sz w:val="18"/>
                <w:szCs w:val="18"/>
                <w:lang w:eastAsia="en-CA"/>
              </w:rPr>
            </w:pPr>
            <w:r w:rsidRPr="00E3102A">
              <w:rPr>
                <w:rFonts w:ascii="Calibri" w:eastAsia="Times New Roman" w:hAnsi="Calibri" w:cs="Times New Roman"/>
                <w:b w:val="0"/>
                <w:bCs w:val="0"/>
                <w:color w:val="000000"/>
                <w:sz w:val="18"/>
                <w:szCs w:val="18"/>
                <w:lang w:eastAsia="en-CA"/>
              </w:rPr>
              <w:t>and (Goldstein et al, 2010)</w:t>
            </w:r>
          </w:p>
        </w:tc>
        <w:tc>
          <w:tcPr>
            <w:tcW w:w="2126" w:type="dxa"/>
            <w:tcBorders>
              <w:top w:val="single" w:sz="4" w:space="0" w:color="auto"/>
              <w:bottom w:val="dotted" w:sz="4" w:space="0" w:color="auto"/>
            </w:tcBorders>
            <w:vAlign w:val="center"/>
          </w:tcPr>
          <w:p w14:paraId="2324706F" w14:textId="559718B8" w:rsidR="000111AF"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 and myocardial infarction</w:t>
            </w:r>
          </w:p>
        </w:tc>
        <w:tc>
          <w:tcPr>
            <w:tcW w:w="5245" w:type="dxa"/>
            <w:tcBorders>
              <w:top w:val="single" w:sz="4" w:space="0" w:color="auto"/>
              <w:bottom w:val="dotted" w:sz="4" w:space="0" w:color="auto"/>
            </w:tcBorders>
            <w:vAlign w:val="center"/>
          </w:tcPr>
          <w:p w14:paraId="47FA0666" w14:textId="75BBAB95" w:rsidR="000111AF"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en-CA"/>
              </w:rPr>
            </w:pPr>
            <w:r w:rsidRPr="00D8429A">
              <w:rPr>
                <w:rFonts w:ascii="Calibri" w:eastAsia="Times New Roman" w:hAnsi="Calibri" w:cs="Calibri"/>
                <w:sz w:val="18"/>
                <w:szCs w:val="18"/>
                <w:lang w:eastAsia="en-CA"/>
              </w:rPr>
              <w:t>Different intervention</w:t>
            </w:r>
            <w:r>
              <w:rPr>
                <w:rFonts w:ascii="Calibri" w:eastAsia="Times New Roman" w:hAnsi="Calibri" w:cs="Calibri"/>
                <w:sz w:val="18"/>
                <w:szCs w:val="18"/>
                <w:lang w:eastAsia="en-CA"/>
              </w:rPr>
              <w:t>s across studies.</w:t>
            </w:r>
          </w:p>
        </w:tc>
      </w:tr>
      <w:tr w:rsidR="000111AF" w14:paraId="44E615E3"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tcPr>
          <w:p w14:paraId="304A4225" w14:textId="56450275" w:rsidR="000111AF" w:rsidRPr="00E3102A" w:rsidRDefault="000111AF" w:rsidP="000111AF">
            <w:pPr>
              <w:rPr>
                <w:rFonts w:ascii="Calibri" w:eastAsia="Times New Roman" w:hAnsi="Calibri" w:cs="Times New Roman"/>
                <w:b w:val="0"/>
                <w:bCs w:val="0"/>
                <w:color w:val="000000"/>
                <w:sz w:val="18"/>
                <w:szCs w:val="18"/>
                <w:lang w:eastAsia="en-CA"/>
              </w:rPr>
            </w:pPr>
            <w:r w:rsidRPr="00E3102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{"citationItems":[{"id":"ITEM-1","itemData":{"ISBN":"0140-6736","abstract":"Background: Guidelines on pain management recommend that patients at risk of ulcers receive either a cyclo-oxygenase (COX 2) inhibitor or a non-steroidal anti-inflammatory drug (NSAID) with a proton-pump inhibitor (PPI). These two treatments have similar effectiveness, but they are insufficient for protection of patients at very high risk for ulcer bleeding. We aimed to test the hypothesis that in patients with previous ulcer bleeding induced by non-selective NSAIDs, combined treatment with the COX 2 inhibitor celecoxib and the PPI esomeprazole would be better than celecoxib alone for prevention of recurrent ulcer bleeding. Methods: 441 consecutively presenting patients who were taking non-selective NSAIDs for arthritis were recruited to our single-centre, prospective, randomised, double-blind trial after admission to hospital with upper-gastrointestinal bleeding. Patients were enrolled after their ulcers had healed and a histological test for Helicobacter pylori was negative. All patients were given 200 mg celecoxib twice daily. 137 patients were randomly assigned to receive 20 mg esomeprazole twice daily (combined-treatment group), and 136 to receive a placebo (control group) for 12 months. The primary endpoint was recurrent ulcer bleeding during treatment or within 1 month of the end of treatment. Analysis was by intention to treat. This trial is registered with ClinicalTrials.gov, number NCT00365313. Findings: Combination treatment was more effective than celecoxib alone for prevention of ulcer bleeding in patients at high risk. The 13-month cumulative incidence of the primary endpoint was 0% in the combined-treatment group and 12 (89%) in the controls (95% CI difference, 41 to 137; p=00004). The median follow-up was 13 months (range 04-130). Discontinuation of treatment and the incidence of adverse events were similar in the two treatment groups. Interpretation: Patients at very high risk for recurrent ulcer bleeding who need anti-inflammatory analgesics should receive combination treatment with a COX 2 inhibitor and a PPI. Our findings should encourage guideline committees to review their recommendations for patients at very high risk of recurrent ulcer bleeding. © 2007 Elsevier Ltd. All rights reserved.","author":[{"dropping-particle":"","family":"Chan","given":"FK","non-dropping-particle":"","parse-names":false,"suffix":""},{"dropping-particle":"","family":"Wong","given":"VW","non-dropping-particle":"","parse-names":false,"suffix":""},{"dropping-particle":"","family":"Suen","given":"BY","non-dropping-particle":"","parse-names":false,"suffix":""},{"dropping-particle":"","family":"Wu","given":"JC","non-dropping-particle":"","parse-names":false,"suffix":""},{"dropping-particle":"","family":"Ching","given":"JY","non-dropping-particle":"","parse-names":false,"suffix":""},{"dropping-particle":"","family":"Hung","given":"LC","non-dropping-particle":"","parse-names":false,"suffix":""},{"dropping-particle":"","family":"Hui","given":"AJ","non-dropping-particle":"","parse-names":false,"suffix":""},{"dropping-particle":"","family":"Leung","given":"VK","non-dropping-particle":"","parse-names":false,"suffix":""},{"dropping-particle":"","family":"Lee","given":"VW","non-dropping-particle":"","parse-names":false,"suffix":""},{"dropping-particle":"","family":"Lai","given":"LH","non-dropping-particle":"","parse-names":false,"suffix":""},{"dropping-particle":"","family":"Wong","given":"GL","non-dropping-particle":"","parse-names":false,"suffix":""},{"dropping-particle":"","family":"Chow","given":"DK","non-dropping-particle":"","parse-names":false,"suffix":""},{"dropping-particle":"","family":"To","given":"KF","non-dropping-particle":"","parse-names":false,"suffix":""},{"dropping-particle":"","family":"Leung","given":"WK","non-dropping-particle":"","parse-names":false,"suffix":""},{"dropping-particle":"","family":"Chiu","given":"PW","non-dropping-particle":"","parse-names":false,"suffix":""},{"dropping-particle":"","family":"Lee","given":"YT","non-dropping-particle":"","parse-names":false,"suffix":""},{"dropping-particle":"","family":"Lau","given":"JY","non-dropping-particle":"","parse-names":false,"suffix":""},{"dropping-particle":"","family":"Chan","given":"HL","non-dropping-particle":"","parse-names":false,"suffix":""},{"dropping-particle":"","family":"Ng","given":"EK","non-dropping-particle":"","parse-names":false,"suffix":""},{"dropping-particle":"","family":"Sung","given":"JJ","non-dropping-particle":"","parse-names":false,"suffix":""}],"container-title":"Lancet","id":"ITEM-1","issue":"9573","issued":{"date-parts":[["2007"]]},"page":"1621-1626","publisher":"Elsevier Limited","publisher-place":"F.K.L. Chan, Institute of Digestive Disease, Chinese University of Hong Kong, Shatin, Hong Kong SAR, Hong Kong. E-mail: fklchan@cuhk.edu.hk","title":"Combination of a cyclo-oxygenase-2 inhibitor and a proton-pump inhibitor for prevention of recurrent ulcer bleeding in patients at very high risk: a double-blind, randomised trial","type":"article","volume":"369"},"uris":["http://www.mendeley.com/documents/?uuid=1db0f272-1f8b-46a3-b583-f9d5efd067ff"]}],"mendeley":{"formattedCitation":"(Chan et al. 2007)","plainTextFormattedCitation":"(Chan et al. 2007)","previouslyFormattedCitation":"(Chan et al. 2007)"},"properties":{"noteIndex":0},"schema":"https://github.com/citation-style-language/schema/raw/master/csl-citation.json"}</w:instrText>
            </w:r>
            <w:r w:rsidRPr="00E3102A">
              <w:rPr>
                <w:rFonts w:ascii="Calibri" w:eastAsia="Times New Roman" w:hAnsi="Calibri" w:cs="Times New Roman"/>
                <w:color w:val="000000"/>
                <w:sz w:val="18"/>
                <w:szCs w:val="18"/>
                <w:lang w:eastAsia="en-CA"/>
              </w:rPr>
              <w:fldChar w:fldCharType="separate"/>
            </w:r>
            <w:r w:rsidRPr="00E3102A">
              <w:rPr>
                <w:rFonts w:ascii="Calibri" w:eastAsia="Times New Roman" w:hAnsi="Calibri" w:cs="Times New Roman"/>
                <w:b w:val="0"/>
                <w:bCs w:val="0"/>
                <w:noProof/>
                <w:color w:val="000000"/>
                <w:sz w:val="18"/>
                <w:szCs w:val="18"/>
                <w:lang w:eastAsia="en-CA"/>
              </w:rPr>
              <w:t>(Chan et al. 2007)</w:t>
            </w:r>
            <w:r w:rsidRPr="00E3102A">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dotted" w:sz="4" w:space="0" w:color="auto"/>
            </w:tcBorders>
            <w:vAlign w:val="center"/>
          </w:tcPr>
          <w:p w14:paraId="2BD8576A" w14:textId="313252F7" w:rsidR="000111AF"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 and stroke</w:t>
            </w:r>
          </w:p>
        </w:tc>
        <w:tc>
          <w:tcPr>
            <w:tcW w:w="5245" w:type="dxa"/>
            <w:tcBorders>
              <w:top w:val="dotted" w:sz="4" w:space="0" w:color="auto"/>
              <w:bottom w:val="dotted" w:sz="4" w:space="0" w:color="auto"/>
            </w:tcBorders>
            <w:vAlign w:val="center"/>
          </w:tcPr>
          <w:p w14:paraId="259E4C69" w14:textId="3BB26159" w:rsidR="000111AF"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CA"/>
              </w:rPr>
            </w:pPr>
            <w:r w:rsidRPr="00D8429A">
              <w:rPr>
                <w:rFonts w:ascii="Calibri" w:eastAsia="Times New Roman" w:hAnsi="Calibri" w:cs="Calibri"/>
                <w:sz w:val="18"/>
                <w:szCs w:val="18"/>
                <w:lang w:eastAsia="en-CA"/>
              </w:rPr>
              <w:t>Different intervention</w:t>
            </w:r>
            <w:r>
              <w:rPr>
                <w:rFonts w:ascii="Calibri" w:eastAsia="Times New Roman" w:hAnsi="Calibri" w:cs="Calibri"/>
                <w:sz w:val="18"/>
                <w:szCs w:val="18"/>
                <w:lang w:eastAsia="en-CA"/>
              </w:rPr>
              <w:t>s across studies.</w:t>
            </w:r>
          </w:p>
        </w:tc>
      </w:tr>
      <w:tr w:rsidR="000111AF" w14:paraId="7048BCE9"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tcPr>
          <w:p w14:paraId="26440610" w14:textId="5E1CDDC9" w:rsidR="000111AF" w:rsidRPr="00E3102A" w:rsidRDefault="000111AF" w:rsidP="000111AF">
            <w:pPr>
              <w:rPr>
                <w:rFonts w:ascii="Calibri" w:eastAsia="Times New Roman" w:hAnsi="Calibri" w:cs="Times New Roman"/>
                <w:b w:val="0"/>
                <w:bCs w:val="0"/>
                <w:color w:val="000000"/>
                <w:sz w:val="18"/>
                <w:szCs w:val="18"/>
                <w:lang w:eastAsia="en-CA"/>
              </w:rPr>
            </w:pPr>
            <w:r w:rsidRPr="00E3102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{"citationItems":[{"id":"ITEM-1","itemData":{"ISBN":"0172-6390","ISSN":"0172-6390","abstract":"BACKGROUND/AIMS: A prospective randomized study was performed to assess the effectiveness and safety of 5 different methods of hemostasis in selected patients with high-risk bleeding peptic ulcers., METHODOLOGY: Two hundred and eight patients (n = 208; mean age: 61.6 yrs) with endoscopic stigmata of active hemorrhage, non-bleeding vessel or adherent fresh clot were randomized during emergency endoscopy to receive one of the following modalities of endoscopic therapy (with or without pharmacological therapy): I) injection of absolute alcohol (n = 44); II) multipolar electrocoagulation (BICAP; n = 42); III) Nd-YAG laser (n = 40); IV) injection of absolute ethanol + octreotide (n = 42); V) injection of absolute ethanol + omeprazole (n = 40)., RESULTS: The 5 treatment groups were clinically and endoscopically comparable. The initial hemostatic success was &gt; 90% in every group. No significant differences between groups were found in any of the following parameters assessed during hospitalization: incidence of rebleeding (I = 14.8% vs. II = 19.0% vs. III = 16.6% vs. IV = 18.1% vs. V = 20.0%; P &gt; 0.05 mean = 17.7%); incidence of definitive hemostasis (I = 89.3% vs. II = 85.7% vs. III = 86.6% vs. IV = 84.0% vs. V = 86.6%; P &gt; 0.05; mean = 86.5%); incidence of emergency surgery (I = 8.5% vs. II = 11.9% vs. III = 10.0% vs. IV = 6.8% vs. V = 11.1%; P &gt; 0.05; mean = 9.6%); mortality rate (I = 4.2% vs. II = 4.7% vs. III = 3.3% vs. IV = 13.6% vs. V = 4.4%; P &gt; 0.05; mean = 6.2%). Mean age of deceased patients was significantly higher than living patients (71.2 +/- 13.4 vs. 60.9 +/- 14.4; P &lt; 0.05). Approximately 2/3 of the fatal cases were strongly weakened by coexistent medical diseases. The duration of hospital stay was similar for all groups. The BICAP group required less units of blood transfusion (1.9 +/- 1.8 vs. I = 3.0 +/- 2.6; III = 3.5 +/- 3.6; IV = 2.8 +/- 2.3; V = 3.1 +/- 2.5; P &lt; 0.05), perhaps due to the higher mean value of hemoglobin of these patients at hospital admission, compared to all other groups. No significant complications were reported., CONCLUSIONS: This study provides good evidence that injection of absolute ethanol, multipolar electrocoagulation (BICAP) and Nd-YAG laser are equally safe and effective in the endoscopic therapy of acute bleeding peptic ulcers. In contrast, no additional hemostatic benefits arose from the association of pharmacological agents (octreotide or omeprazole) to sclerosis injection.","author":[{"dropping-particle":"","family":"Sofia","given":"C","non-dropping-particle":"","parse-names":false,"suffix":""},{"dropping-particle":"","family":"Portela","given":"F","non-dropping-particle":"","parse-names":false,"suffix":""},{"dropping-particle":"","family":"Gregorio","given":"C","non-dropping-particle":"","parse-names":false,"suffix":""},{"dropping-particle":"","family":"Rosa","given":"A","non-dropping-particle":"","parse-names":false,"suffix":""},{"dropping-particle":"","family":"Camacho","given":"E","non-dropping-particle":"","parse-names":false,"suffix":""},{"dropping-particle":"","family":"Tome","given":"L","non-dropping-particle":"","parse-names":false,"suffix":""},{"dropping-particle":"","family":"Ferreira","given":"M","non-dropping-particle":"","parse-names":false,"suffix":""},{"dropping-particle":"","family":"Andrade","given":"P","non-dropping-particle":"","parse-names":false,"suffix":""},{"dropping-particle":"","family":"Cabral","given":"P","non-dropping-particle":"","parse-names":false,"suffix":""},{"dropping-particle":"","family":"Romaozinho","given":"J","non-dropping-particle":"","parse-names":false,"suffix":""},{"dropping-particle":"","family":"Gouveia","given":"H","non-dropping-particle":"","parse-names":false,"suffix":""},{"dropping-particle":"","family":"Leitao","given":"M","non-dropping-particle":"","parse-names":false,"suffix":""},{"dropping-particle":"","family":"Pimenta","given":"I","non-dropping-particle":"","parse-names":false,"suffix":""},{"dropping-particle":"","family":"Donato","given":"A","non-dropping-particle":"","parse-names":false,"suffix":""},{"dropping-particle":"","family":"Freitas","given":"D","non-dropping-particle":"","parse-names":false,"suffix":""},{"dropping-particle":"","family":"C.","given":"Sofia","non-dropping-particle":"","parse-names":false,"suffix":""},{"dropping-particle":"","family":"F.","given":"Portela","non-dropping-particle":"","parse-names":false,"suffix":""},{"dropping-particle":"","family":"C.","given":"Gregorio","non-dropping-particle":"","parse-names":false,"suffix":""},{"dropping-particle":"","family":"A.","given":"Rosa","non-dropping-particle":"","parse-names":false,"suffix":""},{"dropping-particle":"","family":"E.","given":"Camacho","non-dropping-particle":"","parse-names":false,"suffix":""},{"dropping-particle":"","family":"L.","given":"Tome","non-dropping-particle":"","parse-names":false,"suffix":""},{"dropping-particle":"","family":"M.","given":"Ferreira","non-dropping-particle":"","parse-names":false,"suffix":""},{"dropping-particle":"","family":"P.","given":"Andrade","non-dropping-particle":"","parse-names":false,"suffix":""},{"dropping-particle":"","family":"P.","given":"Cabral","non-dropping-particle":"","parse-names":false,"suffix":""},{"dropping-particle":"","family":"J.","given":"Romaozinho","non-dropping-particle":"","parse-names":false,"suffix":""},{"dropping-particle":"","family":"H.","given":"Gouveia","non-dropping-particle":"","parse-names":false,"suffix":""},{"dropping-particle":"","family":"M.","given":"Leitao","non-dropping-particle":"","parse-names":false,"suffix":""},{"dropping-particle":"","family":"I.","given":"Pimenta","non-dropping-particle":"","parse-names":false,"suffix":""},{"dropping-particle":"","family":"A.","given":"Donato","non-dropping-particle":"","parse-names":false,"suffix":""},{"dropping-particle":"","family":"D.","given":"Freitas","non-dropping-particle":"","parse-names":false,"suffix":""}],"container-title":"Hepato-gastroenterology","id":"ITEM-1","issue":"35","issued":{"date-parts":[["2000"]]},"note":"1178","page":"1332-1336","publisher":"H.G.E. Update Medical Publishing Ltd. (P.O. Box 17257, Athens GR-10024, Greece)","publisher-place":"D. Freitas, Department of Gastroenterology, Coimbra University Hospital, 3000 Coimbra, Portugal","title":"Endoscopic injection therapy vs. multipolar electrocoagulation vs. laser vs. injection + octreotide vs. injection + omeprazole in the treatment of bleeding peptic ulcers. A prospective randomized study.","type":"article-journal","volume":"47"},"uris":["http://www.mendeley.com/documents/?uuid=e354f443-83ff-4ef6-899b-a41ef34f9dd5"]}],"mendeley":{"formattedCitation":"(Sofia et al. 2000)","plainTextFormattedCitation":"(Sofia et al. 2000)","previouslyFormattedCitation":"(Sofia et al. 2000)"},"properties":{"noteIndex":0},"schema":"https://github.com/citation-style-language/schema/raw/master/csl-citation.json"}</w:instrText>
            </w:r>
            <w:r w:rsidRPr="00E3102A">
              <w:rPr>
                <w:rFonts w:ascii="Calibri" w:eastAsia="Times New Roman" w:hAnsi="Calibri" w:cs="Times New Roman"/>
                <w:color w:val="000000"/>
                <w:sz w:val="18"/>
                <w:szCs w:val="18"/>
                <w:lang w:eastAsia="en-CA"/>
              </w:rPr>
              <w:fldChar w:fldCharType="separate"/>
            </w:r>
            <w:r w:rsidRPr="00E3102A">
              <w:rPr>
                <w:rFonts w:ascii="Calibri" w:eastAsia="Times New Roman" w:hAnsi="Calibri" w:cs="Times New Roman"/>
                <w:b w:val="0"/>
                <w:bCs w:val="0"/>
                <w:noProof/>
                <w:color w:val="000000"/>
                <w:sz w:val="18"/>
                <w:szCs w:val="18"/>
                <w:lang w:eastAsia="en-CA"/>
              </w:rPr>
              <w:t>(Sofia et al. 2000)</w:t>
            </w:r>
            <w:r w:rsidRPr="00E3102A">
              <w:rPr>
                <w:rFonts w:ascii="Calibri" w:eastAsia="Times New Roman" w:hAnsi="Calibri" w:cs="Times New Roman"/>
                <w:color w:val="000000"/>
                <w:sz w:val="18"/>
                <w:szCs w:val="18"/>
                <w:lang w:eastAsia="en-CA"/>
              </w:rPr>
              <w:fldChar w:fldCharType="end"/>
            </w:r>
            <w:r w:rsidRPr="00E3102A">
              <w:rPr>
                <w:rFonts w:ascii="Calibri" w:eastAsia="Times New Roman" w:hAnsi="Calibri" w:cs="Times New Roman"/>
                <w:b w:val="0"/>
                <w:bCs w:val="0"/>
                <w:i/>
                <w:iCs/>
                <w:sz w:val="18"/>
                <w:szCs w:val="18"/>
                <w:lang w:eastAsia="en-CA"/>
              </w:rPr>
              <w:t xml:space="preserve"> </w:t>
            </w:r>
          </w:p>
        </w:tc>
        <w:tc>
          <w:tcPr>
            <w:tcW w:w="2126" w:type="dxa"/>
            <w:tcBorders>
              <w:top w:val="dotted" w:sz="4" w:space="0" w:color="auto"/>
              <w:bottom w:val="dotted" w:sz="4" w:space="0" w:color="auto"/>
            </w:tcBorders>
            <w:vAlign w:val="center"/>
          </w:tcPr>
          <w:p w14:paraId="1AA94964" w14:textId="3E812A23" w:rsidR="000111AF"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w:t>
            </w:r>
          </w:p>
        </w:tc>
        <w:tc>
          <w:tcPr>
            <w:tcW w:w="5245" w:type="dxa"/>
            <w:tcBorders>
              <w:top w:val="dotted" w:sz="4" w:space="0" w:color="auto"/>
              <w:bottom w:val="dotted" w:sz="4" w:space="0" w:color="auto"/>
            </w:tcBorders>
            <w:vAlign w:val="center"/>
          </w:tcPr>
          <w:p w14:paraId="6B712FEE" w14:textId="454D74AA" w:rsidR="000111AF"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en-CA"/>
              </w:rPr>
            </w:pPr>
            <w:r w:rsidRPr="00D8429A">
              <w:rPr>
                <w:rFonts w:ascii="Calibri" w:eastAsia="Times New Roman" w:hAnsi="Calibri" w:cs="Calibri"/>
                <w:sz w:val="18"/>
                <w:szCs w:val="18"/>
                <w:lang w:eastAsia="en-CA"/>
              </w:rPr>
              <w:t>Different intervention</w:t>
            </w:r>
            <w:r>
              <w:rPr>
                <w:rFonts w:ascii="Calibri" w:eastAsia="Times New Roman" w:hAnsi="Calibri" w:cs="Calibri"/>
                <w:sz w:val="18"/>
                <w:szCs w:val="18"/>
                <w:lang w:eastAsia="en-CA"/>
              </w:rPr>
              <w:t>s across studies.</w:t>
            </w:r>
          </w:p>
        </w:tc>
      </w:tr>
      <w:tr w:rsidR="000111AF" w14:paraId="5493DE12"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tcPr>
          <w:p w14:paraId="3990DCE4" w14:textId="120785F6" w:rsidR="000111AF" w:rsidRPr="00E3102A" w:rsidRDefault="000111AF" w:rsidP="000111AF">
            <w:pPr>
              <w:rPr>
                <w:rFonts w:ascii="Calibri" w:eastAsia="Times New Roman" w:hAnsi="Calibri" w:cs="Times New Roman"/>
                <w:b w:val="0"/>
                <w:bCs w:val="0"/>
                <w:color w:val="000000"/>
                <w:sz w:val="18"/>
                <w:szCs w:val="18"/>
                <w:lang w:eastAsia="en-CA"/>
              </w:rPr>
            </w:pPr>
            <w:r w:rsidRPr="00E3102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{"citationItems":[{"id":"ITEM-1","itemData":{"ISBN":"0017-5749","abstract":"Objectives: To evaluate if esomeprazole prevents recurrent peptic ulcer in adult patients with a history of peptic ulcer receiving low-dose acetylsalicylic acid (ASA, aspirin) for cardiovascular protection in East Asia. Methods: In this prospective, randomised, double-blind, placebo-controlled trial conducted in Japan, Korea and Taiwan, eligible patients receiving low-dose ASA for cardiovascular protection (81-324 mg/day) were randomised to esomeprazole 20 mg/day or placebo for &lt;72 weeks. All patients received concomitant mucosal protection (gefarnate 100 mg/day). The primary endpoint was time to ulcer recurrence (KaplanCMeier analysis). Efficacy findings are presented up to week 48, as per a planned interim analysis within the study protocol. Results: A total of 364 patients (79.9% men; mean age, 67.1 years) comprised the full analysis set (esomeprazole, n=182; placebo, n=182). There was a statistically significant difference in the time to ulcer recurrence between esomeprazole and placebo (HR 0.09; 96.65% CI 0.02 to 0.41; p&lt;0.001). The estimated ulcer-free rate at week 12 was 99.3% (esomeprazole) and 89.0% (placebo). The high estimated ulcer-free rate for esomeprazole was maintained through to week 48 (98.3% vs 81.2% of placebo-treated patients). No factors, other than female gender, reduced time to ulcer recurrence in addition to the effect of esomeprazole (p&lt;0.001). Treatment with esomeprazole was generally well tolerated. Conclusions: Daily esomeprazole 20 mg is efficacious and well tolerated in reducing the recurrence of peptic ulcer in East-Asian patients with a history of ulcers who are taking low-dose ASA for cardiovascular protection.","author":[{"dropping-particle":"","family":"Sugano","given":"K","non-dropping-particle":"","parse-names":false,"suffix":""},{"dropping-particle":"","family":"Choi","given":"M","non-dropping-particle":"","parse-names":false,"suffix":""},{"dropping-particle":"","family":"Lin","given":"J","non-dropping-particle":"","parse-names":false,"suffix":""},{"dropping-particle":"","family":"Goto","given":"S","non-dropping-particle":"","parse-names":false,"suffix":""},{"dropping-particle":"","family":"Okada","given":"Y","non-dropping-particle":"","parse-names":false,"suffix":""},{"dropping-particle":"","family":"Kinoshita","given":"Y","non-dropping-particle":"","parse-names":false,"suffix":""},{"dropping-particle":"","family":"Miwa","given":"H","non-dropping-particle":"","parse-names":false,"suffix":""},{"dropping-particle":"","family":"Chiang","given":"C","non-dropping-particle":"","parse-names":false,"suffix":""},{"dropping-particle":"","family":"Chiba","given":"T","non-dropping-particle":"","parse-names":false,"suffix":""},{"dropping-particle":"","family":"Hori","given":"M","non-dropping-particle":"","parse-names":false,"suffix":""},{"dropping-particle":"","family":"Fukushima","given":"Y","non-dropping-particle":"","parse-names":false,"suffix":""},{"dropping-particle":"","family":"Kim","given":"H","non-dropping-particle":"","parse-names":false,"suffix":""},{"dropping-particle":"","family":"Chang","given":"C","non-dropping-particle":"","parse-names":false,"suffix":""},{"dropping-particle":"","family":"Date","given":"M","non-dropping-particle":"","parse-names":false,"suffix":""}],"container-title":"Gut","id":"ITEM-1","issue":"7","issued":{"date-parts":[["2014"]]},"note":"95","page":"1061-1068","publisher":"BMJ Publishing Group","publisher-place":"K. Sugano, Department of Medicine, Jichi Medical University, 3311-1 Yakushiji, Shimotsuke, Tochigi 329-0498, Japan. E-mail: sugano@jichi.ac.jp","title":"Multinational, double-blind, randomised, placebocontrolled, prospective study of esomeprazole in the prevention of recurrent peptic ulcer in low-dose acetylsalicylic acid users: The lavender* study","type":"article","volume":"63"},"uris":["http://www.mendeley.com/documents/?uuid=6a2aa434-2fb3-4405-8940-d3ac438a9d69"]}],"mendeley":{"formattedCitation":"(Sugano et al. 2014)","plainTextFormattedCitation":"(Sugano et al. 2014)","previouslyFormattedCitation":"(Sugano et al. 2014)"},"properties":{"noteIndex":0},"schema":"https://github.com/citation-style-language/schema/raw/master/csl-citation.json"}</w:instrText>
            </w:r>
            <w:r w:rsidRPr="00E3102A">
              <w:rPr>
                <w:rFonts w:ascii="Calibri" w:eastAsia="Times New Roman" w:hAnsi="Calibri" w:cs="Times New Roman"/>
                <w:color w:val="000000"/>
                <w:sz w:val="18"/>
                <w:szCs w:val="18"/>
                <w:lang w:eastAsia="en-CA"/>
              </w:rPr>
              <w:fldChar w:fldCharType="separate"/>
            </w:r>
            <w:r w:rsidRPr="00E3102A">
              <w:rPr>
                <w:rFonts w:ascii="Calibri" w:eastAsia="Times New Roman" w:hAnsi="Calibri" w:cs="Times New Roman"/>
                <w:b w:val="0"/>
                <w:bCs w:val="0"/>
                <w:noProof/>
                <w:color w:val="000000"/>
                <w:sz w:val="18"/>
                <w:szCs w:val="18"/>
                <w:lang w:eastAsia="en-CA"/>
              </w:rPr>
              <w:t>(Sugano et al. 2014)</w:t>
            </w:r>
            <w:r w:rsidRPr="00E3102A">
              <w:rPr>
                <w:rFonts w:ascii="Calibri" w:eastAsia="Times New Roman" w:hAnsi="Calibri" w:cs="Times New Roman"/>
                <w:color w:val="000000"/>
                <w:sz w:val="18"/>
                <w:szCs w:val="18"/>
                <w:lang w:eastAsia="en-CA"/>
              </w:rPr>
              <w:fldChar w:fldCharType="end"/>
            </w:r>
            <w:r w:rsidRPr="00E3102A">
              <w:rPr>
                <w:rFonts w:ascii="Calibri" w:eastAsia="Times New Roman" w:hAnsi="Calibri" w:cs="Times New Roman"/>
                <w:b w:val="0"/>
                <w:bCs w:val="0"/>
                <w:i/>
                <w:iCs/>
                <w:sz w:val="18"/>
                <w:szCs w:val="18"/>
                <w:lang w:eastAsia="en-CA"/>
              </w:rPr>
              <w:t xml:space="preserve"> </w:t>
            </w:r>
          </w:p>
        </w:tc>
        <w:tc>
          <w:tcPr>
            <w:tcW w:w="2126" w:type="dxa"/>
            <w:tcBorders>
              <w:top w:val="dotted" w:sz="4" w:space="0" w:color="auto"/>
              <w:bottom w:val="dotted" w:sz="4" w:space="0" w:color="auto"/>
            </w:tcBorders>
            <w:vAlign w:val="center"/>
          </w:tcPr>
          <w:p w14:paraId="0576EDF9" w14:textId="7C3A621E" w:rsidR="000111AF"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w:t>
            </w:r>
          </w:p>
        </w:tc>
        <w:tc>
          <w:tcPr>
            <w:tcW w:w="5245" w:type="dxa"/>
            <w:tcBorders>
              <w:top w:val="dotted" w:sz="4" w:space="0" w:color="auto"/>
              <w:bottom w:val="dotted" w:sz="4" w:space="0" w:color="auto"/>
            </w:tcBorders>
            <w:vAlign w:val="center"/>
          </w:tcPr>
          <w:p w14:paraId="3E942673" w14:textId="478175B9" w:rsidR="000111AF"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CA"/>
              </w:rPr>
            </w:pPr>
            <w:r w:rsidRPr="00D8429A">
              <w:rPr>
                <w:rFonts w:ascii="Calibri" w:eastAsia="Times New Roman" w:hAnsi="Calibri" w:cs="Calibri"/>
                <w:sz w:val="18"/>
                <w:szCs w:val="18"/>
                <w:lang w:eastAsia="en-CA"/>
              </w:rPr>
              <w:t>Different intervention</w:t>
            </w:r>
            <w:r>
              <w:rPr>
                <w:rFonts w:ascii="Calibri" w:eastAsia="Times New Roman" w:hAnsi="Calibri" w:cs="Calibri"/>
                <w:sz w:val="18"/>
                <w:szCs w:val="18"/>
                <w:lang w:eastAsia="en-CA"/>
              </w:rPr>
              <w:t>s across studies.</w:t>
            </w:r>
          </w:p>
        </w:tc>
      </w:tr>
      <w:tr w:rsidR="000111AF" w14:paraId="5E603F76"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tcPr>
          <w:p w14:paraId="7F4B0078" w14:textId="1E8418C6" w:rsidR="000111AF" w:rsidRPr="00E3102A" w:rsidRDefault="000111AF" w:rsidP="000111AF">
            <w:pPr>
              <w:rPr>
                <w:rFonts w:ascii="Calibri" w:eastAsia="Times New Roman" w:hAnsi="Calibri" w:cs="Times New Roman"/>
                <w:b w:val="0"/>
                <w:bCs w:val="0"/>
                <w:color w:val="000000"/>
                <w:sz w:val="18"/>
                <w:szCs w:val="18"/>
                <w:lang w:eastAsia="en-CA"/>
              </w:rPr>
            </w:pPr>
            <w:r w:rsidRPr="00E3102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{"citationItems":[{"id":"ITEM-1","itemData":{"ISBN":"0929-5305","abstract":"Patients receiving chronic nonsteroidal anti-inflammatory drugs (NSAIDs) and concomitant low-dose aspirin (LDA) are at increased risk of gastrointestinal (GI) toxicity. A fixed-dose combination of enteric-coated (EC) naproxen and immediate-release esomeprazole magnesium (NAP/ESO) has been designed to deliver a proton-pump inhibitor followed by an NSAID in a single tablet. To examine safety data from 5 Phase III studies of NAP/ESO in LDA users (&lt;325 mg daily, administered at any time during the study), and LDA non-users, data were analyzed from 6-month studies assessing NAP/ESO versus EC naproxen in patients with osteoarthritis, rheumatoid arthritis, or ankylosing spondylitis (n = 2), 3-month studies assessing NAP/ESO vs celecoxib or placebo in patients with knee osteoarthritis (n = 2), and a 12-month, open-label, safety study of NAP/ESO (n = 1). In an analysis of two studies, incidences of endoscopically confirmed gastric ulcers (GUs) and duodenal ulcers (DUs) were summarized by LDA subgroups. In the pooled analysis from all five studies, incidences of treatment-emergent adverse events (AEs) (including prespecified NSAID-associated upper GI AEs and cardiovascular AEs), serious AEs, and AE-related discontinuations were stratified by LDA subgroups. Overall, 2,317 patients received treatment; 1,157 patients received NAP/ESO and, of these, 298 received LDA. The cumulative incidence of GUs and DUs in the two studies with 6-month follow-up was lower for NAP/ESO vs EC naproxen in both LDA subgroups [GUs: 3.0 vs 27.9 %, respectively, for LDA users, 6.4 vs 22.4 %, respectively, for LDA non-users (both P &lt; 0.001); DUs: 1.0 vs 5.8 % for LDA users, 0.6 vs 5.3 % for LDA non-users]. The incidence of erosive gastritis was lower in NAP/ESO- vs EC naproxen-treated patients for both LDA users [18.2 vs 36.5 %, respectively (P = 0.004)] and LDA non-users [19.8 vs 38.5 %, respectively (P &lt; 0.001)]. Among LDA users, incidences of NSAID-associated upper GI AEs were: NAP/ESO, 16.1 %; EC naproxen, 31.7 %; celecoxib, 22.1 %; placebo, 23.2 %. Among LDA non-users, incidences of NSAID-associated upper GI AEs were: NAP/ESO, 20.3 %; EC naproxen, 36.6 %; celecoxib, 18.5 %; placebo, 18.9 %. For LDA users, incidences of cardiovascular AEs were: NAP/ESO, 3.0 %; EC naproxen, 1.0 %; celecoxib, 0 %; placebo, 0 %. For LDA non-users, incidences of cardiovascular AEs were: NAP/ESO, 1.0 %; EC naproxen, 0.6 %; celecoxib, 0.3 %; placebo, 0 %. NAP/ESO appears to be well-tolerated in patients recei…","author":[{"dropping-particle":"","family":"Angiolillo","given":"DJ","non-dropping-particle":"","parse-names":false,"suffix":""},{"dropping-particle":"","family":"Datto","given":"C","non-dropping-particle":"","parse-names":false,"suffix":""},{"dropping-particle":"","family":"Raines","given":"S","non-dropping-particle":"","parse-names":false,"suffix":""},{"dropping-particle":"","family":"Yeomans","given":"ND","non-dropping-particle":"","parse-names":false,"suffix":""}],"container-title":"Journal of Thrombosis and Thrombolysis","id":"ITEM-1","issue":"1","issued":{"date-parts":[["2014"]]},"note":"219","page":"11-23","publisher":"Kluwer Academic Publishers","publisher-place":"D.J. Angiolillo, Division of Cardiology, University of Florida College of Medicine-Jacksonville, ACC Building, 655 West 8th Street, Jacksonville, FL 32209, United States. E-mail: dominick.angiolillo@jax.ufl.edu","title":"Impact of concomitant low-dose aspirin on the safety and tolerability of naproxen and esomeprazole magnesium delayed-release tablets in patients requiring chronic nonsteroidal anti-inflammatory drug therapy: An analysis from 5 Phase III studies","type":"article","volume":"38"},"uris":["http://www.mendeley.com/documents/?uuid=d3949ee1-a391-447a-adb0-f4f3013232e8"]}],"mendeley":{"formattedCitation":"(Angiolillo et al. 2014)","plainTextFormattedCitation":"(Angiolillo et al. 2014)","previouslyFormattedCitation":"(Angiolillo et al. 2014)"},"properties":{"noteIndex":0},"schema":"https://github.com/citation-style-language/schema/raw/master/csl-citation.json"}</w:instrText>
            </w:r>
            <w:r w:rsidRPr="00E3102A">
              <w:rPr>
                <w:rFonts w:ascii="Calibri" w:eastAsia="Times New Roman" w:hAnsi="Calibri" w:cs="Times New Roman"/>
                <w:color w:val="000000"/>
                <w:sz w:val="18"/>
                <w:szCs w:val="18"/>
                <w:lang w:eastAsia="en-CA"/>
              </w:rPr>
              <w:fldChar w:fldCharType="separate"/>
            </w:r>
            <w:r w:rsidRPr="00E3102A">
              <w:rPr>
                <w:rFonts w:ascii="Calibri" w:eastAsia="Times New Roman" w:hAnsi="Calibri" w:cs="Times New Roman"/>
                <w:b w:val="0"/>
                <w:bCs w:val="0"/>
                <w:noProof/>
                <w:color w:val="000000"/>
                <w:sz w:val="18"/>
                <w:szCs w:val="18"/>
                <w:lang w:eastAsia="en-CA"/>
              </w:rPr>
              <w:t>(Angiolillo et al. 2014)</w:t>
            </w:r>
            <w:r w:rsidRPr="00E3102A">
              <w:rPr>
                <w:rFonts w:ascii="Calibri" w:eastAsia="Times New Roman" w:hAnsi="Calibri" w:cs="Times New Roman"/>
                <w:color w:val="000000"/>
                <w:sz w:val="18"/>
                <w:szCs w:val="18"/>
                <w:lang w:eastAsia="en-CA"/>
              </w:rPr>
              <w:fldChar w:fldCharType="end"/>
            </w:r>
          </w:p>
          <w:p w14:paraId="55E77388" w14:textId="7B5DF3AA" w:rsidR="000111AF" w:rsidRPr="00E3102A" w:rsidRDefault="000111AF" w:rsidP="000111AF">
            <w:pPr>
              <w:rPr>
                <w:rFonts w:ascii="Calibri" w:eastAsia="Times New Roman" w:hAnsi="Calibri" w:cs="Times New Roman"/>
                <w:b w:val="0"/>
                <w:bCs w:val="0"/>
                <w:color w:val="000000"/>
                <w:sz w:val="18"/>
                <w:szCs w:val="18"/>
                <w:lang w:eastAsia="en-CA"/>
              </w:rPr>
            </w:pPr>
            <w:r w:rsidRPr="00E3102A">
              <w:rPr>
                <w:rFonts w:ascii="Calibri" w:eastAsia="Times New Roman" w:hAnsi="Calibri" w:cs="Times New Roman"/>
                <w:b w:val="0"/>
                <w:bCs w:val="0"/>
                <w:color w:val="000000"/>
                <w:sz w:val="18"/>
                <w:szCs w:val="18"/>
                <w:lang w:eastAsia="en-CA"/>
              </w:rPr>
              <w:t>and (Goldstein et al, 2010)</w:t>
            </w:r>
          </w:p>
        </w:tc>
        <w:tc>
          <w:tcPr>
            <w:tcW w:w="2126" w:type="dxa"/>
            <w:tcBorders>
              <w:top w:val="dotted" w:sz="4" w:space="0" w:color="auto"/>
              <w:bottom w:val="dotted" w:sz="4" w:space="0" w:color="auto"/>
            </w:tcBorders>
            <w:vAlign w:val="center"/>
          </w:tcPr>
          <w:p w14:paraId="2B481EF2" w14:textId="66D31E32" w:rsidR="000111AF"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w:t>
            </w:r>
          </w:p>
        </w:tc>
        <w:tc>
          <w:tcPr>
            <w:tcW w:w="5245" w:type="dxa"/>
            <w:tcBorders>
              <w:top w:val="dotted" w:sz="4" w:space="0" w:color="auto"/>
              <w:bottom w:val="dotted" w:sz="4" w:space="0" w:color="auto"/>
            </w:tcBorders>
            <w:vAlign w:val="center"/>
          </w:tcPr>
          <w:p w14:paraId="08D7EB08" w14:textId="4C8E1D7D" w:rsidR="000111AF"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en-CA"/>
              </w:rPr>
            </w:pPr>
            <w:r w:rsidRPr="00D8429A">
              <w:rPr>
                <w:rFonts w:ascii="Calibri" w:eastAsia="Times New Roman" w:hAnsi="Calibri" w:cs="Calibri"/>
                <w:sz w:val="18"/>
                <w:szCs w:val="18"/>
                <w:lang w:eastAsia="en-CA"/>
              </w:rPr>
              <w:t>Different intervention</w:t>
            </w:r>
            <w:r>
              <w:rPr>
                <w:rFonts w:ascii="Calibri" w:eastAsia="Times New Roman" w:hAnsi="Calibri" w:cs="Calibri"/>
                <w:sz w:val="18"/>
                <w:szCs w:val="18"/>
                <w:lang w:eastAsia="en-CA"/>
              </w:rPr>
              <w:t>s across studies.</w:t>
            </w:r>
          </w:p>
        </w:tc>
      </w:tr>
      <w:tr w:rsidR="000111AF" w14:paraId="369F5A62"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tcPr>
          <w:p w14:paraId="65FC0852" w14:textId="211DD62B" w:rsidR="000111AF" w:rsidRPr="00E3102A" w:rsidRDefault="000111AF" w:rsidP="000111AF">
            <w:pPr>
              <w:rPr>
                <w:rFonts w:ascii="Calibri" w:eastAsia="Times New Roman" w:hAnsi="Calibri" w:cs="Times New Roman"/>
                <w:b w:val="0"/>
                <w:bCs w:val="0"/>
                <w:color w:val="000000"/>
                <w:sz w:val="18"/>
                <w:szCs w:val="18"/>
                <w:lang w:eastAsia="en-CA"/>
              </w:rPr>
            </w:pPr>
            <w:r w:rsidRPr="00E3102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{"citationItems":[{"id":"ITEM-1","itemData":{"ISBN":"0172-6390","ISSN":"0172-6390","abstract":"BACKGROUND/AIMS: A prospective randomized study was performed to assess the effectiveness and safety of 5 different methods of hemostasis in selected patients with high-risk bleeding peptic ulcers., METHODOLOGY: Two hundred and eight patients (n = 208; mean age: 61.6 yrs) with endoscopic stigmata of active hemorrhage, non-bleeding vessel or adherent fresh clot were randomized during emergency endoscopy to receive one of the following modalities of endoscopic therapy (with or without pharmacological therapy): I) injection of absolute alcohol (n = 44); II) multipolar electrocoagulation (BICAP; n = 42); III) Nd-YAG laser (n = 40); IV) injection of absolute ethanol + octreotide (n = 42); V) injection of absolute ethanol + omeprazole (n = 40)., RESULTS: The 5 treatment groups were clinically and endoscopically comparable. The initial hemostatic success was &gt; 90% in every group. No significant differences between groups were found in any of the following parameters assessed during hospitalization: incidence of rebleeding (I = 14.8% vs. II = 19.0% vs. III = 16.6% vs. IV = 18.1% vs. V = 20.0%; P &gt; 0.05 mean = 17.7%); incidence of definitive hemostasis (I = 89.3% vs. II = 85.7% vs. III = 86.6% vs. IV = 84.0% vs. V = 86.6%; P &gt; 0.05; mean = 86.5%); incidence of emergency surgery (I = 8.5% vs. II = 11.9% vs. III = 10.0% vs. IV = 6.8% vs. V = 11.1%; P &gt; 0.05; mean = 9.6%); mortality rate (I = 4.2% vs. II = 4.7% vs. III = 3.3% vs. IV = 13.6% vs. V = 4.4%; P &gt; 0.05; mean = 6.2%). Mean age of deceased patients was significantly higher than living patients (71.2 +/- 13.4 vs. 60.9 +/- 14.4; P &lt; 0.05). Approximately 2/3 of the fatal cases were strongly weakened by coexistent medical diseases. The duration of hospital stay was similar for all groups. The BICAP group required less units of blood transfusion (1.9 +/- 1.8 vs. I = 3.0 +/- 2.6; III = 3.5 +/- 3.6; IV = 2.8 +/- 2.3; V = 3.1 +/- 2.5; P &lt; 0.05), perhaps due to the higher mean value of hemoglobin of these patients at hospital admission, compared to all other groups. No significant complications were reported., CONCLUSIONS: This study provides good evidence that injection of absolute ethanol, multipolar electrocoagulation (BICAP) and Nd-YAG laser are equally safe and effective in the endoscopic therapy of acute bleeding peptic ulcers. In contrast, no additional hemostatic benefits arose from the association of pharmacological agents (octreotide or omeprazole) to sclerosis injection.","author":[{"dropping-particle":"","family":"Sofia","given":"C","non-dropping-particle":"","parse-names":false,"suffix":""},{"dropping-particle":"","family":"Portela","given":"F","non-dropping-particle":"","parse-names":false,"suffix":""},{"dropping-particle":"","family":"Gregorio","given":"C","non-dropping-particle":"","parse-names":false,"suffix":""},{"dropping-particle":"","family":"Rosa","given":"A","non-dropping-particle":"","parse-names":false,"suffix":""},{"dropping-particle":"","family":"Camacho","given":"E","non-dropping-particle":"","parse-names":false,"suffix":""},{"dropping-particle":"","family":"Tome","given":"L","non-dropping-particle":"","parse-names":false,"suffix":""},{"dropping-particle":"","family":"Ferreira","given":"M","non-dropping-particle":"","parse-names":false,"suffix":""},{"dropping-particle":"","family":"Andrade","given":"P","non-dropping-particle":"","parse-names":false,"suffix":""},{"dropping-particle":"","family":"Cabral","given":"P","non-dropping-particle":"","parse-names":false,"suffix":""},{"dropping-particle":"","family":"Romaozinho","given":"J","non-dropping-particle":"","parse-names":false,"suffix":""},{"dropping-particle":"","family":"Gouveia","given":"H","non-dropping-particle":"","parse-names":false,"suffix":""},{"dropping-particle":"","family":"Leitao","given":"M","non-dropping-particle":"","parse-names":false,"suffix":""},{"dropping-particle":"","family":"Pimenta","given":"I","non-dropping-particle":"","parse-names":false,"suffix":""},{"dropping-particle":"","family":"Donato","given":"A","non-dropping-particle":"","parse-names":false,"suffix":""},{"dropping-particle":"","family":"Freitas","given":"D","non-dropping-particle":"","parse-names":false,"suffix":""},{"dropping-particle":"","family":"C.","given":"Sofia","non-dropping-particle":"","parse-names":false,"suffix":""},{"dropping-particle":"","family":"F.","given":"Portela","non-dropping-particle":"","parse-names":false,"suffix":""},{"dropping-particle":"","family":"C.","given":"Gregorio","non-dropping-particle":"","parse-names":false,"suffix":""},{"dropping-particle":"","family":"A.","given":"Rosa","non-dropping-particle":"","parse-names":false,"suffix":""},{"dropping-particle":"","family":"E.","given":"Camacho","non-dropping-particle":"","parse-names":false,"suffix":""},{"dropping-particle":"","family":"L.","given":"Tome","non-dropping-particle":"","parse-names":false,"suffix":""},{"dropping-particle":"","family":"M.","given":"Ferreira","non-dropping-particle":"","parse-names":false,"suffix":""},{"dropping-particle":"","family":"P.","given":"Andrade","non-dropping-particle":"","parse-names":false,"suffix":""},{"dropping-particle":"","family":"P.","given":"Cabral","non-dropping-particle":"","parse-names":false,"suffix":""},{"dropping-particle":"","family":"J.","given":"Romaozinho","non-dropping-particle":"","parse-names":false,"suffix":""},{"dropping-particle":"","family":"H.","given":"Gouveia","non-dropping-particle":"","parse-names":false,"suffix":""},{"dropping-particle":"","family":"M.","given":"Leitao","non-dropping-particle":"","parse-names":false,"suffix":""},{"dropping-particle":"","family":"I.","given":"Pimenta","non-dropping-particle":"","parse-names":false,"suffix":""},{"dropping-particle":"","family":"A.","given":"Donato","non-dropping-particle":"","parse-names":false,"suffix":""},{"dropping-particle":"","family":"D.","given":"Freitas","non-dropping-particle":"","parse-names":false,"suffix":""}],"container-title":"Hepato-gastroenterology","id":"ITEM-1","issue":"35","issued":{"date-parts":[["2000"]]},"note":"1178","page":"1332-1336","publisher":"H.G.E. Update Medical Publishing Ltd. (P.O. Box 17257, Athens GR-10024, Greece)","publisher-place":"D. Freitas, Department of Gastroenterology, Coimbra University Hospital, 3000 Coimbra, Portugal","title":"Endoscopic injection therapy vs. multipolar electrocoagulation vs. laser vs. injection + octreotide vs. injection + omeprazole in the treatment of bleeding peptic ulcers. A prospective randomized study.","type":"article-journal","volume":"47"},"uris":["http://www.mendeley.com/documents/?uuid=e354f443-83ff-4ef6-899b-a41ef34f9dd5"]}],"mendeley":{"formattedCitation":"(Sofia et al. 2000)","plainTextFormattedCitation":"(Sofia et al. 2000)","previouslyFormattedCitation":"(Sofia et al. 2000)"},"properties":{"noteIndex":0},"schema":"https://github.com/citation-style-language/schema/raw/master/csl-citation.json"}</w:instrText>
            </w:r>
            <w:r w:rsidRPr="00E3102A">
              <w:rPr>
                <w:rFonts w:ascii="Calibri" w:eastAsia="Times New Roman" w:hAnsi="Calibri" w:cs="Times New Roman"/>
                <w:color w:val="000000"/>
                <w:sz w:val="18"/>
                <w:szCs w:val="18"/>
                <w:lang w:eastAsia="en-CA"/>
              </w:rPr>
              <w:fldChar w:fldCharType="separate"/>
            </w:r>
            <w:r w:rsidRPr="00E3102A">
              <w:rPr>
                <w:rFonts w:ascii="Calibri" w:eastAsia="Times New Roman" w:hAnsi="Calibri" w:cs="Times New Roman"/>
                <w:b w:val="0"/>
                <w:bCs w:val="0"/>
                <w:noProof/>
                <w:color w:val="000000"/>
                <w:sz w:val="18"/>
                <w:szCs w:val="18"/>
                <w:lang w:eastAsia="en-CA"/>
              </w:rPr>
              <w:t>(Sofia et al. 2000)</w:t>
            </w:r>
            <w:r w:rsidRPr="00E3102A">
              <w:rPr>
                <w:rFonts w:ascii="Calibri" w:eastAsia="Times New Roman" w:hAnsi="Calibri" w:cs="Times New Roman"/>
                <w:color w:val="000000"/>
                <w:sz w:val="18"/>
                <w:szCs w:val="18"/>
                <w:lang w:eastAsia="en-CA"/>
              </w:rPr>
              <w:fldChar w:fldCharType="end"/>
            </w:r>
            <w:r w:rsidRPr="00E3102A">
              <w:rPr>
                <w:rFonts w:ascii="Calibri" w:eastAsia="Times New Roman" w:hAnsi="Calibri" w:cs="Times New Roman"/>
                <w:b w:val="0"/>
                <w:bCs w:val="0"/>
                <w:i/>
                <w:iCs/>
                <w:sz w:val="18"/>
                <w:szCs w:val="18"/>
                <w:lang w:eastAsia="en-CA"/>
              </w:rPr>
              <w:t xml:space="preserve"> </w:t>
            </w:r>
          </w:p>
        </w:tc>
        <w:tc>
          <w:tcPr>
            <w:tcW w:w="2126" w:type="dxa"/>
            <w:tcBorders>
              <w:top w:val="dotted" w:sz="4" w:space="0" w:color="auto"/>
              <w:bottom w:val="dotted" w:sz="4" w:space="0" w:color="auto"/>
            </w:tcBorders>
            <w:vAlign w:val="center"/>
          </w:tcPr>
          <w:p w14:paraId="10D81479" w14:textId="723874B9" w:rsidR="000111AF"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All-cause mortality</w:t>
            </w:r>
          </w:p>
        </w:tc>
        <w:tc>
          <w:tcPr>
            <w:tcW w:w="5245" w:type="dxa"/>
            <w:tcBorders>
              <w:top w:val="dotted" w:sz="4" w:space="0" w:color="auto"/>
              <w:bottom w:val="dotted" w:sz="4" w:space="0" w:color="auto"/>
            </w:tcBorders>
            <w:vAlign w:val="center"/>
          </w:tcPr>
          <w:p w14:paraId="4C9621E6" w14:textId="4DCB4485" w:rsidR="000111AF"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CA"/>
              </w:rPr>
            </w:pPr>
            <w:r w:rsidRPr="00D8429A">
              <w:rPr>
                <w:rFonts w:ascii="Calibri" w:eastAsia="Times New Roman" w:hAnsi="Calibri" w:cs="Calibri"/>
                <w:sz w:val="18"/>
                <w:szCs w:val="18"/>
                <w:lang w:eastAsia="en-CA"/>
              </w:rPr>
              <w:t>Different intervention</w:t>
            </w:r>
            <w:r>
              <w:rPr>
                <w:rFonts w:ascii="Calibri" w:eastAsia="Times New Roman" w:hAnsi="Calibri" w:cs="Calibri"/>
                <w:sz w:val="18"/>
                <w:szCs w:val="18"/>
                <w:lang w:eastAsia="en-CA"/>
              </w:rPr>
              <w:t>s across studies.</w:t>
            </w:r>
          </w:p>
        </w:tc>
      </w:tr>
      <w:tr w:rsidR="000111AF" w14:paraId="47849A21"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tcPr>
          <w:p w14:paraId="6C948D31" w14:textId="610CE8E2" w:rsidR="000111AF" w:rsidRPr="00E3102A" w:rsidRDefault="000111AF" w:rsidP="000111AF">
            <w:pPr>
              <w:rPr>
                <w:rFonts w:ascii="Calibri" w:eastAsia="Times New Roman" w:hAnsi="Calibri" w:cs="Times New Roman"/>
                <w:b w:val="0"/>
                <w:bCs w:val="0"/>
                <w:color w:val="000000"/>
                <w:sz w:val="18"/>
                <w:szCs w:val="18"/>
                <w:lang w:eastAsia="en-CA"/>
              </w:rPr>
            </w:pPr>
            <w:r w:rsidRPr="00E3102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{"citationItems":[{"id":"ITEM-1","itemData":{"ISBN":"0002-8703","abstract":"Background Discontinuations and/or interruptions in aspirin therapy for secondary cardioprotection due to upper gastrointestinal (UGI) complications or symptoms have been shown to increase the risk for subsequent cardiovascular events. PA32540 is a coordinated-delivery, combination tablet consisting of enteric-coated aspirin (EC-ASA) 325 mg and immediate-release (IR) omeprazole 40 mg. Methods Two identically-designed, 6-month, randomized, double-blind trials evaluated PA32540 vs. EC-ASA 325 mg in a secondary cardiovascular disease prevention population taking aspirin 325 mg daily for &gt;3 months and at risk for ASA-associated gastric ulcers (GUs). The combined study population was 1049 subjects (524 randomized to PA32540, 525 to EC-ASA 325 mg). The primary endpoint was the occurrence of endoscopically-determined gastric ulceration over 6 months. Safety outcomes included the rates of major adverse cardiovascular events (MACE) and UGI symptoms. Results Significantly fewer PA32540-treated subjects (3.2%) developed endoscopic GUs vs. EC-ASA 325 mg-treated subjects (8.6%) (P &lt;.001). Overall occurrence of MACE was low (2.1%), with no significant differences between treatments in types or incidence of MACE. PA32540-treated subjects had significantly fewer UGI symptoms (P &lt;.001) and significantly fewer discontinuations due to pre-specified UGI adverse events (1.5% vs. 8.2%, respectively; P &lt;.001). Conclusions PA32540 reduced the incidence of endoscopic GUs compared to EC-ASA 325 mg, but with a similar cardiovascular event profile. Due to fewer UGI symptoms, continuation on aspirin therapy was greater in the PA32540 treatment arm.","author":[{"dropping-particle":"","family":"Whellan","given":"DJ","non-dropping-particle":"","parse-names":false,"suffix":""},{"dropping-particle":"","family":"Goldstein","given":"JL","non-dropping-particle":"","parse-names":false,"suffix":""},{"dropping-particle":"","family":"Cryer","given":"BL","non-dropping-particle":"","parse-names":false,"suffix":""},{"dropping-particle":"","family":"Eisen","given":"GM","non-dropping-particle":"","parse-names":false,"suffix":""},{"dropping-particle":"","family":"Lanas","given":"A","non-dropping-particle":"","parse-names":false,"suffix":""},{"dropping-particle":"","family":"Miller","given":"AB","non-dropping-particle":"","parse-names":false,"suffix":""},{"dropping-particle":"","family":"Scheiman","given":"JM","non-dropping-particle":"","parse-names":false,"suffix":""},{"dropping-particle":"","family":"Fort","given":"JG","non-dropping-particle":"","parse-names":false,"suffix":""},{"dropping-particle":"","family":"Zhang","given":"Y","non-dropping-particle":"","parse-names":false,"suffix":""},{"dropping-particle":"","family":"O'Connor","given":"C","non-dropping-particle":"","parse-names":false,"suffix":""}],"container-title":"American Heart Journal","id":"ITEM-1","issue":"4","issued":{"date-parts":[["2014"]]},"note":"83","page":"495","publisher":"Mosby Inc.","publisher-place":"D.J. Whellan, 1015 Chestnut Street, Philadelphia, PA 19107, United States","title":"PA32540 (a coordinated-delivery tablet of enteric-coated aspirin 325 mg and immediate-release omeprazole 40 mg) versus enteric-coated aspirin 325 mg alone in subjects at risk for aspirin-associated gastric ulcers: Results of two 6-month, phase 3 studies","type":"article","volume":"168"},"uris":["http://www.mendeley.com/documents/?uuid=baa27712-0d7e-4aad-86de-c9b6f136f972"]}],"mendeley":{"formattedCitation":"(Whellan et al. 2014)","plainTextFormattedCitation":"(Whellan et al. 2014)","previouslyFormattedCitation":"(Whellan et al. 2014)"},"properties":{"noteIndex":0},"schema":"https://github.com/citation-style-language/schema/raw/master/csl-citation.json"}</w:instrText>
            </w:r>
            <w:r w:rsidRPr="00E3102A">
              <w:rPr>
                <w:rFonts w:ascii="Calibri" w:eastAsia="Times New Roman" w:hAnsi="Calibri" w:cs="Times New Roman"/>
                <w:color w:val="000000"/>
                <w:sz w:val="18"/>
                <w:szCs w:val="18"/>
                <w:lang w:eastAsia="en-CA"/>
              </w:rPr>
              <w:fldChar w:fldCharType="separate"/>
            </w:r>
            <w:r w:rsidRPr="00E3102A">
              <w:rPr>
                <w:rFonts w:ascii="Calibri" w:eastAsia="Times New Roman" w:hAnsi="Calibri" w:cs="Times New Roman"/>
                <w:b w:val="0"/>
                <w:bCs w:val="0"/>
                <w:noProof/>
                <w:color w:val="000000"/>
                <w:sz w:val="18"/>
                <w:szCs w:val="18"/>
                <w:lang w:eastAsia="en-CA"/>
              </w:rPr>
              <w:t>(Whellan et al. 2014)</w:t>
            </w:r>
            <w:r w:rsidRPr="00E3102A">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dotted" w:sz="4" w:space="0" w:color="auto"/>
            </w:tcBorders>
            <w:vAlign w:val="center"/>
          </w:tcPr>
          <w:p w14:paraId="19F9858B" w14:textId="217F8CCC" w:rsidR="000111AF"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Cardiovascular mortality and stroke</w:t>
            </w:r>
          </w:p>
        </w:tc>
        <w:tc>
          <w:tcPr>
            <w:tcW w:w="5245" w:type="dxa"/>
            <w:tcBorders>
              <w:top w:val="dotted" w:sz="4" w:space="0" w:color="auto"/>
              <w:bottom w:val="dotted" w:sz="4" w:space="0" w:color="auto"/>
            </w:tcBorders>
            <w:vAlign w:val="center"/>
          </w:tcPr>
          <w:p w14:paraId="1484D8FA" w14:textId="17B1B688" w:rsidR="000111AF"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en-CA"/>
              </w:rPr>
            </w:pPr>
            <w:r>
              <w:rPr>
                <w:rFonts w:ascii="Calibri" w:eastAsia="Times New Roman" w:hAnsi="Calibri" w:cs="Calibri"/>
                <w:sz w:val="18"/>
                <w:szCs w:val="18"/>
                <w:lang w:eastAsia="en-CA"/>
              </w:rPr>
              <w:t>The only RCT in Group C for this outcome</w:t>
            </w:r>
          </w:p>
        </w:tc>
      </w:tr>
      <w:tr w:rsidR="000111AF" w14:paraId="023A5107" w14:textId="77777777" w:rsidTr="000111AF">
        <w:trPr>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dotted" w:sz="4" w:space="0" w:color="auto"/>
            </w:tcBorders>
            <w:vAlign w:val="center"/>
          </w:tcPr>
          <w:p w14:paraId="341AB39A" w14:textId="37E98CA3" w:rsidR="000111AF" w:rsidRPr="00E3102A" w:rsidRDefault="000111AF" w:rsidP="000111AF">
            <w:pPr>
              <w:rPr>
                <w:rFonts w:ascii="Calibri" w:eastAsia="Times New Roman" w:hAnsi="Calibri" w:cs="Times New Roman"/>
                <w:b w:val="0"/>
                <w:bCs w:val="0"/>
                <w:color w:val="000000"/>
                <w:sz w:val="18"/>
                <w:szCs w:val="18"/>
                <w:lang w:eastAsia="en-CA"/>
              </w:rPr>
            </w:pPr>
            <w:r w:rsidRPr="00E3102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{"citationItems":[{"id":"ITEM-1","itemData":{"ISBN":"0929-5305","abstract":"Patients receiving chronic nonsteroidal anti-inflammatory drugs (NSAIDs) and concomitant low-dose aspirin (LDA) are at increased risk of gastrointestinal (GI) toxicity. A fixed-dose combination of enteric-coated (EC) naproxen and immediate-release esomeprazole magnesium (NAP/ESO) has been designed to deliver a proton-pump inhibitor followed by an NSAID in a single tablet. To examine safety data from 5 Phase III studies of NAP/ESO in LDA users (&lt;325 mg daily, administered at any time during the study), and LDA non-users, data were analyzed from 6-month studies assessing NAP/ESO versus EC naproxen in patients with osteoarthritis, rheumatoid arthritis, or ankylosing spondylitis (n = 2), 3-month studies assessing NAP/ESO vs celecoxib or placebo in patients with knee osteoarthritis (n = 2), and a 12-month, open-label, safety study of NAP/ESO (n = 1). In an analysis of two studies, incidences of endoscopically confirmed gastric ulcers (GUs) and duodenal ulcers (DUs) were summarized by LDA subgroups. In the pooled analysis from all five studies, incidences of treatment-emergent adverse events (AEs) (including prespecified NSAID-associated upper GI AEs and cardiovascular AEs), serious AEs, and AE-related discontinuations were stratified by LDA subgroups. Overall, 2,317 patients received treatment; 1,157 patients received NAP/ESO and, of these, 298 received LDA. The cumulative incidence of GUs and DUs in the two studies with 6-month follow-up was lower for NAP/ESO vs EC naproxen in both LDA subgroups [GUs: 3.0 vs 27.9 %, respectively, for LDA users, 6.4 vs 22.4 %, respectively, for LDA non-users (both P &lt; 0.001); DUs: 1.0 vs 5.8 % for LDA users, 0.6 vs 5.3 % for LDA non-users]. The incidence of erosive gastritis was lower in NAP/ESO- vs EC naproxen-treated patients for both LDA users [18.2 vs 36.5 %, respectively (P = 0.004)] and LDA non-users [19.8 vs 38.5 %, respectively (P &lt; 0.001)]. Among LDA users, incidences of NSAID-associated upper GI AEs were: NAP/ESO, 16.1 %; EC naproxen, 31.7 %; celecoxib, 22.1 %; placebo, 23.2 %. Among LDA non-users, incidences of NSAID-associated upper GI AEs were: NAP/ESO, 20.3 %; EC naproxen, 36.6 %; celecoxib, 18.5 %; placebo, 18.9 %. For LDA users, incidences of cardiovascular AEs were: NAP/ESO, 3.0 %; EC naproxen, 1.0 %; celecoxib, 0 %; placebo, 0 %. For LDA non-users, incidences of cardiovascular AEs were: NAP/ESO, 1.0 %; EC naproxen, 0.6 %; celecoxib, 0.3 %; placebo, 0 %. NAP/ESO appears to be well-tolerated in patients recei…","author":[{"dropping-particle":"","family":"Angiolillo","given":"DJ","non-dropping-particle":"","parse-names":false,"suffix":""},{"dropping-particle":"","family":"Datto","given":"C","non-dropping-particle":"","parse-names":false,"suffix":""},{"dropping-particle":"","family":"Raines","given":"S","non-dropping-particle":"","parse-names":false,"suffix":""},{"dropping-particle":"","family":"Yeomans","given":"ND","non-dropping-particle":"","parse-names":false,"suffix":""}],"container-title":"Journal of Thrombosis and Thrombolysis","id":"ITEM-1","issue":"1","issued":{"date-parts":[["2014"]]},"note":"219","page":"11-23","publisher":"Kluwer Academic Publishers","publisher-place":"D.J. Angiolillo, Division of Cardiology, University of Florida College of Medicine-Jacksonville, ACC Building, 655 West 8th Street, Jacksonville, FL 32209, United States. E-mail: dominick.angiolillo@jax.ufl.edu","title":"Impact of concomitant low-dose aspirin on the safety and tolerability of naproxen and esomeprazole magnesium delayed-release tablets in patients requiring chronic nonsteroidal anti-inflammatory drug therapy: An analysis from 5 Phase III studies","type":"article","volume":"38"},"uris":["http://www.mendeley.com/documents/?uuid=d3949ee1-a391-447a-adb0-f4f3013232e8"]}],"mendeley":{"formattedCitation":"(Angiolillo et al. 2014)","plainTextFormattedCitation":"(Angiolillo et al. 2014)","previouslyFormattedCitation":"(Angiolillo et al. 2014)"},"properties":{"noteIndex":0},"schema":"https://github.com/citation-style-language/schema/raw/master/csl-citation.json"}</w:instrText>
            </w:r>
            <w:r w:rsidRPr="00E3102A">
              <w:rPr>
                <w:rFonts w:ascii="Calibri" w:eastAsia="Times New Roman" w:hAnsi="Calibri" w:cs="Times New Roman"/>
                <w:color w:val="000000"/>
                <w:sz w:val="18"/>
                <w:szCs w:val="18"/>
                <w:lang w:eastAsia="en-CA"/>
              </w:rPr>
              <w:fldChar w:fldCharType="separate"/>
            </w:r>
            <w:r w:rsidRPr="00E3102A">
              <w:rPr>
                <w:rFonts w:ascii="Calibri" w:eastAsia="Times New Roman" w:hAnsi="Calibri" w:cs="Times New Roman"/>
                <w:b w:val="0"/>
                <w:bCs w:val="0"/>
                <w:noProof/>
                <w:color w:val="000000"/>
                <w:sz w:val="18"/>
                <w:szCs w:val="18"/>
                <w:lang w:eastAsia="en-CA"/>
              </w:rPr>
              <w:t>(Angiolillo et al. 2014)</w:t>
            </w:r>
            <w:r w:rsidRPr="00E3102A">
              <w:rPr>
                <w:rFonts w:ascii="Calibri" w:eastAsia="Times New Roman" w:hAnsi="Calibri" w:cs="Times New Roman"/>
                <w:color w:val="000000"/>
                <w:sz w:val="18"/>
                <w:szCs w:val="18"/>
                <w:lang w:eastAsia="en-CA"/>
              </w:rPr>
              <w:fldChar w:fldCharType="end"/>
            </w:r>
          </w:p>
          <w:p w14:paraId="1DEDAF87" w14:textId="7F68E01A" w:rsidR="000111AF" w:rsidRPr="00E3102A" w:rsidRDefault="000111AF" w:rsidP="000111AF">
            <w:pPr>
              <w:rPr>
                <w:rFonts w:ascii="Calibri" w:eastAsia="Times New Roman" w:hAnsi="Calibri" w:cs="Times New Roman"/>
                <w:b w:val="0"/>
                <w:bCs w:val="0"/>
                <w:color w:val="000000"/>
                <w:sz w:val="18"/>
                <w:szCs w:val="18"/>
                <w:lang w:eastAsia="en-CA"/>
              </w:rPr>
            </w:pPr>
            <w:r w:rsidRPr="00E3102A">
              <w:rPr>
                <w:rFonts w:ascii="Calibri" w:eastAsia="Times New Roman" w:hAnsi="Calibri" w:cs="Times New Roman"/>
                <w:b w:val="0"/>
                <w:bCs w:val="0"/>
                <w:color w:val="000000"/>
                <w:sz w:val="18"/>
                <w:szCs w:val="18"/>
                <w:lang w:eastAsia="en-CA"/>
              </w:rPr>
              <w:t>and (Goldstein et al, 2010)</w:t>
            </w:r>
            <w:r w:rsidRPr="00E3102A">
              <w:rPr>
                <w:rFonts w:ascii="Calibri" w:eastAsia="Times New Roman" w:hAnsi="Calibri" w:cs="Times New Roman"/>
                <w:b w:val="0"/>
                <w:bCs w:val="0"/>
                <w:i/>
                <w:iCs/>
                <w:sz w:val="18"/>
                <w:szCs w:val="18"/>
                <w:lang w:eastAsia="en-CA"/>
              </w:rPr>
              <w:t xml:space="preserve"> </w:t>
            </w:r>
          </w:p>
        </w:tc>
        <w:tc>
          <w:tcPr>
            <w:tcW w:w="2126" w:type="dxa"/>
            <w:tcBorders>
              <w:top w:val="dotted" w:sz="4" w:space="0" w:color="auto"/>
              <w:bottom w:val="dotted" w:sz="4" w:space="0" w:color="auto"/>
            </w:tcBorders>
            <w:vAlign w:val="center"/>
          </w:tcPr>
          <w:p w14:paraId="42738890" w14:textId="71E15360" w:rsidR="000111AF"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Myocardial infarction</w:t>
            </w:r>
          </w:p>
        </w:tc>
        <w:tc>
          <w:tcPr>
            <w:tcW w:w="5245" w:type="dxa"/>
            <w:tcBorders>
              <w:top w:val="dotted" w:sz="4" w:space="0" w:color="auto"/>
              <w:bottom w:val="dotted" w:sz="4" w:space="0" w:color="auto"/>
            </w:tcBorders>
            <w:vAlign w:val="center"/>
          </w:tcPr>
          <w:p w14:paraId="654AD0D4" w14:textId="350D97FE" w:rsidR="000111AF" w:rsidRDefault="000111AF" w:rsidP="000111A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en-CA"/>
              </w:rPr>
            </w:pPr>
            <w:r w:rsidRPr="00D8429A">
              <w:rPr>
                <w:rFonts w:ascii="Calibri" w:eastAsia="Times New Roman" w:hAnsi="Calibri" w:cs="Calibri"/>
                <w:sz w:val="18"/>
                <w:szCs w:val="18"/>
                <w:lang w:eastAsia="en-CA"/>
              </w:rPr>
              <w:t>Different intervention</w:t>
            </w:r>
            <w:r>
              <w:rPr>
                <w:rFonts w:ascii="Calibri" w:eastAsia="Times New Roman" w:hAnsi="Calibri" w:cs="Calibri"/>
                <w:sz w:val="18"/>
                <w:szCs w:val="18"/>
                <w:lang w:eastAsia="en-CA"/>
              </w:rPr>
              <w:t>s across studies.</w:t>
            </w:r>
          </w:p>
        </w:tc>
      </w:tr>
      <w:tr w:rsidR="000111AF" w14:paraId="247CC576" w14:textId="77777777" w:rsidTr="000111AF">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835" w:type="dxa"/>
            <w:tcBorders>
              <w:top w:val="dotted" w:sz="4" w:space="0" w:color="auto"/>
              <w:bottom w:val="single" w:sz="4" w:space="0" w:color="auto"/>
            </w:tcBorders>
            <w:vAlign w:val="center"/>
          </w:tcPr>
          <w:p w14:paraId="7D80C50C" w14:textId="7EB67784" w:rsidR="000111AF" w:rsidRPr="00E3102A" w:rsidRDefault="000111AF" w:rsidP="000111AF">
            <w:pPr>
              <w:rPr>
                <w:rFonts w:ascii="Calibri" w:eastAsia="Times New Roman" w:hAnsi="Calibri" w:cs="Times New Roman"/>
                <w:b w:val="0"/>
                <w:bCs w:val="0"/>
                <w:color w:val="000000"/>
                <w:sz w:val="18"/>
                <w:szCs w:val="18"/>
                <w:lang w:eastAsia="en-CA"/>
              </w:rPr>
            </w:pPr>
            <w:r w:rsidRPr="00E3102A">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b w:val="0"/>
                <w:bCs w:val="0"/>
                <w:color w:val="000000"/>
                <w:sz w:val="18"/>
                <w:szCs w:val="18"/>
                <w:lang w:eastAsia="en-CA"/>
              </w:rPr>
              <w:instrText>ADDIN CSL_CITATION {"citationItems":[{"id":"ITEM-1","itemData":{"ISBN":"0017-5749","abstract":"Objectives: To evaluate if esomeprazole prevents recurrent peptic ulcer in adult patients with a history of peptic ulcer receiving low-dose acetylsalicylic acid (ASA, aspirin) for cardiovascular protection in East Asia. Methods: In this prospective, randomised, double-blind, placebo-controlled trial conducted in Japan, Korea and Taiwan, eligible patients receiving low-dose ASA for cardiovascular protection (81-324 mg/day) were randomised to esomeprazole 20 mg/day or placebo for &lt;72 weeks. All patients received concomitant mucosal protection (gefarnate 100 mg/day). The primary endpoint was time to ulcer recurrence (KaplanCMeier analysis). Efficacy findings are presented up to week 48, as per a planned interim analysis within the study protocol. Results: A total of 364 patients (79.9% men; mean age, 67.1 years) comprised the full analysis set (esomeprazole, n=182; placebo, n=182). There was a statistically significant difference in the time to ulcer recurrence between esomeprazole and placebo (HR 0.09; 96.65% CI 0.02 to 0.41; p&lt;0.001). The estimated ulcer-free rate at week 12 was 99.3% (esomeprazole) and 89.0% (placebo). The high estimated ulcer-free rate for esomeprazole was maintained through to week 48 (98.3% vs 81.2% of placebo-treated patients). No factors, other than female gender, reduced time to ulcer recurrence in addition to the effect of esomeprazole (p&lt;0.001). Treatment with esomeprazole was generally well tolerated. Conclusions: Daily esomeprazole 20 mg is efficacious and well tolerated in reducing the recurrence of peptic ulcer in East-Asian patients with a history of ulcers who are taking low-dose ASA for cardiovascular protection.","author":[{"dropping-particle":"","family":"Sugano","given":"K","non-dropping-particle":"","parse-names":false,"suffix":""},{"dropping-particle":"","family":"Choi","given":"M","non-dropping-particle":"","parse-names":false,"suffix":""},{"dropping-particle":"","family":"Lin","given":"J","non-dropping-particle":"","parse-names":false,"suffix":""},{"dropping-particle":"","family":"Goto","given":"S","non-dropping-particle":"","parse-names":false,"suffix":""},{"dropping-particle":"","family":"Okada","given":"Y","non-dropping-particle":"","parse-names":false,"suffix":""},{"dropping-particle":"","family":"Kinoshita","given":"Y","non-dropping-particle":"","parse-names":false,"suffix":""},{"dropping-particle":"","family":"Miwa","given":"H","non-dropping-particle":"","parse-names":false,"suffix":""},{"dropping-particle":"","family":"Chiang","given":"C","non-dropping-particle":"","parse-names":false,"suffix":""},{"dropping-particle":"","family":"Chiba","given":"T","non-dropping-particle":"","parse-names":false,"suffix":""},{"dropping-particle":"","family":"Hori","given":"M","non-dropping-particle":"","parse-names":false,"suffix":""},{"dropping-particle":"","family":"Fukushima","given":"Y","non-dropping-particle":"","parse-names":false,"suffix":""},{"dropping-particle":"","family":"Kim","given":"H","non-dropping-particle":"","parse-names":false,"suffix":""},{"dropping-particle":"","family":"Chang","given":"C","non-dropping-particle":"","parse-names":false,"suffix":""},{"dropping-particle":"","family":"Date","given":"M","non-dropping-particle":"","parse-names":false,"suffix":""}],"container-title":"Gut","id":"ITEM-1","issue":"7","issued":{"date-parts":[["2014"]]},"note":"95","page":"1061-1068","publisher":"BMJ Publishing Group","publisher-place":"K. Sugano, Department of Medicine, Jichi Medical University, 3311-1 Yakushiji, Shimotsuke, Tochigi 329-0498, Japan. E-mail: sugano@jichi.ac.jp","title":"Multinational, double-blind, randomised, placebocontrolled, prospective study of esomeprazole in the prevention of recurrent peptic ulcer in low-dose acetylsalicylic acid users: The lavender* study","type":"article","volume":"63"},"uris":["http://www.mendeley.com/documents/?uuid=6a2aa434-2fb3-4405-8940-d3ac438a9d69"]}],"mendeley":{"formattedCitation":"(Sugano et al. 2014)","plainTextFormattedCitation":"(Sugano et al. 2014)","previouslyFormattedCitation":"(Sugano et al. 2014)"},"properties":{"noteIndex":0},"schema":"https://github.com/citation-style-language/schema/raw/master/csl-citation.json"}</w:instrText>
            </w:r>
            <w:r w:rsidRPr="00E3102A">
              <w:rPr>
                <w:rFonts w:ascii="Calibri" w:eastAsia="Times New Roman" w:hAnsi="Calibri" w:cs="Times New Roman"/>
                <w:color w:val="000000"/>
                <w:sz w:val="18"/>
                <w:szCs w:val="18"/>
                <w:lang w:eastAsia="en-CA"/>
              </w:rPr>
              <w:fldChar w:fldCharType="separate"/>
            </w:r>
            <w:r w:rsidRPr="00E3102A">
              <w:rPr>
                <w:rFonts w:ascii="Calibri" w:eastAsia="Times New Roman" w:hAnsi="Calibri" w:cs="Times New Roman"/>
                <w:b w:val="0"/>
                <w:bCs w:val="0"/>
                <w:noProof/>
                <w:color w:val="000000"/>
                <w:sz w:val="18"/>
                <w:szCs w:val="18"/>
                <w:lang w:eastAsia="en-CA"/>
              </w:rPr>
              <w:t>(Sugano et al. 2014)</w:t>
            </w:r>
            <w:r w:rsidRPr="00E3102A">
              <w:rPr>
                <w:rFonts w:ascii="Calibri" w:eastAsia="Times New Roman" w:hAnsi="Calibri" w:cs="Times New Roman"/>
                <w:color w:val="000000"/>
                <w:sz w:val="18"/>
                <w:szCs w:val="18"/>
                <w:lang w:eastAsia="en-CA"/>
              </w:rPr>
              <w:fldChar w:fldCharType="end"/>
            </w:r>
          </w:p>
        </w:tc>
        <w:tc>
          <w:tcPr>
            <w:tcW w:w="2126" w:type="dxa"/>
            <w:tcBorders>
              <w:top w:val="dotted" w:sz="4" w:space="0" w:color="auto"/>
              <w:bottom w:val="single" w:sz="4" w:space="0" w:color="auto"/>
            </w:tcBorders>
            <w:vAlign w:val="center"/>
          </w:tcPr>
          <w:p w14:paraId="50145385" w14:textId="51C82502" w:rsidR="000111AF"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en-CA"/>
              </w:rPr>
            </w:pPr>
            <w:r>
              <w:rPr>
                <w:rFonts w:ascii="Calibri" w:eastAsia="Times New Roman" w:hAnsi="Calibri" w:cs="Calibri"/>
                <w:color w:val="000000"/>
                <w:sz w:val="18"/>
                <w:szCs w:val="18"/>
                <w:lang w:eastAsia="en-CA"/>
              </w:rPr>
              <w:t>Myocardial infarction</w:t>
            </w:r>
          </w:p>
        </w:tc>
        <w:tc>
          <w:tcPr>
            <w:tcW w:w="5245" w:type="dxa"/>
            <w:tcBorders>
              <w:top w:val="dotted" w:sz="4" w:space="0" w:color="auto"/>
              <w:bottom w:val="single" w:sz="4" w:space="0" w:color="auto"/>
            </w:tcBorders>
            <w:vAlign w:val="center"/>
          </w:tcPr>
          <w:p w14:paraId="36D50064" w14:textId="658CBA9F" w:rsidR="000111AF" w:rsidRDefault="000111AF" w:rsidP="000111A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en-CA"/>
              </w:rPr>
            </w:pPr>
            <w:r w:rsidRPr="00D8429A">
              <w:rPr>
                <w:rFonts w:ascii="Calibri" w:eastAsia="Times New Roman" w:hAnsi="Calibri" w:cs="Calibri"/>
                <w:sz w:val="18"/>
                <w:szCs w:val="18"/>
                <w:lang w:eastAsia="en-CA"/>
              </w:rPr>
              <w:t>Different intervention</w:t>
            </w:r>
            <w:r>
              <w:rPr>
                <w:rFonts w:ascii="Calibri" w:eastAsia="Times New Roman" w:hAnsi="Calibri" w:cs="Calibri"/>
                <w:sz w:val="18"/>
                <w:szCs w:val="18"/>
                <w:lang w:eastAsia="en-CA"/>
              </w:rPr>
              <w:t>s across studies.</w:t>
            </w:r>
          </w:p>
        </w:tc>
      </w:tr>
    </w:tbl>
    <w:p w14:paraId="4722513A" w14:textId="77777777" w:rsidR="00D8429A" w:rsidRPr="00D8429A" w:rsidRDefault="00D8429A" w:rsidP="00D8429A">
      <w:pPr>
        <w:rPr>
          <w:lang w:eastAsia="en-CA"/>
        </w:rPr>
      </w:pPr>
    </w:p>
    <w:p w14:paraId="5CD43417" w14:textId="77777777" w:rsidR="00883C77" w:rsidRDefault="00883C77" w:rsidP="00883C77">
      <w:pPr>
        <w:rPr>
          <w:lang w:eastAsia="en-CA"/>
        </w:rPr>
      </w:pPr>
    </w:p>
    <w:p w14:paraId="347AA8DB" w14:textId="77777777" w:rsidR="00D8429A" w:rsidRDefault="00D8429A">
      <w:pPr>
        <w:rPr>
          <w:rFonts w:asciiTheme="majorHAnsi" w:eastAsiaTheme="majorEastAsia" w:hAnsiTheme="majorHAnsi" w:cstheme="majorBidi"/>
          <w:color w:val="2E74B5" w:themeColor="accent1" w:themeShade="BF"/>
          <w:sz w:val="26"/>
          <w:szCs w:val="26"/>
          <w:lang w:eastAsia="en-CA"/>
        </w:rPr>
      </w:pPr>
      <w:r>
        <w:rPr>
          <w:lang w:eastAsia="en-CA"/>
        </w:rPr>
        <w:br w:type="page"/>
      </w:r>
    </w:p>
    <w:p w14:paraId="53DF2E05" w14:textId="6AEEB63E" w:rsidR="00883C77" w:rsidRDefault="00E63313" w:rsidP="00323052">
      <w:pPr>
        <w:pStyle w:val="Heading2"/>
        <w:rPr>
          <w:lang w:eastAsia="en-CA"/>
        </w:rPr>
      </w:pPr>
      <w:bookmarkStart w:id="28" w:name="_Toc510634445"/>
      <w:bookmarkStart w:id="29" w:name="_Toc536713788"/>
      <w:r>
        <w:rPr>
          <w:lang w:eastAsia="en-CA"/>
        </w:rPr>
        <w:lastRenderedPageBreak/>
        <w:t>Supplemental</w:t>
      </w:r>
      <w:r w:rsidR="00563510">
        <w:rPr>
          <w:lang w:eastAsia="en-CA"/>
        </w:rPr>
        <w:t xml:space="preserve"> Material V</w:t>
      </w:r>
      <w:r w:rsidR="00D8429A">
        <w:rPr>
          <w:lang w:eastAsia="en-CA"/>
        </w:rPr>
        <w:t>I</w:t>
      </w:r>
      <w:r w:rsidR="00323052">
        <w:rPr>
          <w:lang w:eastAsia="en-CA"/>
        </w:rPr>
        <w:t xml:space="preserve"> -</w:t>
      </w:r>
      <w:r w:rsidR="00563510">
        <w:rPr>
          <w:lang w:eastAsia="en-CA"/>
        </w:rPr>
        <w:t xml:space="preserve"> </w:t>
      </w:r>
      <w:r w:rsidR="00541986">
        <w:rPr>
          <w:lang w:eastAsia="en-CA"/>
        </w:rPr>
        <w:t xml:space="preserve">Group B </w:t>
      </w:r>
      <w:r w:rsidR="00563510">
        <w:rPr>
          <w:lang w:eastAsia="en-CA"/>
        </w:rPr>
        <w:t>Subgroup and se</w:t>
      </w:r>
      <w:r w:rsidR="00883C77">
        <w:rPr>
          <w:lang w:eastAsia="en-CA"/>
        </w:rPr>
        <w:t>nsitivity analyses</w:t>
      </w:r>
      <w:bookmarkEnd w:id="28"/>
      <w:bookmarkEnd w:id="29"/>
    </w:p>
    <w:p w14:paraId="6D846E33" w14:textId="77777777" w:rsidR="00563510" w:rsidRDefault="00563510" w:rsidP="00563510"/>
    <w:p w14:paraId="227DF304" w14:textId="2A3DCFF4" w:rsidR="00563510" w:rsidRPr="00D446D6" w:rsidRDefault="00563510" w:rsidP="00E36AEE">
      <w:pPr>
        <w:pStyle w:val="Caption"/>
        <w:keepNext/>
      </w:pPr>
      <w:bookmarkStart w:id="30" w:name="_Ref495663094"/>
      <w:bookmarkStart w:id="31" w:name="_Ref495663085"/>
      <w:bookmarkStart w:id="32" w:name="_Toc498504645"/>
      <w:r w:rsidRPr="00D446D6">
        <w:t>Table</w:t>
      </w:r>
      <w:bookmarkEnd w:id="30"/>
      <w:r w:rsidR="00B842AC" w:rsidRPr="00D446D6">
        <w:t xml:space="preserve"> S8</w:t>
      </w:r>
      <w:r w:rsidRPr="00D446D6">
        <w:t xml:space="preserve">. Subgroup analysis by PPI assessed </w:t>
      </w:r>
      <w:r w:rsidR="00E36AEE" w:rsidRPr="00D446D6">
        <w:t>among G</w:t>
      </w:r>
      <w:r w:rsidRPr="00D446D6">
        <w:t>roup B studies that evaluated the effect of concomitant clopidogrel/PPI treatment on myocardial infarction. The number of studies pooled for each outcome is represented by “n”.</w:t>
      </w:r>
      <w:bookmarkEnd w:id="31"/>
      <w:bookmarkEnd w:id="32"/>
    </w:p>
    <w:tbl>
      <w:tblPr>
        <w:tblStyle w:val="PlainTable2"/>
        <w:tblW w:w="6237" w:type="dxa"/>
        <w:tblLayout w:type="fixed"/>
        <w:tblLook w:val="04A0" w:firstRow="1" w:lastRow="0" w:firstColumn="1" w:lastColumn="0" w:noHBand="0" w:noVBand="1"/>
      </w:tblPr>
      <w:tblGrid>
        <w:gridCol w:w="1701"/>
        <w:gridCol w:w="142"/>
        <w:gridCol w:w="142"/>
        <w:gridCol w:w="94"/>
        <w:gridCol w:w="2032"/>
        <w:gridCol w:w="2126"/>
      </w:tblGrid>
      <w:tr w:rsidR="00563510" w:rsidRPr="007F3A5D" w14:paraId="0BF1D602" w14:textId="77777777" w:rsidTr="00841021">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1701" w:type="dxa"/>
            <w:shd w:val="clear" w:color="auto" w:fill="E7E6E6" w:themeFill="background2"/>
            <w:hideMark/>
          </w:tcPr>
          <w:p w14:paraId="54E093EE" w14:textId="77777777" w:rsidR="00563510" w:rsidRPr="00ED07D3" w:rsidRDefault="00563510" w:rsidP="00841021">
            <w:pPr>
              <w:rPr>
                <w:rFonts w:ascii="Calibri" w:eastAsia="Times New Roman" w:hAnsi="Calibri" w:cs="Calibri"/>
                <w:color w:val="000000"/>
                <w:sz w:val="16"/>
                <w:szCs w:val="16"/>
                <w:lang w:eastAsia="en-CA"/>
              </w:rPr>
            </w:pPr>
            <w:r w:rsidRPr="00ED07D3">
              <w:rPr>
                <w:rFonts w:ascii="Calibri" w:eastAsia="Times New Roman" w:hAnsi="Calibri" w:cs="Calibri"/>
                <w:i/>
                <w:iCs/>
                <w:color w:val="000000"/>
                <w:sz w:val="16"/>
                <w:szCs w:val="16"/>
                <w:lang w:eastAsia="en-CA"/>
              </w:rPr>
              <w:t>PPI type</w:t>
            </w:r>
          </w:p>
        </w:tc>
        <w:tc>
          <w:tcPr>
            <w:tcW w:w="284" w:type="dxa"/>
            <w:gridSpan w:val="2"/>
            <w:shd w:val="clear" w:color="auto" w:fill="E7E6E6" w:themeFill="background2"/>
            <w:hideMark/>
          </w:tcPr>
          <w:p w14:paraId="4697E322" w14:textId="77777777" w:rsidR="00563510" w:rsidRPr="00ED07D3" w:rsidRDefault="00563510" w:rsidP="00841021">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ED07D3">
              <w:rPr>
                <w:rFonts w:ascii="Calibri" w:eastAsia="Times New Roman" w:hAnsi="Calibri" w:cs="Calibri"/>
                <w:color w:val="000000"/>
                <w:sz w:val="16"/>
                <w:szCs w:val="16"/>
                <w:lang w:eastAsia="en-CA"/>
              </w:rPr>
              <w:t> </w:t>
            </w:r>
          </w:p>
        </w:tc>
        <w:tc>
          <w:tcPr>
            <w:tcW w:w="2126" w:type="dxa"/>
            <w:gridSpan w:val="2"/>
            <w:shd w:val="clear" w:color="auto" w:fill="E7E6E6" w:themeFill="background2"/>
            <w:hideMark/>
          </w:tcPr>
          <w:p w14:paraId="4BF168BE" w14:textId="77777777" w:rsidR="00563510" w:rsidRPr="00ED07D3" w:rsidRDefault="00563510" w:rsidP="008410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ED07D3">
              <w:rPr>
                <w:rFonts w:ascii="Calibri" w:eastAsia="Times New Roman" w:hAnsi="Calibri" w:cs="Calibri"/>
                <w:color w:val="000000"/>
                <w:sz w:val="16"/>
                <w:szCs w:val="16"/>
                <w:lang w:eastAsia="en-CA"/>
              </w:rPr>
              <w:t>Risk Ratio for MI (95% CI)</w:t>
            </w:r>
          </w:p>
        </w:tc>
        <w:tc>
          <w:tcPr>
            <w:tcW w:w="2126" w:type="dxa"/>
            <w:shd w:val="clear" w:color="auto" w:fill="E7E6E6" w:themeFill="background2"/>
          </w:tcPr>
          <w:p w14:paraId="074C0F41" w14:textId="77777777" w:rsidR="00563510" w:rsidRPr="00ED07D3" w:rsidRDefault="00563510" w:rsidP="0084102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ED07D3">
              <w:rPr>
                <w:rFonts w:ascii="Calibri" w:eastAsia="Times New Roman" w:hAnsi="Calibri" w:cs="Calibri"/>
                <w:color w:val="000000"/>
                <w:sz w:val="16"/>
                <w:szCs w:val="16"/>
                <w:lang w:eastAsia="en-CA"/>
              </w:rPr>
              <w:t>Number of studies pooled</w:t>
            </w:r>
          </w:p>
        </w:tc>
      </w:tr>
      <w:tr w:rsidR="00563510" w:rsidRPr="007F3A5D" w14:paraId="4355DFE3" w14:textId="77777777" w:rsidTr="008410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3" w:type="dxa"/>
            <w:gridSpan w:val="2"/>
            <w:noWrap/>
            <w:hideMark/>
          </w:tcPr>
          <w:p w14:paraId="57ABB057" w14:textId="77777777" w:rsidR="00563510" w:rsidRPr="007F3A5D" w:rsidRDefault="00563510" w:rsidP="00841021">
            <w:pPr>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Omeprazole</w:t>
            </w:r>
          </w:p>
        </w:tc>
        <w:tc>
          <w:tcPr>
            <w:tcW w:w="236" w:type="dxa"/>
            <w:gridSpan w:val="2"/>
            <w:noWrap/>
            <w:hideMark/>
          </w:tcPr>
          <w:p w14:paraId="7098DA7C" w14:textId="77777777" w:rsidR="00563510" w:rsidRPr="007F3A5D" w:rsidRDefault="00563510" w:rsidP="0084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 </w:t>
            </w:r>
          </w:p>
        </w:tc>
        <w:tc>
          <w:tcPr>
            <w:tcW w:w="2032" w:type="dxa"/>
            <w:noWrap/>
            <w:hideMark/>
          </w:tcPr>
          <w:p w14:paraId="3302C1EE" w14:textId="77777777" w:rsidR="00563510" w:rsidRPr="007F3A5D" w:rsidRDefault="00563510" w:rsidP="0084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0.97 (0.76-1.22)</w:t>
            </w:r>
          </w:p>
        </w:tc>
        <w:tc>
          <w:tcPr>
            <w:tcW w:w="2126" w:type="dxa"/>
            <w:noWrap/>
            <w:hideMark/>
          </w:tcPr>
          <w:p w14:paraId="0BD69D1C" w14:textId="77777777" w:rsidR="00563510" w:rsidRPr="007F3A5D" w:rsidRDefault="00563510" w:rsidP="0084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6"/>
                <w:szCs w:val="16"/>
                <w:lang w:eastAsia="en-CA"/>
              </w:rPr>
            </w:pPr>
            <w:r w:rsidRPr="007F3A5D">
              <w:rPr>
                <w:rFonts w:ascii="Calibri" w:eastAsia="Times New Roman" w:hAnsi="Calibri" w:cs="Calibri"/>
                <w:i/>
                <w:iCs/>
                <w:color w:val="000000"/>
                <w:sz w:val="16"/>
                <w:szCs w:val="16"/>
                <w:lang w:eastAsia="en-CA"/>
              </w:rPr>
              <w:t>n=3</w:t>
            </w:r>
          </w:p>
        </w:tc>
      </w:tr>
      <w:tr w:rsidR="00563510" w:rsidRPr="007F3A5D" w14:paraId="734E501D" w14:textId="77777777" w:rsidTr="00841021">
        <w:trPr>
          <w:trHeight w:val="288"/>
        </w:trPr>
        <w:tc>
          <w:tcPr>
            <w:cnfStyle w:val="001000000000" w:firstRow="0" w:lastRow="0" w:firstColumn="1" w:lastColumn="0" w:oddVBand="0" w:evenVBand="0" w:oddHBand="0" w:evenHBand="0" w:firstRowFirstColumn="0" w:firstRowLastColumn="0" w:lastRowFirstColumn="0" w:lastRowLastColumn="0"/>
            <w:tcW w:w="1843" w:type="dxa"/>
            <w:gridSpan w:val="2"/>
            <w:noWrap/>
            <w:hideMark/>
          </w:tcPr>
          <w:p w14:paraId="507AE174" w14:textId="77777777" w:rsidR="00563510" w:rsidRPr="007F3A5D" w:rsidRDefault="00563510" w:rsidP="00841021">
            <w:pPr>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Esomeprazole</w:t>
            </w:r>
          </w:p>
        </w:tc>
        <w:tc>
          <w:tcPr>
            <w:tcW w:w="236" w:type="dxa"/>
            <w:gridSpan w:val="2"/>
            <w:noWrap/>
            <w:hideMark/>
          </w:tcPr>
          <w:p w14:paraId="1527FEC1" w14:textId="77777777" w:rsidR="00563510" w:rsidRPr="007F3A5D" w:rsidRDefault="00563510" w:rsidP="0084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 </w:t>
            </w:r>
          </w:p>
        </w:tc>
        <w:tc>
          <w:tcPr>
            <w:tcW w:w="2032" w:type="dxa"/>
            <w:noWrap/>
            <w:hideMark/>
          </w:tcPr>
          <w:p w14:paraId="3A64DCE6" w14:textId="77777777" w:rsidR="00563510" w:rsidRPr="007F3A5D" w:rsidRDefault="00563510" w:rsidP="0084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1.18 (0.83-1.68)</w:t>
            </w:r>
          </w:p>
        </w:tc>
        <w:tc>
          <w:tcPr>
            <w:tcW w:w="2126" w:type="dxa"/>
            <w:noWrap/>
            <w:hideMark/>
          </w:tcPr>
          <w:p w14:paraId="4A7B3287" w14:textId="77777777" w:rsidR="00563510" w:rsidRPr="007F3A5D" w:rsidRDefault="00563510" w:rsidP="0084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6"/>
                <w:szCs w:val="16"/>
                <w:lang w:eastAsia="en-CA"/>
              </w:rPr>
            </w:pPr>
            <w:r w:rsidRPr="007F3A5D">
              <w:rPr>
                <w:rFonts w:ascii="Calibri" w:eastAsia="Times New Roman" w:hAnsi="Calibri" w:cs="Calibri"/>
                <w:i/>
                <w:iCs/>
                <w:color w:val="000000"/>
                <w:sz w:val="16"/>
                <w:szCs w:val="16"/>
                <w:lang w:eastAsia="en-CA"/>
              </w:rPr>
              <w:t>n=2</w:t>
            </w:r>
          </w:p>
        </w:tc>
      </w:tr>
      <w:tr w:rsidR="00563510" w:rsidRPr="007F3A5D" w14:paraId="3E7640B7" w14:textId="77777777" w:rsidTr="0084102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843" w:type="dxa"/>
            <w:gridSpan w:val="2"/>
            <w:noWrap/>
            <w:hideMark/>
          </w:tcPr>
          <w:p w14:paraId="1E645808" w14:textId="77777777" w:rsidR="00563510" w:rsidRPr="007F3A5D" w:rsidRDefault="00563510" w:rsidP="00841021">
            <w:pPr>
              <w:rPr>
                <w:rFonts w:ascii="Calibri" w:eastAsia="Times New Roman" w:hAnsi="Calibri" w:cs="Calibri"/>
                <w:color w:val="000000"/>
                <w:sz w:val="16"/>
                <w:szCs w:val="16"/>
                <w:lang w:eastAsia="en-CA"/>
              </w:rPr>
            </w:pPr>
            <w:r>
              <w:rPr>
                <w:rFonts w:ascii="Calibri" w:eastAsia="Times New Roman" w:hAnsi="Calibri" w:cs="Calibri"/>
                <w:color w:val="000000"/>
                <w:sz w:val="16"/>
                <w:szCs w:val="16"/>
                <w:lang w:eastAsia="en-CA"/>
              </w:rPr>
              <w:t>Pantoprazole</w:t>
            </w:r>
          </w:p>
        </w:tc>
        <w:tc>
          <w:tcPr>
            <w:tcW w:w="236" w:type="dxa"/>
            <w:gridSpan w:val="2"/>
            <w:noWrap/>
            <w:hideMark/>
          </w:tcPr>
          <w:p w14:paraId="0A91E92D" w14:textId="77777777" w:rsidR="00563510" w:rsidRPr="007F3A5D" w:rsidRDefault="00563510" w:rsidP="0084102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 </w:t>
            </w:r>
          </w:p>
        </w:tc>
        <w:tc>
          <w:tcPr>
            <w:tcW w:w="2032" w:type="dxa"/>
            <w:noWrap/>
            <w:hideMark/>
          </w:tcPr>
          <w:p w14:paraId="1AAB14A7" w14:textId="77777777" w:rsidR="00563510" w:rsidRPr="007F3A5D" w:rsidRDefault="00563510" w:rsidP="0084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1.18 (0.72-1.95)</w:t>
            </w:r>
          </w:p>
        </w:tc>
        <w:tc>
          <w:tcPr>
            <w:tcW w:w="2126" w:type="dxa"/>
            <w:noWrap/>
            <w:hideMark/>
          </w:tcPr>
          <w:p w14:paraId="30441213" w14:textId="77777777" w:rsidR="00563510" w:rsidRPr="007F3A5D" w:rsidRDefault="00563510" w:rsidP="00841021">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16"/>
                <w:szCs w:val="16"/>
                <w:lang w:eastAsia="en-CA"/>
              </w:rPr>
            </w:pPr>
            <w:r>
              <w:rPr>
                <w:rFonts w:ascii="Calibri" w:eastAsia="Times New Roman" w:hAnsi="Calibri" w:cs="Calibri"/>
                <w:i/>
                <w:iCs/>
                <w:color w:val="000000"/>
                <w:sz w:val="16"/>
                <w:szCs w:val="16"/>
                <w:lang w:eastAsia="en-CA"/>
              </w:rPr>
              <w:t>n=3</w:t>
            </w:r>
          </w:p>
        </w:tc>
      </w:tr>
      <w:tr w:rsidR="00563510" w:rsidRPr="007F3A5D" w14:paraId="09BD92F3" w14:textId="77777777" w:rsidTr="00841021">
        <w:trPr>
          <w:trHeight w:val="288"/>
        </w:trPr>
        <w:tc>
          <w:tcPr>
            <w:cnfStyle w:val="001000000000" w:firstRow="0" w:lastRow="0" w:firstColumn="1" w:lastColumn="0" w:oddVBand="0" w:evenVBand="0" w:oddHBand="0" w:evenHBand="0" w:firstRowFirstColumn="0" w:firstRowLastColumn="0" w:lastRowFirstColumn="0" w:lastRowLastColumn="0"/>
            <w:tcW w:w="1843" w:type="dxa"/>
            <w:gridSpan w:val="2"/>
            <w:noWrap/>
            <w:hideMark/>
          </w:tcPr>
          <w:p w14:paraId="599D6FD7" w14:textId="77777777" w:rsidR="00563510" w:rsidRPr="007F3A5D" w:rsidRDefault="00563510" w:rsidP="00841021">
            <w:pPr>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Overall</w:t>
            </w:r>
          </w:p>
        </w:tc>
        <w:tc>
          <w:tcPr>
            <w:tcW w:w="236" w:type="dxa"/>
            <w:gridSpan w:val="2"/>
            <w:noWrap/>
            <w:hideMark/>
          </w:tcPr>
          <w:p w14:paraId="07D87043" w14:textId="77777777" w:rsidR="00563510" w:rsidRPr="007F3A5D" w:rsidRDefault="00563510" w:rsidP="0084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 </w:t>
            </w:r>
          </w:p>
        </w:tc>
        <w:tc>
          <w:tcPr>
            <w:tcW w:w="2032" w:type="dxa"/>
            <w:noWrap/>
            <w:hideMark/>
          </w:tcPr>
          <w:p w14:paraId="15577610" w14:textId="77777777" w:rsidR="00563510" w:rsidRPr="007F3A5D" w:rsidRDefault="00563510" w:rsidP="0084102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16"/>
                <w:szCs w:val="16"/>
                <w:lang w:eastAsia="en-CA"/>
              </w:rPr>
            </w:pPr>
            <w:r w:rsidRPr="007F3A5D">
              <w:rPr>
                <w:rFonts w:ascii="Calibri" w:eastAsia="Times New Roman" w:hAnsi="Calibri" w:cs="Calibri"/>
                <w:b/>
                <w:bCs/>
                <w:color w:val="000000"/>
                <w:sz w:val="16"/>
                <w:szCs w:val="16"/>
                <w:lang w:eastAsia="en-CA"/>
              </w:rPr>
              <w:t>1.03 (0.88-1.20)</w:t>
            </w:r>
          </w:p>
        </w:tc>
        <w:tc>
          <w:tcPr>
            <w:tcW w:w="2126" w:type="dxa"/>
            <w:noWrap/>
            <w:hideMark/>
          </w:tcPr>
          <w:p w14:paraId="5758EE5F" w14:textId="77777777" w:rsidR="00563510" w:rsidRPr="007F3A5D" w:rsidRDefault="00563510" w:rsidP="00841021">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16"/>
                <w:szCs w:val="16"/>
                <w:lang w:eastAsia="en-CA"/>
              </w:rPr>
            </w:pPr>
            <w:r w:rsidRPr="007F3A5D">
              <w:rPr>
                <w:rFonts w:ascii="Calibri" w:eastAsia="Times New Roman" w:hAnsi="Calibri" w:cs="Calibri"/>
                <w:i/>
                <w:iCs/>
                <w:color w:val="000000"/>
                <w:sz w:val="16"/>
                <w:szCs w:val="16"/>
                <w:lang w:eastAsia="en-CA"/>
              </w:rPr>
              <w:t> </w:t>
            </w:r>
          </w:p>
        </w:tc>
      </w:tr>
    </w:tbl>
    <w:p w14:paraId="7B55B7ED" w14:textId="77777777" w:rsidR="00563510" w:rsidRDefault="00563510" w:rsidP="00563510"/>
    <w:p w14:paraId="0E86E3B1" w14:textId="77777777" w:rsidR="00D446D6" w:rsidRDefault="00D446D6" w:rsidP="00563510"/>
    <w:p w14:paraId="67D9C155" w14:textId="77777777" w:rsidR="00D446D6" w:rsidRDefault="00D446D6" w:rsidP="00563510"/>
    <w:p w14:paraId="36DAFE72" w14:textId="54FB9134" w:rsidR="00E36AEE" w:rsidRPr="00E36AEE" w:rsidRDefault="00E36AEE" w:rsidP="00E36AEE">
      <w:r w:rsidRPr="00E36AEE">
        <w:rPr>
          <w:noProof/>
          <w:lang w:eastAsia="en-CA"/>
        </w:rPr>
        <w:drawing>
          <wp:inline distT="0" distB="0" distL="0" distR="0" wp14:anchorId="51FE5A7F" wp14:editId="0839B38B">
            <wp:extent cx="5943600" cy="45612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561205"/>
                    </a:xfrm>
                    <a:prstGeom prst="rect">
                      <a:avLst/>
                    </a:prstGeom>
                  </pic:spPr>
                </pic:pic>
              </a:graphicData>
            </a:graphic>
          </wp:inline>
        </w:drawing>
      </w:r>
    </w:p>
    <w:p w14:paraId="7FA5A39B" w14:textId="0C9AE554" w:rsidR="00694663" w:rsidRDefault="00694663" w:rsidP="00694663">
      <w:r>
        <w:t>Figure S1. Sensitivity analyses by source of funding for Group A RCTs that assessed the association between PPI use vs nonuse with ACM among UGIB patients.</w:t>
      </w:r>
    </w:p>
    <w:p w14:paraId="0139C15D" w14:textId="4F64BFCF" w:rsidR="009823AB" w:rsidRPr="009823AB" w:rsidRDefault="008422F4" w:rsidP="000111AF">
      <w:r w:rsidRPr="008422F4">
        <w:rPr>
          <w:noProof/>
          <w:lang w:eastAsia="en-CA"/>
        </w:rPr>
        <w:lastRenderedPageBreak/>
        <w:drawing>
          <wp:inline distT="0" distB="0" distL="0" distR="0" wp14:anchorId="671F5093" wp14:editId="208E7473">
            <wp:extent cx="5943600" cy="454850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548505"/>
                    </a:xfrm>
                    <a:prstGeom prst="rect">
                      <a:avLst/>
                    </a:prstGeom>
                  </pic:spPr>
                </pic:pic>
              </a:graphicData>
            </a:graphic>
          </wp:inline>
        </w:drawing>
      </w:r>
    </w:p>
    <w:p w14:paraId="053B1C4C" w14:textId="27DAD763" w:rsidR="00694663" w:rsidRDefault="00694663" w:rsidP="00694663">
      <w:r>
        <w:t>Figure S2. Sensitivity analyses by risk of bias</w:t>
      </w:r>
      <w:r w:rsidR="00D446D6">
        <w:t xml:space="preserve"> in</w:t>
      </w:r>
      <w:r>
        <w:t xml:space="preserve"> Group A RCTs that assessed the association between PPI use vs nonuse with ACM among UGIB patients.</w:t>
      </w:r>
    </w:p>
    <w:p w14:paraId="752F74B9" w14:textId="77777777" w:rsidR="00694663" w:rsidRPr="00694663" w:rsidRDefault="00694663" w:rsidP="00694663"/>
    <w:p w14:paraId="02B32CD0" w14:textId="77777777" w:rsidR="008422F4" w:rsidRPr="008422F4" w:rsidRDefault="008422F4" w:rsidP="008422F4"/>
    <w:p w14:paraId="0C84890D" w14:textId="23ED10C7" w:rsidR="00563510" w:rsidRDefault="00563510" w:rsidP="00B842AC">
      <w:pPr>
        <w:pStyle w:val="Caption"/>
        <w:keepNext/>
      </w:pPr>
      <w:r>
        <w:t>Table</w:t>
      </w:r>
      <w:r w:rsidR="00B842AC">
        <w:t xml:space="preserve"> S9</w:t>
      </w:r>
      <w:r>
        <w:t>. Sensitivity analyses assessing the effect of study funding source on the</w:t>
      </w:r>
      <w:r w:rsidR="00694663">
        <w:t xml:space="preserve"> pooled effect estimates among G</w:t>
      </w:r>
      <w:r>
        <w:t xml:space="preserve">roup B </w:t>
      </w:r>
      <w:r w:rsidR="00A52839">
        <w:t xml:space="preserve">observational </w:t>
      </w:r>
      <w:r>
        <w:t>studies. n represents the number of studies pooled for each outcome.</w:t>
      </w:r>
    </w:p>
    <w:tbl>
      <w:tblPr>
        <w:tblW w:w="9725" w:type="dxa"/>
        <w:tblLayout w:type="fixed"/>
        <w:tblLook w:val="04A0" w:firstRow="1" w:lastRow="0" w:firstColumn="1" w:lastColumn="0" w:noHBand="0" w:noVBand="1"/>
      </w:tblPr>
      <w:tblGrid>
        <w:gridCol w:w="284"/>
        <w:gridCol w:w="1276"/>
        <w:gridCol w:w="145"/>
        <w:gridCol w:w="121"/>
        <w:gridCol w:w="134"/>
        <w:gridCol w:w="1159"/>
        <w:gridCol w:w="708"/>
        <w:gridCol w:w="1276"/>
        <w:gridCol w:w="708"/>
        <w:gridCol w:w="1276"/>
        <w:gridCol w:w="663"/>
        <w:gridCol w:w="1283"/>
        <w:gridCol w:w="125"/>
        <w:gridCol w:w="442"/>
        <w:gridCol w:w="125"/>
      </w:tblGrid>
      <w:tr w:rsidR="00563510" w:rsidRPr="007F3A5D" w14:paraId="49309CDA" w14:textId="77777777" w:rsidTr="00D446D6">
        <w:trPr>
          <w:trHeight w:val="344"/>
        </w:trPr>
        <w:tc>
          <w:tcPr>
            <w:tcW w:w="284" w:type="dxa"/>
            <w:tcBorders>
              <w:top w:val="single" w:sz="4" w:space="0" w:color="auto"/>
              <w:left w:val="nil"/>
              <w:bottom w:val="single" w:sz="4" w:space="0" w:color="auto"/>
              <w:right w:val="nil"/>
            </w:tcBorders>
            <w:shd w:val="clear" w:color="auto" w:fill="E7E6E6" w:themeFill="background2"/>
            <w:noWrap/>
            <w:vAlign w:val="bottom"/>
            <w:hideMark/>
          </w:tcPr>
          <w:p w14:paraId="538A6833" w14:textId="77777777" w:rsidR="00563510" w:rsidRPr="007F3A5D" w:rsidRDefault="00563510" w:rsidP="00841021">
            <w:pPr>
              <w:spacing w:after="0" w:line="240" w:lineRule="auto"/>
              <w:rPr>
                <w:rFonts w:ascii="Calibri" w:eastAsia="Times New Roman" w:hAnsi="Calibri" w:cs="Calibri"/>
                <w:b/>
                <w:bCs/>
                <w:color w:val="000000"/>
                <w:sz w:val="16"/>
                <w:szCs w:val="16"/>
                <w:lang w:eastAsia="en-CA"/>
              </w:rPr>
            </w:pPr>
            <w:r w:rsidRPr="007F3A5D">
              <w:rPr>
                <w:rFonts w:ascii="Calibri" w:eastAsia="Times New Roman" w:hAnsi="Calibri" w:cs="Calibri"/>
                <w:b/>
                <w:bCs/>
                <w:color w:val="000000"/>
                <w:sz w:val="16"/>
                <w:szCs w:val="16"/>
                <w:lang w:eastAsia="en-CA"/>
              </w:rPr>
              <w:t> </w:t>
            </w:r>
          </w:p>
        </w:tc>
        <w:tc>
          <w:tcPr>
            <w:tcW w:w="1421" w:type="dxa"/>
            <w:gridSpan w:val="2"/>
            <w:tcBorders>
              <w:top w:val="single" w:sz="4" w:space="0" w:color="auto"/>
              <w:left w:val="nil"/>
              <w:bottom w:val="single" w:sz="4" w:space="0" w:color="auto"/>
              <w:right w:val="nil"/>
            </w:tcBorders>
            <w:shd w:val="clear" w:color="auto" w:fill="E7E6E6" w:themeFill="background2"/>
            <w:noWrap/>
            <w:vAlign w:val="bottom"/>
            <w:hideMark/>
          </w:tcPr>
          <w:p w14:paraId="7FCC5A5E" w14:textId="77777777" w:rsidR="00563510" w:rsidRPr="007F3A5D" w:rsidRDefault="00563510" w:rsidP="00841021">
            <w:pPr>
              <w:spacing w:after="0" w:line="240" w:lineRule="auto"/>
              <w:rPr>
                <w:rFonts w:ascii="Calibri" w:eastAsia="Times New Roman" w:hAnsi="Calibri" w:cs="Calibri"/>
                <w:b/>
                <w:bCs/>
                <w:color w:val="000000"/>
                <w:sz w:val="16"/>
                <w:szCs w:val="16"/>
                <w:lang w:eastAsia="en-CA"/>
              </w:rPr>
            </w:pPr>
            <w:r w:rsidRPr="007F3A5D">
              <w:rPr>
                <w:rFonts w:ascii="Calibri" w:eastAsia="Times New Roman" w:hAnsi="Calibri" w:cs="Calibri"/>
                <w:b/>
                <w:bCs/>
                <w:color w:val="000000"/>
                <w:sz w:val="16"/>
                <w:szCs w:val="16"/>
                <w:lang w:eastAsia="en-CA"/>
              </w:rPr>
              <w:t> </w:t>
            </w:r>
          </w:p>
        </w:tc>
        <w:tc>
          <w:tcPr>
            <w:tcW w:w="255" w:type="dxa"/>
            <w:gridSpan w:val="2"/>
            <w:tcBorders>
              <w:top w:val="single" w:sz="4" w:space="0" w:color="auto"/>
              <w:left w:val="nil"/>
              <w:bottom w:val="nil"/>
              <w:right w:val="nil"/>
            </w:tcBorders>
            <w:shd w:val="clear" w:color="auto" w:fill="E7E6E6" w:themeFill="background2"/>
            <w:noWrap/>
            <w:vAlign w:val="bottom"/>
            <w:hideMark/>
          </w:tcPr>
          <w:p w14:paraId="5DB3D34A" w14:textId="77777777" w:rsidR="00563510" w:rsidRPr="007F3A5D" w:rsidRDefault="00563510" w:rsidP="00841021">
            <w:pPr>
              <w:spacing w:after="0" w:line="240" w:lineRule="auto"/>
              <w:rPr>
                <w:rFonts w:ascii="Calibri" w:eastAsia="Times New Roman" w:hAnsi="Calibri" w:cs="Calibri"/>
                <w:b/>
                <w:bCs/>
                <w:color w:val="000000"/>
                <w:sz w:val="16"/>
                <w:szCs w:val="16"/>
                <w:lang w:eastAsia="en-CA"/>
              </w:rPr>
            </w:pPr>
            <w:r w:rsidRPr="007F3A5D">
              <w:rPr>
                <w:rFonts w:ascii="Calibri" w:eastAsia="Times New Roman" w:hAnsi="Calibri" w:cs="Calibri"/>
                <w:b/>
                <w:bCs/>
                <w:color w:val="000000"/>
                <w:sz w:val="16"/>
                <w:szCs w:val="16"/>
                <w:lang w:eastAsia="en-CA"/>
              </w:rPr>
              <w:t> </w:t>
            </w:r>
          </w:p>
        </w:tc>
        <w:tc>
          <w:tcPr>
            <w:tcW w:w="7198" w:type="dxa"/>
            <w:gridSpan w:val="8"/>
            <w:tcBorders>
              <w:top w:val="single" w:sz="4" w:space="0" w:color="auto"/>
              <w:left w:val="nil"/>
              <w:bottom w:val="single" w:sz="4" w:space="0" w:color="auto"/>
              <w:right w:val="nil"/>
            </w:tcBorders>
            <w:shd w:val="clear" w:color="auto" w:fill="E7E6E6" w:themeFill="background2"/>
            <w:noWrap/>
            <w:vAlign w:val="center"/>
            <w:hideMark/>
          </w:tcPr>
          <w:p w14:paraId="56BDA38F" w14:textId="77777777" w:rsidR="00563510" w:rsidRPr="007F3A5D" w:rsidRDefault="00563510" w:rsidP="00841021">
            <w:pPr>
              <w:spacing w:after="0" w:line="240" w:lineRule="auto"/>
              <w:jc w:val="center"/>
              <w:rPr>
                <w:rFonts w:ascii="Calibri" w:eastAsia="Times New Roman" w:hAnsi="Calibri" w:cs="Calibri"/>
                <w:b/>
                <w:bCs/>
                <w:color w:val="000000"/>
                <w:sz w:val="16"/>
                <w:szCs w:val="16"/>
                <w:lang w:eastAsia="en-CA"/>
              </w:rPr>
            </w:pPr>
            <w:r>
              <w:rPr>
                <w:rFonts w:ascii="Calibri" w:eastAsia="Times New Roman" w:hAnsi="Calibri" w:cs="Calibri"/>
                <w:b/>
                <w:bCs/>
                <w:color w:val="000000"/>
                <w:sz w:val="16"/>
                <w:szCs w:val="16"/>
                <w:lang w:eastAsia="en-CA"/>
              </w:rPr>
              <w:t>Risk Ratio (95% CI)</w:t>
            </w:r>
          </w:p>
        </w:tc>
        <w:tc>
          <w:tcPr>
            <w:tcW w:w="567" w:type="dxa"/>
            <w:gridSpan w:val="2"/>
            <w:tcBorders>
              <w:top w:val="single" w:sz="4" w:space="0" w:color="auto"/>
              <w:left w:val="nil"/>
              <w:bottom w:val="nil"/>
              <w:right w:val="nil"/>
            </w:tcBorders>
            <w:shd w:val="clear" w:color="auto" w:fill="E7E6E6" w:themeFill="background2"/>
            <w:noWrap/>
            <w:vAlign w:val="center"/>
            <w:hideMark/>
          </w:tcPr>
          <w:p w14:paraId="44389172" w14:textId="77777777" w:rsidR="00563510" w:rsidRPr="007F3A5D" w:rsidRDefault="00563510" w:rsidP="00841021">
            <w:pPr>
              <w:spacing w:after="0" w:line="240" w:lineRule="auto"/>
              <w:jc w:val="center"/>
              <w:rPr>
                <w:rFonts w:ascii="Calibri" w:eastAsia="Times New Roman" w:hAnsi="Calibri" w:cs="Calibri"/>
                <w:i/>
                <w:iCs/>
                <w:color w:val="000000"/>
                <w:sz w:val="16"/>
                <w:szCs w:val="16"/>
                <w:lang w:eastAsia="en-CA"/>
              </w:rPr>
            </w:pPr>
            <w:r w:rsidRPr="007F3A5D">
              <w:rPr>
                <w:rFonts w:ascii="Calibri" w:eastAsia="Times New Roman" w:hAnsi="Calibri" w:cs="Calibri"/>
                <w:i/>
                <w:iCs/>
                <w:color w:val="000000"/>
                <w:sz w:val="16"/>
                <w:szCs w:val="16"/>
                <w:lang w:eastAsia="en-CA"/>
              </w:rPr>
              <w:t> </w:t>
            </w:r>
          </w:p>
        </w:tc>
      </w:tr>
      <w:tr w:rsidR="00563510" w:rsidRPr="007F3A5D" w14:paraId="3D227520" w14:textId="77777777" w:rsidTr="00D446D6">
        <w:trPr>
          <w:gridAfter w:val="1"/>
          <w:wAfter w:w="125" w:type="dxa"/>
          <w:trHeight w:val="277"/>
        </w:trPr>
        <w:tc>
          <w:tcPr>
            <w:tcW w:w="1560" w:type="dxa"/>
            <w:gridSpan w:val="2"/>
            <w:tcBorders>
              <w:top w:val="single" w:sz="4" w:space="0" w:color="auto"/>
              <w:left w:val="nil"/>
              <w:bottom w:val="single" w:sz="4" w:space="0" w:color="auto"/>
              <w:right w:val="nil"/>
            </w:tcBorders>
            <w:shd w:val="clear" w:color="000000" w:fill="FFFFFF"/>
            <w:vAlign w:val="center"/>
            <w:hideMark/>
          </w:tcPr>
          <w:p w14:paraId="68FE3A40" w14:textId="77777777" w:rsidR="00563510" w:rsidRPr="007F3A5D" w:rsidRDefault="00563510" w:rsidP="00841021">
            <w:pPr>
              <w:spacing w:after="0" w:line="240" w:lineRule="auto"/>
              <w:rPr>
                <w:rFonts w:ascii="Calibri" w:eastAsia="Times New Roman" w:hAnsi="Calibri" w:cs="Calibri"/>
                <w:b/>
                <w:bCs/>
                <w:color w:val="000000"/>
                <w:sz w:val="16"/>
                <w:szCs w:val="16"/>
                <w:lang w:eastAsia="en-CA"/>
              </w:rPr>
            </w:pPr>
            <w:r w:rsidRPr="007F3A5D">
              <w:rPr>
                <w:rFonts w:ascii="Calibri" w:eastAsia="Times New Roman" w:hAnsi="Calibri" w:cs="Calibri"/>
                <w:b/>
                <w:bCs/>
                <w:color w:val="000000"/>
                <w:sz w:val="16"/>
                <w:szCs w:val="16"/>
                <w:lang w:eastAsia="en-CA"/>
              </w:rPr>
              <w:t>Variable</w:t>
            </w:r>
          </w:p>
        </w:tc>
        <w:tc>
          <w:tcPr>
            <w:tcW w:w="266" w:type="dxa"/>
            <w:gridSpan w:val="2"/>
            <w:tcBorders>
              <w:top w:val="nil"/>
              <w:left w:val="nil"/>
              <w:bottom w:val="nil"/>
              <w:right w:val="nil"/>
            </w:tcBorders>
            <w:shd w:val="clear" w:color="000000" w:fill="FFFFFF"/>
            <w:vAlign w:val="bottom"/>
            <w:hideMark/>
          </w:tcPr>
          <w:p w14:paraId="7C0D8808" w14:textId="77777777" w:rsidR="00563510" w:rsidRPr="007F3A5D" w:rsidRDefault="00563510" w:rsidP="00841021">
            <w:pPr>
              <w:spacing w:after="0" w:line="240" w:lineRule="auto"/>
              <w:rPr>
                <w:rFonts w:ascii="Calibri" w:eastAsia="Times New Roman" w:hAnsi="Calibri" w:cs="Calibri"/>
                <w:b/>
                <w:bCs/>
                <w:color w:val="000000"/>
                <w:sz w:val="16"/>
                <w:szCs w:val="16"/>
                <w:lang w:eastAsia="en-CA"/>
              </w:rPr>
            </w:pPr>
            <w:r w:rsidRPr="007F3A5D">
              <w:rPr>
                <w:rFonts w:ascii="Calibri" w:eastAsia="Times New Roman" w:hAnsi="Calibri" w:cs="Calibri"/>
                <w:b/>
                <w:bCs/>
                <w:color w:val="000000"/>
                <w:sz w:val="16"/>
                <w:szCs w:val="16"/>
                <w:lang w:eastAsia="en-CA"/>
              </w:rPr>
              <w:t> </w:t>
            </w:r>
          </w:p>
        </w:tc>
        <w:tc>
          <w:tcPr>
            <w:tcW w:w="2001" w:type="dxa"/>
            <w:gridSpan w:val="3"/>
            <w:tcBorders>
              <w:top w:val="single" w:sz="4" w:space="0" w:color="auto"/>
              <w:left w:val="nil"/>
              <w:bottom w:val="single" w:sz="4" w:space="0" w:color="auto"/>
              <w:right w:val="nil"/>
            </w:tcBorders>
            <w:shd w:val="clear" w:color="000000" w:fill="FFFFFF"/>
            <w:vAlign w:val="center"/>
            <w:hideMark/>
          </w:tcPr>
          <w:p w14:paraId="2E28927E" w14:textId="77777777" w:rsidR="00563510" w:rsidRPr="007F3A5D" w:rsidRDefault="00563510" w:rsidP="00841021">
            <w:pPr>
              <w:spacing w:after="0" w:line="240" w:lineRule="auto"/>
              <w:jc w:val="center"/>
              <w:rPr>
                <w:rFonts w:ascii="Calibri" w:eastAsia="Times New Roman" w:hAnsi="Calibri" w:cs="Calibri"/>
                <w:b/>
                <w:bCs/>
                <w:color w:val="000000"/>
                <w:sz w:val="16"/>
                <w:szCs w:val="16"/>
                <w:lang w:eastAsia="en-CA"/>
              </w:rPr>
            </w:pPr>
            <w:r w:rsidRPr="007F3A5D">
              <w:rPr>
                <w:rFonts w:ascii="Calibri" w:eastAsia="Times New Roman" w:hAnsi="Calibri" w:cs="Calibri"/>
                <w:b/>
                <w:bCs/>
                <w:color w:val="000000"/>
                <w:sz w:val="16"/>
                <w:szCs w:val="16"/>
                <w:lang w:eastAsia="en-CA"/>
              </w:rPr>
              <w:t xml:space="preserve">All-cause mortality </w:t>
            </w:r>
          </w:p>
        </w:tc>
        <w:tc>
          <w:tcPr>
            <w:tcW w:w="1984" w:type="dxa"/>
            <w:gridSpan w:val="2"/>
            <w:tcBorders>
              <w:top w:val="single" w:sz="4" w:space="0" w:color="auto"/>
              <w:left w:val="nil"/>
              <w:bottom w:val="single" w:sz="4" w:space="0" w:color="auto"/>
              <w:right w:val="nil"/>
            </w:tcBorders>
            <w:shd w:val="clear" w:color="000000" w:fill="FFFFFF"/>
            <w:vAlign w:val="center"/>
            <w:hideMark/>
          </w:tcPr>
          <w:p w14:paraId="6588C1B7" w14:textId="77777777" w:rsidR="00563510" w:rsidRPr="007F3A5D" w:rsidRDefault="00563510" w:rsidP="00841021">
            <w:pPr>
              <w:spacing w:after="0" w:line="240" w:lineRule="auto"/>
              <w:jc w:val="center"/>
              <w:rPr>
                <w:rFonts w:ascii="Calibri" w:eastAsia="Times New Roman" w:hAnsi="Calibri" w:cs="Calibri"/>
                <w:b/>
                <w:bCs/>
                <w:color w:val="000000"/>
                <w:sz w:val="16"/>
                <w:szCs w:val="16"/>
                <w:lang w:eastAsia="en-CA"/>
              </w:rPr>
            </w:pPr>
            <w:r w:rsidRPr="007F3A5D">
              <w:rPr>
                <w:rFonts w:ascii="Calibri" w:eastAsia="Times New Roman" w:hAnsi="Calibri" w:cs="Calibri"/>
                <w:b/>
                <w:bCs/>
                <w:color w:val="000000"/>
                <w:sz w:val="16"/>
                <w:szCs w:val="16"/>
                <w:lang w:eastAsia="en-CA"/>
              </w:rPr>
              <w:t>Myocardial infarction</w:t>
            </w:r>
          </w:p>
        </w:tc>
        <w:tc>
          <w:tcPr>
            <w:tcW w:w="1939" w:type="dxa"/>
            <w:gridSpan w:val="2"/>
            <w:tcBorders>
              <w:top w:val="single" w:sz="4" w:space="0" w:color="auto"/>
              <w:left w:val="nil"/>
              <w:bottom w:val="single" w:sz="4" w:space="0" w:color="auto"/>
              <w:right w:val="nil"/>
            </w:tcBorders>
            <w:shd w:val="clear" w:color="000000" w:fill="FFFFFF"/>
            <w:vAlign w:val="center"/>
            <w:hideMark/>
          </w:tcPr>
          <w:p w14:paraId="4A7C706E" w14:textId="77777777" w:rsidR="00563510" w:rsidRPr="007F3A5D" w:rsidRDefault="00563510" w:rsidP="00841021">
            <w:pPr>
              <w:spacing w:after="0" w:line="240" w:lineRule="auto"/>
              <w:jc w:val="center"/>
              <w:rPr>
                <w:rFonts w:ascii="Calibri" w:eastAsia="Times New Roman" w:hAnsi="Calibri" w:cs="Calibri"/>
                <w:b/>
                <w:bCs/>
                <w:color w:val="000000"/>
                <w:sz w:val="16"/>
                <w:szCs w:val="16"/>
                <w:lang w:eastAsia="en-CA"/>
              </w:rPr>
            </w:pPr>
            <w:r w:rsidRPr="007F3A5D">
              <w:rPr>
                <w:rFonts w:ascii="Calibri" w:eastAsia="Times New Roman" w:hAnsi="Calibri" w:cs="Calibri"/>
                <w:b/>
                <w:bCs/>
                <w:color w:val="000000"/>
                <w:sz w:val="16"/>
                <w:szCs w:val="16"/>
                <w:lang w:eastAsia="en-CA"/>
              </w:rPr>
              <w:t>Cardiovascular mortality</w:t>
            </w:r>
          </w:p>
        </w:tc>
        <w:tc>
          <w:tcPr>
            <w:tcW w:w="1850" w:type="dxa"/>
            <w:gridSpan w:val="3"/>
            <w:tcBorders>
              <w:top w:val="single" w:sz="4" w:space="0" w:color="auto"/>
              <w:left w:val="nil"/>
              <w:bottom w:val="single" w:sz="4" w:space="0" w:color="auto"/>
              <w:right w:val="nil"/>
            </w:tcBorders>
            <w:shd w:val="clear" w:color="000000" w:fill="FFFFFF"/>
            <w:vAlign w:val="center"/>
            <w:hideMark/>
          </w:tcPr>
          <w:p w14:paraId="22F21BD5" w14:textId="77777777" w:rsidR="00563510" w:rsidRPr="007F3A5D" w:rsidRDefault="00563510" w:rsidP="00841021">
            <w:pPr>
              <w:spacing w:after="0" w:line="240" w:lineRule="auto"/>
              <w:jc w:val="center"/>
              <w:rPr>
                <w:rFonts w:ascii="Calibri" w:eastAsia="Times New Roman" w:hAnsi="Calibri" w:cs="Calibri"/>
                <w:b/>
                <w:bCs/>
                <w:color w:val="000000"/>
                <w:sz w:val="16"/>
                <w:szCs w:val="16"/>
                <w:lang w:eastAsia="en-CA"/>
              </w:rPr>
            </w:pPr>
            <w:r w:rsidRPr="007F3A5D">
              <w:rPr>
                <w:rFonts w:ascii="Calibri" w:eastAsia="Times New Roman" w:hAnsi="Calibri" w:cs="Calibri"/>
                <w:b/>
                <w:bCs/>
                <w:color w:val="000000"/>
                <w:sz w:val="16"/>
                <w:szCs w:val="16"/>
                <w:lang w:eastAsia="en-CA"/>
              </w:rPr>
              <w:t>Stroke</w:t>
            </w:r>
          </w:p>
        </w:tc>
      </w:tr>
      <w:tr w:rsidR="00563510" w:rsidRPr="007F3A5D" w14:paraId="37DE80A1" w14:textId="77777777" w:rsidTr="00D446D6">
        <w:trPr>
          <w:gridAfter w:val="1"/>
          <w:wAfter w:w="125" w:type="dxa"/>
          <w:trHeight w:val="208"/>
        </w:trPr>
        <w:tc>
          <w:tcPr>
            <w:tcW w:w="1560" w:type="dxa"/>
            <w:gridSpan w:val="2"/>
            <w:tcBorders>
              <w:top w:val="single" w:sz="4" w:space="0" w:color="808080"/>
              <w:left w:val="nil"/>
              <w:bottom w:val="nil"/>
              <w:right w:val="nil"/>
            </w:tcBorders>
            <w:shd w:val="clear" w:color="000000" w:fill="FFFFFF"/>
            <w:noWrap/>
            <w:vAlign w:val="bottom"/>
            <w:hideMark/>
          </w:tcPr>
          <w:p w14:paraId="6DF40FAF" w14:textId="77777777" w:rsidR="00563510" w:rsidRPr="007F3A5D" w:rsidRDefault="00563510" w:rsidP="00841021">
            <w:pPr>
              <w:spacing w:after="0" w:line="240" w:lineRule="auto"/>
              <w:rPr>
                <w:rFonts w:ascii="Calibri" w:eastAsia="Times New Roman" w:hAnsi="Calibri" w:cs="Calibri"/>
                <w:b/>
                <w:bCs/>
                <w:i/>
                <w:iCs/>
                <w:color w:val="000000"/>
                <w:sz w:val="16"/>
                <w:szCs w:val="16"/>
                <w:lang w:eastAsia="en-CA"/>
              </w:rPr>
            </w:pPr>
            <w:r w:rsidRPr="007F3A5D">
              <w:rPr>
                <w:rFonts w:ascii="Calibri" w:eastAsia="Times New Roman" w:hAnsi="Calibri" w:cs="Calibri"/>
                <w:b/>
                <w:bCs/>
                <w:i/>
                <w:iCs/>
                <w:color w:val="000000"/>
                <w:sz w:val="16"/>
                <w:szCs w:val="16"/>
                <w:lang w:eastAsia="en-CA"/>
              </w:rPr>
              <w:t>Funding source</w:t>
            </w:r>
          </w:p>
        </w:tc>
        <w:tc>
          <w:tcPr>
            <w:tcW w:w="266" w:type="dxa"/>
            <w:gridSpan w:val="2"/>
            <w:tcBorders>
              <w:top w:val="nil"/>
              <w:left w:val="nil"/>
              <w:bottom w:val="nil"/>
              <w:right w:val="nil"/>
            </w:tcBorders>
            <w:shd w:val="clear" w:color="000000" w:fill="FFFFFF"/>
            <w:noWrap/>
            <w:vAlign w:val="bottom"/>
            <w:hideMark/>
          </w:tcPr>
          <w:p w14:paraId="470A9C38" w14:textId="77777777" w:rsidR="00563510" w:rsidRPr="007F3A5D" w:rsidRDefault="00563510" w:rsidP="00841021">
            <w:pPr>
              <w:spacing w:after="0" w:line="240" w:lineRule="auto"/>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 </w:t>
            </w:r>
          </w:p>
        </w:tc>
        <w:tc>
          <w:tcPr>
            <w:tcW w:w="1293" w:type="dxa"/>
            <w:gridSpan w:val="2"/>
            <w:tcBorders>
              <w:top w:val="nil"/>
              <w:left w:val="nil"/>
              <w:bottom w:val="nil"/>
              <w:right w:val="nil"/>
            </w:tcBorders>
            <w:shd w:val="clear" w:color="000000" w:fill="FFFFFF"/>
            <w:noWrap/>
            <w:vAlign w:val="center"/>
            <w:hideMark/>
          </w:tcPr>
          <w:p w14:paraId="7D17DCB1" w14:textId="77777777" w:rsidR="00563510" w:rsidRPr="007F3A5D" w:rsidRDefault="00563510" w:rsidP="00841021">
            <w:pPr>
              <w:spacing w:after="0" w:line="240" w:lineRule="auto"/>
              <w:jc w:val="center"/>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 </w:t>
            </w:r>
          </w:p>
        </w:tc>
        <w:tc>
          <w:tcPr>
            <w:tcW w:w="708" w:type="dxa"/>
            <w:tcBorders>
              <w:top w:val="nil"/>
              <w:left w:val="nil"/>
              <w:bottom w:val="nil"/>
              <w:right w:val="nil"/>
            </w:tcBorders>
            <w:shd w:val="clear" w:color="000000" w:fill="FFFFFF"/>
            <w:noWrap/>
            <w:vAlign w:val="center"/>
            <w:hideMark/>
          </w:tcPr>
          <w:p w14:paraId="177A7607" w14:textId="77777777" w:rsidR="00563510" w:rsidRPr="007F3A5D" w:rsidRDefault="00563510" w:rsidP="00841021">
            <w:pPr>
              <w:spacing w:after="0" w:line="240" w:lineRule="auto"/>
              <w:rPr>
                <w:rFonts w:ascii="Calibri" w:eastAsia="Times New Roman" w:hAnsi="Calibri" w:cs="Calibri"/>
                <w:i/>
                <w:iCs/>
                <w:color w:val="000000"/>
                <w:sz w:val="16"/>
                <w:szCs w:val="16"/>
                <w:lang w:eastAsia="en-CA"/>
              </w:rPr>
            </w:pPr>
            <w:r w:rsidRPr="007F3A5D">
              <w:rPr>
                <w:rFonts w:ascii="Calibri" w:eastAsia="Times New Roman" w:hAnsi="Calibri" w:cs="Calibri"/>
                <w:i/>
                <w:iCs/>
                <w:color w:val="000000"/>
                <w:sz w:val="16"/>
                <w:szCs w:val="16"/>
                <w:lang w:eastAsia="en-CA"/>
              </w:rPr>
              <w:t> </w:t>
            </w:r>
          </w:p>
        </w:tc>
        <w:tc>
          <w:tcPr>
            <w:tcW w:w="1276" w:type="dxa"/>
            <w:tcBorders>
              <w:top w:val="nil"/>
              <w:left w:val="nil"/>
              <w:bottom w:val="nil"/>
              <w:right w:val="nil"/>
            </w:tcBorders>
            <w:shd w:val="clear" w:color="000000" w:fill="FFFFFF"/>
            <w:noWrap/>
            <w:vAlign w:val="center"/>
            <w:hideMark/>
          </w:tcPr>
          <w:p w14:paraId="500EAA9B" w14:textId="77777777" w:rsidR="00563510" w:rsidRPr="007F3A5D" w:rsidRDefault="00563510" w:rsidP="00841021">
            <w:pPr>
              <w:spacing w:after="0" w:line="240" w:lineRule="auto"/>
              <w:jc w:val="center"/>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 </w:t>
            </w:r>
          </w:p>
        </w:tc>
        <w:tc>
          <w:tcPr>
            <w:tcW w:w="708" w:type="dxa"/>
            <w:tcBorders>
              <w:top w:val="nil"/>
              <w:left w:val="nil"/>
              <w:bottom w:val="nil"/>
              <w:right w:val="nil"/>
            </w:tcBorders>
            <w:shd w:val="clear" w:color="000000" w:fill="FFFFFF"/>
            <w:noWrap/>
            <w:vAlign w:val="center"/>
            <w:hideMark/>
          </w:tcPr>
          <w:p w14:paraId="5DB3E1C3" w14:textId="77777777" w:rsidR="00563510" w:rsidRPr="007F3A5D" w:rsidRDefault="00563510" w:rsidP="00841021">
            <w:pPr>
              <w:spacing w:after="0" w:line="240" w:lineRule="auto"/>
              <w:rPr>
                <w:rFonts w:ascii="Calibri" w:eastAsia="Times New Roman" w:hAnsi="Calibri" w:cs="Calibri"/>
                <w:i/>
                <w:iCs/>
                <w:color w:val="000000"/>
                <w:sz w:val="16"/>
                <w:szCs w:val="16"/>
                <w:lang w:eastAsia="en-CA"/>
              </w:rPr>
            </w:pPr>
            <w:r w:rsidRPr="007F3A5D">
              <w:rPr>
                <w:rFonts w:ascii="Calibri" w:eastAsia="Times New Roman" w:hAnsi="Calibri" w:cs="Calibri"/>
                <w:i/>
                <w:iCs/>
                <w:color w:val="000000"/>
                <w:sz w:val="16"/>
                <w:szCs w:val="16"/>
                <w:lang w:eastAsia="en-CA"/>
              </w:rPr>
              <w:t> </w:t>
            </w:r>
          </w:p>
        </w:tc>
        <w:tc>
          <w:tcPr>
            <w:tcW w:w="1276" w:type="dxa"/>
            <w:tcBorders>
              <w:top w:val="nil"/>
              <w:left w:val="nil"/>
              <w:bottom w:val="nil"/>
              <w:right w:val="nil"/>
            </w:tcBorders>
            <w:shd w:val="clear" w:color="000000" w:fill="FFFFFF"/>
            <w:noWrap/>
            <w:vAlign w:val="center"/>
            <w:hideMark/>
          </w:tcPr>
          <w:p w14:paraId="58E8CD6E" w14:textId="77777777" w:rsidR="00563510" w:rsidRPr="007F3A5D" w:rsidRDefault="00563510" w:rsidP="00841021">
            <w:pPr>
              <w:spacing w:after="0" w:line="240" w:lineRule="auto"/>
              <w:jc w:val="center"/>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 </w:t>
            </w:r>
          </w:p>
        </w:tc>
        <w:tc>
          <w:tcPr>
            <w:tcW w:w="663" w:type="dxa"/>
            <w:tcBorders>
              <w:top w:val="nil"/>
              <w:left w:val="nil"/>
              <w:bottom w:val="nil"/>
              <w:right w:val="nil"/>
            </w:tcBorders>
            <w:shd w:val="clear" w:color="000000" w:fill="FFFFFF"/>
            <w:noWrap/>
            <w:vAlign w:val="center"/>
            <w:hideMark/>
          </w:tcPr>
          <w:p w14:paraId="761DDBC2" w14:textId="77777777" w:rsidR="00563510" w:rsidRPr="007F3A5D" w:rsidRDefault="00563510" w:rsidP="00841021">
            <w:pPr>
              <w:spacing w:after="0" w:line="240" w:lineRule="auto"/>
              <w:rPr>
                <w:rFonts w:ascii="Calibri" w:eastAsia="Times New Roman" w:hAnsi="Calibri" w:cs="Calibri"/>
                <w:i/>
                <w:iCs/>
                <w:color w:val="000000"/>
                <w:sz w:val="16"/>
                <w:szCs w:val="16"/>
                <w:lang w:eastAsia="en-CA"/>
              </w:rPr>
            </w:pPr>
            <w:r w:rsidRPr="007F3A5D">
              <w:rPr>
                <w:rFonts w:ascii="Calibri" w:eastAsia="Times New Roman" w:hAnsi="Calibri" w:cs="Calibri"/>
                <w:i/>
                <w:iCs/>
                <w:color w:val="000000"/>
                <w:sz w:val="16"/>
                <w:szCs w:val="16"/>
                <w:lang w:eastAsia="en-CA"/>
              </w:rPr>
              <w:t> </w:t>
            </w:r>
          </w:p>
        </w:tc>
        <w:tc>
          <w:tcPr>
            <w:tcW w:w="1283" w:type="dxa"/>
            <w:tcBorders>
              <w:top w:val="nil"/>
              <w:left w:val="nil"/>
              <w:bottom w:val="nil"/>
              <w:right w:val="nil"/>
            </w:tcBorders>
            <w:shd w:val="clear" w:color="000000" w:fill="FFFFFF"/>
            <w:noWrap/>
            <w:vAlign w:val="center"/>
            <w:hideMark/>
          </w:tcPr>
          <w:p w14:paraId="7284A9C5" w14:textId="77777777" w:rsidR="00563510" w:rsidRPr="007F3A5D" w:rsidRDefault="00563510" w:rsidP="00841021">
            <w:pPr>
              <w:spacing w:after="0" w:line="240" w:lineRule="auto"/>
              <w:jc w:val="center"/>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 </w:t>
            </w:r>
          </w:p>
        </w:tc>
        <w:tc>
          <w:tcPr>
            <w:tcW w:w="567" w:type="dxa"/>
            <w:gridSpan w:val="2"/>
            <w:tcBorders>
              <w:top w:val="nil"/>
              <w:left w:val="nil"/>
              <w:bottom w:val="nil"/>
              <w:right w:val="nil"/>
            </w:tcBorders>
            <w:shd w:val="clear" w:color="000000" w:fill="FFFFFF"/>
            <w:noWrap/>
            <w:vAlign w:val="center"/>
            <w:hideMark/>
          </w:tcPr>
          <w:p w14:paraId="6671D3FD" w14:textId="77777777" w:rsidR="00563510" w:rsidRPr="007F3A5D" w:rsidRDefault="00563510" w:rsidP="00841021">
            <w:pPr>
              <w:spacing w:after="0" w:line="240" w:lineRule="auto"/>
              <w:rPr>
                <w:rFonts w:ascii="Calibri" w:eastAsia="Times New Roman" w:hAnsi="Calibri" w:cs="Calibri"/>
                <w:i/>
                <w:iCs/>
                <w:color w:val="000000"/>
                <w:sz w:val="16"/>
                <w:szCs w:val="16"/>
                <w:lang w:eastAsia="en-CA"/>
              </w:rPr>
            </w:pPr>
            <w:r w:rsidRPr="007F3A5D">
              <w:rPr>
                <w:rFonts w:ascii="Calibri" w:eastAsia="Times New Roman" w:hAnsi="Calibri" w:cs="Calibri"/>
                <w:i/>
                <w:iCs/>
                <w:color w:val="000000"/>
                <w:sz w:val="16"/>
                <w:szCs w:val="16"/>
                <w:lang w:eastAsia="en-CA"/>
              </w:rPr>
              <w:t> </w:t>
            </w:r>
          </w:p>
        </w:tc>
      </w:tr>
      <w:tr w:rsidR="00563510" w:rsidRPr="007F3A5D" w14:paraId="7752C16A" w14:textId="77777777" w:rsidTr="00D446D6">
        <w:trPr>
          <w:gridAfter w:val="1"/>
          <w:wAfter w:w="125" w:type="dxa"/>
          <w:trHeight w:val="288"/>
        </w:trPr>
        <w:tc>
          <w:tcPr>
            <w:tcW w:w="284" w:type="dxa"/>
            <w:tcBorders>
              <w:top w:val="nil"/>
              <w:left w:val="nil"/>
              <w:bottom w:val="nil"/>
              <w:right w:val="nil"/>
            </w:tcBorders>
            <w:shd w:val="clear" w:color="000000" w:fill="FFFFFF"/>
            <w:noWrap/>
            <w:vAlign w:val="bottom"/>
            <w:hideMark/>
          </w:tcPr>
          <w:p w14:paraId="6DF973A8" w14:textId="77777777" w:rsidR="00563510" w:rsidRPr="007F3A5D" w:rsidRDefault="00563510" w:rsidP="00841021">
            <w:pPr>
              <w:spacing w:after="0" w:line="240" w:lineRule="auto"/>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 </w:t>
            </w:r>
          </w:p>
        </w:tc>
        <w:tc>
          <w:tcPr>
            <w:tcW w:w="1276" w:type="dxa"/>
            <w:tcBorders>
              <w:top w:val="nil"/>
              <w:left w:val="nil"/>
              <w:bottom w:val="nil"/>
              <w:right w:val="nil"/>
            </w:tcBorders>
            <w:shd w:val="clear" w:color="000000" w:fill="FFFFFF"/>
            <w:noWrap/>
            <w:vAlign w:val="bottom"/>
            <w:hideMark/>
          </w:tcPr>
          <w:p w14:paraId="7633C89F" w14:textId="77777777" w:rsidR="00563510" w:rsidRDefault="00563510" w:rsidP="00841021">
            <w:pPr>
              <w:spacing w:after="0" w:line="240" w:lineRule="auto"/>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Public/non-profit</w:t>
            </w:r>
          </w:p>
          <w:p w14:paraId="15D6E5B3" w14:textId="77777777" w:rsidR="008422F4" w:rsidRPr="007F3A5D" w:rsidRDefault="008422F4" w:rsidP="00841021">
            <w:pPr>
              <w:spacing w:after="0" w:line="240" w:lineRule="auto"/>
              <w:rPr>
                <w:rFonts w:ascii="Calibri" w:eastAsia="Times New Roman" w:hAnsi="Calibri" w:cs="Calibri"/>
                <w:color w:val="000000"/>
                <w:sz w:val="16"/>
                <w:szCs w:val="16"/>
                <w:lang w:eastAsia="en-CA"/>
              </w:rPr>
            </w:pPr>
          </w:p>
        </w:tc>
        <w:tc>
          <w:tcPr>
            <w:tcW w:w="266" w:type="dxa"/>
            <w:gridSpan w:val="2"/>
            <w:tcBorders>
              <w:top w:val="nil"/>
              <w:left w:val="nil"/>
              <w:bottom w:val="nil"/>
              <w:right w:val="nil"/>
            </w:tcBorders>
            <w:shd w:val="clear" w:color="000000" w:fill="FFFFFF"/>
            <w:noWrap/>
            <w:vAlign w:val="bottom"/>
            <w:hideMark/>
          </w:tcPr>
          <w:p w14:paraId="7036CCA1" w14:textId="77777777" w:rsidR="00563510" w:rsidRPr="007F3A5D" w:rsidRDefault="00563510" w:rsidP="00841021">
            <w:pPr>
              <w:spacing w:after="0" w:line="240" w:lineRule="auto"/>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 </w:t>
            </w:r>
          </w:p>
        </w:tc>
        <w:tc>
          <w:tcPr>
            <w:tcW w:w="1293" w:type="dxa"/>
            <w:gridSpan w:val="2"/>
            <w:tcBorders>
              <w:top w:val="nil"/>
              <w:left w:val="nil"/>
              <w:bottom w:val="nil"/>
              <w:right w:val="nil"/>
            </w:tcBorders>
            <w:shd w:val="clear" w:color="000000" w:fill="FFFFFF"/>
            <w:noWrap/>
            <w:vAlign w:val="center"/>
            <w:hideMark/>
          </w:tcPr>
          <w:p w14:paraId="01553D12" w14:textId="0AE705C5" w:rsidR="00563510" w:rsidRPr="00267DC7" w:rsidRDefault="00563510" w:rsidP="0007535D">
            <w:pPr>
              <w:spacing w:after="0" w:line="240" w:lineRule="auto"/>
              <w:jc w:val="center"/>
              <w:rPr>
                <w:rFonts w:ascii="Calibri" w:eastAsia="Times New Roman" w:hAnsi="Calibri" w:cs="Calibri"/>
                <w:color w:val="000000" w:themeColor="text1"/>
                <w:sz w:val="16"/>
                <w:szCs w:val="16"/>
                <w:lang w:eastAsia="en-CA"/>
              </w:rPr>
            </w:pPr>
            <w:r w:rsidRPr="00267DC7">
              <w:rPr>
                <w:rFonts w:ascii="Calibri" w:eastAsia="Times New Roman" w:hAnsi="Calibri" w:cs="Calibri"/>
                <w:color w:val="000000" w:themeColor="text1"/>
                <w:sz w:val="16"/>
                <w:szCs w:val="16"/>
                <w:lang w:eastAsia="en-CA"/>
              </w:rPr>
              <w:t>1.2</w:t>
            </w:r>
            <w:r w:rsidR="0007535D">
              <w:rPr>
                <w:rFonts w:ascii="Calibri" w:eastAsia="Times New Roman" w:hAnsi="Calibri" w:cs="Calibri"/>
                <w:color w:val="000000" w:themeColor="text1"/>
                <w:sz w:val="16"/>
                <w:szCs w:val="16"/>
                <w:lang w:eastAsia="en-CA"/>
              </w:rPr>
              <w:t>1</w:t>
            </w:r>
            <w:r w:rsidRPr="00267DC7">
              <w:rPr>
                <w:rFonts w:ascii="Calibri" w:eastAsia="Times New Roman" w:hAnsi="Calibri" w:cs="Calibri"/>
                <w:color w:val="000000" w:themeColor="text1"/>
                <w:sz w:val="16"/>
                <w:szCs w:val="16"/>
                <w:lang w:eastAsia="en-CA"/>
              </w:rPr>
              <w:t xml:space="preserve"> (1.02-1.4</w:t>
            </w:r>
            <w:r w:rsidR="0007535D">
              <w:rPr>
                <w:rFonts w:ascii="Calibri" w:eastAsia="Times New Roman" w:hAnsi="Calibri" w:cs="Calibri"/>
                <w:color w:val="000000" w:themeColor="text1"/>
                <w:sz w:val="16"/>
                <w:szCs w:val="16"/>
                <w:lang w:eastAsia="en-CA"/>
              </w:rPr>
              <w:t>3</w:t>
            </w:r>
            <w:r w:rsidRPr="00267DC7">
              <w:rPr>
                <w:rFonts w:ascii="Calibri" w:eastAsia="Times New Roman" w:hAnsi="Calibri" w:cs="Calibri"/>
                <w:color w:val="000000" w:themeColor="text1"/>
                <w:sz w:val="16"/>
                <w:szCs w:val="16"/>
                <w:lang w:eastAsia="en-CA"/>
              </w:rPr>
              <w:t>)</w:t>
            </w:r>
          </w:p>
        </w:tc>
        <w:tc>
          <w:tcPr>
            <w:tcW w:w="708" w:type="dxa"/>
            <w:tcBorders>
              <w:top w:val="nil"/>
              <w:left w:val="nil"/>
              <w:bottom w:val="nil"/>
              <w:right w:val="nil"/>
            </w:tcBorders>
            <w:shd w:val="clear" w:color="000000" w:fill="FFFFFF"/>
            <w:noWrap/>
            <w:vAlign w:val="center"/>
            <w:hideMark/>
          </w:tcPr>
          <w:p w14:paraId="3E148354" w14:textId="5BD50253" w:rsidR="00563510" w:rsidRPr="00267DC7" w:rsidRDefault="00563510" w:rsidP="0007535D">
            <w:pPr>
              <w:spacing w:after="0" w:line="240" w:lineRule="auto"/>
              <w:rPr>
                <w:rFonts w:ascii="Calibri" w:eastAsia="Times New Roman" w:hAnsi="Calibri" w:cs="Calibri"/>
                <w:i/>
                <w:iCs/>
                <w:color w:val="000000" w:themeColor="text1"/>
                <w:sz w:val="16"/>
                <w:szCs w:val="16"/>
                <w:lang w:eastAsia="en-CA"/>
              </w:rPr>
            </w:pPr>
            <w:r w:rsidRPr="00267DC7">
              <w:rPr>
                <w:rFonts w:ascii="Calibri" w:eastAsia="Times New Roman" w:hAnsi="Calibri" w:cs="Calibri"/>
                <w:i/>
                <w:iCs/>
                <w:color w:val="000000" w:themeColor="text1"/>
                <w:sz w:val="16"/>
                <w:szCs w:val="16"/>
                <w:lang w:eastAsia="en-CA"/>
              </w:rPr>
              <w:t>(n=1</w:t>
            </w:r>
            <w:r w:rsidR="0007535D">
              <w:rPr>
                <w:rFonts w:ascii="Calibri" w:eastAsia="Times New Roman" w:hAnsi="Calibri" w:cs="Calibri"/>
                <w:i/>
                <w:iCs/>
                <w:color w:val="000000" w:themeColor="text1"/>
                <w:sz w:val="16"/>
                <w:szCs w:val="16"/>
                <w:lang w:eastAsia="en-CA"/>
              </w:rPr>
              <w:t>6</w:t>
            </w:r>
            <w:r w:rsidRPr="00267DC7">
              <w:rPr>
                <w:rFonts w:ascii="Calibri" w:eastAsia="Times New Roman" w:hAnsi="Calibri" w:cs="Calibri"/>
                <w:i/>
                <w:iCs/>
                <w:color w:val="000000" w:themeColor="text1"/>
                <w:sz w:val="16"/>
                <w:szCs w:val="16"/>
                <w:lang w:eastAsia="en-CA"/>
              </w:rPr>
              <w:t>)</w:t>
            </w:r>
          </w:p>
        </w:tc>
        <w:tc>
          <w:tcPr>
            <w:tcW w:w="1276" w:type="dxa"/>
            <w:tcBorders>
              <w:top w:val="nil"/>
              <w:left w:val="nil"/>
              <w:bottom w:val="nil"/>
              <w:right w:val="nil"/>
            </w:tcBorders>
            <w:shd w:val="clear" w:color="000000" w:fill="FFFFFF"/>
            <w:noWrap/>
            <w:vAlign w:val="center"/>
            <w:hideMark/>
          </w:tcPr>
          <w:p w14:paraId="33FEF24D" w14:textId="15C706FE" w:rsidR="00563510" w:rsidRPr="00267DC7" w:rsidRDefault="00563510" w:rsidP="00841021">
            <w:pPr>
              <w:spacing w:after="0" w:line="240" w:lineRule="auto"/>
              <w:jc w:val="center"/>
              <w:rPr>
                <w:rFonts w:ascii="Calibri" w:eastAsia="Times New Roman" w:hAnsi="Calibri" w:cs="Calibri"/>
                <w:color w:val="000000" w:themeColor="text1"/>
                <w:sz w:val="16"/>
                <w:szCs w:val="16"/>
                <w:lang w:eastAsia="en-CA"/>
              </w:rPr>
            </w:pPr>
            <w:r w:rsidRPr="00267DC7">
              <w:rPr>
                <w:rFonts w:ascii="Calibri" w:eastAsia="Times New Roman" w:hAnsi="Calibri" w:cs="Calibri"/>
                <w:color w:val="000000" w:themeColor="text1"/>
                <w:sz w:val="16"/>
                <w:szCs w:val="16"/>
                <w:lang w:eastAsia="en-CA"/>
              </w:rPr>
              <w:t>1.20 (1.03-1.</w:t>
            </w:r>
            <w:r w:rsidR="0007535D">
              <w:rPr>
                <w:rFonts w:ascii="Calibri" w:eastAsia="Times New Roman" w:hAnsi="Calibri" w:cs="Calibri"/>
                <w:color w:val="000000" w:themeColor="text1"/>
                <w:sz w:val="16"/>
                <w:szCs w:val="16"/>
                <w:lang w:eastAsia="en-CA"/>
              </w:rPr>
              <w:t>39</w:t>
            </w:r>
            <w:r w:rsidRPr="00267DC7">
              <w:rPr>
                <w:rFonts w:ascii="Calibri" w:eastAsia="Times New Roman" w:hAnsi="Calibri" w:cs="Calibri"/>
                <w:color w:val="000000" w:themeColor="text1"/>
                <w:sz w:val="16"/>
                <w:szCs w:val="16"/>
                <w:lang w:eastAsia="en-CA"/>
              </w:rPr>
              <w:t>)</w:t>
            </w:r>
          </w:p>
        </w:tc>
        <w:tc>
          <w:tcPr>
            <w:tcW w:w="708" w:type="dxa"/>
            <w:tcBorders>
              <w:top w:val="nil"/>
              <w:left w:val="nil"/>
              <w:bottom w:val="nil"/>
              <w:right w:val="nil"/>
            </w:tcBorders>
            <w:shd w:val="clear" w:color="000000" w:fill="FFFFFF"/>
            <w:noWrap/>
            <w:vAlign w:val="center"/>
            <w:hideMark/>
          </w:tcPr>
          <w:p w14:paraId="56A24F89" w14:textId="0F63F3C7" w:rsidR="00563510" w:rsidRPr="00267DC7" w:rsidRDefault="00563510" w:rsidP="00841021">
            <w:pPr>
              <w:spacing w:after="0" w:line="240" w:lineRule="auto"/>
              <w:rPr>
                <w:rFonts w:ascii="Calibri" w:eastAsia="Times New Roman" w:hAnsi="Calibri" w:cs="Calibri"/>
                <w:i/>
                <w:iCs/>
                <w:color w:val="000000" w:themeColor="text1"/>
                <w:sz w:val="16"/>
                <w:szCs w:val="16"/>
                <w:lang w:eastAsia="en-CA"/>
              </w:rPr>
            </w:pPr>
            <w:r w:rsidRPr="00267DC7">
              <w:rPr>
                <w:rFonts w:ascii="Calibri" w:eastAsia="Times New Roman" w:hAnsi="Calibri" w:cs="Calibri"/>
                <w:i/>
                <w:iCs/>
                <w:color w:val="000000" w:themeColor="text1"/>
                <w:sz w:val="16"/>
                <w:szCs w:val="16"/>
                <w:lang w:eastAsia="en-CA"/>
              </w:rPr>
              <w:t>(n=1</w:t>
            </w:r>
            <w:r w:rsidR="0007535D">
              <w:rPr>
                <w:rFonts w:ascii="Calibri" w:eastAsia="Times New Roman" w:hAnsi="Calibri" w:cs="Calibri"/>
                <w:i/>
                <w:iCs/>
                <w:color w:val="000000" w:themeColor="text1"/>
                <w:sz w:val="16"/>
                <w:szCs w:val="16"/>
                <w:lang w:eastAsia="en-CA"/>
              </w:rPr>
              <w:t>3</w:t>
            </w:r>
            <w:r w:rsidRPr="00267DC7">
              <w:rPr>
                <w:rFonts w:ascii="Calibri" w:eastAsia="Times New Roman" w:hAnsi="Calibri" w:cs="Calibri"/>
                <w:i/>
                <w:iCs/>
                <w:color w:val="000000" w:themeColor="text1"/>
                <w:sz w:val="16"/>
                <w:szCs w:val="16"/>
                <w:lang w:eastAsia="en-CA"/>
              </w:rPr>
              <w:t>)</w:t>
            </w:r>
          </w:p>
        </w:tc>
        <w:tc>
          <w:tcPr>
            <w:tcW w:w="1276" w:type="dxa"/>
            <w:tcBorders>
              <w:top w:val="nil"/>
              <w:left w:val="nil"/>
              <w:bottom w:val="nil"/>
              <w:right w:val="nil"/>
            </w:tcBorders>
            <w:shd w:val="clear" w:color="000000" w:fill="FFFFFF"/>
            <w:noWrap/>
            <w:vAlign w:val="center"/>
            <w:hideMark/>
          </w:tcPr>
          <w:p w14:paraId="2BD21343" w14:textId="747547AB" w:rsidR="00563510" w:rsidRPr="00267DC7" w:rsidRDefault="00563510" w:rsidP="0007535D">
            <w:pPr>
              <w:spacing w:after="0" w:line="240" w:lineRule="auto"/>
              <w:jc w:val="center"/>
              <w:rPr>
                <w:rFonts w:ascii="Calibri" w:eastAsia="Times New Roman" w:hAnsi="Calibri" w:cs="Calibri"/>
                <w:color w:val="000000" w:themeColor="text1"/>
                <w:sz w:val="16"/>
                <w:szCs w:val="16"/>
                <w:lang w:eastAsia="en-CA"/>
              </w:rPr>
            </w:pPr>
            <w:r w:rsidRPr="00267DC7">
              <w:rPr>
                <w:rFonts w:ascii="Calibri" w:eastAsia="Times New Roman" w:hAnsi="Calibri" w:cs="Calibri"/>
                <w:color w:val="000000" w:themeColor="text1"/>
                <w:sz w:val="16"/>
                <w:szCs w:val="16"/>
                <w:lang w:eastAsia="en-CA"/>
              </w:rPr>
              <w:t>1.17 (0.9</w:t>
            </w:r>
            <w:r w:rsidR="0007535D">
              <w:rPr>
                <w:rFonts w:ascii="Calibri" w:eastAsia="Times New Roman" w:hAnsi="Calibri" w:cs="Calibri"/>
                <w:color w:val="000000" w:themeColor="text1"/>
                <w:sz w:val="16"/>
                <w:szCs w:val="16"/>
                <w:lang w:eastAsia="en-CA"/>
              </w:rPr>
              <w:t>3</w:t>
            </w:r>
            <w:r w:rsidRPr="00267DC7">
              <w:rPr>
                <w:rFonts w:ascii="Calibri" w:eastAsia="Times New Roman" w:hAnsi="Calibri" w:cs="Calibri"/>
                <w:color w:val="000000" w:themeColor="text1"/>
                <w:sz w:val="16"/>
                <w:szCs w:val="16"/>
                <w:lang w:eastAsia="en-CA"/>
              </w:rPr>
              <w:t>-1.</w:t>
            </w:r>
            <w:r w:rsidR="0007535D">
              <w:rPr>
                <w:rFonts w:ascii="Calibri" w:eastAsia="Times New Roman" w:hAnsi="Calibri" w:cs="Calibri"/>
                <w:color w:val="000000" w:themeColor="text1"/>
                <w:sz w:val="16"/>
                <w:szCs w:val="16"/>
                <w:lang w:eastAsia="en-CA"/>
              </w:rPr>
              <w:t>48</w:t>
            </w:r>
            <w:r w:rsidRPr="00267DC7">
              <w:rPr>
                <w:rFonts w:ascii="Calibri" w:eastAsia="Times New Roman" w:hAnsi="Calibri" w:cs="Calibri"/>
                <w:color w:val="000000" w:themeColor="text1"/>
                <w:sz w:val="16"/>
                <w:szCs w:val="16"/>
                <w:lang w:eastAsia="en-CA"/>
              </w:rPr>
              <w:t>)</w:t>
            </w:r>
          </w:p>
        </w:tc>
        <w:tc>
          <w:tcPr>
            <w:tcW w:w="663" w:type="dxa"/>
            <w:tcBorders>
              <w:top w:val="nil"/>
              <w:left w:val="nil"/>
              <w:bottom w:val="nil"/>
              <w:right w:val="nil"/>
            </w:tcBorders>
            <w:shd w:val="clear" w:color="000000" w:fill="FFFFFF"/>
            <w:noWrap/>
            <w:vAlign w:val="center"/>
            <w:hideMark/>
          </w:tcPr>
          <w:p w14:paraId="3539B8AC" w14:textId="524B69D3" w:rsidR="00563510" w:rsidRPr="00267DC7" w:rsidRDefault="00563510" w:rsidP="00841021">
            <w:pPr>
              <w:spacing w:after="0" w:line="240" w:lineRule="auto"/>
              <w:rPr>
                <w:rFonts w:ascii="Calibri" w:eastAsia="Times New Roman" w:hAnsi="Calibri" w:cs="Calibri"/>
                <w:i/>
                <w:iCs/>
                <w:color w:val="000000" w:themeColor="text1"/>
                <w:sz w:val="16"/>
                <w:szCs w:val="16"/>
                <w:lang w:eastAsia="en-CA"/>
              </w:rPr>
            </w:pPr>
            <w:r w:rsidRPr="00267DC7">
              <w:rPr>
                <w:rFonts w:ascii="Calibri" w:eastAsia="Times New Roman" w:hAnsi="Calibri" w:cs="Calibri"/>
                <w:i/>
                <w:iCs/>
                <w:color w:val="000000" w:themeColor="text1"/>
                <w:sz w:val="16"/>
                <w:szCs w:val="16"/>
                <w:lang w:eastAsia="en-CA"/>
              </w:rPr>
              <w:t>(n=</w:t>
            </w:r>
            <w:r w:rsidR="0007535D">
              <w:rPr>
                <w:rFonts w:ascii="Calibri" w:eastAsia="Times New Roman" w:hAnsi="Calibri" w:cs="Calibri"/>
                <w:i/>
                <w:iCs/>
                <w:color w:val="000000" w:themeColor="text1"/>
                <w:sz w:val="16"/>
                <w:szCs w:val="16"/>
                <w:lang w:eastAsia="en-CA"/>
              </w:rPr>
              <w:t>8)</w:t>
            </w:r>
          </w:p>
        </w:tc>
        <w:tc>
          <w:tcPr>
            <w:tcW w:w="1283" w:type="dxa"/>
            <w:tcBorders>
              <w:top w:val="nil"/>
              <w:left w:val="nil"/>
              <w:bottom w:val="nil"/>
              <w:right w:val="nil"/>
            </w:tcBorders>
            <w:shd w:val="clear" w:color="000000" w:fill="FFFFFF"/>
            <w:noWrap/>
            <w:vAlign w:val="center"/>
            <w:hideMark/>
          </w:tcPr>
          <w:p w14:paraId="026E7555" w14:textId="77777777" w:rsidR="00563510" w:rsidRPr="00267DC7" w:rsidRDefault="00563510" w:rsidP="00841021">
            <w:pPr>
              <w:spacing w:after="0" w:line="240" w:lineRule="auto"/>
              <w:jc w:val="center"/>
              <w:rPr>
                <w:rFonts w:ascii="Calibri" w:eastAsia="Times New Roman" w:hAnsi="Calibri" w:cs="Calibri"/>
                <w:color w:val="000000" w:themeColor="text1"/>
                <w:sz w:val="16"/>
                <w:szCs w:val="16"/>
                <w:lang w:eastAsia="en-CA"/>
              </w:rPr>
            </w:pPr>
            <w:r w:rsidRPr="00267DC7">
              <w:rPr>
                <w:rFonts w:ascii="Calibri" w:eastAsia="Times New Roman" w:hAnsi="Calibri" w:cs="Calibri"/>
                <w:color w:val="000000" w:themeColor="text1"/>
                <w:sz w:val="16"/>
                <w:szCs w:val="16"/>
                <w:lang w:eastAsia="en-CA"/>
              </w:rPr>
              <w:t>1.34 (1.18-1.53)</w:t>
            </w:r>
          </w:p>
        </w:tc>
        <w:tc>
          <w:tcPr>
            <w:tcW w:w="567" w:type="dxa"/>
            <w:gridSpan w:val="2"/>
            <w:tcBorders>
              <w:top w:val="nil"/>
              <w:left w:val="nil"/>
              <w:bottom w:val="nil"/>
              <w:right w:val="nil"/>
            </w:tcBorders>
            <w:shd w:val="clear" w:color="000000" w:fill="FFFFFF"/>
            <w:noWrap/>
            <w:vAlign w:val="center"/>
            <w:hideMark/>
          </w:tcPr>
          <w:p w14:paraId="6297DEFF" w14:textId="77777777" w:rsidR="00563510" w:rsidRPr="007F3A5D" w:rsidRDefault="00563510" w:rsidP="00841021">
            <w:pPr>
              <w:spacing w:after="0" w:line="240" w:lineRule="auto"/>
              <w:rPr>
                <w:rFonts w:ascii="Calibri" w:eastAsia="Times New Roman" w:hAnsi="Calibri" w:cs="Calibri"/>
                <w:i/>
                <w:iCs/>
                <w:color w:val="000000"/>
                <w:sz w:val="16"/>
                <w:szCs w:val="16"/>
                <w:lang w:eastAsia="en-CA"/>
              </w:rPr>
            </w:pPr>
            <w:r w:rsidRPr="007F3A5D">
              <w:rPr>
                <w:rFonts w:ascii="Calibri" w:eastAsia="Times New Roman" w:hAnsi="Calibri" w:cs="Calibri"/>
                <w:i/>
                <w:iCs/>
                <w:color w:val="000000"/>
                <w:sz w:val="16"/>
                <w:szCs w:val="16"/>
                <w:lang w:eastAsia="en-CA"/>
              </w:rPr>
              <w:t>(n=4)</w:t>
            </w:r>
          </w:p>
        </w:tc>
      </w:tr>
      <w:tr w:rsidR="00563510" w:rsidRPr="007F3A5D" w14:paraId="512D046F" w14:textId="77777777" w:rsidTr="00D446D6">
        <w:trPr>
          <w:gridAfter w:val="1"/>
          <w:wAfter w:w="125" w:type="dxa"/>
          <w:trHeight w:val="288"/>
        </w:trPr>
        <w:tc>
          <w:tcPr>
            <w:tcW w:w="284" w:type="dxa"/>
            <w:tcBorders>
              <w:top w:val="nil"/>
              <w:left w:val="nil"/>
              <w:bottom w:val="nil"/>
              <w:right w:val="nil"/>
            </w:tcBorders>
            <w:shd w:val="clear" w:color="000000" w:fill="FFFFFF"/>
            <w:noWrap/>
            <w:vAlign w:val="bottom"/>
            <w:hideMark/>
          </w:tcPr>
          <w:p w14:paraId="3CD2FC1D" w14:textId="77777777" w:rsidR="00563510" w:rsidRPr="007F3A5D" w:rsidRDefault="00563510" w:rsidP="00841021">
            <w:pPr>
              <w:spacing w:after="0" w:line="240" w:lineRule="auto"/>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 </w:t>
            </w:r>
          </w:p>
        </w:tc>
        <w:tc>
          <w:tcPr>
            <w:tcW w:w="1276" w:type="dxa"/>
            <w:tcBorders>
              <w:top w:val="nil"/>
              <w:left w:val="nil"/>
              <w:bottom w:val="nil"/>
              <w:right w:val="nil"/>
            </w:tcBorders>
            <w:shd w:val="clear" w:color="000000" w:fill="FFFFFF"/>
            <w:noWrap/>
            <w:vAlign w:val="bottom"/>
            <w:hideMark/>
          </w:tcPr>
          <w:p w14:paraId="5439A4E8" w14:textId="77777777" w:rsidR="00563510" w:rsidRDefault="00563510" w:rsidP="00841021">
            <w:pPr>
              <w:spacing w:after="0" w:line="240" w:lineRule="auto"/>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Industry</w:t>
            </w:r>
          </w:p>
          <w:p w14:paraId="051EC113" w14:textId="77777777" w:rsidR="00E36AEE" w:rsidRPr="007F3A5D" w:rsidRDefault="00E36AEE" w:rsidP="00841021">
            <w:pPr>
              <w:spacing w:after="0" w:line="240" w:lineRule="auto"/>
              <w:rPr>
                <w:rFonts w:ascii="Calibri" w:eastAsia="Times New Roman" w:hAnsi="Calibri" w:cs="Calibri"/>
                <w:color w:val="000000"/>
                <w:sz w:val="16"/>
                <w:szCs w:val="16"/>
                <w:lang w:eastAsia="en-CA"/>
              </w:rPr>
            </w:pPr>
          </w:p>
        </w:tc>
        <w:tc>
          <w:tcPr>
            <w:tcW w:w="266" w:type="dxa"/>
            <w:gridSpan w:val="2"/>
            <w:tcBorders>
              <w:top w:val="nil"/>
              <w:left w:val="nil"/>
              <w:bottom w:val="nil"/>
              <w:right w:val="nil"/>
            </w:tcBorders>
            <w:shd w:val="clear" w:color="000000" w:fill="FFFFFF"/>
            <w:noWrap/>
            <w:vAlign w:val="bottom"/>
            <w:hideMark/>
          </w:tcPr>
          <w:p w14:paraId="07E1B5E5" w14:textId="77777777" w:rsidR="00563510" w:rsidRPr="007F3A5D" w:rsidRDefault="00563510" w:rsidP="00841021">
            <w:pPr>
              <w:spacing w:after="0" w:line="240" w:lineRule="auto"/>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 </w:t>
            </w:r>
          </w:p>
        </w:tc>
        <w:tc>
          <w:tcPr>
            <w:tcW w:w="1293" w:type="dxa"/>
            <w:gridSpan w:val="2"/>
            <w:tcBorders>
              <w:top w:val="nil"/>
              <w:left w:val="nil"/>
              <w:bottom w:val="nil"/>
              <w:right w:val="nil"/>
            </w:tcBorders>
            <w:shd w:val="clear" w:color="000000" w:fill="FFFFFF"/>
            <w:noWrap/>
            <w:vAlign w:val="center"/>
            <w:hideMark/>
          </w:tcPr>
          <w:p w14:paraId="790BCA4F" w14:textId="77777777" w:rsidR="00563510" w:rsidRPr="00267DC7" w:rsidRDefault="00563510" w:rsidP="00841021">
            <w:pPr>
              <w:spacing w:after="0" w:line="240" w:lineRule="auto"/>
              <w:jc w:val="center"/>
              <w:rPr>
                <w:rFonts w:ascii="Calibri" w:eastAsia="Times New Roman" w:hAnsi="Calibri" w:cs="Calibri"/>
                <w:color w:val="000000" w:themeColor="text1"/>
                <w:sz w:val="16"/>
                <w:szCs w:val="16"/>
                <w:lang w:eastAsia="en-CA"/>
              </w:rPr>
            </w:pPr>
            <w:r w:rsidRPr="00267DC7">
              <w:rPr>
                <w:rFonts w:ascii="Calibri" w:eastAsia="Times New Roman" w:hAnsi="Calibri" w:cs="Calibri"/>
                <w:color w:val="000000" w:themeColor="text1"/>
                <w:sz w:val="16"/>
                <w:szCs w:val="16"/>
                <w:lang w:eastAsia="en-CA"/>
              </w:rPr>
              <w:t>1.44 (0.86-2.43)</w:t>
            </w:r>
          </w:p>
        </w:tc>
        <w:tc>
          <w:tcPr>
            <w:tcW w:w="708" w:type="dxa"/>
            <w:tcBorders>
              <w:top w:val="nil"/>
              <w:left w:val="nil"/>
              <w:bottom w:val="nil"/>
              <w:right w:val="nil"/>
            </w:tcBorders>
            <w:shd w:val="clear" w:color="000000" w:fill="FFFFFF"/>
            <w:noWrap/>
            <w:vAlign w:val="center"/>
            <w:hideMark/>
          </w:tcPr>
          <w:p w14:paraId="545D3AC6" w14:textId="77777777" w:rsidR="00563510" w:rsidRPr="00267DC7" w:rsidRDefault="00563510" w:rsidP="00841021">
            <w:pPr>
              <w:spacing w:after="0" w:line="240" w:lineRule="auto"/>
              <w:rPr>
                <w:rFonts w:ascii="Calibri" w:eastAsia="Times New Roman" w:hAnsi="Calibri" w:cs="Calibri"/>
                <w:i/>
                <w:iCs/>
                <w:color w:val="000000" w:themeColor="text1"/>
                <w:sz w:val="16"/>
                <w:szCs w:val="16"/>
                <w:lang w:eastAsia="en-CA"/>
              </w:rPr>
            </w:pPr>
            <w:r w:rsidRPr="00267DC7">
              <w:rPr>
                <w:rFonts w:ascii="Calibri" w:eastAsia="Times New Roman" w:hAnsi="Calibri" w:cs="Calibri"/>
                <w:i/>
                <w:iCs/>
                <w:color w:val="000000" w:themeColor="text1"/>
                <w:sz w:val="16"/>
                <w:szCs w:val="16"/>
                <w:lang w:eastAsia="en-CA"/>
              </w:rPr>
              <w:t>(n=2)</w:t>
            </w:r>
          </w:p>
        </w:tc>
        <w:tc>
          <w:tcPr>
            <w:tcW w:w="1276" w:type="dxa"/>
            <w:tcBorders>
              <w:top w:val="nil"/>
              <w:left w:val="nil"/>
              <w:bottom w:val="nil"/>
              <w:right w:val="nil"/>
            </w:tcBorders>
            <w:shd w:val="clear" w:color="000000" w:fill="FFFFFF"/>
            <w:noWrap/>
            <w:vAlign w:val="center"/>
            <w:hideMark/>
          </w:tcPr>
          <w:p w14:paraId="17A4A45C" w14:textId="77777777" w:rsidR="00563510" w:rsidRPr="00267DC7" w:rsidRDefault="00563510" w:rsidP="00841021">
            <w:pPr>
              <w:spacing w:after="0" w:line="240" w:lineRule="auto"/>
              <w:jc w:val="center"/>
              <w:rPr>
                <w:rFonts w:ascii="Calibri" w:eastAsia="Times New Roman" w:hAnsi="Calibri" w:cs="Calibri"/>
                <w:color w:val="000000" w:themeColor="text1"/>
                <w:sz w:val="16"/>
                <w:szCs w:val="16"/>
                <w:lang w:eastAsia="en-CA"/>
              </w:rPr>
            </w:pPr>
            <w:r w:rsidRPr="00267DC7">
              <w:rPr>
                <w:rFonts w:ascii="Calibri" w:eastAsia="Times New Roman" w:hAnsi="Calibri" w:cs="Calibri"/>
                <w:color w:val="000000" w:themeColor="text1"/>
                <w:sz w:val="16"/>
                <w:szCs w:val="16"/>
                <w:lang w:eastAsia="en-CA"/>
              </w:rPr>
              <w:t>1.59 (1.28-1.97)</w:t>
            </w:r>
          </w:p>
        </w:tc>
        <w:tc>
          <w:tcPr>
            <w:tcW w:w="708" w:type="dxa"/>
            <w:tcBorders>
              <w:top w:val="nil"/>
              <w:left w:val="nil"/>
              <w:bottom w:val="nil"/>
              <w:right w:val="nil"/>
            </w:tcBorders>
            <w:shd w:val="clear" w:color="000000" w:fill="FFFFFF"/>
            <w:noWrap/>
            <w:vAlign w:val="center"/>
            <w:hideMark/>
          </w:tcPr>
          <w:p w14:paraId="22421C83" w14:textId="77777777" w:rsidR="00563510" w:rsidRPr="00267DC7" w:rsidRDefault="00563510" w:rsidP="00841021">
            <w:pPr>
              <w:spacing w:after="0" w:line="240" w:lineRule="auto"/>
              <w:rPr>
                <w:rFonts w:ascii="Calibri" w:eastAsia="Times New Roman" w:hAnsi="Calibri" w:cs="Calibri"/>
                <w:i/>
                <w:iCs/>
                <w:color w:val="000000" w:themeColor="text1"/>
                <w:sz w:val="16"/>
                <w:szCs w:val="16"/>
                <w:lang w:eastAsia="en-CA"/>
              </w:rPr>
            </w:pPr>
            <w:r w:rsidRPr="00267DC7">
              <w:rPr>
                <w:rFonts w:ascii="Calibri" w:eastAsia="Times New Roman" w:hAnsi="Calibri" w:cs="Calibri"/>
                <w:i/>
                <w:iCs/>
                <w:color w:val="000000" w:themeColor="text1"/>
                <w:sz w:val="16"/>
                <w:szCs w:val="16"/>
                <w:lang w:eastAsia="en-CA"/>
              </w:rPr>
              <w:t>(n=4)</w:t>
            </w:r>
          </w:p>
        </w:tc>
        <w:tc>
          <w:tcPr>
            <w:tcW w:w="1276" w:type="dxa"/>
            <w:tcBorders>
              <w:top w:val="nil"/>
              <w:left w:val="nil"/>
              <w:bottom w:val="nil"/>
              <w:right w:val="nil"/>
            </w:tcBorders>
            <w:shd w:val="clear" w:color="000000" w:fill="FFFFFF"/>
            <w:noWrap/>
            <w:vAlign w:val="center"/>
            <w:hideMark/>
          </w:tcPr>
          <w:p w14:paraId="5D4CA52E" w14:textId="77777777" w:rsidR="00563510" w:rsidRPr="00267DC7" w:rsidRDefault="00563510" w:rsidP="00841021">
            <w:pPr>
              <w:spacing w:after="0" w:line="240" w:lineRule="auto"/>
              <w:jc w:val="center"/>
              <w:rPr>
                <w:rFonts w:ascii="Calibri" w:eastAsia="Times New Roman" w:hAnsi="Calibri" w:cs="Calibri"/>
                <w:color w:val="000000" w:themeColor="text1"/>
                <w:sz w:val="16"/>
                <w:szCs w:val="16"/>
                <w:lang w:eastAsia="en-CA"/>
              </w:rPr>
            </w:pPr>
            <w:r w:rsidRPr="00267DC7">
              <w:rPr>
                <w:rFonts w:ascii="Calibri" w:eastAsia="Times New Roman" w:hAnsi="Calibri" w:cs="Calibri"/>
                <w:color w:val="000000" w:themeColor="text1"/>
                <w:sz w:val="16"/>
                <w:szCs w:val="16"/>
                <w:lang w:eastAsia="en-CA"/>
              </w:rPr>
              <w:t xml:space="preserve">1.10 (0.51-2.37) </w:t>
            </w:r>
          </w:p>
        </w:tc>
        <w:tc>
          <w:tcPr>
            <w:tcW w:w="663" w:type="dxa"/>
            <w:tcBorders>
              <w:top w:val="nil"/>
              <w:left w:val="nil"/>
              <w:bottom w:val="nil"/>
              <w:right w:val="nil"/>
            </w:tcBorders>
            <w:shd w:val="clear" w:color="000000" w:fill="FFFFFF"/>
            <w:noWrap/>
            <w:vAlign w:val="center"/>
            <w:hideMark/>
          </w:tcPr>
          <w:p w14:paraId="6069BC83" w14:textId="77777777" w:rsidR="00563510" w:rsidRPr="00267DC7" w:rsidRDefault="00563510" w:rsidP="00841021">
            <w:pPr>
              <w:spacing w:after="0" w:line="240" w:lineRule="auto"/>
              <w:rPr>
                <w:rFonts w:ascii="Calibri" w:eastAsia="Times New Roman" w:hAnsi="Calibri" w:cs="Calibri"/>
                <w:i/>
                <w:iCs/>
                <w:color w:val="000000" w:themeColor="text1"/>
                <w:sz w:val="16"/>
                <w:szCs w:val="16"/>
                <w:lang w:eastAsia="en-CA"/>
              </w:rPr>
            </w:pPr>
            <w:r w:rsidRPr="00267DC7">
              <w:rPr>
                <w:rFonts w:ascii="Calibri" w:eastAsia="Times New Roman" w:hAnsi="Calibri" w:cs="Calibri"/>
                <w:i/>
                <w:iCs/>
                <w:color w:val="000000" w:themeColor="text1"/>
                <w:sz w:val="16"/>
                <w:szCs w:val="16"/>
                <w:lang w:eastAsia="en-CA"/>
              </w:rPr>
              <w:t>(n=1)</w:t>
            </w:r>
          </w:p>
        </w:tc>
        <w:tc>
          <w:tcPr>
            <w:tcW w:w="1283" w:type="dxa"/>
            <w:tcBorders>
              <w:top w:val="nil"/>
              <w:left w:val="nil"/>
              <w:bottom w:val="nil"/>
              <w:right w:val="nil"/>
            </w:tcBorders>
            <w:shd w:val="clear" w:color="000000" w:fill="FFFFFF"/>
            <w:noWrap/>
            <w:vAlign w:val="center"/>
            <w:hideMark/>
          </w:tcPr>
          <w:p w14:paraId="5371CF85" w14:textId="77777777" w:rsidR="00563510" w:rsidRPr="00267DC7" w:rsidRDefault="00563510" w:rsidP="00841021">
            <w:pPr>
              <w:spacing w:after="0" w:line="240" w:lineRule="auto"/>
              <w:jc w:val="center"/>
              <w:rPr>
                <w:rFonts w:ascii="Calibri" w:eastAsia="Times New Roman" w:hAnsi="Calibri" w:cs="Calibri"/>
                <w:color w:val="000000" w:themeColor="text1"/>
                <w:sz w:val="16"/>
                <w:szCs w:val="16"/>
                <w:lang w:eastAsia="en-CA"/>
              </w:rPr>
            </w:pPr>
            <w:r w:rsidRPr="00267DC7">
              <w:rPr>
                <w:rFonts w:ascii="Calibri" w:eastAsia="Times New Roman" w:hAnsi="Calibri" w:cs="Calibri"/>
                <w:color w:val="000000" w:themeColor="text1"/>
                <w:sz w:val="16"/>
                <w:szCs w:val="16"/>
                <w:lang w:eastAsia="en-CA"/>
              </w:rPr>
              <w:t>0.98 (0.69-1.38)</w:t>
            </w:r>
          </w:p>
        </w:tc>
        <w:tc>
          <w:tcPr>
            <w:tcW w:w="567" w:type="dxa"/>
            <w:gridSpan w:val="2"/>
            <w:tcBorders>
              <w:top w:val="nil"/>
              <w:left w:val="nil"/>
              <w:bottom w:val="nil"/>
              <w:right w:val="nil"/>
            </w:tcBorders>
            <w:shd w:val="clear" w:color="000000" w:fill="FFFFFF"/>
            <w:noWrap/>
            <w:vAlign w:val="center"/>
            <w:hideMark/>
          </w:tcPr>
          <w:p w14:paraId="50330AAA" w14:textId="77777777" w:rsidR="00563510" w:rsidRPr="007F3A5D" w:rsidRDefault="00563510" w:rsidP="00841021">
            <w:pPr>
              <w:spacing w:after="0" w:line="240" w:lineRule="auto"/>
              <w:rPr>
                <w:rFonts w:ascii="Calibri" w:eastAsia="Times New Roman" w:hAnsi="Calibri" w:cs="Calibri"/>
                <w:i/>
                <w:iCs/>
                <w:color w:val="000000"/>
                <w:sz w:val="16"/>
                <w:szCs w:val="16"/>
                <w:lang w:eastAsia="en-CA"/>
              </w:rPr>
            </w:pPr>
            <w:r w:rsidRPr="007F3A5D">
              <w:rPr>
                <w:rFonts w:ascii="Calibri" w:eastAsia="Times New Roman" w:hAnsi="Calibri" w:cs="Calibri"/>
                <w:i/>
                <w:iCs/>
                <w:color w:val="000000"/>
                <w:sz w:val="16"/>
                <w:szCs w:val="16"/>
                <w:lang w:eastAsia="en-CA"/>
              </w:rPr>
              <w:t>(n=2)</w:t>
            </w:r>
          </w:p>
        </w:tc>
      </w:tr>
      <w:tr w:rsidR="00563510" w:rsidRPr="007F3A5D" w14:paraId="1BE1F021" w14:textId="77777777" w:rsidTr="00D446D6">
        <w:trPr>
          <w:gridAfter w:val="1"/>
          <w:wAfter w:w="125" w:type="dxa"/>
          <w:trHeight w:val="288"/>
        </w:trPr>
        <w:tc>
          <w:tcPr>
            <w:tcW w:w="284" w:type="dxa"/>
            <w:tcBorders>
              <w:top w:val="nil"/>
              <w:left w:val="nil"/>
              <w:bottom w:val="nil"/>
              <w:right w:val="nil"/>
            </w:tcBorders>
            <w:shd w:val="clear" w:color="000000" w:fill="FFFFFF"/>
            <w:noWrap/>
            <w:vAlign w:val="bottom"/>
            <w:hideMark/>
          </w:tcPr>
          <w:p w14:paraId="470FE6A6" w14:textId="77777777" w:rsidR="00563510" w:rsidRPr="007F3A5D" w:rsidRDefault="00563510" w:rsidP="00841021">
            <w:pPr>
              <w:spacing w:after="0" w:line="240" w:lineRule="auto"/>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 </w:t>
            </w:r>
          </w:p>
        </w:tc>
        <w:tc>
          <w:tcPr>
            <w:tcW w:w="1276" w:type="dxa"/>
            <w:tcBorders>
              <w:top w:val="nil"/>
              <w:left w:val="nil"/>
              <w:bottom w:val="nil"/>
              <w:right w:val="nil"/>
            </w:tcBorders>
            <w:shd w:val="clear" w:color="000000" w:fill="FFFFFF"/>
            <w:noWrap/>
            <w:vAlign w:val="bottom"/>
            <w:hideMark/>
          </w:tcPr>
          <w:p w14:paraId="48103D5B" w14:textId="77777777" w:rsidR="00563510" w:rsidRPr="007F3A5D" w:rsidRDefault="00563510" w:rsidP="00841021">
            <w:pPr>
              <w:spacing w:after="0" w:line="240" w:lineRule="auto"/>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Not reported</w:t>
            </w:r>
          </w:p>
        </w:tc>
        <w:tc>
          <w:tcPr>
            <w:tcW w:w="266" w:type="dxa"/>
            <w:gridSpan w:val="2"/>
            <w:tcBorders>
              <w:top w:val="nil"/>
              <w:left w:val="nil"/>
              <w:bottom w:val="nil"/>
              <w:right w:val="nil"/>
            </w:tcBorders>
            <w:shd w:val="clear" w:color="000000" w:fill="FFFFFF"/>
            <w:noWrap/>
            <w:vAlign w:val="bottom"/>
            <w:hideMark/>
          </w:tcPr>
          <w:p w14:paraId="320E97BD" w14:textId="77777777" w:rsidR="00563510" w:rsidRPr="007F3A5D" w:rsidRDefault="00563510" w:rsidP="00841021">
            <w:pPr>
              <w:spacing w:after="0" w:line="240" w:lineRule="auto"/>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 </w:t>
            </w:r>
          </w:p>
        </w:tc>
        <w:tc>
          <w:tcPr>
            <w:tcW w:w="1293" w:type="dxa"/>
            <w:gridSpan w:val="2"/>
            <w:tcBorders>
              <w:top w:val="nil"/>
              <w:left w:val="nil"/>
              <w:bottom w:val="nil"/>
              <w:right w:val="nil"/>
            </w:tcBorders>
            <w:shd w:val="clear" w:color="000000" w:fill="FFFFFF"/>
            <w:noWrap/>
            <w:vAlign w:val="center"/>
            <w:hideMark/>
          </w:tcPr>
          <w:p w14:paraId="74DFF2AB" w14:textId="6338520E" w:rsidR="00563510" w:rsidRPr="00267DC7" w:rsidRDefault="00563510" w:rsidP="0007535D">
            <w:pPr>
              <w:spacing w:after="0" w:line="240" w:lineRule="auto"/>
              <w:jc w:val="center"/>
              <w:rPr>
                <w:rFonts w:ascii="Calibri" w:eastAsia="Times New Roman" w:hAnsi="Calibri" w:cs="Calibri"/>
                <w:color w:val="000000" w:themeColor="text1"/>
                <w:sz w:val="16"/>
                <w:szCs w:val="16"/>
                <w:lang w:eastAsia="en-CA"/>
              </w:rPr>
            </w:pPr>
            <w:r w:rsidRPr="00267DC7">
              <w:rPr>
                <w:rFonts w:ascii="Calibri" w:eastAsia="Times New Roman" w:hAnsi="Calibri" w:cs="Calibri"/>
                <w:color w:val="000000" w:themeColor="text1"/>
                <w:sz w:val="16"/>
                <w:szCs w:val="16"/>
                <w:lang w:eastAsia="en-CA"/>
              </w:rPr>
              <w:t>1.</w:t>
            </w:r>
            <w:r w:rsidR="0007535D">
              <w:rPr>
                <w:rFonts w:ascii="Calibri" w:eastAsia="Times New Roman" w:hAnsi="Calibri" w:cs="Calibri"/>
                <w:color w:val="000000" w:themeColor="text1"/>
                <w:sz w:val="16"/>
                <w:szCs w:val="16"/>
                <w:lang w:eastAsia="en-CA"/>
              </w:rPr>
              <w:t>18</w:t>
            </w:r>
            <w:r w:rsidRPr="00267DC7">
              <w:rPr>
                <w:rFonts w:ascii="Calibri" w:eastAsia="Times New Roman" w:hAnsi="Calibri" w:cs="Calibri"/>
                <w:color w:val="000000" w:themeColor="text1"/>
                <w:sz w:val="16"/>
                <w:szCs w:val="16"/>
                <w:lang w:eastAsia="en-CA"/>
              </w:rPr>
              <w:t xml:space="preserve"> (1.0</w:t>
            </w:r>
            <w:r w:rsidR="0007535D">
              <w:rPr>
                <w:rFonts w:ascii="Calibri" w:eastAsia="Times New Roman" w:hAnsi="Calibri" w:cs="Calibri"/>
                <w:color w:val="000000" w:themeColor="text1"/>
                <w:sz w:val="16"/>
                <w:szCs w:val="16"/>
                <w:lang w:eastAsia="en-CA"/>
              </w:rPr>
              <w:t>2</w:t>
            </w:r>
            <w:r w:rsidRPr="00267DC7">
              <w:rPr>
                <w:rFonts w:ascii="Calibri" w:eastAsia="Times New Roman" w:hAnsi="Calibri" w:cs="Calibri"/>
                <w:color w:val="000000" w:themeColor="text1"/>
                <w:sz w:val="16"/>
                <w:szCs w:val="16"/>
                <w:lang w:eastAsia="en-CA"/>
              </w:rPr>
              <w:t>-1.</w:t>
            </w:r>
            <w:r w:rsidR="0007535D">
              <w:rPr>
                <w:rFonts w:ascii="Calibri" w:eastAsia="Times New Roman" w:hAnsi="Calibri" w:cs="Calibri"/>
                <w:color w:val="000000" w:themeColor="text1"/>
                <w:sz w:val="16"/>
                <w:szCs w:val="16"/>
                <w:lang w:eastAsia="en-CA"/>
              </w:rPr>
              <w:t>37</w:t>
            </w:r>
            <w:r w:rsidRPr="00267DC7">
              <w:rPr>
                <w:rFonts w:ascii="Calibri" w:eastAsia="Times New Roman" w:hAnsi="Calibri" w:cs="Calibri"/>
                <w:color w:val="000000" w:themeColor="text1"/>
                <w:sz w:val="16"/>
                <w:szCs w:val="16"/>
                <w:lang w:eastAsia="en-CA"/>
              </w:rPr>
              <w:t>)</w:t>
            </w:r>
          </w:p>
        </w:tc>
        <w:tc>
          <w:tcPr>
            <w:tcW w:w="708" w:type="dxa"/>
            <w:tcBorders>
              <w:top w:val="nil"/>
              <w:left w:val="nil"/>
              <w:bottom w:val="nil"/>
              <w:right w:val="nil"/>
            </w:tcBorders>
            <w:shd w:val="clear" w:color="000000" w:fill="FFFFFF"/>
            <w:noWrap/>
            <w:vAlign w:val="center"/>
            <w:hideMark/>
          </w:tcPr>
          <w:p w14:paraId="4E6D6F20" w14:textId="02B0CF49" w:rsidR="00563510" w:rsidRPr="00267DC7" w:rsidRDefault="00563510" w:rsidP="0007535D">
            <w:pPr>
              <w:spacing w:after="0" w:line="240" w:lineRule="auto"/>
              <w:rPr>
                <w:rFonts w:ascii="Calibri" w:eastAsia="Times New Roman" w:hAnsi="Calibri" w:cs="Calibri"/>
                <w:i/>
                <w:iCs/>
                <w:color w:val="000000" w:themeColor="text1"/>
                <w:sz w:val="16"/>
                <w:szCs w:val="16"/>
                <w:lang w:eastAsia="en-CA"/>
              </w:rPr>
            </w:pPr>
            <w:r w:rsidRPr="00267DC7">
              <w:rPr>
                <w:rFonts w:ascii="Calibri" w:eastAsia="Times New Roman" w:hAnsi="Calibri" w:cs="Calibri"/>
                <w:i/>
                <w:iCs/>
                <w:color w:val="000000" w:themeColor="text1"/>
                <w:sz w:val="16"/>
                <w:szCs w:val="16"/>
                <w:lang w:eastAsia="en-CA"/>
              </w:rPr>
              <w:t>(n=</w:t>
            </w:r>
            <w:r w:rsidR="0007535D">
              <w:rPr>
                <w:rFonts w:ascii="Calibri" w:eastAsia="Times New Roman" w:hAnsi="Calibri" w:cs="Calibri"/>
                <w:i/>
                <w:iCs/>
                <w:color w:val="000000" w:themeColor="text1"/>
                <w:sz w:val="16"/>
                <w:szCs w:val="16"/>
                <w:lang w:eastAsia="en-CA"/>
              </w:rPr>
              <w:t>7</w:t>
            </w:r>
            <w:r w:rsidRPr="00267DC7">
              <w:rPr>
                <w:rFonts w:ascii="Calibri" w:eastAsia="Times New Roman" w:hAnsi="Calibri" w:cs="Calibri"/>
                <w:i/>
                <w:iCs/>
                <w:color w:val="000000" w:themeColor="text1"/>
                <w:sz w:val="16"/>
                <w:szCs w:val="16"/>
                <w:lang w:eastAsia="en-CA"/>
              </w:rPr>
              <w:t>)</w:t>
            </w:r>
          </w:p>
        </w:tc>
        <w:tc>
          <w:tcPr>
            <w:tcW w:w="1276" w:type="dxa"/>
            <w:tcBorders>
              <w:top w:val="nil"/>
              <w:left w:val="nil"/>
              <w:bottom w:val="nil"/>
              <w:right w:val="nil"/>
            </w:tcBorders>
            <w:shd w:val="clear" w:color="000000" w:fill="FFFFFF"/>
            <w:noWrap/>
            <w:vAlign w:val="center"/>
            <w:hideMark/>
          </w:tcPr>
          <w:p w14:paraId="574CF2C5" w14:textId="7299ECE8" w:rsidR="00563510" w:rsidRPr="00267DC7" w:rsidRDefault="00563510" w:rsidP="0007535D">
            <w:pPr>
              <w:spacing w:after="0" w:line="240" w:lineRule="auto"/>
              <w:jc w:val="center"/>
              <w:rPr>
                <w:rFonts w:ascii="Calibri" w:eastAsia="Times New Roman" w:hAnsi="Calibri" w:cs="Calibri"/>
                <w:color w:val="000000" w:themeColor="text1"/>
                <w:sz w:val="16"/>
                <w:szCs w:val="16"/>
                <w:lang w:eastAsia="en-CA"/>
              </w:rPr>
            </w:pPr>
            <w:r w:rsidRPr="00267DC7">
              <w:rPr>
                <w:rFonts w:ascii="Calibri" w:eastAsia="Times New Roman" w:hAnsi="Calibri" w:cs="Calibri"/>
                <w:color w:val="000000" w:themeColor="text1"/>
                <w:sz w:val="16"/>
                <w:szCs w:val="16"/>
                <w:lang w:eastAsia="en-CA"/>
              </w:rPr>
              <w:t>1.</w:t>
            </w:r>
            <w:r w:rsidR="0007535D">
              <w:rPr>
                <w:rFonts w:ascii="Calibri" w:eastAsia="Times New Roman" w:hAnsi="Calibri" w:cs="Calibri"/>
                <w:color w:val="000000" w:themeColor="text1"/>
                <w:sz w:val="16"/>
                <w:szCs w:val="16"/>
                <w:lang w:eastAsia="en-CA"/>
              </w:rPr>
              <w:t>06</w:t>
            </w:r>
            <w:r w:rsidRPr="00267DC7">
              <w:rPr>
                <w:rFonts w:ascii="Calibri" w:eastAsia="Times New Roman" w:hAnsi="Calibri" w:cs="Calibri"/>
                <w:color w:val="000000" w:themeColor="text1"/>
                <w:sz w:val="16"/>
                <w:szCs w:val="16"/>
                <w:lang w:eastAsia="en-CA"/>
              </w:rPr>
              <w:t xml:space="preserve"> (0.</w:t>
            </w:r>
            <w:r w:rsidR="0007535D">
              <w:rPr>
                <w:rFonts w:ascii="Calibri" w:eastAsia="Times New Roman" w:hAnsi="Calibri" w:cs="Calibri"/>
                <w:color w:val="000000" w:themeColor="text1"/>
                <w:sz w:val="16"/>
                <w:szCs w:val="16"/>
                <w:lang w:eastAsia="en-CA"/>
              </w:rPr>
              <w:t>83</w:t>
            </w:r>
            <w:r w:rsidRPr="00267DC7">
              <w:rPr>
                <w:rFonts w:ascii="Calibri" w:eastAsia="Times New Roman" w:hAnsi="Calibri" w:cs="Calibri"/>
                <w:color w:val="000000" w:themeColor="text1"/>
                <w:sz w:val="16"/>
                <w:szCs w:val="16"/>
                <w:lang w:eastAsia="en-CA"/>
              </w:rPr>
              <w:t>-1.</w:t>
            </w:r>
            <w:r w:rsidR="0007535D">
              <w:rPr>
                <w:rFonts w:ascii="Calibri" w:eastAsia="Times New Roman" w:hAnsi="Calibri" w:cs="Calibri"/>
                <w:color w:val="000000" w:themeColor="text1"/>
                <w:sz w:val="16"/>
                <w:szCs w:val="16"/>
                <w:lang w:eastAsia="en-CA"/>
              </w:rPr>
              <w:t>36</w:t>
            </w:r>
            <w:r w:rsidRPr="00267DC7">
              <w:rPr>
                <w:rFonts w:ascii="Calibri" w:eastAsia="Times New Roman" w:hAnsi="Calibri" w:cs="Calibri"/>
                <w:color w:val="000000" w:themeColor="text1"/>
                <w:sz w:val="16"/>
                <w:szCs w:val="16"/>
                <w:lang w:eastAsia="en-CA"/>
              </w:rPr>
              <w:t>)</w:t>
            </w:r>
          </w:p>
        </w:tc>
        <w:tc>
          <w:tcPr>
            <w:tcW w:w="708" w:type="dxa"/>
            <w:tcBorders>
              <w:top w:val="nil"/>
              <w:left w:val="nil"/>
              <w:bottom w:val="nil"/>
              <w:right w:val="nil"/>
            </w:tcBorders>
            <w:shd w:val="clear" w:color="000000" w:fill="FFFFFF"/>
            <w:noWrap/>
            <w:vAlign w:val="center"/>
            <w:hideMark/>
          </w:tcPr>
          <w:p w14:paraId="3E0A48BB" w14:textId="16227CE4" w:rsidR="00563510" w:rsidRPr="00267DC7" w:rsidRDefault="00563510" w:rsidP="00841021">
            <w:pPr>
              <w:spacing w:after="0" w:line="240" w:lineRule="auto"/>
              <w:rPr>
                <w:rFonts w:ascii="Calibri" w:eastAsia="Times New Roman" w:hAnsi="Calibri" w:cs="Calibri"/>
                <w:i/>
                <w:iCs/>
                <w:color w:val="000000" w:themeColor="text1"/>
                <w:sz w:val="16"/>
                <w:szCs w:val="16"/>
                <w:lang w:eastAsia="en-CA"/>
              </w:rPr>
            </w:pPr>
            <w:r w:rsidRPr="00267DC7">
              <w:rPr>
                <w:rFonts w:ascii="Calibri" w:eastAsia="Times New Roman" w:hAnsi="Calibri" w:cs="Calibri"/>
                <w:i/>
                <w:iCs/>
                <w:color w:val="000000" w:themeColor="text1"/>
                <w:sz w:val="16"/>
                <w:szCs w:val="16"/>
                <w:lang w:eastAsia="en-CA"/>
              </w:rPr>
              <w:t>(n=</w:t>
            </w:r>
            <w:r w:rsidR="0007535D">
              <w:rPr>
                <w:rFonts w:ascii="Calibri" w:eastAsia="Times New Roman" w:hAnsi="Calibri" w:cs="Calibri"/>
                <w:i/>
                <w:iCs/>
                <w:color w:val="000000" w:themeColor="text1"/>
                <w:sz w:val="16"/>
                <w:szCs w:val="16"/>
                <w:lang w:eastAsia="en-CA"/>
              </w:rPr>
              <w:t>6</w:t>
            </w:r>
            <w:r w:rsidRPr="00267DC7">
              <w:rPr>
                <w:rFonts w:ascii="Calibri" w:eastAsia="Times New Roman" w:hAnsi="Calibri" w:cs="Calibri"/>
                <w:i/>
                <w:iCs/>
                <w:color w:val="000000" w:themeColor="text1"/>
                <w:sz w:val="16"/>
                <w:szCs w:val="16"/>
                <w:lang w:eastAsia="en-CA"/>
              </w:rPr>
              <w:t>)</w:t>
            </w:r>
          </w:p>
        </w:tc>
        <w:tc>
          <w:tcPr>
            <w:tcW w:w="1276" w:type="dxa"/>
            <w:tcBorders>
              <w:top w:val="nil"/>
              <w:left w:val="nil"/>
              <w:bottom w:val="nil"/>
              <w:right w:val="nil"/>
            </w:tcBorders>
            <w:shd w:val="clear" w:color="000000" w:fill="FFFFFF"/>
            <w:noWrap/>
            <w:vAlign w:val="center"/>
            <w:hideMark/>
          </w:tcPr>
          <w:p w14:paraId="2B950D9E" w14:textId="77777777" w:rsidR="00563510" w:rsidRPr="00267DC7" w:rsidRDefault="00563510" w:rsidP="00841021">
            <w:pPr>
              <w:spacing w:after="0" w:line="240" w:lineRule="auto"/>
              <w:jc w:val="center"/>
              <w:rPr>
                <w:rFonts w:ascii="Calibri" w:eastAsia="Times New Roman" w:hAnsi="Calibri" w:cs="Calibri"/>
                <w:color w:val="000000" w:themeColor="text1"/>
                <w:sz w:val="16"/>
                <w:szCs w:val="16"/>
                <w:lang w:eastAsia="en-CA"/>
              </w:rPr>
            </w:pPr>
            <w:r w:rsidRPr="00267DC7">
              <w:rPr>
                <w:rFonts w:ascii="Calibri" w:eastAsia="Times New Roman" w:hAnsi="Calibri" w:cs="Calibri"/>
                <w:color w:val="000000" w:themeColor="text1"/>
                <w:sz w:val="16"/>
                <w:szCs w:val="16"/>
                <w:lang w:eastAsia="en-CA"/>
              </w:rPr>
              <w:t xml:space="preserve">1.00 (0.50-2.00) </w:t>
            </w:r>
          </w:p>
        </w:tc>
        <w:tc>
          <w:tcPr>
            <w:tcW w:w="663" w:type="dxa"/>
            <w:tcBorders>
              <w:top w:val="nil"/>
              <w:left w:val="nil"/>
              <w:bottom w:val="nil"/>
              <w:right w:val="nil"/>
            </w:tcBorders>
            <w:shd w:val="clear" w:color="000000" w:fill="FFFFFF"/>
            <w:noWrap/>
            <w:vAlign w:val="center"/>
            <w:hideMark/>
          </w:tcPr>
          <w:p w14:paraId="10383E84" w14:textId="77777777" w:rsidR="00563510" w:rsidRPr="00267DC7" w:rsidRDefault="00563510" w:rsidP="00841021">
            <w:pPr>
              <w:spacing w:after="0" w:line="240" w:lineRule="auto"/>
              <w:rPr>
                <w:rFonts w:ascii="Calibri" w:eastAsia="Times New Roman" w:hAnsi="Calibri" w:cs="Calibri"/>
                <w:i/>
                <w:iCs/>
                <w:color w:val="000000" w:themeColor="text1"/>
                <w:sz w:val="16"/>
                <w:szCs w:val="16"/>
                <w:lang w:eastAsia="en-CA"/>
              </w:rPr>
            </w:pPr>
            <w:r w:rsidRPr="00267DC7">
              <w:rPr>
                <w:rFonts w:ascii="Calibri" w:eastAsia="Times New Roman" w:hAnsi="Calibri" w:cs="Calibri"/>
                <w:i/>
                <w:iCs/>
                <w:color w:val="000000" w:themeColor="text1"/>
                <w:sz w:val="16"/>
                <w:szCs w:val="16"/>
                <w:lang w:eastAsia="en-CA"/>
              </w:rPr>
              <w:t>(n=1)</w:t>
            </w:r>
          </w:p>
        </w:tc>
        <w:tc>
          <w:tcPr>
            <w:tcW w:w="1283" w:type="dxa"/>
            <w:tcBorders>
              <w:top w:val="nil"/>
              <w:left w:val="nil"/>
              <w:bottom w:val="nil"/>
              <w:right w:val="nil"/>
            </w:tcBorders>
            <w:shd w:val="clear" w:color="000000" w:fill="FFFFFF"/>
            <w:noWrap/>
            <w:vAlign w:val="center"/>
            <w:hideMark/>
          </w:tcPr>
          <w:p w14:paraId="58C318CE" w14:textId="77777777" w:rsidR="00563510" w:rsidRPr="00267DC7" w:rsidRDefault="00563510" w:rsidP="00841021">
            <w:pPr>
              <w:spacing w:after="0" w:line="240" w:lineRule="auto"/>
              <w:jc w:val="center"/>
              <w:rPr>
                <w:rFonts w:ascii="Calibri" w:eastAsia="Times New Roman" w:hAnsi="Calibri" w:cs="Calibri"/>
                <w:color w:val="000000" w:themeColor="text1"/>
                <w:sz w:val="16"/>
                <w:szCs w:val="16"/>
                <w:lang w:eastAsia="en-CA"/>
              </w:rPr>
            </w:pPr>
            <w:r w:rsidRPr="00267DC7">
              <w:rPr>
                <w:rFonts w:ascii="Calibri" w:eastAsia="Times New Roman" w:hAnsi="Calibri" w:cs="Calibri"/>
                <w:color w:val="000000" w:themeColor="text1"/>
                <w:sz w:val="16"/>
                <w:szCs w:val="16"/>
                <w:lang w:eastAsia="en-CA"/>
              </w:rPr>
              <w:t>1.21 (0.48-3.05)</w:t>
            </w:r>
          </w:p>
        </w:tc>
        <w:tc>
          <w:tcPr>
            <w:tcW w:w="567" w:type="dxa"/>
            <w:gridSpan w:val="2"/>
            <w:tcBorders>
              <w:top w:val="nil"/>
              <w:left w:val="nil"/>
              <w:bottom w:val="nil"/>
              <w:right w:val="nil"/>
            </w:tcBorders>
            <w:shd w:val="clear" w:color="000000" w:fill="FFFFFF"/>
            <w:noWrap/>
            <w:vAlign w:val="center"/>
            <w:hideMark/>
          </w:tcPr>
          <w:p w14:paraId="4F9B8248" w14:textId="77777777" w:rsidR="00563510" w:rsidRPr="007F3A5D" w:rsidRDefault="00563510" w:rsidP="00841021">
            <w:pPr>
              <w:spacing w:after="0" w:line="240" w:lineRule="auto"/>
              <w:rPr>
                <w:rFonts w:ascii="Calibri" w:eastAsia="Times New Roman" w:hAnsi="Calibri" w:cs="Calibri"/>
                <w:i/>
                <w:iCs/>
                <w:color w:val="000000"/>
                <w:sz w:val="16"/>
                <w:szCs w:val="16"/>
                <w:lang w:eastAsia="en-CA"/>
              </w:rPr>
            </w:pPr>
            <w:r w:rsidRPr="007F3A5D">
              <w:rPr>
                <w:rFonts w:ascii="Calibri" w:eastAsia="Times New Roman" w:hAnsi="Calibri" w:cs="Calibri"/>
                <w:i/>
                <w:iCs/>
                <w:color w:val="000000"/>
                <w:sz w:val="16"/>
                <w:szCs w:val="16"/>
                <w:lang w:eastAsia="en-CA"/>
              </w:rPr>
              <w:t>(n=1)</w:t>
            </w:r>
          </w:p>
        </w:tc>
      </w:tr>
      <w:tr w:rsidR="00563510" w:rsidRPr="007F3A5D" w14:paraId="7312586D" w14:textId="77777777" w:rsidTr="00D446D6">
        <w:trPr>
          <w:gridAfter w:val="1"/>
          <w:wAfter w:w="125" w:type="dxa"/>
          <w:trHeight w:val="288"/>
        </w:trPr>
        <w:tc>
          <w:tcPr>
            <w:tcW w:w="284" w:type="dxa"/>
            <w:tcBorders>
              <w:top w:val="nil"/>
              <w:left w:val="nil"/>
              <w:bottom w:val="single" w:sz="4" w:space="0" w:color="808080"/>
              <w:right w:val="nil"/>
            </w:tcBorders>
            <w:shd w:val="clear" w:color="000000" w:fill="FFFFFF"/>
            <w:noWrap/>
            <w:vAlign w:val="bottom"/>
            <w:hideMark/>
          </w:tcPr>
          <w:p w14:paraId="45C5F203" w14:textId="77777777" w:rsidR="00563510" w:rsidRPr="007F3A5D" w:rsidRDefault="00563510" w:rsidP="00841021">
            <w:pPr>
              <w:spacing w:after="0" w:line="240" w:lineRule="auto"/>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 </w:t>
            </w:r>
          </w:p>
        </w:tc>
        <w:tc>
          <w:tcPr>
            <w:tcW w:w="1276" w:type="dxa"/>
            <w:tcBorders>
              <w:top w:val="nil"/>
              <w:left w:val="nil"/>
              <w:bottom w:val="single" w:sz="4" w:space="0" w:color="808080"/>
              <w:right w:val="nil"/>
            </w:tcBorders>
            <w:shd w:val="clear" w:color="000000" w:fill="FFFFFF"/>
            <w:noWrap/>
            <w:vAlign w:val="bottom"/>
            <w:hideMark/>
          </w:tcPr>
          <w:p w14:paraId="55E236A1" w14:textId="77777777" w:rsidR="00563510" w:rsidRPr="007F3A5D" w:rsidRDefault="00563510" w:rsidP="00841021">
            <w:pPr>
              <w:spacing w:after="0" w:line="240" w:lineRule="auto"/>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Overall</w:t>
            </w:r>
          </w:p>
        </w:tc>
        <w:tc>
          <w:tcPr>
            <w:tcW w:w="266" w:type="dxa"/>
            <w:gridSpan w:val="2"/>
            <w:tcBorders>
              <w:top w:val="nil"/>
              <w:left w:val="nil"/>
              <w:bottom w:val="single" w:sz="4" w:space="0" w:color="808080"/>
              <w:right w:val="nil"/>
            </w:tcBorders>
            <w:shd w:val="clear" w:color="000000" w:fill="FFFFFF"/>
            <w:noWrap/>
            <w:vAlign w:val="bottom"/>
            <w:hideMark/>
          </w:tcPr>
          <w:p w14:paraId="62569AA6" w14:textId="77777777" w:rsidR="00563510" w:rsidRPr="007F3A5D" w:rsidRDefault="00563510" w:rsidP="00841021">
            <w:pPr>
              <w:spacing w:after="0" w:line="240" w:lineRule="auto"/>
              <w:rPr>
                <w:rFonts w:ascii="Calibri" w:eastAsia="Times New Roman" w:hAnsi="Calibri" w:cs="Calibri"/>
                <w:color w:val="000000"/>
                <w:sz w:val="16"/>
                <w:szCs w:val="16"/>
                <w:lang w:eastAsia="en-CA"/>
              </w:rPr>
            </w:pPr>
            <w:r w:rsidRPr="007F3A5D">
              <w:rPr>
                <w:rFonts w:ascii="Calibri" w:eastAsia="Times New Roman" w:hAnsi="Calibri" w:cs="Calibri"/>
                <w:color w:val="000000"/>
                <w:sz w:val="16"/>
                <w:szCs w:val="16"/>
                <w:lang w:eastAsia="en-CA"/>
              </w:rPr>
              <w:t> </w:t>
            </w:r>
          </w:p>
        </w:tc>
        <w:tc>
          <w:tcPr>
            <w:tcW w:w="1293" w:type="dxa"/>
            <w:gridSpan w:val="2"/>
            <w:tcBorders>
              <w:top w:val="nil"/>
              <w:left w:val="nil"/>
              <w:bottom w:val="single" w:sz="4" w:space="0" w:color="808080"/>
              <w:right w:val="nil"/>
            </w:tcBorders>
            <w:shd w:val="clear" w:color="000000" w:fill="FFFFFF"/>
            <w:noWrap/>
            <w:vAlign w:val="center"/>
            <w:hideMark/>
          </w:tcPr>
          <w:p w14:paraId="2F77BC2E" w14:textId="4B19FF5A" w:rsidR="00563510" w:rsidRPr="007F3A5D" w:rsidRDefault="00563510" w:rsidP="0007535D">
            <w:pPr>
              <w:spacing w:after="0" w:line="240" w:lineRule="auto"/>
              <w:jc w:val="center"/>
              <w:rPr>
                <w:rFonts w:ascii="Calibri" w:eastAsia="Times New Roman" w:hAnsi="Calibri" w:cs="Calibri"/>
                <w:b/>
                <w:bCs/>
                <w:color w:val="000000"/>
                <w:sz w:val="16"/>
                <w:szCs w:val="16"/>
                <w:lang w:eastAsia="en-CA"/>
              </w:rPr>
            </w:pPr>
            <w:r w:rsidRPr="007F3A5D">
              <w:rPr>
                <w:rFonts w:ascii="Calibri" w:eastAsia="Times New Roman" w:hAnsi="Calibri" w:cs="Calibri"/>
                <w:b/>
                <w:bCs/>
                <w:color w:val="000000"/>
                <w:sz w:val="16"/>
                <w:szCs w:val="16"/>
                <w:lang w:eastAsia="en-CA"/>
              </w:rPr>
              <w:t>1.2</w:t>
            </w:r>
            <w:r w:rsidR="0007535D">
              <w:rPr>
                <w:rFonts w:ascii="Calibri" w:eastAsia="Times New Roman" w:hAnsi="Calibri" w:cs="Calibri"/>
                <w:b/>
                <w:bCs/>
                <w:color w:val="000000"/>
                <w:sz w:val="16"/>
                <w:szCs w:val="16"/>
                <w:lang w:eastAsia="en-CA"/>
              </w:rPr>
              <w:t>3</w:t>
            </w:r>
            <w:r w:rsidRPr="007F3A5D">
              <w:rPr>
                <w:rFonts w:ascii="Calibri" w:eastAsia="Times New Roman" w:hAnsi="Calibri" w:cs="Calibri"/>
                <w:b/>
                <w:bCs/>
                <w:color w:val="000000"/>
                <w:sz w:val="16"/>
                <w:szCs w:val="16"/>
                <w:lang w:eastAsia="en-CA"/>
              </w:rPr>
              <w:t xml:space="preserve"> (1.08-1.4</w:t>
            </w:r>
            <w:r w:rsidR="0007535D">
              <w:rPr>
                <w:rFonts w:ascii="Calibri" w:eastAsia="Times New Roman" w:hAnsi="Calibri" w:cs="Calibri"/>
                <w:b/>
                <w:bCs/>
                <w:color w:val="000000"/>
                <w:sz w:val="16"/>
                <w:szCs w:val="16"/>
                <w:lang w:eastAsia="en-CA"/>
              </w:rPr>
              <w:t>1</w:t>
            </w:r>
            <w:r w:rsidRPr="007F3A5D">
              <w:rPr>
                <w:rFonts w:ascii="Calibri" w:eastAsia="Times New Roman" w:hAnsi="Calibri" w:cs="Calibri"/>
                <w:b/>
                <w:bCs/>
                <w:color w:val="000000"/>
                <w:sz w:val="16"/>
                <w:szCs w:val="16"/>
                <w:lang w:eastAsia="en-CA"/>
              </w:rPr>
              <w:t>)</w:t>
            </w:r>
          </w:p>
        </w:tc>
        <w:tc>
          <w:tcPr>
            <w:tcW w:w="708" w:type="dxa"/>
            <w:tcBorders>
              <w:top w:val="nil"/>
              <w:left w:val="nil"/>
              <w:bottom w:val="single" w:sz="4" w:space="0" w:color="808080"/>
              <w:right w:val="nil"/>
            </w:tcBorders>
            <w:shd w:val="clear" w:color="000000" w:fill="FFFFFF"/>
            <w:noWrap/>
            <w:vAlign w:val="center"/>
            <w:hideMark/>
          </w:tcPr>
          <w:p w14:paraId="1F7AFD71" w14:textId="77777777" w:rsidR="00563510" w:rsidRPr="007F3A5D" w:rsidRDefault="00563510" w:rsidP="00841021">
            <w:pPr>
              <w:spacing w:after="0" w:line="240" w:lineRule="auto"/>
              <w:rPr>
                <w:rFonts w:ascii="Calibri" w:eastAsia="Times New Roman" w:hAnsi="Calibri" w:cs="Calibri"/>
                <w:i/>
                <w:iCs/>
                <w:color w:val="000000"/>
                <w:sz w:val="16"/>
                <w:szCs w:val="16"/>
                <w:lang w:eastAsia="en-CA"/>
              </w:rPr>
            </w:pPr>
            <w:r w:rsidRPr="007F3A5D">
              <w:rPr>
                <w:rFonts w:ascii="Calibri" w:eastAsia="Times New Roman" w:hAnsi="Calibri" w:cs="Calibri"/>
                <w:i/>
                <w:iCs/>
                <w:color w:val="000000"/>
                <w:sz w:val="16"/>
                <w:szCs w:val="16"/>
                <w:lang w:eastAsia="en-CA"/>
              </w:rPr>
              <w:t> </w:t>
            </w:r>
          </w:p>
        </w:tc>
        <w:tc>
          <w:tcPr>
            <w:tcW w:w="1276" w:type="dxa"/>
            <w:tcBorders>
              <w:top w:val="nil"/>
              <w:left w:val="nil"/>
              <w:bottom w:val="single" w:sz="4" w:space="0" w:color="808080"/>
              <w:right w:val="nil"/>
            </w:tcBorders>
            <w:shd w:val="clear" w:color="000000" w:fill="FFFFFF"/>
            <w:noWrap/>
            <w:vAlign w:val="center"/>
            <w:hideMark/>
          </w:tcPr>
          <w:p w14:paraId="4C598B87" w14:textId="1C5E1D55" w:rsidR="00563510" w:rsidRPr="007F3A5D" w:rsidRDefault="00563510" w:rsidP="0007535D">
            <w:pPr>
              <w:spacing w:after="0" w:line="240" w:lineRule="auto"/>
              <w:jc w:val="center"/>
              <w:rPr>
                <w:rFonts w:ascii="Calibri" w:eastAsia="Times New Roman" w:hAnsi="Calibri" w:cs="Calibri"/>
                <w:b/>
                <w:bCs/>
                <w:color w:val="000000"/>
                <w:sz w:val="16"/>
                <w:szCs w:val="16"/>
                <w:lang w:eastAsia="en-CA"/>
              </w:rPr>
            </w:pPr>
            <w:r w:rsidRPr="007F3A5D">
              <w:rPr>
                <w:rFonts w:ascii="Calibri" w:eastAsia="Times New Roman" w:hAnsi="Calibri" w:cs="Calibri"/>
                <w:b/>
                <w:bCs/>
                <w:color w:val="000000"/>
                <w:sz w:val="16"/>
                <w:szCs w:val="16"/>
                <w:lang w:eastAsia="en-CA"/>
              </w:rPr>
              <w:t>1.2</w:t>
            </w:r>
            <w:r w:rsidR="0007535D">
              <w:rPr>
                <w:rFonts w:ascii="Calibri" w:eastAsia="Times New Roman" w:hAnsi="Calibri" w:cs="Calibri"/>
                <w:b/>
                <w:bCs/>
                <w:color w:val="000000"/>
                <w:sz w:val="16"/>
                <w:szCs w:val="16"/>
                <w:lang w:eastAsia="en-CA"/>
              </w:rPr>
              <w:t>2</w:t>
            </w:r>
            <w:r w:rsidRPr="007F3A5D">
              <w:rPr>
                <w:rFonts w:ascii="Calibri" w:eastAsia="Times New Roman" w:hAnsi="Calibri" w:cs="Calibri"/>
                <w:b/>
                <w:bCs/>
                <w:color w:val="000000"/>
                <w:sz w:val="16"/>
                <w:szCs w:val="16"/>
                <w:lang w:eastAsia="en-CA"/>
              </w:rPr>
              <w:t xml:space="preserve"> (1.</w:t>
            </w:r>
            <w:r w:rsidR="0007535D">
              <w:rPr>
                <w:rFonts w:ascii="Calibri" w:eastAsia="Times New Roman" w:hAnsi="Calibri" w:cs="Calibri"/>
                <w:b/>
                <w:bCs/>
                <w:color w:val="000000"/>
                <w:sz w:val="16"/>
                <w:szCs w:val="16"/>
                <w:lang w:eastAsia="en-CA"/>
              </w:rPr>
              <w:t>07</w:t>
            </w:r>
            <w:r w:rsidRPr="007F3A5D">
              <w:rPr>
                <w:rFonts w:ascii="Calibri" w:eastAsia="Times New Roman" w:hAnsi="Calibri" w:cs="Calibri"/>
                <w:b/>
                <w:bCs/>
                <w:color w:val="000000"/>
                <w:sz w:val="16"/>
                <w:szCs w:val="16"/>
                <w:lang w:eastAsia="en-CA"/>
              </w:rPr>
              <w:t>-1.</w:t>
            </w:r>
            <w:r w:rsidR="0007535D">
              <w:rPr>
                <w:rFonts w:ascii="Calibri" w:eastAsia="Times New Roman" w:hAnsi="Calibri" w:cs="Calibri"/>
                <w:b/>
                <w:bCs/>
                <w:color w:val="000000"/>
                <w:sz w:val="16"/>
                <w:szCs w:val="16"/>
                <w:lang w:eastAsia="en-CA"/>
              </w:rPr>
              <w:t>38</w:t>
            </w:r>
            <w:r w:rsidRPr="007F3A5D">
              <w:rPr>
                <w:rFonts w:ascii="Calibri" w:eastAsia="Times New Roman" w:hAnsi="Calibri" w:cs="Calibri"/>
                <w:b/>
                <w:bCs/>
                <w:color w:val="000000"/>
                <w:sz w:val="16"/>
                <w:szCs w:val="16"/>
                <w:lang w:eastAsia="en-CA"/>
              </w:rPr>
              <w:t>)</w:t>
            </w:r>
          </w:p>
        </w:tc>
        <w:tc>
          <w:tcPr>
            <w:tcW w:w="708" w:type="dxa"/>
            <w:tcBorders>
              <w:top w:val="nil"/>
              <w:left w:val="nil"/>
              <w:bottom w:val="single" w:sz="4" w:space="0" w:color="808080"/>
              <w:right w:val="nil"/>
            </w:tcBorders>
            <w:shd w:val="clear" w:color="000000" w:fill="FFFFFF"/>
            <w:noWrap/>
            <w:vAlign w:val="center"/>
            <w:hideMark/>
          </w:tcPr>
          <w:p w14:paraId="224A8BB8" w14:textId="77777777" w:rsidR="00563510" w:rsidRPr="007F3A5D" w:rsidRDefault="00563510" w:rsidP="00841021">
            <w:pPr>
              <w:spacing w:after="0" w:line="240" w:lineRule="auto"/>
              <w:rPr>
                <w:rFonts w:ascii="Calibri" w:eastAsia="Times New Roman" w:hAnsi="Calibri" w:cs="Calibri"/>
                <w:i/>
                <w:iCs/>
                <w:color w:val="000000"/>
                <w:sz w:val="16"/>
                <w:szCs w:val="16"/>
                <w:lang w:eastAsia="en-CA"/>
              </w:rPr>
            </w:pPr>
            <w:r w:rsidRPr="007F3A5D">
              <w:rPr>
                <w:rFonts w:ascii="Calibri" w:eastAsia="Times New Roman" w:hAnsi="Calibri" w:cs="Calibri"/>
                <w:i/>
                <w:iCs/>
                <w:color w:val="000000"/>
                <w:sz w:val="16"/>
                <w:szCs w:val="16"/>
                <w:lang w:eastAsia="en-CA"/>
              </w:rPr>
              <w:t> </w:t>
            </w:r>
          </w:p>
        </w:tc>
        <w:tc>
          <w:tcPr>
            <w:tcW w:w="1276" w:type="dxa"/>
            <w:tcBorders>
              <w:top w:val="nil"/>
              <w:left w:val="nil"/>
              <w:bottom w:val="single" w:sz="4" w:space="0" w:color="808080"/>
              <w:right w:val="nil"/>
            </w:tcBorders>
            <w:shd w:val="clear" w:color="000000" w:fill="FFFFFF"/>
            <w:noWrap/>
            <w:vAlign w:val="center"/>
            <w:hideMark/>
          </w:tcPr>
          <w:p w14:paraId="20DEC4DF" w14:textId="2E772528" w:rsidR="00563510" w:rsidRPr="007F3A5D" w:rsidRDefault="00563510" w:rsidP="0007535D">
            <w:pPr>
              <w:spacing w:after="0" w:line="240" w:lineRule="auto"/>
              <w:jc w:val="center"/>
              <w:rPr>
                <w:rFonts w:ascii="Calibri" w:eastAsia="Times New Roman" w:hAnsi="Calibri" w:cs="Calibri"/>
                <w:b/>
                <w:bCs/>
                <w:color w:val="000000"/>
                <w:sz w:val="16"/>
                <w:szCs w:val="16"/>
                <w:lang w:eastAsia="en-CA"/>
              </w:rPr>
            </w:pPr>
            <w:r w:rsidRPr="007F3A5D">
              <w:rPr>
                <w:rFonts w:ascii="Calibri" w:eastAsia="Times New Roman" w:hAnsi="Calibri" w:cs="Calibri"/>
                <w:b/>
                <w:bCs/>
                <w:color w:val="000000"/>
                <w:sz w:val="16"/>
                <w:szCs w:val="16"/>
                <w:lang w:eastAsia="en-CA"/>
              </w:rPr>
              <w:t>1.16 (0.9</w:t>
            </w:r>
            <w:r w:rsidR="0007535D">
              <w:rPr>
                <w:rFonts w:ascii="Calibri" w:eastAsia="Times New Roman" w:hAnsi="Calibri" w:cs="Calibri"/>
                <w:b/>
                <w:bCs/>
                <w:color w:val="000000"/>
                <w:sz w:val="16"/>
                <w:szCs w:val="16"/>
                <w:lang w:eastAsia="en-CA"/>
              </w:rPr>
              <w:t>4</w:t>
            </w:r>
            <w:r w:rsidRPr="007F3A5D">
              <w:rPr>
                <w:rFonts w:ascii="Calibri" w:eastAsia="Times New Roman" w:hAnsi="Calibri" w:cs="Calibri"/>
                <w:b/>
                <w:bCs/>
                <w:color w:val="000000"/>
                <w:sz w:val="16"/>
                <w:szCs w:val="16"/>
                <w:lang w:eastAsia="en-CA"/>
              </w:rPr>
              <w:t>-1.4</w:t>
            </w:r>
            <w:r w:rsidR="0007535D">
              <w:rPr>
                <w:rFonts w:ascii="Calibri" w:eastAsia="Times New Roman" w:hAnsi="Calibri" w:cs="Calibri"/>
                <w:b/>
                <w:bCs/>
                <w:color w:val="000000"/>
                <w:sz w:val="16"/>
                <w:szCs w:val="16"/>
                <w:lang w:eastAsia="en-CA"/>
              </w:rPr>
              <w:t>3</w:t>
            </w:r>
            <w:r w:rsidRPr="007F3A5D">
              <w:rPr>
                <w:rFonts w:ascii="Calibri" w:eastAsia="Times New Roman" w:hAnsi="Calibri" w:cs="Calibri"/>
                <w:b/>
                <w:bCs/>
                <w:color w:val="000000"/>
                <w:sz w:val="16"/>
                <w:szCs w:val="16"/>
                <w:lang w:eastAsia="en-CA"/>
              </w:rPr>
              <w:t>)</w:t>
            </w:r>
          </w:p>
        </w:tc>
        <w:tc>
          <w:tcPr>
            <w:tcW w:w="663" w:type="dxa"/>
            <w:tcBorders>
              <w:top w:val="nil"/>
              <w:left w:val="nil"/>
              <w:bottom w:val="single" w:sz="4" w:space="0" w:color="808080"/>
              <w:right w:val="nil"/>
            </w:tcBorders>
            <w:shd w:val="clear" w:color="000000" w:fill="FFFFFF"/>
            <w:noWrap/>
            <w:vAlign w:val="center"/>
            <w:hideMark/>
          </w:tcPr>
          <w:p w14:paraId="1D336D3D" w14:textId="77777777" w:rsidR="00563510" w:rsidRPr="007F3A5D" w:rsidRDefault="00563510" w:rsidP="00841021">
            <w:pPr>
              <w:spacing w:after="0" w:line="240" w:lineRule="auto"/>
              <w:rPr>
                <w:rFonts w:ascii="Calibri" w:eastAsia="Times New Roman" w:hAnsi="Calibri" w:cs="Calibri"/>
                <w:b/>
                <w:bCs/>
                <w:i/>
                <w:iCs/>
                <w:color w:val="000000"/>
                <w:sz w:val="16"/>
                <w:szCs w:val="16"/>
                <w:lang w:eastAsia="en-CA"/>
              </w:rPr>
            </w:pPr>
            <w:r w:rsidRPr="007F3A5D">
              <w:rPr>
                <w:rFonts w:ascii="Calibri" w:eastAsia="Times New Roman" w:hAnsi="Calibri" w:cs="Calibri"/>
                <w:b/>
                <w:bCs/>
                <w:i/>
                <w:iCs/>
                <w:color w:val="000000"/>
                <w:sz w:val="16"/>
                <w:szCs w:val="16"/>
                <w:lang w:eastAsia="en-CA"/>
              </w:rPr>
              <w:t> </w:t>
            </w:r>
          </w:p>
        </w:tc>
        <w:tc>
          <w:tcPr>
            <w:tcW w:w="1283" w:type="dxa"/>
            <w:tcBorders>
              <w:top w:val="nil"/>
              <w:left w:val="nil"/>
              <w:bottom w:val="single" w:sz="4" w:space="0" w:color="808080"/>
              <w:right w:val="nil"/>
            </w:tcBorders>
            <w:shd w:val="clear" w:color="000000" w:fill="FFFFFF"/>
            <w:noWrap/>
            <w:vAlign w:val="center"/>
            <w:hideMark/>
          </w:tcPr>
          <w:p w14:paraId="58F288E9" w14:textId="77777777" w:rsidR="00563510" w:rsidRPr="007F3A5D" w:rsidRDefault="00563510" w:rsidP="00841021">
            <w:pPr>
              <w:spacing w:after="0" w:line="240" w:lineRule="auto"/>
              <w:jc w:val="center"/>
              <w:rPr>
                <w:rFonts w:ascii="Calibri" w:eastAsia="Times New Roman" w:hAnsi="Calibri" w:cs="Calibri"/>
                <w:b/>
                <w:bCs/>
                <w:color w:val="000000"/>
                <w:sz w:val="16"/>
                <w:szCs w:val="16"/>
                <w:lang w:eastAsia="en-CA"/>
              </w:rPr>
            </w:pPr>
            <w:r w:rsidRPr="007F3A5D">
              <w:rPr>
                <w:rFonts w:ascii="Calibri" w:eastAsia="Times New Roman" w:hAnsi="Calibri" w:cs="Calibri"/>
                <w:b/>
                <w:bCs/>
                <w:color w:val="000000"/>
                <w:sz w:val="16"/>
                <w:szCs w:val="16"/>
                <w:lang w:eastAsia="en-CA"/>
              </w:rPr>
              <w:t>1.29 (1.15-1.46)</w:t>
            </w:r>
          </w:p>
        </w:tc>
        <w:tc>
          <w:tcPr>
            <w:tcW w:w="567" w:type="dxa"/>
            <w:gridSpan w:val="2"/>
            <w:tcBorders>
              <w:top w:val="nil"/>
              <w:left w:val="nil"/>
              <w:bottom w:val="single" w:sz="4" w:space="0" w:color="808080"/>
              <w:right w:val="nil"/>
            </w:tcBorders>
            <w:shd w:val="clear" w:color="000000" w:fill="FFFFFF"/>
            <w:noWrap/>
            <w:vAlign w:val="center"/>
            <w:hideMark/>
          </w:tcPr>
          <w:p w14:paraId="6B7B44FC" w14:textId="77777777" w:rsidR="00563510" w:rsidRPr="007F3A5D" w:rsidRDefault="00563510" w:rsidP="00841021">
            <w:pPr>
              <w:spacing w:after="0" w:line="240" w:lineRule="auto"/>
              <w:rPr>
                <w:rFonts w:ascii="Calibri" w:eastAsia="Times New Roman" w:hAnsi="Calibri" w:cs="Calibri"/>
                <w:i/>
                <w:iCs/>
                <w:color w:val="000000"/>
                <w:sz w:val="16"/>
                <w:szCs w:val="16"/>
                <w:lang w:eastAsia="en-CA"/>
              </w:rPr>
            </w:pPr>
            <w:r w:rsidRPr="007F3A5D">
              <w:rPr>
                <w:rFonts w:ascii="Calibri" w:eastAsia="Times New Roman" w:hAnsi="Calibri" w:cs="Calibri"/>
                <w:i/>
                <w:iCs/>
                <w:color w:val="000000"/>
                <w:sz w:val="16"/>
                <w:szCs w:val="16"/>
                <w:lang w:eastAsia="en-CA"/>
              </w:rPr>
              <w:t> </w:t>
            </w:r>
          </w:p>
        </w:tc>
      </w:tr>
    </w:tbl>
    <w:p w14:paraId="5E891D10" w14:textId="77777777" w:rsidR="00563510" w:rsidRPr="00563510" w:rsidRDefault="00563510" w:rsidP="00563510">
      <w:pPr>
        <w:rPr>
          <w:lang w:eastAsia="en-CA"/>
        </w:rPr>
      </w:pPr>
    </w:p>
    <w:p w14:paraId="0620259D" w14:textId="77777777" w:rsidR="00841021" w:rsidRDefault="00841021">
      <w:pPr>
        <w:rPr>
          <w:i/>
          <w:iCs/>
          <w:color w:val="2E74B5" w:themeColor="accent1" w:themeShade="BF"/>
          <w:sz w:val="20"/>
          <w:szCs w:val="20"/>
        </w:rPr>
      </w:pPr>
      <w:r>
        <w:rPr>
          <w:i/>
          <w:iCs/>
          <w:color w:val="2E74B5" w:themeColor="accent1" w:themeShade="BF"/>
          <w:sz w:val="20"/>
          <w:szCs w:val="20"/>
        </w:rPr>
        <w:br w:type="page"/>
      </w:r>
    </w:p>
    <w:p w14:paraId="74F65FD0" w14:textId="77777777" w:rsidR="00883C77" w:rsidRPr="00123F22" w:rsidRDefault="00883C77" w:rsidP="00883C77">
      <w:pPr>
        <w:pStyle w:val="NormalWeb"/>
        <w:spacing w:before="0" w:beforeAutospacing="0" w:after="0" w:afterAutospacing="0"/>
        <w:rPr>
          <w:rFonts w:asciiTheme="majorHAnsi" w:hAnsiTheme="majorHAnsi" w:cstheme="majorHAnsi"/>
          <w:i/>
          <w:iCs/>
          <w:color w:val="00B0F0"/>
          <w:sz w:val="16"/>
          <w:szCs w:val="16"/>
        </w:rPr>
      </w:pPr>
      <w:r w:rsidRPr="00EA3392">
        <w:rPr>
          <w:rFonts w:asciiTheme="majorHAnsi" w:hAnsiTheme="majorHAnsi" w:cstheme="majorHAnsi"/>
          <w:i/>
          <w:iCs/>
          <w:noProof/>
          <w:color w:val="00B0F0"/>
          <w:sz w:val="16"/>
          <w:szCs w:val="16"/>
          <w:lang w:val="en-CA" w:eastAsia="en-CA"/>
        </w:rPr>
        <w:lastRenderedPageBreak/>
        <w:drawing>
          <wp:inline distT="0" distB="0" distL="0" distR="0" wp14:anchorId="2B06185E" wp14:editId="23E1A0DF">
            <wp:extent cx="5943600" cy="35401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540125"/>
                    </a:xfrm>
                    <a:prstGeom prst="rect">
                      <a:avLst/>
                    </a:prstGeom>
                  </pic:spPr>
                </pic:pic>
              </a:graphicData>
            </a:graphic>
          </wp:inline>
        </w:drawing>
      </w:r>
    </w:p>
    <w:p w14:paraId="16CBD3C7" w14:textId="77777777" w:rsidR="00B842AC" w:rsidRDefault="00B842AC" w:rsidP="00841D82">
      <w:pPr>
        <w:pStyle w:val="Caption"/>
      </w:pPr>
    </w:p>
    <w:p w14:paraId="40B3415E" w14:textId="5EDA0FCC" w:rsidR="00694663" w:rsidRDefault="00694663" w:rsidP="00694663">
      <w:r>
        <w:t xml:space="preserve">Figure S3. Sensitivity analyses by type of PPI for Group B observational studies that assessed the association between PPI use vs nonuse and MI among clopidogrel users. </w:t>
      </w:r>
    </w:p>
    <w:p w14:paraId="246798BA" w14:textId="69997F3D" w:rsidR="00883C77" w:rsidRDefault="00883C77" w:rsidP="00841D82">
      <w:pPr>
        <w:pStyle w:val="Caption"/>
      </w:pPr>
    </w:p>
    <w:p w14:paraId="355AD89C" w14:textId="7B6B5733" w:rsidR="00883C77" w:rsidRPr="00883C77" w:rsidRDefault="00883C77" w:rsidP="00883C77">
      <w:pPr>
        <w:rPr>
          <w:sz w:val="24"/>
          <w:szCs w:val="24"/>
          <w:vertAlign w:val="superscript"/>
        </w:rPr>
      </w:pPr>
      <w:r>
        <w:br w:type="page"/>
      </w:r>
    </w:p>
    <w:p w14:paraId="1E452363" w14:textId="6A01430F" w:rsidR="0007535D" w:rsidRPr="00CD077A" w:rsidRDefault="0007535D" w:rsidP="00883C77">
      <w:pPr>
        <w:spacing w:after="0" w:line="240" w:lineRule="auto"/>
        <w:rPr>
          <w:i/>
          <w:iCs/>
          <w:color w:val="00B0F0"/>
          <w:sz w:val="20"/>
          <w:szCs w:val="20"/>
        </w:rPr>
      </w:pPr>
      <w:r w:rsidRPr="0007535D">
        <w:rPr>
          <w:i/>
          <w:iCs/>
          <w:noProof/>
          <w:color w:val="00B0F0"/>
          <w:sz w:val="20"/>
          <w:szCs w:val="20"/>
          <w:lang w:eastAsia="en-CA"/>
        </w:rPr>
        <w:lastRenderedPageBreak/>
        <w:drawing>
          <wp:inline distT="0" distB="0" distL="0" distR="0" wp14:anchorId="4D767EAD" wp14:editId="1C1547F6">
            <wp:extent cx="5943600" cy="58718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5871845"/>
                    </a:xfrm>
                    <a:prstGeom prst="rect">
                      <a:avLst/>
                    </a:prstGeom>
                  </pic:spPr>
                </pic:pic>
              </a:graphicData>
            </a:graphic>
          </wp:inline>
        </w:drawing>
      </w:r>
    </w:p>
    <w:p w14:paraId="6E63ED19" w14:textId="6A76C237" w:rsidR="00883C77" w:rsidRDefault="00883C77" w:rsidP="00883C77"/>
    <w:p w14:paraId="45D27A5C" w14:textId="04363EB0" w:rsidR="00694663" w:rsidRPr="000707B8" w:rsidRDefault="00694663" w:rsidP="00694663">
      <w:pPr>
        <w:rPr>
          <w:sz w:val="20"/>
          <w:szCs w:val="20"/>
        </w:rPr>
      </w:pPr>
      <w:r w:rsidRPr="000707B8">
        <w:rPr>
          <w:sz w:val="20"/>
          <w:szCs w:val="20"/>
        </w:rPr>
        <w:t xml:space="preserve">Figure S4. Sensitivity analyses by type source of funding for Group B observational studies that assessed the association between PPI use vs nonuse and ACM among clopidogrel users. </w:t>
      </w:r>
    </w:p>
    <w:p w14:paraId="1CBCF33A" w14:textId="77777777" w:rsidR="001A71B9" w:rsidRDefault="001A71B9" w:rsidP="00694663"/>
    <w:p w14:paraId="2B06B777" w14:textId="77777777" w:rsidR="001A71B9" w:rsidRDefault="001A71B9" w:rsidP="00694663"/>
    <w:p w14:paraId="57960990" w14:textId="77777777" w:rsidR="001A71B9" w:rsidRDefault="001A71B9" w:rsidP="00694663"/>
    <w:p w14:paraId="53CDE9CD" w14:textId="77777777" w:rsidR="001A71B9" w:rsidRDefault="001A71B9" w:rsidP="00694663"/>
    <w:p w14:paraId="320D26AD" w14:textId="77777777" w:rsidR="001A71B9" w:rsidRDefault="001A71B9" w:rsidP="00694663"/>
    <w:p w14:paraId="2962563E" w14:textId="3EEFB9BF" w:rsidR="0007535D" w:rsidRDefault="0007535D" w:rsidP="00883C77">
      <w:pPr>
        <w:spacing w:after="0" w:line="240" w:lineRule="auto"/>
      </w:pPr>
      <w:r w:rsidRPr="0007535D">
        <w:rPr>
          <w:noProof/>
          <w:lang w:eastAsia="en-CA"/>
        </w:rPr>
        <w:lastRenderedPageBreak/>
        <w:drawing>
          <wp:inline distT="0" distB="0" distL="0" distR="0" wp14:anchorId="0DB59C3F" wp14:editId="0836F97F">
            <wp:extent cx="5943600" cy="53714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5371465"/>
                    </a:xfrm>
                    <a:prstGeom prst="rect">
                      <a:avLst/>
                    </a:prstGeom>
                  </pic:spPr>
                </pic:pic>
              </a:graphicData>
            </a:graphic>
          </wp:inline>
        </w:drawing>
      </w:r>
    </w:p>
    <w:p w14:paraId="7C04230E" w14:textId="78CE06D6" w:rsidR="00883C77" w:rsidRDefault="00883C77" w:rsidP="00883C77"/>
    <w:p w14:paraId="4B020673" w14:textId="5F01AC71" w:rsidR="00694663" w:rsidRPr="000707B8" w:rsidRDefault="00694663" w:rsidP="00694663">
      <w:pPr>
        <w:rPr>
          <w:sz w:val="20"/>
          <w:szCs w:val="20"/>
        </w:rPr>
      </w:pPr>
      <w:r w:rsidRPr="000707B8">
        <w:rPr>
          <w:sz w:val="20"/>
          <w:szCs w:val="20"/>
        </w:rPr>
        <w:t xml:space="preserve">Figure S5. Sensitivity analyses by source of study funding for Group B observational studies that assessed the association between PPI use vs nonuse and MI among clopidogrel users. </w:t>
      </w:r>
    </w:p>
    <w:p w14:paraId="29C4B938" w14:textId="77777777" w:rsidR="00694663" w:rsidRPr="00694663" w:rsidRDefault="00694663" w:rsidP="00694663"/>
    <w:p w14:paraId="347AD9FF" w14:textId="77777777" w:rsidR="00883C77" w:rsidRDefault="00883C77" w:rsidP="00883C77"/>
    <w:p w14:paraId="6809E10E" w14:textId="77777777" w:rsidR="00883C77" w:rsidRDefault="00883C77" w:rsidP="00883C77"/>
    <w:p w14:paraId="5E0BB29F" w14:textId="77777777" w:rsidR="00883C77" w:rsidRDefault="00883C77" w:rsidP="00883C77">
      <w:r>
        <w:br w:type="page"/>
      </w:r>
    </w:p>
    <w:p w14:paraId="512D5554" w14:textId="043D3138" w:rsidR="0007535D" w:rsidRPr="00923437" w:rsidRDefault="0007535D" w:rsidP="00883C77">
      <w:pPr>
        <w:spacing w:after="0" w:line="240" w:lineRule="auto"/>
        <w:rPr>
          <w:i/>
          <w:iCs/>
          <w:color w:val="2E74B5" w:themeColor="accent1" w:themeShade="BF"/>
          <w:sz w:val="20"/>
          <w:szCs w:val="20"/>
        </w:rPr>
      </w:pPr>
      <w:r w:rsidRPr="0007535D">
        <w:rPr>
          <w:i/>
          <w:iCs/>
          <w:noProof/>
          <w:color w:val="2E74B5" w:themeColor="accent1" w:themeShade="BF"/>
          <w:sz w:val="20"/>
          <w:szCs w:val="20"/>
          <w:lang w:eastAsia="en-CA"/>
        </w:rPr>
        <w:lastRenderedPageBreak/>
        <w:drawing>
          <wp:inline distT="0" distB="0" distL="0" distR="0" wp14:anchorId="3A95E99E" wp14:editId="1F3A73C3">
            <wp:extent cx="5943600" cy="395732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957320"/>
                    </a:xfrm>
                    <a:prstGeom prst="rect">
                      <a:avLst/>
                    </a:prstGeom>
                  </pic:spPr>
                </pic:pic>
              </a:graphicData>
            </a:graphic>
          </wp:inline>
        </w:drawing>
      </w:r>
    </w:p>
    <w:p w14:paraId="60EB1A87" w14:textId="2CAB0AA4" w:rsidR="00883C77" w:rsidRDefault="00883C77" w:rsidP="00883C77"/>
    <w:p w14:paraId="38B369A5" w14:textId="5A9281D5" w:rsidR="001A71B9" w:rsidRPr="000707B8" w:rsidRDefault="001A71B9" w:rsidP="001A71B9">
      <w:pPr>
        <w:rPr>
          <w:sz w:val="20"/>
          <w:szCs w:val="20"/>
        </w:rPr>
      </w:pPr>
      <w:r w:rsidRPr="000707B8">
        <w:rPr>
          <w:sz w:val="20"/>
          <w:szCs w:val="20"/>
        </w:rPr>
        <w:t xml:space="preserve">Figure S6. Sensitivity analyses by source of study funding for Group B observational studies that assessed the association between PPI use vs nonuse and cardiovascular mortality among clopidogrel users. </w:t>
      </w:r>
    </w:p>
    <w:p w14:paraId="49540E3F" w14:textId="77777777" w:rsidR="001A71B9" w:rsidRPr="001A71B9" w:rsidRDefault="001A71B9" w:rsidP="001A71B9"/>
    <w:p w14:paraId="7549C057" w14:textId="77777777" w:rsidR="00883C77" w:rsidRDefault="00883C77" w:rsidP="00883C77"/>
    <w:p w14:paraId="2964C863" w14:textId="77777777" w:rsidR="00883C77" w:rsidRDefault="00883C77" w:rsidP="00883C77"/>
    <w:p w14:paraId="1A683E55" w14:textId="77777777" w:rsidR="00883C77" w:rsidRDefault="00883C77" w:rsidP="00883C77"/>
    <w:p w14:paraId="2C2BF77B" w14:textId="77777777" w:rsidR="00883C77" w:rsidRDefault="00883C77" w:rsidP="00883C77"/>
    <w:p w14:paraId="2DC1F0CB" w14:textId="77777777" w:rsidR="00883C77" w:rsidRDefault="00883C77" w:rsidP="00883C77"/>
    <w:p w14:paraId="043F5DB0" w14:textId="77777777" w:rsidR="00883C77" w:rsidRDefault="00883C77" w:rsidP="00883C77"/>
    <w:p w14:paraId="0DF9D66C" w14:textId="77777777" w:rsidR="00883C77" w:rsidRDefault="00883C77" w:rsidP="00883C77"/>
    <w:p w14:paraId="44A3AA87" w14:textId="77777777" w:rsidR="00883C77" w:rsidRDefault="00883C77" w:rsidP="00883C77"/>
    <w:p w14:paraId="55D1C6D9" w14:textId="77777777" w:rsidR="00883C77" w:rsidRDefault="00883C77" w:rsidP="00883C77"/>
    <w:p w14:paraId="6BC64972" w14:textId="77777777" w:rsidR="00883C77" w:rsidRDefault="00883C77" w:rsidP="00883C77">
      <w:r>
        <w:br w:type="page"/>
      </w:r>
    </w:p>
    <w:p w14:paraId="10E8821D" w14:textId="77777777" w:rsidR="00883C77" w:rsidRDefault="00883C77" w:rsidP="00883C77">
      <w:r w:rsidRPr="00110419">
        <w:rPr>
          <w:noProof/>
          <w:lang w:eastAsia="en-CA"/>
        </w:rPr>
        <w:lastRenderedPageBreak/>
        <w:drawing>
          <wp:inline distT="0" distB="0" distL="0" distR="0" wp14:anchorId="088E766F" wp14:editId="5C622D34">
            <wp:extent cx="5943600" cy="3494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494405"/>
                    </a:xfrm>
                    <a:prstGeom prst="rect">
                      <a:avLst/>
                    </a:prstGeom>
                  </pic:spPr>
                </pic:pic>
              </a:graphicData>
            </a:graphic>
          </wp:inline>
        </w:drawing>
      </w:r>
    </w:p>
    <w:p w14:paraId="1128B1FF" w14:textId="48A3E84C" w:rsidR="001A71B9" w:rsidRPr="000707B8" w:rsidRDefault="001A71B9" w:rsidP="001A71B9">
      <w:pPr>
        <w:rPr>
          <w:sz w:val="20"/>
          <w:szCs w:val="20"/>
        </w:rPr>
      </w:pPr>
      <w:r w:rsidRPr="000707B8">
        <w:rPr>
          <w:sz w:val="20"/>
          <w:szCs w:val="20"/>
        </w:rPr>
        <w:t xml:space="preserve">Figure S7. Sensitivity analyses by source of study funding for Group B observational studies that assessed the association between PPI use vs nonuse and stroke among clopidogrel users. </w:t>
      </w:r>
    </w:p>
    <w:p w14:paraId="1A3B37BB" w14:textId="77777777" w:rsidR="001A71B9" w:rsidRPr="001A71B9" w:rsidRDefault="001A71B9" w:rsidP="001A71B9"/>
    <w:p w14:paraId="0FFCD5C6" w14:textId="77777777" w:rsidR="00883C77" w:rsidRDefault="00883C77" w:rsidP="00883C77">
      <w:pPr>
        <w:rPr>
          <w:rFonts w:asciiTheme="majorHAnsi" w:eastAsiaTheme="majorEastAsia" w:hAnsiTheme="majorHAnsi" w:cstheme="majorBidi"/>
          <w:b/>
          <w:bCs/>
          <w:color w:val="C45911" w:themeColor="accent2" w:themeShade="BF"/>
          <w:sz w:val="24"/>
          <w:szCs w:val="24"/>
          <w:lang w:eastAsia="en-CA"/>
        </w:rPr>
      </w:pPr>
      <w:r>
        <w:br w:type="page"/>
      </w:r>
    </w:p>
    <w:p w14:paraId="19224A23" w14:textId="3F7884CD" w:rsidR="00147BB6" w:rsidRDefault="00147BB6" w:rsidP="00147BB6">
      <w:pPr>
        <w:pStyle w:val="TOC4"/>
        <w:tabs>
          <w:tab w:val="right" w:leader="dot" w:pos="14390"/>
        </w:tabs>
        <w:rPr>
          <w:rStyle w:val="Hyperlink"/>
          <w:noProof/>
        </w:rPr>
        <w:sectPr w:rsidR="00147BB6" w:rsidSect="00147BB6">
          <w:pgSz w:w="12240" w:h="15840"/>
          <w:pgMar w:top="1440" w:right="1440" w:bottom="1440" w:left="1440" w:header="709" w:footer="709" w:gutter="0"/>
          <w:cols w:space="708"/>
          <w:docGrid w:linePitch="360"/>
        </w:sectPr>
      </w:pPr>
    </w:p>
    <w:p w14:paraId="433C2722" w14:textId="00F1230A" w:rsidR="00C91F71" w:rsidRDefault="00E63313" w:rsidP="00605603">
      <w:pPr>
        <w:pStyle w:val="Heading2"/>
      </w:pPr>
      <w:bookmarkStart w:id="33" w:name="_Toc510634447"/>
      <w:bookmarkStart w:id="34" w:name="_Toc536713789"/>
      <w:r>
        <w:lastRenderedPageBreak/>
        <w:t>Supplemental</w:t>
      </w:r>
      <w:r w:rsidR="00646369">
        <w:t xml:space="preserve"> M</w:t>
      </w:r>
      <w:r w:rsidR="00C91F71">
        <w:t>aterial VII – Quality of observational studies included in the meta-analysis</w:t>
      </w:r>
      <w:bookmarkEnd w:id="33"/>
      <w:bookmarkEnd w:id="34"/>
    </w:p>
    <w:p w14:paraId="55AA7AFF" w14:textId="083D7DFA" w:rsidR="00B842AC" w:rsidRPr="00B842AC" w:rsidRDefault="00B842AC" w:rsidP="00B842AC">
      <w:pPr>
        <w:rPr>
          <w:i/>
          <w:iCs/>
          <w:color w:val="44546A" w:themeColor="text2"/>
          <w:sz w:val="18"/>
          <w:szCs w:val="18"/>
        </w:rPr>
      </w:pPr>
      <w:r w:rsidRPr="00B842AC">
        <w:rPr>
          <w:i/>
          <w:iCs/>
          <w:color w:val="44546A" w:themeColor="text2"/>
          <w:sz w:val="18"/>
          <w:szCs w:val="18"/>
        </w:rPr>
        <w:t>Table S10. Newcastle-Ottawa scores for observational studies.</w:t>
      </w:r>
    </w:p>
    <w:tbl>
      <w:tblPr>
        <w:tblW w:w="12180" w:type="dxa"/>
        <w:tblLook w:val="04A0" w:firstRow="1" w:lastRow="0" w:firstColumn="1" w:lastColumn="0" w:noHBand="0" w:noVBand="1"/>
      </w:tblPr>
      <w:tblGrid>
        <w:gridCol w:w="3263"/>
        <w:gridCol w:w="2119"/>
        <w:gridCol w:w="1209"/>
        <w:gridCol w:w="1232"/>
        <w:gridCol w:w="1621"/>
        <w:gridCol w:w="1604"/>
        <w:gridCol w:w="1132"/>
      </w:tblGrid>
      <w:tr w:rsidR="00C91F71" w:rsidRPr="005E0B8E" w14:paraId="5EC94C01" w14:textId="77777777" w:rsidTr="005E0B8E">
        <w:trPr>
          <w:trHeight w:val="825"/>
        </w:trPr>
        <w:tc>
          <w:tcPr>
            <w:tcW w:w="3263" w:type="dxa"/>
            <w:tcBorders>
              <w:top w:val="single" w:sz="4" w:space="0" w:color="auto"/>
              <w:left w:val="nil"/>
              <w:bottom w:val="single" w:sz="4" w:space="0" w:color="auto"/>
              <w:right w:val="nil"/>
            </w:tcBorders>
            <w:shd w:val="clear" w:color="000000" w:fill="FFFFFF"/>
            <w:vAlign w:val="center"/>
            <w:hideMark/>
          </w:tcPr>
          <w:p w14:paraId="75B62461" w14:textId="77777777" w:rsidR="00C91F71" w:rsidRPr="005E0B8E" w:rsidRDefault="00C91F71" w:rsidP="005E0B8E">
            <w:pPr>
              <w:spacing w:after="0" w:line="240" w:lineRule="auto"/>
              <w:rPr>
                <w:rFonts w:ascii="Calibri" w:eastAsia="Times New Roman" w:hAnsi="Calibri" w:cs="Calibri"/>
                <w:b/>
                <w:bCs/>
                <w:color w:val="000000"/>
                <w:lang w:eastAsia="en-CA"/>
              </w:rPr>
            </w:pPr>
            <w:r w:rsidRPr="005E0B8E">
              <w:rPr>
                <w:rFonts w:ascii="Calibri" w:eastAsia="Times New Roman" w:hAnsi="Calibri" w:cs="Calibri"/>
                <w:b/>
                <w:bCs/>
                <w:color w:val="000000"/>
                <w:lang w:eastAsia="en-CA"/>
              </w:rPr>
              <w:t>Study</w:t>
            </w:r>
          </w:p>
        </w:tc>
        <w:tc>
          <w:tcPr>
            <w:tcW w:w="2119" w:type="dxa"/>
            <w:tcBorders>
              <w:top w:val="single" w:sz="4" w:space="0" w:color="auto"/>
              <w:left w:val="nil"/>
              <w:bottom w:val="single" w:sz="4" w:space="0" w:color="auto"/>
              <w:right w:val="nil"/>
            </w:tcBorders>
            <w:shd w:val="clear" w:color="000000" w:fill="FFFFFF"/>
            <w:vAlign w:val="center"/>
            <w:hideMark/>
          </w:tcPr>
          <w:p w14:paraId="679EA60E" w14:textId="77777777" w:rsidR="00C91F71" w:rsidRPr="005E0B8E" w:rsidRDefault="00C91F71" w:rsidP="005E0B8E">
            <w:pPr>
              <w:spacing w:after="0" w:line="240" w:lineRule="auto"/>
              <w:jc w:val="center"/>
              <w:rPr>
                <w:rFonts w:ascii="Calibri" w:eastAsia="Times New Roman" w:hAnsi="Calibri" w:cs="Calibri"/>
                <w:b/>
                <w:bCs/>
                <w:color w:val="000000"/>
                <w:lang w:eastAsia="en-CA"/>
              </w:rPr>
            </w:pPr>
            <w:r w:rsidRPr="005E0B8E">
              <w:rPr>
                <w:rFonts w:ascii="Calibri" w:eastAsia="Times New Roman" w:hAnsi="Calibri" w:cs="Calibri"/>
                <w:b/>
                <w:bCs/>
                <w:color w:val="000000"/>
                <w:lang w:eastAsia="en-CA"/>
              </w:rPr>
              <w:t>Study design</w:t>
            </w:r>
          </w:p>
        </w:tc>
        <w:tc>
          <w:tcPr>
            <w:tcW w:w="1209" w:type="dxa"/>
            <w:tcBorders>
              <w:top w:val="single" w:sz="4" w:space="0" w:color="auto"/>
              <w:left w:val="nil"/>
              <w:bottom w:val="single" w:sz="4" w:space="0" w:color="auto"/>
              <w:right w:val="nil"/>
            </w:tcBorders>
            <w:shd w:val="clear" w:color="000000" w:fill="FFFFFF"/>
            <w:vAlign w:val="center"/>
            <w:hideMark/>
          </w:tcPr>
          <w:p w14:paraId="4C555B00" w14:textId="77777777" w:rsidR="00C91F71" w:rsidRPr="005E0B8E" w:rsidRDefault="00C91F71" w:rsidP="005E0B8E">
            <w:pPr>
              <w:spacing w:after="0" w:line="240" w:lineRule="auto"/>
              <w:jc w:val="center"/>
              <w:rPr>
                <w:rFonts w:ascii="Calibri" w:eastAsia="Times New Roman" w:hAnsi="Calibri" w:cs="Calibri"/>
                <w:b/>
                <w:bCs/>
                <w:color w:val="000000"/>
                <w:lang w:eastAsia="en-CA"/>
              </w:rPr>
            </w:pPr>
            <w:r w:rsidRPr="005E0B8E">
              <w:rPr>
                <w:rFonts w:ascii="Calibri" w:eastAsia="Times New Roman" w:hAnsi="Calibri" w:cs="Calibri"/>
                <w:b/>
                <w:bCs/>
                <w:color w:val="000000"/>
                <w:lang w:eastAsia="en-CA"/>
              </w:rPr>
              <w:t>Cohort selections</w:t>
            </w:r>
          </w:p>
        </w:tc>
        <w:tc>
          <w:tcPr>
            <w:tcW w:w="1232" w:type="dxa"/>
            <w:tcBorders>
              <w:top w:val="single" w:sz="4" w:space="0" w:color="auto"/>
              <w:left w:val="nil"/>
              <w:bottom w:val="single" w:sz="4" w:space="0" w:color="auto"/>
              <w:right w:val="nil"/>
            </w:tcBorders>
            <w:shd w:val="clear" w:color="000000" w:fill="FFFFFF"/>
            <w:vAlign w:val="center"/>
            <w:hideMark/>
          </w:tcPr>
          <w:p w14:paraId="0190E8C5" w14:textId="77777777" w:rsidR="00C91F71" w:rsidRPr="005E0B8E" w:rsidRDefault="00C91F71" w:rsidP="005E0B8E">
            <w:pPr>
              <w:spacing w:after="0" w:line="240" w:lineRule="auto"/>
              <w:jc w:val="center"/>
              <w:rPr>
                <w:rFonts w:ascii="Calibri" w:eastAsia="Times New Roman" w:hAnsi="Calibri" w:cs="Calibri"/>
                <w:b/>
                <w:bCs/>
                <w:color w:val="000000"/>
                <w:lang w:eastAsia="en-CA"/>
              </w:rPr>
            </w:pPr>
            <w:r w:rsidRPr="005E0B8E">
              <w:rPr>
                <w:rFonts w:ascii="Calibri" w:eastAsia="Times New Roman" w:hAnsi="Calibri" w:cs="Calibri"/>
                <w:b/>
                <w:bCs/>
                <w:color w:val="000000"/>
                <w:lang w:eastAsia="en-CA"/>
              </w:rPr>
              <w:t>Outcomes</w:t>
            </w:r>
          </w:p>
        </w:tc>
        <w:tc>
          <w:tcPr>
            <w:tcW w:w="1621" w:type="dxa"/>
            <w:tcBorders>
              <w:top w:val="single" w:sz="4" w:space="0" w:color="auto"/>
              <w:left w:val="nil"/>
              <w:bottom w:val="single" w:sz="4" w:space="0" w:color="auto"/>
              <w:right w:val="nil"/>
            </w:tcBorders>
            <w:shd w:val="clear" w:color="000000" w:fill="FFFFFF"/>
            <w:vAlign w:val="center"/>
            <w:hideMark/>
          </w:tcPr>
          <w:p w14:paraId="2F3E71E8" w14:textId="77777777" w:rsidR="00C91F71" w:rsidRPr="005E0B8E" w:rsidRDefault="00C91F71" w:rsidP="005E0B8E">
            <w:pPr>
              <w:spacing w:after="0" w:line="240" w:lineRule="auto"/>
              <w:jc w:val="center"/>
              <w:rPr>
                <w:rFonts w:ascii="Calibri" w:eastAsia="Times New Roman" w:hAnsi="Calibri" w:cs="Calibri"/>
                <w:b/>
                <w:bCs/>
                <w:color w:val="000000"/>
                <w:lang w:eastAsia="en-CA"/>
              </w:rPr>
            </w:pPr>
            <w:r w:rsidRPr="005E0B8E">
              <w:rPr>
                <w:rFonts w:ascii="Calibri" w:eastAsia="Times New Roman" w:hAnsi="Calibri" w:cs="Calibri"/>
                <w:b/>
                <w:bCs/>
                <w:color w:val="000000"/>
                <w:lang w:eastAsia="en-CA"/>
              </w:rPr>
              <w:t>Comparability</w:t>
            </w:r>
          </w:p>
        </w:tc>
        <w:tc>
          <w:tcPr>
            <w:tcW w:w="1604" w:type="dxa"/>
            <w:tcBorders>
              <w:top w:val="single" w:sz="4" w:space="0" w:color="auto"/>
              <w:left w:val="nil"/>
              <w:bottom w:val="single" w:sz="4" w:space="0" w:color="auto"/>
              <w:right w:val="nil"/>
            </w:tcBorders>
            <w:shd w:val="clear" w:color="000000" w:fill="FFFFFF"/>
            <w:vAlign w:val="center"/>
            <w:hideMark/>
          </w:tcPr>
          <w:p w14:paraId="09A4AECC" w14:textId="77777777" w:rsidR="00C91F71" w:rsidRPr="005E0B8E" w:rsidRDefault="00C91F71" w:rsidP="005E0B8E">
            <w:pPr>
              <w:spacing w:after="0" w:line="240" w:lineRule="auto"/>
              <w:jc w:val="center"/>
              <w:rPr>
                <w:rFonts w:ascii="Calibri" w:eastAsia="Times New Roman" w:hAnsi="Calibri" w:cs="Calibri"/>
                <w:b/>
                <w:bCs/>
                <w:color w:val="000000"/>
                <w:lang w:eastAsia="en-CA"/>
              </w:rPr>
            </w:pPr>
            <w:r w:rsidRPr="005E0B8E">
              <w:rPr>
                <w:rFonts w:ascii="Calibri" w:eastAsia="Times New Roman" w:hAnsi="Calibri" w:cs="Calibri"/>
                <w:b/>
                <w:bCs/>
                <w:color w:val="000000"/>
                <w:lang w:eastAsia="en-CA"/>
              </w:rPr>
              <w:t>Selection of cases /controls</w:t>
            </w:r>
          </w:p>
        </w:tc>
        <w:tc>
          <w:tcPr>
            <w:tcW w:w="1132" w:type="dxa"/>
            <w:tcBorders>
              <w:top w:val="single" w:sz="4" w:space="0" w:color="auto"/>
              <w:left w:val="nil"/>
              <w:bottom w:val="single" w:sz="4" w:space="0" w:color="auto"/>
              <w:right w:val="nil"/>
            </w:tcBorders>
            <w:shd w:val="clear" w:color="000000" w:fill="FFFFFF"/>
            <w:vAlign w:val="center"/>
            <w:hideMark/>
          </w:tcPr>
          <w:p w14:paraId="0DD27B1A" w14:textId="77777777" w:rsidR="00C91F71" w:rsidRPr="005E0B8E" w:rsidRDefault="00C91F71" w:rsidP="005E0B8E">
            <w:pPr>
              <w:spacing w:after="0" w:line="240" w:lineRule="auto"/>
              <w:jc w:val="center"/>
              <w:rPr>
                <w:rFonts w:ascii="Calibri" w:eastAsia="Times New Roman" w:hAnsi="Calibri" w:cs="Calibri"/>
                <w:b/>
                <w:bCs/>
                <w:color w:val="000000"/>
                <w:lang w:eastAsia="en-CA"/>
              </w:rPr>
            </w:pPr>
            <w:r w:rsidRPr="005E0B8E">
              <w:rPr>
                <w:rFonts w:ascii="Calibri" w:eastAsia="Times New Roman" w:hAnsi="Calibri" w:cs="Calibri"/>
                <w:b/>
                <w:bCs/>
                <w:color w:val="000000"/>
                <w:lang w:eastAsia="en-CA"/>
              </w:rPr>
              <w:t>Exposure</w:t>
            </w:r>
          </w:p>
        </w:tc>
      </w:tr>
      <w:tr w:rsidR="00C91F71" w:rsidRPr="005E0B8E" w14:paraId="61AD6BE7" w14:textId="77777777" w:rsidTr="005E0B8E">
        <w:trPr>
          <w:trHeight w:val="390"/>
        </w:trPr>
        <w:tc>
          <w:tcPr>
            <w:tcW w:w="3263" w:type="dxa"/>
            <w:tcBorders>
              <w:top w:val="nil"/>
              <w:left w:val="nil"/>
              <w:bottom w:val="nil"/>
              <w:right w:val="nil"/>
            </w:tcBorders>
            <w:shd w:val="clear" w:color="000000" w:fill="FFFFFF"/>
            <w:vAlign w:val="center"/>
            <w:hideMark/>
          </w:tcPr>
          <w:p w14:paraId="6B75A35B"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Aihara et al, 2012</w:t>
            </w:r>
          </w:p>
        </w:tc>
        <w:tc>
          <w:tcPr>
            <w:tcW w:w="2119" w:type="dxa"/>
            <w:tcBorders>
              <w:top w:val="nil"/>
              <w:left w:val="nil"/>
              <w:bottom w:val="nil"/>
              <w:right w:val="nil"/>
            </w:tcBorders>
            <w:shd w:val="clear" w:color="000000" w:fill="FFFFFF"/>
            <w:vAlign w:val="center"/>
            <w:hideMark/>
          </w:tcPr>
          <w:p w14:paraId="1B08CC40"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000000" w:fill="FFFFFF"/>
            <w:vAlign w:val="center"/>
            <w:hideMark/>
          </w:tcPr>
          <w:p w14:paraId="3B908632"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000000" w:fill="FFFFFF"/>
            <w:vAlign w:val="center"/>
            <w:hideMark/>
          </w:tcPr>
          <w:p w14:paraId="327908ED"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000000" w:fill="FFFFFF"/>
            <w:vAlign w:val="center"/>
            <w:hideMark/>
          </w:tcPr>
          <w:p w14:paraId="685840FD"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1CC22266" w14:textId="54D3D4FB"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5EAE5987" w14:textId="5D9E8ECD"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7367E880" w14:textId="77777777" w:rsidTr="000707B8">
        <w:trPr>
          <w:trHeight w:val="390"/>
        </w:trPr>
        <w:tc>
          <w:tcPr>
            <w:tcW w:w="3263" w:type="dxa"/>
            <w:tcBorders>
              <w:top w:val="nil"/>
              <w:left w:val="nil"/>
              <w:bottom w:val="nil"/>
              <w:right w:val="nil"/>
            </w:tcBorders>
            <w:shd w:val="clear" w:color="auto" w:fill="auto"/>
            <w:vAlign w:val="center"/>
            <w:hideMark/>
          </w:tcPr>
          <w:p w14:paraId="55117148"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Banerjee et al, 2011</w:t>
            </w:r>
          </w:p>
        </w:tc>
        <w:tc>
          <w:tcPr>
            <w:tcW w:w="2119" w:type="dxa"/>
            <w:tcBorders>
              <w:top w:val="nil"/>
              <w:left w:val="nil"/>
              <w:bottom w:val="nil"/>
              <w:right w:val="nil"/>
            </w:tcBorders>
            <w:shd w:val="clear" w:color="auto" w:fill="auto"/>
            <w:vAlign w:val="center"/>
            <w:hideMark/>
          </w:tcPr>
          <w:p w14:paraId="1933B45F"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6F9B527C"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34B8652B"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210E01DB"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316A033B" w14:textId="26D944B6"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4B0AABA6" w14:textId="782DC5B7" w:rsidR="00C91F71" w:rsidRPr="005E0B8E" w:rsidRDefault="00C91F71" w:rsidP="005E0B8E">
            <w:pPr>
              <w:spacing w:after="0" w:line="240" w:lineRule="auto"/>
              <w:jc w:val="center"/>
              <w:rPr>
                <w:rFonts w:ascii="Calibri" w:eastAsia="Times New Roman" w:hAnsi="Calibri" w:cs="Calibri"/>
                <w:color w:val="000000"/>
                <w:lang w:eastAsia="en-CA"/>
              </w:rPr>
            </w:pPr>
          </w:p>
        </w:tc>
      </w:tr>
      <w:tr w:rsidR="005E0B8E" w:rsidRPr="005E0B8E" w14:paraId="29021B8C" w14:textId="77777777" w:rsidTr="000707B8">
        <w:trPr>
          <w:trHeight w:val="390"/>
        </w:trPr>
        <w:tc>
          <w:tcPr>
            <w:tcW w:w="3263" w:type="dxa"/>
            <w:tcBorders>
              <w:top w:val="nil"/>
              <w:left w:val="nil"/>
              <w:bottom w:val="nil"/>
              <w:right w:val="nil"/>
            </w:tcBorders>
            <w:shd w:val="clear" w:color="auto" w:fill="auto"/>
            <w:vAlign w:val="center"/>
          </w:tcPr>
          <w:p w14:paraId="12A42D3B" w14:textId="4B23DB0A" w:rsidR="005E0B8E" w:rsidRPr="005E0B8E" w:rsidRDefault="005E0B8E" w:rsidP="005E0B8E">
            <w:pPr>
              <w:spacing w:after="0" w:line="240" w:lineRule="auto"/>
              <w:rPr>
                <w:rFonts w:ascii="Calibri" w:eastAsia="Times New Roman" w:hAnsi="Calibri" w:cs="Calibri"/>
                <w:color w:val="000000"/>
                <w:lang w:eastAsia="en-CA"/>
              </w:rPr>
            </w:pPr>
            <w:r w:rsidRPr="005E0B8E">
              <w:rPr>
                <w:rFonts w:ascii="Calibri" w:hAnsi="Calibri" w:cs="Calibri"/>
                <w:color w:val="000000"/>
              </w:rPr>
              <w:t>Bettinger et al, 2018</w:t>
            </w:r>
          </w:p>
        </w:tc>
        <w:tc>
          <w:tcPr>
            <w:tcW w:w="2119" w:type="dxa"/>
            <w:tcBorders>
              <w:top w:val="nil"/>
              <w:left w:val="nil"/>
              <w:bottom w:val="nil"/>
              <w:right w:val="nil"/>
            </w:tcBorders>
            <w:shd w:val="clear" w:color="auto" w:fill="auto"/>
            <w:vAlign w:val="center"/>
          </w:tcPr>
          <w:p w14:paraId="3F67E4A9" w14:textId="36C3A702"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Cohort</w:t>
            </w:r>
          </w:p>
        </w:tc>
        <w:tc>
          <w:tcPr>
            <w:tcW w:w="1209" w:type="dxa"/>
            <w:tcBorders>
              <w:top w:val="nil"/>
              <w:left w:val="nil"/>
              <w:bottom w:val="nil"/>
              <w:right w:val="nil"/>
            </w:tcBorders>
            <w:shd w:val="clear" w:color="auto" w:fill="auto"/>
            <w:vAlign w:val="center"/>
          </w:tcPr>
          <w:p w14:paraId="0FBBF207" w14:textId="0AEAB698"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232" w:type="dxa"/>
            <w:tcBorders>
              <w:top w:val="nil"/>
              <w:left w:val="nil"/>
              <w:bottom w:val="nil"/>
              <w:right w:val="nil"/>
            </w:tcBorders>
            <w:shd w:val="clear" w:color="auto" w:fill="auto"/>
            <w:vAlign w:val="center"/>
          </w:tcPr>
          <w:p w14:paraId="3840A6B9" w14:textId="696BA7E7"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621" w:type="dxa"/>
            <w:tcBorders>
              <w:top w:val="nil"/>
              <w:left w:val="nil"/>
              <w:bottom w:val="nil"/>
              <w:right w:val="nil"/>
            </w:tcBorders>
            <w:shd w:val="clear" w:color="auto" w:fill="auto"/>
            <w:vAlign w:val="center"/>
          </w:tcPr>
          <w:p w14:paraId="2348D92E" w14:textId="62153C15"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604" w:type="dxa"/>
            <w:tcBorders>
              <w:top w:val="nil"/>
              <w:left w:val="nil"/>
              <w:bottom w:val="nil"/>
              <w:right w:val="nil"/>
            </w:tcBorders>
            <w:shd w:val="clear" w:color="000000" w:fill="F2F2F2"/>
            <w:vAlign w:val="center"/>
          </w:tcPr>
          <w:p w14:paraId="3CC0889C"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tcPr>
          <w:p w14:paraId="4145ACC7"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r>
      <w:tr w:rsidR="00C91F71" w:rsidRPr="005E0B8E" w14:paraId="604D944F" w14:textId="77777777" w:rsidTr="000707B8">
        <w:trPr>
          <w:trHeight w:val="390"/>
        </w:trPr>
        <w:tc>
          <w:tcPr>
            <w:tcW w:w="3263" w:type="dxa"/>
            <w:tcBorders>
              <w:top w:val="nil"/>
              <w:left w:val="nil"/>
              <w:bottom w:val="nil"/>
              <w:right w:val="nil"/>
            </w:tcBorders>
            <w:shd w:val="clear" w:color="auto" w:fill="auto"/>
            <w:vAlign w:val="center"/>
            <w:hideMark/>
          </w:tcPr>
          <w:p w14:paraId="744F7799"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Charlot et al, 2010</w:t>
            </w:r>
          </w:p>
        </w:tc>
        <w:tc>
          <w:tcPr>
            <w:tcW w:w="2119" w:type="dxa"/>
            <w:tcBorders>
              <w:top w:val="nil"/>
              <w:left w:val="nil"/>
              <w:bottom w:val="nil"/>
              <w:right w:val="nil"/>
            </w:tcBorders>
            <w:shd w:val="clear" w:color="auto" w:fill="auto"/>
            <w:vAlign w:val="center"/>
            <w:hideMark/>
          </w:tcPr>
          <w:p w14:paraId="27AC2796"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12777AD7"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0CB03950"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5F93762C"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37295418" w14:textId="0F070840"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478BFBF4" w14:textId="1BD44203"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2EB1FA1A" w14:textId="77777777" w:rsidTr="000707B8">
        <w:trPr>
          <w:trHeight w:val="390"/>
        </w:trPr>
        <w:tc>
          <w:tcPr>
            <w:tcW w:w="3263" w:type="dxa"/>
            <w:tcBorders>
              <w:top w:val="nil"/>
              <w:left w:val="nil"/>
              <w:bottom w:val="nil"/>
              <w:right w:val="nil"/>
            </w:tcBorders>
            <w:shd w:val="clear" w:color="auto" w:fill="auto"/>
            <w:vAlign w:val="center"/>
            <w:hideMark/>
          </w:tcPr>
          <w:p w14:paraId="1B3F7E48"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Charlot et al, 2010</w:t>
            </w:r>
          </w:p>
        </w:tc>
        <w:tc>
          <w:tcPr>
            <w:tcW w:w="2119" w:type="dxa"/>
            <w:tcBorders>
              <w:top w:val="nil"/>
              <w:left w:val="nil"/>
              <w:bottom w:val="nil"/>
              <w:right w:val="nil"/>
            </w:tcBorders>
            <w:shd w:val="clear" w:color="auto" w:fill="auto"/>
            <w:vAlign w:val="center"/>
            <w:hideMark/>
          </w:tcPr>
          <w:p w14:paraId="6DDC52FD"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3868B503"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23F50CBB"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0AF63735"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22B0947E" w14:textId="38F540DC"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6B3D6E01" w14:textId="33C6149C"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09B1E660" w14:textId="77777777" w:rsidTr="000707B8">
        <w:trPr>
          <w:trHeight w:val="390"/>
        </w:trPr>
        <w:tc>
          <w:tcPr>
            <w:tcW w:w="3263" w:type="dxa"/>
            <w:tcBorders>
              <w:top w:val="nil"/>
              <w:left w:val="nil"/>
              <w:bottom w:val="nil"/>
              <w:right w:val="nil"/>
            </w:tcBorders>
            <w:shd w:val="clear" w:color="auto" w:fill="auto"/>
            <w:vAlign w:val="center"/>
            <w:hideMark/>
          </w:tcPr>
          <w:p w14:paraId="7CD473E9"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Ching et al, 2012</w:t>
            </w:r>
          </w:p>
        </w:tc>
        <w:tc>
          <w:tcPr>
            <w:tcW w:w="2119" w:type="dxa"/>
            <w:tcBorders>
              <w:top w:val="nil"/>
              <w:left w:val="nil"/>
              <w:bottom w:val="nil"/>
              <w:right w:val="nil"/>
            </w:tcBorders>
            <w:shd w:val="clear" w:color="auto" w:fill="auto"/>
            <w:vAlign w:val="center"/>
            <w:hideMark/>
          </w:tcPr>
          <w:p w14:paraId="7D6FA1E2"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3EA25F33"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762B0A5B"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6C39354C"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69BEA8B5" w14:textId="51117299"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525B0A95" w14:textId="25662DD4"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581034F1" w14:textId="77777777" w:rsidTr="000707B8">
        <w:trPr>
          <w:trHeight w:val="390"/>
        </w:trPr>
        <w:tc>
          <w:tcPr>
            <w:tcW w:w="3263" w:type="dxa"/>
            <w:tcBorders>
              <w:top w:val="nil"/>
              <w:left w:val="nil"/>
              <w:bottom w:val="nil"/>
              <w:right w:val="nil"/>
            </w:tcBorders>
            <w:shd w:val="clear" w:color="auto" w:fill="auto"/>
            <w:vAlign w:val="center"/>
            <w:hideMark/>
          </w:tcPr>
          <w:p w14:paraId="08DFA81A"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Daskalopoulou et al, 2008</w:t>
            </w:r>
          </w:p>
        </w:tc>
        <w:tc>
          <w:tcPr>
            <w:tcW w:w="2119" w:type="dxa"/>
            <w:tcBorders>
              <w:top w:val="nil"/>
              <w:left w:val="nil"/>
              <w:bottom w:val="nil"/>
              <w:right w:val="nil"/>
            </w:tcBorders>
            <w:shd w:val="clear" w:color="auto" w:fill="auto"/>
            <w:vAlign w:val="center"/>
            <w:hideMark/>
          </w:tcPr>
          <w:p w14:paraId="07409BE8"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54A9B812"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0E076B80"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4DB3C2A0"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043E45A7" w14:textId="5BF8D41D"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6402BCC1" w14:textId="73EE3BEB" w:rsidR="00C91F71" w:rsidRPr="005E0B8E" w:rsidRDefault="00C91F71" w:rsidP="005E0B8E">
            <w:pPr>
              <w:spacing w:after="0" w:line="240" w:lineRule="auto"/>
              <w:jc w:val="center"/>
              <w:rPr>
                <w:rFonts w:ascii="Calibri" w:eastAsia="Times New Roman" w:hAnsi="Calibri" w:cs="Calibri"/>
                <w:color w:val="000000"/>
                <w:lang w:eastAsia="en-CA"/>
              </w:rPr>
            </w:pPr>
          </w:p>
        </w:tc>
      </w:tr>
      <w:tr w:rsidR="005E0B8E" w:rsidRPr="005E0B8E" w14:paraId="0935DE60" w14:textId="77777777" w:rsidTr="000707B8">
        <w:trPr>
          <w:trHeight w:val="390"/>
        </w:trPr>
        <w:tc>
          <w:tcPr>
            <w:tcW w:w="3263" w:type="dxa"/>
            <w:tcBorders>
              <w:top w:val="nil"/>
              <w:left w:val="nil"/>
              <w:bottom w:val="nil"/>
              <w:right w:val="nil"/>
            </w:tcBorders>
            <w:shd w:val="clear" w:color="auto" w:fill="auto"/>
            <w:vAlign w:val="center"/>
          </w:tcPr>
          <w:p w14:paraId="6DA56684" w14:textId="3996DE82" w:rsidR="005E0B8E" w:rsidRPr="005E0B8E" w:rsidRDefault="005E0B8E" w:rsidP="005E0B8E">
            <w:pPr>
              <w:spacing w:after="0" w:line="240" w:lineRule="auto"/>
              <w:rPr>
                <w:rFonts w:ascii="Calibri" w:eastAsia="Times New Roman" w:hAnsi="Calibri" w:cs="Calibri"/>
                <w:color w:val="000000"/>
                <w:lang w:eastAsia="en-CA"/>
              </w:rPr>
            </w:pPr>
            <w:r w:rsidRPr="005E0B8E">
              <w:rPr>
                <w:rFonts w:ascii="Calibri" w:hAnsi="Calibri" w:cs="Calibri"/>
                <w:color w:val="000000"/>
              </w:rPr>
              <w:t>de Francisco et al, 2018</w:t>
            </w:r>
          </w:p>
        </w:tc>
        <w:tc>
          <w:tcPr>
            <w:tcW w:w="2119" w:type="dxa"/>
            <w:tcBorders>
              <w:top w:val="nil"/>
              <w:left w:val="nil"/>
              <w:bottom w:val="nil"/>
              <w:right w:val="nil"/>
            </w:tcBorders>
            <w:shd w:val="clear" w:color="auto" w:fill="auto"/>
            <w:vAlign w:val="center"/>
          </w:tcPr>
          <w:p w14:paraId="7D5ABE66" w14:textId="65B094BE"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Cohort</w:t>
            </w:r>
          </w:p>
        </w:tc>
        <w:tc>
          <w:tcPr>
            <w:tcW w:w="1209" w:type="dxa"/>
            <w:tcBorders>
              <w:top w:val="nil"/>
              <w:left w:val="nil"/>
              <w:bottom w:val="nil"/>
              <w:right w:val="nil"/>
            </w:tcBorders>
            <w:shd w:val="clear" w:color="auto" w:fill="auto"/>
            <w:vAlign w:val="center"/>
          </w:tcPr>
          <w:p w14:paraId="1D47575A" w14:textId="42472912"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232" w:type="dxa"/>
            <w:tcBorders>
              <w:top w:val="nil"/>
              <w:left w:val="nil"/>
              <w:bottom w:val="nil"/>
              <w:right w:val="nil"/>
            </w:tcBorders>
            <w:shd w:val="clear" w:color="auto" w:fill="auto"/>
            <w:vAlign w:val="center"/>
          </w:tcPr>
          <w:p w14:paraId="54EEDAC1" w14:textId="3EFF6E88"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621" w:type="dxa"/>
            <w:tcBorders>
              <w:top w:val="nil"/>
              <w:left w:val="nil"/>
              <w:bottom w:val="nil"/>
              <w:right w:val="nil"/>
            </w:tcBorders>
            <w:shd w:val="clear" w:color="auto" w:fill="auto"/>
            <w:vAlign w:val="center"/>
          </w:tcPr>
          <w:p w14:paraId="6A4B0DC1" w14:textId="68402CD3"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604" w:type="dxa"/>
            <w:tcBorders>
              <w:top w:val="nil"/>
              <w:left w:val="nil"/>
              <w:bottom w:val="nil"/>
              <w:right w:val="nil"/>
            </w:tcBorders>
            <w:shd w:val="clear" w:color="000000" w:fill="F2F2F2"/>
            <w:vAlign w:val="center"/>
          </w:tcPr>
          <w:p w14:paraId="5C5B97AD"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tcPr>
          <w:p w14:paraId="40D6BDA3"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r>
      <w:tr w:rsidR="00C91F71" w:rsidRPr="005E0B8E" w14:paraId="5264FD5F" w14:textId="77777777" w:rsidTr="000707B8">
        <w:trPr>
          <w:trHeight w:val="390"/>
        </w:trPr>
        <w:tc>
          <w:tcPr>
            <w:tcW w:w="3263" w:type="dxa"/>
            <w:tcBorders>
              <w:top w:val="nil"/>
              <w:left w:val="nil"/>
              <w:bottom w:val="nil"/>
              <w:right w:val="nil"/>
            </w:tcBorders>
            <w:shd w:val="clear" w:color="auto" w:fill="auto"/>
            <w:vAlign w:val="center"/>
            <w:hideMark/>
          </w:tcPr>
          <w:p w14:paraId="00CBF2EC"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Douglas et al, 2012</w:t>
            </w:r>
          </w:p>
        </w:tc>
        <w:tc>
          <w:tcPr>
            <w:tcW w:w="2119" w:type="dxa"/>
            <w:tcBorders>
              <w:top w:val="nil"/>
              <w:left w:val="nil"/>
              <w:bottom w:val="nil"/>
              <w:right w:val="nil"/>
            </w:tcBorders>
            <w:shd w:val="clear" w:color="auto" w:fill="auto"/>
            <w:vAlign w:val="center"/>
            <w:hideMark/>
          </w:tcPr>
          <w:p w14:paraId="2B32F465"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5CD6840F"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2C950FBA"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6D890D50"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3DD09F7D" w14:textId="157D88FB"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078347C5" w14:textId="0BFCBA29"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46238AB4" w14:textId="77777777" w:rsidTr="000707B8">
        <w:trPr>
          <w:trHeight w:val="390"/>
        </w:trPr>
        <w:tc>
          <w:tcPr>
            <w:tcW w:w="3263" w:type="dxa"/>
            <w:tcBorders>
              <w:top w:val="nil"/>
              <w:left w:val="nil"/>
              <w:bottom w:val="nil"/>
              <w:right w:val="nil"/>
            </w:tcBorders>
            <w:shd w:val="clear" w:color="auto" w:fill="auto"/>
            <w:vAlign w:val="center"/>
            <w:hideMark/>
          </w:tcPr>
          <w:p w14:paraId="0759172F"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Dultz et al, 2014</w:t>
            </w:r>
          </w:p>
        </w:tc>
        <w:tc>
          <w:tcPr>
            <w:tcW w:w="2119" w:type="dxa"/>
            <w:tcBorders>
              <w:top w:val="nil"/>
              <w:left w:val="nil"/>
              <w:bottom w:val="nil"/>
              <w:right w:val="nil"/>
            </w:tcBorders>
            <w:shd w:val="clear" w:color="auto" w:fill="auto"/>
            <w:vAlign w:val="center"/>
            <w:hideMark/>
          </w:tcPr>
          <w:p w14:paraId="7FDB083D"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10D805C6"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4A6228EA"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32C86463"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4CBFF977" w14:textId="797E7A7A"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7BD2195A" w14:textId="042D9462"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36F9804C" w14:textId="77777777" w:rsidTr="000707B8">
        <w:trPr>
          <w:trHeight w:val="390"/>
        </w:trPr>
        <w:tc>
          <w:tcPr>
            <w:tcW w:w="3263" w:type="dxa"/>
            <w:tcBorders>
              <w:top w:val="nil"/>
              <w:left w:val="nil"/>
              <w:bottom w:val="nil"/>
              <w:right w:val="nil"/>
            </w:tcBorders>
            <w:shd w:val="clear" w:color="auto" w:fill="auto"/>
            <w:vAlign w:val="center"/>
            <w:hideMark/>
          </w:tcPr>
          <w:p w14:paraId="5C8D02B7"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Evanchan et al, 2009</w:t>
            </w:r>
          </w:p>
        </w:tc>
        <w:tc>
          <w:tcPr>
            <w:tcW w:w="2119" w:type="dxa"/>
            <w:tcBorders>
              <w:top w:val="nil"/>
              <w:left w:val="nil"/>
              <w:bottom w:val="nil"/>
              <w:right w:val="nil"/>
            </w:tcBorders>
            <w:shd w:val="clear" w:color="auto" w:fill="auto"/>
            <w:vAlign w:val="center"/>
            <w:hideMark/>
          </w:tcPr>
          <w:p w14:paraId="28AE12D4"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39151B85"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79CD823F"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5C0AAF49"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20F35BDD" w14:textId="63A22308"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3317E6AE" w14:textId="5E26C2EB" w:rsidR="00C91F71" w:rsidRPr="005E0B8E" w:rsidRDefault="00C91F71" w:rsidP="005E0B8E">
            <w:pPr>
              <w:spacing w:after="0" w:line="240" w:lineRule="auto"/>
              <w:jc w:val="center"/>
              <w:rPr>
                <w:rFonts w:ascii="Calibri" w:eastAsia="Times New Roman" w:hAnsi="Calibri" w:cs="Calibri"/>
                <w:color w:val="000000"/>
                <w:lang w:eastAsia="en-CA"/>
              </w:rPr>
            </w:pPr>
          </w:p>
        </w:tc>
      </w:tr>
      <w:tr w:rsidR="005E0B8E" w:rsidRPr="005E0B8E" w14:paraId="0088ECC0" w14:textId="77777777" w:rsidTr="000707B8">
        <w:trPr>
          <w:trHeight w:val="390"/>
        </w:trPr>
        <w:tc>
          <w:tcPr>
            <w:tcW w:w="3263" w:type="dxa"/>
            <w:tcBorders>
              <w:top w:val="nil"/>
              <w:left w:val="nil"/>
              <w:bottom w:val="nil"/>
              <w:right w:val="nil"/>
            </w:tcBorders>
            <w:shd w:val="clear" w:color="auto" w:fill="auto"/>
            <w:vAlign w:val="center"/>
          </w:tcPr>
          <w:p w14:paraId="35A65E21" w14:textId="6BE2ECD4" w:rsidR="005E0B8E" w:rsidRPr="005E0B8E" w:rsidRDefault="005E0B8E" w:rsidP="005E0B8E">
            <w:pPr>
              <w:spacing w:after="0" w:line="240" w:lineRule="auto"/>
              <w:rPr>
                <w:rFonts w:ascii="Calibri" w:eastAsia="Times New Roman" w:hAnsi="Calibri" w:cs="Calibri"/>
                <w:color w:val="000000"/>
                <w:lang w:eastAsia="en-CA"/>
              </w:rPr>
            </w:pPr>
            <w:r w:rsidRPr="005E0B8E">
              <w:rPr>
                <w:rFonts w:ascii="Calibri" w:hAnsi="Calibri" w:cs="Calibri"/>
                <w:color w:val="000000"/>
              </w:rPr>
              <w:t>Gargiulo et al, 2016</w:t>
            </w:r>
          </w:p>
        </w:tc>
        <w:tc>
          <w:tcPr>
            <w:tcW w:w="2119" w:type="dxa"/>
            <w:tcBorders>
              <w:top w:val="nil"/>
              <w:left w:val="nil"/>
              <w:bottom w:val="nil"/>
              <w:right w:val="nil"/>
            </w:tcBorders>
            <w:shd w:val="clear" w:color="auto" w:fill="auto"/>
            <w:vAlign w:val="center"/>
          </w:tcPr>
          <w:p w14:paraId="4A75F520" w14:textId="45966918"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Cohort</w:t>
            </w:r>
          </w:p>
        </w:tc>
        <w:tc>
          <w:tcPr>
            <w:tcW w:w="1209" w:type="dxa"/>
            <w:tcBorders>
              <w:top w:val="nil"/>
              <w:left w:val="nil"/>
              <w:bottom w:val="nil"/>
              <w:right w:val="nil"/>
            </w:tcBorders>
            <w:shd w:val="clear" w:color="auto" w:fill="auto"/>
            <w:vAlign w:val="center"/>
          </w:tcPr>
          <w:p w14:paraId="2A499E00" w14:textId="0926CEE6"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232" w:type="dxa"/>
            <w:tcBorders>
              <w:top w:val="nil"/>
              <w:left w:val="nil"/>
              <w:bottom w:val="nil"/>
              <w:right w:val="nil"/>
            </w:tcBorders>
            <w:shd w:val="clear" w:color="auto" w:fill="auto"/>
            <w:vAlign w:val="center"/>
          </w:tcPr>
          <w:p w14:paraId="653F2384" w14:textId="30DC0095"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621" w:type="dxa"/>
            <w:tcBorders>
              <w:top w:val="nil"/>
              <w:left w:val="nil"/>
              <w:bottom w:val="nil"/>
              <w:right w:val="nil"/>
            </w:tcBorders>
            <w:shd w:val="clear" w:color="auto" w:fill="auto"/>
            <w:vAlign w:val="center"/>
          </w:tcPr>
          <w:p w14:paraId="42425DAA" w14:textId="030F225C"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604" w:type="dxa"/>
            <w:tcBorders>
              <w:top w:val="nil"/>
              <w:left w:val="nil"/>
              <w:bottom w:val="nil"/>
              <w:right w:val="nil"/>
            </w:tcBorders>
            <w:shd w:val="clear" w:color="000000" w:fill="F2F2F2"/>
            <w:vAlign w:val="center"/>
          </w:tcPr>
          <w:p w14:paraId="07100D04"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tcPr>
          <w:p w14:paraId="0DD00628"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r>
      <w:tr w:rsidR="00C91F71" w:rsidRPr="005E0B8E" w14:paraId="04AFF574" w14:textId="77777777" w:rsidTr="000707B8">
        <w:trPr>
          <w:trHeight w:val="390"/>
        </w:trPr>
        <w:tc>
          <w:tcPr>
            <w:tcW w:w="3263" w:type="dxa"/>
            <w:tcBorders>
              <w:top w:val="nil"/>
              <w:left w:val="nil"/>
              <w:bottom w:val="nil"/>
              <w:right w:val="nil"/>
            </w:tcBorders>
            <w:shd w:val="clear" w:color="auto" w:fill="auto"/>
            <w:vAlign w:val="center"/>
            <w:hideMark/>
          </w:tcPr>
          <w:p w14:paraId="1CBBAA58"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Gaspar et al, 2010</w:t>
            </w:r>
          </w:p>
        </w:tc>
        <w:tc>
          <w:tcPr>
            <w:tcW w:w="2119" w:type="dxa"/>
            <w:tcBorders>
              <w:top w:val="nil"/>
              <w:left w:val="nil"/>
              <w:bottom w:val="nil"/>
              <w:right w:val="nil"/>
            </w:tcBorders>
            <w:shd w:val="clear" w:color="auto" w:fill="auto"/>
            <w:vAlign w:val="center"/>
            <w:hideMark/>
          </w:tcPr>
          <w:p w14:paraId="6682B76D"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3FC3B90C"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529EE324"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347CB77E"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2F982754" w14:textId="1010A97C"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7B299116" w14:textId="6A42B40A"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1ADE184F" w14:textId="77777777" w:rsidTr="000707B8">
        <w:trPr>
          <w:trHeight w:val="390"/>
        </w:trPr>
        <w:tc>
          <w:tcPr>
            <w:tcW w:w="3263" w:type="dxa"/>
            <w:tcBorders>
              <w:top w:val="nil"/>
              <w:left w:val="nil"/>
              <w:bottom w:val="nil"/>
              <w:right w:val="nil"/>
            </w:tcBorders>
            <w:shd w:val="clear" w:color="auto" w:fill="auto"/>
            <w:vAlign w:val="center"/>
            <w:hideMark/>
          </w:tcPr>
          <w:p w14:paraId="6D680B60"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Goodman et al, 2012</w:t>
            </w:r>
          </w:p>
        </w:tc>
        <w:tc>
          <w:tcPr>
            <w:tcW w:w="2119" w:type="dxa"/>
            <w:tcBorders>
              <w:top w:val="nil"/>
              <w:left w:val="nil"/>
              <w:bottom w:val="nil"/>
              <w:right w:val="nil"/>
            </w:tcBorders>
            <w:shd w:val="clear" w:color="auto" w:fill="auto"/>
            <w:vAlign w:val="center"/>
            <w:hideMark/>
          </w:tcPr>
          <w:p w14:paraId="4B895078"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6DE0E954"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68641E45"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63EA267D"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28D3790E" w14:textId="1C01D41A"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53D7DA4A" w14:textId="0D32B593"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7FEAECDF" w14:textId="77777777" w:rsidTr="000707B8">
        <w:trPr>
          <w:trHeight w:val="390"/>
        </w:trPr>
        <w:tc>
          <w:tcPr>
            <w:tcW w:w="3263" w:type="dxa"/>
            <w:tcBorders>
              <w:top w:val="nil"/>
              <w:left w:val="nil"/>
              <w:bottom w:val="nil"/>
              <w:right w:val="nil"/>
            </w:tcBorders>
            <w:shd w:val="clear" w:color="auto" w:fill="auto"/>
            <w:vAlign w:val="center"/>
            <w:hideMark/>
          </w:tcPr>
          <w:p w14:paraId="555756DB"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Gupta et al, 2010</w:t>
            </w:r>
          </w:p>
        </w:tc>
        <w:tc>
          <w:tcPr>
            <w:tcW w:w="2119" w:type="dxa"/>
            <w:tcBorders>
              <w:top w:val="nil"/>
              <w:left w:val="nil"/>
              <w:bottom w:val="nil"/>
              <w:right w:val="nil"/>
            </w:tcBorders>
            <w:shd w:val="clear" w:color="auto" w:fill="auto"/>
            <w:vAlign w:val="center"/>
            <w:hideMark/>
          </w:tcPr>
          <w:p w14:paraId="12ABE654"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67AFE507"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61F22671"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21B9A248"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699366D7" w14:textId="6D6C90DB"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56DD3945" w14:textId="78FE1432"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35A39997" w14:textId="77777777" w:rsidTr="000707B8">
        <w:trPr>
          <w:trHeight w:val="390"/>
        </w:trPr>
        <w:tc>
          <w:tcPr>
            <w:tcW w:w="3263" w:type="dxa"/>
            <w:tcBorders>
              <w:top w:val="nil"/>
              <w:left w:val="nil"/>
              <w:bottom w:val="nil"/>
              <w:right w:val="nil"/>
            </w:tcBorders>
            <w:shd w:val="clear" w:color="auto" w:fill="auto"/>
            <w:vAlign w:val="center"/>
            <w:hideMark/>
          </w:tcPr>
          <w:p w14:paraId="728E1AEC"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Harjai et al, 2011</w:t>
            </w:r>
          </w:p>
        </w:tc>
        <w:tc>
          <w:tcPr>
            <w:tcW w:w="2119" w:type="dxa"/>
            <w:tcBorders>
              <w:top w:val="nil"/>
              <w:left w:val="nil"/>
              <w:bottom w:val="nil"/>
              <w:right w:val="nil"/>
            </w:tcBorders>
            <w:shd w:val="clear" w:color="auto" w:fill="auto"/>
            <w:vAlign w:val="center"/>
            <w:hideMark/>
          </w:tcPr>
          <w:p w14:paraId="50ABCFF0"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6A54FBEF"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5951E02E"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3512352E"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168EF1D7" w14:textId="4659BF12"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04E08D91" w14:textId="7C03E795"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7A18D0CC" w14:textId="77777777" w:rsidTr="000707B8">
        <w:trPr>
          <w:trHeight w:val="390"/>
        </w:trPr>
        <w:tc>
          <w:tcPr>
            <w:tcW w:w="3263" w:type="dxa"/>
            <w:tcBorders>
              <w:top w:val="nil"/>
              <w:left w:val="nil"/>
              <w:bottom w:val="nil"/>
              <w:right w:val="nil"/>
            </w:tcBorders>
            <w:shd w:val="clear" w:color="auto" w:fill="auto"/>
            <w:vAlign w:val="center"/>
            <w:hideMark/>
          </w:tcPr>
          <w:p w14:paraId="60480C3F"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Ho et al, 2009</w:t>
            </w:r>
          </w:p>
        </w:tc>
        <w:tc>
          <w:tcPr>
            <w:tcW w:w="2119" w:type="dxa"/>
            <w:tcBorders>
              <w:top w:val="nil"/>
              <w:left w:val="nil"/>
              <w:bottom w:val="nil"/>
              <w:right w:val="nil"/>
            </w:tcBorders>
            <w:shd w:val="clear" w:color="auto" w:fill="auto"/>
            <w:vAlign w:val="center"/>
            <w:hideMark/>
          </w:tcPr>
          <w:p w14:paraId="470AB749"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012642AA"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33D830C0"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07D30A0D"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46353A99" w14:textId="3CD83B5C"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0315E5AD" w14:textId="4E6A188E"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5C0D326B" w14:textId="77777777" w:rsidTr="000707B8">
        <w:trPr>
          <w:trHeight w:val="390"/>
        </w:trPr>
        <w:tc>
          <w:tcPr>
            <w:tcW w:w="3263" w:type="dxa"/>
            <w:tcBorders>
              <w:top w:val="nil"/>
              <w:left w:val="nil"/>
              <w:bottom w:val="nil"/>
              <w:right w:val="nil"/>
            </w:tcBorders>
            <w:shd w:val="clear" w:color="auto" w:fill="auto"/>
            <w:vAlign w:val="center"/>
            <w:hideMark/>
          </w:tcPr>
          <w:p w14:paraId="250F0FBC"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Huang et al,  2010</w:t>
            </w:r>
          </w:p>
        </w:tc>
        <w:tc>
          <w:tcPr>
            <w:tcW w:w="2119" w:type="dxa"/>
            <w:tcBorders>
              <w:top w:val="nil"/>
              <w:left w:val="nil"/>
              <w:bottom w:val="nil"/>
              <w:right w:val="nil"/>
            </w:tcBorders>
            <w:shd w:val="clear" w:color="auto" w:fill="auto"/>
            <w:vAlign w:val="center"/>
            <w:hideMark/>
          </w:tcPr>
          <w:p w14:paraId="4DDB5FCF"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73F77119"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76BAB14F"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73310CD2"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3BC5CE7F" w14:textId="573CDB26"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2E8FC1DE" w14:textId="54B0194B"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01E6038B" w14:textId="77777777" w:rsidTr="000707B8">
        <w:trPr>
          <w:trHeight w:val="390"/>
        </w:trPr>
        <w:tc>
          <w:tcPr>
            <w:tcW w:w="3263" w:type="dxa"/>
            <w:tcBorders>
              <w:top w:val="nil"/>
              <w:left w:val="nil"/>
              <w:bottom w:val="nil"/>
              <w:right w:val="nil"/>
            </w:tcBorders>
            <w:shd w:val="clear" w:color="auto" w:fill="auto"/>
            <w:vAlign w:val="center"/>
            <w:hideMark/>
          </w:tcPr>
          <w:p w14:paraId="01542BBC"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Kreutz et al, 2010</w:t>
            </w:r>
          </w:p>
        </w:tc>
        <w:tc>
          <w:tcPr>
            <w:tcW w:w="2119" w:type="dxa"/>
            <w:tcBorders>
              <w:top w:val="nil"/>
              <w:left w:val="nil"/>
              <w:bottom w:val="nil"/>
              <w:right w:val="nil"/>
            </w:tcBorders>
            <w:shd w:val="clear" w:color="auto" w:fill="auto"/>
            <w:vAlign w:val="center"/>
            <w:hideMark/>
          </w:tcPr>
          <w:p w14:paraId="151E7E40"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4DDE2482"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5E2B6A9A"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42A57029"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5FCCA30B" w14:textId="02C73FF2"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4897C825" w14:textId="30ECD765"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0B0C40CA" w14:textId="77777777" w:rsidTr="000707B8">
        <w:trPr>
          <w:trHeight w:val="390"/>
        </w:trPr>
        <w:tc>
          <w:tcPr>
            <w:tcW w:w="3263" w:type="dxa"/>
            <w:tcBorders>
              <w:top w:val="nil"/>
              <w:left w:val="nil"/>
              <w:bottom w:val="nil"/>
              <w:right w:val="nil"/>
            </w:tcBorders>
            <w:shd w:val="clear" w:color="auto" w:fill="auto"/>
            <w:vAlign w:val="center"/>
            <w:hideMark/>
          </w:tcPr>
          <w:p w14:paraId="7022A5A3"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lastRenderedPageBreak/>
              <w:t>Kwon et al, 2013</w:t>
            </w:r>
          </w:p>
        </w:tc>
        <w:tc>
          <w:tcPr>
            <w:tcW w:w="2119" w:type="dxa"/>
            <w:tcBorders>
              <w:top w:val="nil"/>
              <w:left w:val="nil"/>
              <w:bottom w:val="nil"/>
              <w:right w:val="nil"/>
            </w:tcBorders>
            <w:shd w:val="clear" w:color="auto" w:fill="auto"/>
            <w:vAlign w:val="center"/>
            <w:hideMark/>
          </w:tcPr>
          <w:p w14:paraId="7C395C9E"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3FA31AA6"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6F4238E1"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5A8D0320" w14:textId="0910052E"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604" w:type="dxa"/>
            <w:tcBorders>
              <w:top w:val="nil"/>
              <w:left w:val="nil"/>
              <w:bottom w:val="nil"/>
              <w:right w:val="nil"/>
            </w:tcBorders>
            <w:shd w:val="clear" w:color="000000" w:fill="F2F2F2"/>
            <w:vAlign w:val="center"/>
            <w:hideMark/>
          </w:tcPr>
          <w:p w14:paraId="6EBDD856" w14:textId="46A364C4"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042142CC" w14:textId="055D8FBE" w:rsidR="00C91F71" w:rsidRPr="005E0B8E" w:rsidRDefault="00C91F71" w:rsidP="005E0B8E">
            <w:pPr>
              <w:spacing w:after="0" w:line="240" w:lineRule="auto"/>
              <w:jc w:val="center"/>
              <w:rPr>
                <w:rFonts w:ascii="Calibri" w:eastAsia="Times New Roman" w:hAnsi="Calibri" w:cs="Calibri"/>
                <w:color w:val="000000"/>
                <w:lang w:eastAsia="en-CA"/>
              </w:rPr>
            </w:pPr>
          </w:p>
        </w:tc>
      </w:tr>
      <w:tr w:rsidR="005E0B8E" w:rsidRPr="005E0B8E" w14:paraId="3724EBA5" w14:textId="77777777" w:rsidTr="000707B8">
        <w:trPr>
          <w:trHeight w:val="390"/>
        </w:trPr>
        <w:tc>
          <w:tcPr>
            <w:tcW w:w="3263" w:type="dxa"/>
            <w:tcBorders>
              <w:top w:val="nil"/>
              <w:left w:val="nil"/>
              <w:bottom w:val="nil"/>
              <w:right w:val="nil"/>
            </w:tcBorders>
            <w:shd w:val="clear" w:color="auto" w:fill="auto"/>
            <w:vAlign w:val="center"/>
          </w:tcPr>
          <w:p w14:paraId="4E69EC50" w14:textId="7BA4656B" w:rsidR="005E0B8E" w:rsidRPr="005E0B8E" w:rsidRDefault="005E0B8E" w:rsidP="005E0B8E">
            <w:pPr>
              <w:spacing w:after="0" w:line="240" w:lineRule="auto"/>
              <w:rPr>
                <w:rFonts w:ascii="Calibri" w:eastAsia="Times New Roman" w:hAnsi="Calibri" w:cs="Calibri"/>
                <w:color w:val="000000"/>
                <w:lang w:eastAsia="en-CA"/>
              </w:rPr>
            </w:pPr>
            <w:r w:rsidRPr="005E0B8E">
              <w:rPr>
                <w:rFonts w:ascii="Calibri" w:hAnsi="Calibri" w:cs="Calibri"/>
                <w:color w:val="000000"/>
              </w:rPr>
              <w:t>Lei et al, 2017</w:t>
            </w:r>
          </w:p>
        </w:tc>
        <w:tc>
          <w:tcPr>
            <w:tcW w:w="2119" w:type="dxa"/>
            <w:tcBorders>
              <w:top w:val="nil"/>
              <w:left w:val="nil"/>
              <w:bottom w:val="nil"/>
              <w:right w:val="nil"/>
            </w:tcBorders>
            <w:shd w:val="clear" w:color="auto" w:fill="auto"/>
            <w:vAlign w:val="center"/>
          </w:tcPr>
          <w:p w14:paraId="509BA2C9" w14:textId="1C25C03B"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Cohort</w:t>
            </w:r>
          </w:p>
        </w:tc>
        <w:tc>
          <w:tcPr>
            <w:tcW w:w="1209" w:type="dxa"/>
            <w:tcBorders>
              <w:top w:val="nil"/>
              <w:left w:val="nil"/>
              <w:bottom w:val="nil"/>
              <w:right w:val="nil"/>
            </w:tcBorders>
            <w:shd w:val="clear" w:color="auto" w:fill="auto"/>
            <w:vAlign w:val="center"/>
          </w:tcPr>
          <w:p w14:paraId="7DC0DE2B" w14:textId="6F4C4DE7"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232" w:type="dxa"/>
            <w:tcBorders>
              <w:top w:val="nil"/>
              <w:left w:val="nil"/>
              <w:bottom w:val="nil"/>
              <w:right w:val="nil"/>
            </w:tcBorders>
            <w:shd w:val="clear" w:color="auto" w:fill="auto"/>
            <w:vAlign w:val="center"/>
          </w:tcPr>
          <w:p w14:paraId="6B182010" w14:textId="5D559924"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621" w:type="dxa"/>
            <w:tcBorders>
              <w:top w:val="nil"/>
              <w:left w:val="nil"/>
              <w:bottom w:val="nil"/>
              <w:right w:val="nil"/>
            </w:tcBorders>
            <w:shd w:val="clear" w:color="auto" w:fill="auto"/>
            <w:vAlign w:val="center"/>
          </w:tcPr>
          <w:p w14:paraId="1792FD2D" w14:textId="37E0EE98"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604" w:type="dxa"/>
            <w:tcBorders>
              <w:top w:val="nil"/>
              <w:left w:val="nil"/>
              <w:bottom w:val="nil"/>
              <w:right w:val="nil"/>
            </w:tcBorders>
            <w:shd w:val="clear" w:color="000000" w:fill="F2F2F2"/>
            <w:vAlign w:val="center"/>
          </w:tcPr>
          <w:p w14:paraId="7D076875"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tcPr>
          <w:p w14:paraId="203F4ACA"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r>
      <w:tr w:rsidR="00C91F71" w:rsidRPr="005E0B8E" w14:paraId="49BFF182" w14:textId="77777777" w:rsidTr="000707B8">
        <w:trPr>
          <w:trHeight w:val="390"/>
        </w:trPr>
        <w:tc>
          <w:tcPr>
            <w:tcW w:w="3263" w:type="dxa"/>
            <w:tcBorders>
              <w:top w:val="nil"/>
              <w:left w:val="nil"/>
              <w:bottom w:val="nil"/>
              <w:right w:val="nil"/>
            </w:tcBorders>
            <w:shd w:val="clear" w:color="auto" w:fill="auto"/>
            <w:vAlign w:val="center"/>
            <w:hideMark/>
          </w:tcPr>
          <w:p w14:paraId="701E2D18"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Mandorfer et al, 2014</w:t>
            </w:r>
          </w:p>
        </w:tc>
        <w:tc>
          <w:tcPr>
            <w:tcW w:w="2119" w:type="dxa"/>
            <w:tcBorders>
              <w:top w:val="nil"/>
              <w:left w:val="nil"/>
              <w:bottom w:val="nil"/>
              <w:right w:val="nil"/>
            </w:tcBorders>
            <w:shd w:val="clear" w:color="auto" w:fill="auto"/>
            <w:vAlign w:val="center"/>
            <w:hideMark/>
          </w:tcPr>
          <w:p w14:paraId="50B4D5E6"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447EACD9"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4AB9E7EF"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59039344"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79357091" w14:textId="71602C02"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122C54DA" w14:textId="11854D94" w:rsidR="00C91F71" w:rsidRPr="005E0B8E" w:rsidRDefault="00C91F71" w:rsidP="005E0B8E">
            <w:pPr>
              <w:spacing w:after="0" w:line="240" w:lineRule="auto"/>
              <w:jc w:val="center"/>
              <w:rPr>
                <w:rFonts w:ascii="Calibri" w:eastAsia="Times New Roman" w:hAnsi="Calibri" w:cs="Calibri"/>
                <w:color w:val="000000"/>
                <w:lang w:eastAsia="en-CA"/>
              </w:rPr>
            </w:pPr>
          </w:p>
        </w:tc>
      </w:tr>
      <w:tr w:rsidR="005E0B8E" w:rsidRPr="005E0B8E" w14:paraId="03A1D2A3" w14:textId="77777777" w:rsidTr="000707B8">
        <w:trPr>
          <w:trHeight w:val="390"/>
        </w:trPr>
        <w:tc>
          <w:tcPr>
            <w:tcW w:w="3263" w:type="dxa"/>
            <w:tcBorders>
              <w:top w:val="nil"/>
              <w:left w:val="nil"/>
              <w:bottom w:val="nil"/>
              <w:right w:val="nil"/>
            </w:tcBorders>
            <w:shd w:val="clear" w:color="auto" w:fill="auto"/>
            <w:vAlign w:val="center"/>
          </w:tcPr>
          <w:p w14:paraId="5A246C62" w14:textId="6CD3A2FE" w:rsidR="005E0B8E" w:rsidRPr="005E0B8E" w:rsidRDefault="005E0B8E" w:rsidP="005E0B8E">
            <w:pPr>
              <w:spacing w:after="0" w:line="240" w:lineRule="auto"/>
              <w:rPr>
                <w:rFonts w:ascii="Calibri" w:eastAsia="Times New Roman" w:hAnsi="Calibri" w:cs="Calibri"/>
                <w:color w:val="000000"/>
                <w:lang w:eastAsia="en-CA"/>
              </w:rPr>
            </w:pPr>
            <w:r w:rsidRPr="005E0B8E">
              <w:rPr>
                <w:rFonts w:ascii="Calibri" w:hAnsi="Calibri" w:cs="Calibri"/>
                <w:color w:val="000000"/>
              </w:rPr>
              <w:t>Nardelli et al, 2018</w:t>
            </w:r>
          </w:p>
        </w:tc>
        <w:tc>
          <w:tcPr>
            <w:tcW w:w="2119" w:type="dxa"/>
            <w:tcBorders>
              <w:top w:val="nil"/>
              <w:left w:val="nil"/>
              <w:bottom w:val="nil"/>
              <w:right w:val="nil"/>
            </w:tcBorders>
            <w:shd w:val="clear" w:color="auto" w:fill="auto"/>
            <w:vAlign w:val="center"/>
          </w:tcPr>
          <w:p w14:paraId="425EDDDE" w14:textId="009A46B1"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Cohort</w:t>
            </w:r>
          </w:p>
        </w:tc>
        <w:tc>
          <w:tcPr>
            <w:tcW w:w="1209" w:type="dxa"/>
            <w:tcBorders>
              <w:top w:val="nil"/>
              <w:left w:val="nil"/>
              <w:bottom w:val="nil"/>
              <w:right w:val="nil"/>
            </w:tcBorders>
            <w:shd w:val="clear" w:color="auto" w:fill="auto"/>
            <w:vAlign w:val="center"/>
          </w:tcPr>
          <w:p w14:paraId="4C726790" w14:textId="3996939F"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232" w:type="dxa"/>
            <w:tcBorders>
              <w:top w:val="nil"/>
              <w:left w:val="nil"/>
              <w:bottom w:val="nil"/>
              <w:right w:val="nil"/>
            </w:tcBorders>
            <w:shd w:val="clear" w:color="auto" w:fill="auto"/>
            <w:vAlign w:val="center"/>
          </w:tcPr>
          <w:p w14:paraId="5BFBD7F4" w14:textId="60AA11C1"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621" w:type="dxa"/>
            <w:tcBorders>
              <w:top w:val="nil"/>
              <w:left w:val="nil"/>
              <w:bottom w:val="nil"/>
              <w:right w:val="nil"/>
            </w:tcBorders>
            <w:shd w:val="clear" w:color="auto" w:fill="auto"/>
            <w:vAlign w:val="center"/>
          </w:tcPr>
          <w:p w14:paraId="679880E8" w14:textId="7777F9FE"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604" w:type="dxa"/>
            <w:tcBorders>
              <w:top w:val="nil"/>
              <w:left w:val="nil"/>
              <w:bottom w:val="nil"/>
              <w:right w:val="nil"/>
            </w:tcBorders>
            <w:shd w:val="clear" w:color="000000" w:fill="F2F2F2"/>
            <w:vAlign w:val="center"/>
          </w:tcPr>
          <w:p w14:paraId="6096393E"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tcPr>
          <w:p w14:paraId="7E1EEE1D"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r>
      <w:tr w:rsidR="005E0B8E" w:rsidRPr="005E0B8E" w14:paraId="0ECD0C89" w14:textId="77777777" w:rsidTr="000707B8">
        <w:trPr>
          <w:trHeight w:val="390"/>
        </w:trPr>
        <w:tc>
          <w:tcPr>
            <w:tcW w:w="3263" w:type="dxa"/>
            <w:tcBorders>
              <w:top w:val="nil"/>
              <w:left w:val="nil"/>
              <w:bottom w:val="nil"/>
              <w:right w:val="nil"/>
            </w:tcBorders>
            <w:shd w:val="clear" w:color="auto" w:fill="auto"/>
            <w:vAlign w:val="center"/>
          </w:tcPr>
          <w:p w14:paraId="023FEA04" w14:textId="0E20E47C" w:rsidR="005E0B8E" w:rsidRPr="005E0B8E" w:rsidRDefault="005E0B8E" w:rsidP="005E0B8E">
            <w:pPr>
              <w:spacing w:after="0" w:line="240" w:lineRule="auto"/>
              <w:rPr>
                <w:rFonts w:ascii="Calibri" w:eastAsia="Times New Roman" w:hAnsi="Calibri" w:cs="Calibri"/>
                <w:color w:val="000000"/>
                <w:lang w:eastAsia="en-CA"/>
              </w:rPr>
            </w:pPr>
            <w:r w:rsidRPr="005E0B8E">
              <w:rPr>
                <w:rFonts w:ascii="Calibri" w:hAnsi="Calibri" w:cs="Calibri"/>
                <w:color w:val="000000"/>
              </w:rPr>
              <w:t>Nguyen et al, 2018</w:t>
            </w:r>
          </w:p>
        </w:tc>
        <w:tc>
          <w:tcPr>
            <w:tcW w:w="2119" w:type="dxa"/>
            <w:tcBorders>
              <w:top w:val="nil"/>
              <w:left w:val="nil"/>
              <w:bottom w:val="nil"/>
              <w:right w:val="nil"/>
            </w:tcBorders>
            <w:shd w:val="clear" w:color="auto" w:fill="auto"/>
            <w:vAlign w:val="center"/>
          </w:tcPr>
          <w:p w14:paraId="69015AD7" w14:textId="3747542D"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Cohort</w:t>
            </w:r>
          </w:p>
        </w:tc>
        <w:tc>
          <w:tcPr>
            <w:tcW w:w="1209" w:type="dxa"/>
            <w:tcBorders>
              <w:top w:val="nil"/>
              <w:left w:val="nil"/>
              <w:bottom w:val="nil"/>
              <w:right w:val="nil"/>
            </w:tcBorders>
            <w:shd w:val="clear" w:color="auto" w:fill="auto"/>
            <w:vAlign w:val="center"/>
          </w:tcPr>
          <w:p w14:paraId="7406DD92" w14:textId="46750D6D"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232" w:type="dxa"/>
            <w:tcBorders>
              <w:top w:val="nil"/>
              <w:left w:val="nil"/>
              <w:bottom w:val="nil"/>
              <w:right w:val="nil"/>
            </w:tcBorders>
            <w:shd w:val="clear" w:color="auto" w:fill="auto"/>
            <w:vAlign w:val="center"/>
          </w:tcPr>
          <w:p w14:paraId="466F175C" w14:textId="1390E897"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621" w:type="dxa"/>
            <w:tcBorders>
              <w:top w:val="nil"/>
              <w:left w:val="nil"/>
              <w:bottom w:val="nil"/>
              <w:right w:val="nil"/>
            </w:tcBorders>
            <w:shd w:val="clear" w:color="auto" w:fill="auto"/>
            <w:vAlign w:val="center"/>
          </w:tcPr>
          <w:p w14:paraId="2EDFFEDD" w14:textId="3937A21A"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604" w:type="dxa"/>
            <w:tcBorders>
              <w:top w:val="nil"/>
              <w:left w:val="nil"/>
              <w:bottom w:val="nil"/>
              <w:right w:val="nil"/>
            </w:tcBorders>
            <w:shd w:val="clear" w:color="000000" w:fill="F2F2F2"/>
            <w:vAlign w:val="center"/>
          </w:tcPr>
          <w:p w14:paraId="624120FA"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tcPr>
          <w:p w14:paraId="779AF59A"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r>
      <w:tr w:rsidR="00C91F71" w:rsidRPr="005E0B8E" w14:paraId="309F2E91" w14:textId="77777777" w:rsidTr="000707B8">
        <w:trPr>
          <w:trHeight w:val="390"/>
        </w:trPr>
        <w:tc>
          <w:tcPr>
            <w:tcW w:w="3263" w:type="dxa"/>
            <w:tcBorders>
              <w:top w:val="nil"/>
              <w:left w:val="nil"/>
              <w:bottom w:val="nil"/>
              <w:right w:val="nil"/>
            </w:tcBorders>
            <w:shd w:val="clear" w:color="auto" w:fill="auto"/>
            <w:vAlign w:val="center"/>
            <w:hideMark/>
          </w:tcPr>
          <w:p w14:paraId="63A0D88C"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O’Donoghue et al, 2009</w:t>
            </w:r>
          </w:p>
        </w:tc>
        <w:tc>
          <w:tcPr>
            <w:tcW w:w="2119" w:type="dxa"/>
            <w:tcBorders>
              <w:top w:val="nil"/>
              <w:left w:val="nil"/>
              <w:bottom w:val="nil"/>
              <w:right w:val="nil"/>
            </w:tcBorders>
            <w:shd w:val="clear" w:color="auto" w:fill="auto"/>
            <w:vAlign w:val="center"/>
            <w:hideMark/>
          </w:tcPr>
          <w:p w14:paraId="2CA06846"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20CD111C"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7616242E"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4A76DDB7"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4D2489A0" w14:textId="41FDDC31"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0DC0984B" w14:textId="42F50AD5"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48215CE0" w14:textId="77777777" w:rsidTr="000707B8">
        <w:trPr>
          <w:trHeight w:val="390"/>
        </w:trPr>
        <w:tc>
          <w:tcPr>
            <w:tcW w:w="3263" w:type="dxa"/>
            <w:tcBorders>
              <w:top w:val="nil"/>
              <w:left w:val="nil"/>
              <w:bottom w:val="nil"/>
              <w:right w:val="nil"/>
            </w:tcBorders>
            <w:shd w:val="clear" w:color="auto" w:fill="auto"/>
            <w:vAlign w:val="center"/>
            <w:hideMark/>
          </w:tcPr>
          <w:p w14:paraId="65CA48CA"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Ortolani et al, 2012</w:t>
            </w:r>
          </w:p>
        </w:tc>
        <w:tc>
          <w:tcPr>
            <w:tcW w:w="2119" w:type="dxa"/>
            <w:tcBorders>
              <w:top w:val="nil"/>
              <w:left w:val="nil"/>
              <w:bottom w:val="nil"/>
              <w:right w:val="nil"/>
            </w:tcBorders>
            <w:shd w:val="clear" w:color="auto" w:fill="auto"/>
            <w:vAlign w:val="center"/>
            <w:hideMark/>
          </w:tcPr>
          <w:p w14:paraId="1C575E9A"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5ED4FF07"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2C489B84"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7882E6F9"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50E3DE5C" w14:textId="4DAD6EB6"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50D64BA8" w14:textId="117D1416"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4F20F27F" w14:textId="77777777" w:rsidTr="000707B8">
        <w:trPr>
          <w:trHeight w:val="390"/>
        </w:trPr>
        <w:tc>
          <w:tcPr>
            <w:tcW w:w="3263" w:type="dxa"/>
            <w:tcBorders>
              <w:top w:val="nil"/>
              <w:left w:val="nil"/>
              <w:bottom w:val="nil"/>
              <w:right w:val="nil"/>
            </w:tcBorders>
            <w:shd w:val="clear" w:color="auto" w:fill="auto"/>
            <w:vAlign w:val="center"/>
            <w:hideMark/>
          </w:tcPr>
          <w:p w14:paraId="42F4C5FB"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Oudit et al, 2011</w:t>
            </w:r>
          </w:p>
        </w:tc>
        <w:tc>
          <w:tcPr>
            <w:tcW w:w="2119" w:type="dxa"/>
            <w:tcBorders>
              <w:top w:val="nil"/>
              <w:left w:val="nil"/>
              <w:bottom w:val="nil"/>
              <w:right w:val="nil"/>
            </w:tcBorders>
            <w:shd w:val="clear" w:color="auto" w:fill="auto"/>
            <w:vAlign w:val="center"/>
            <w:hideMark/>
          </w:tcPr>
          <w:p w14:paraId="435C0866"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3CBAFF35"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6CDD5909"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02ADA4BC"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5A957A84" w14:textId="06784CEA"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3389F8F7" w14:textId="502B53F8"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27D99789" w14:textId="77777777" w:rsidTr="000707B8">
        <w:trPr>
          <w:trHeight w:val="390"/>
        </w:trPr>
        <w:tc>
          <w:tcPr>
            <w:tcW w:w="3263" w:type="dxa"/>
            <w:tcBorders>
              <w:top w:val="nil"/>
              <w:left w:val="nil"/>
              <w:bottom w:val="nil"/>
              <w:right w:val="nil"/>
            </w:tcBorders>
            <w:shd w:val="clear" w:color="auto" w:fill="auto"/>
            <w:vAlign w:val="center"/>
            <w:hideMark/>
          </w:tcPr>
          <w:p w14:paraId="3E03D904"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Rassen et al, 2009</w:t>
            </w:r>
          </w:p>
        </w:tc>
        <w:tc>
          <w:tcPr>
            <w:tcW w:w="2119" w:type="dxa"/>
            <w:tcBorders>
              <w:top w:val="nil"/>
              <w:left w:val="nil"/>
              <w:bottom w:val="nil"/>
              <w:right w:val="nil"/>
            </w:tcBorders>
            <w:shd w:val="clear" w:color="auto" w:fill="auto"/>
            <w:vAlign w:val="center"/>
            <w:hideMark/>
          </w:tcPr>
          <w:p w14:paraId="34A930FE"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59C93F23"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18880AC4"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3611CE01"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6418DD2B" w14:textId="29413C51"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28E9AE89" w14:textId="46B3C67E"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1D518EFA" w14:textId="77777777" w:rsidTr="000707B8">
        <w:trPr>
          <w:trHeight w:val="390"/>
        </w:trPr>
        <w:tc>
          <w:tcPr>
            <w:tcW w:w="3263" w:type="dxa"/>
            <w:tcBorders>
              <w:top w:val="nil"/>
              <w:left w:val="nil"/>
              <w:bottom w:val="nil"/>
              <w:right w:val="nil"/>
            </w:tcBorders>
            <w:shd w:val="clear" w:color="auto" w:fill="auto"/>
            <w:vAlign w:val="center"/>
            <w:hideMark/>
          </w:tcPr>
          <w:p w14:paraId="61972D79"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Ray et al, 2010</w:t>
            </w:r>
          </w:p>
        </w:tc>
        <w:tc>
          <w:tcPr>
            <w:tcW w:w="2119" w:type="dxa"/>
            <w:tcBorders>
              <w:top w:val="nil"/>
              <w:left w:val="nil"/>
              <w:bottom w:val="nil"/>
              <w:right w:val="nil"/>
            </w:tcBorders>
            <w:shd w:val="clear" w:color="auto" w:fill="auto"/>
            <w:vAlign w:val="center"/>
            <w:hideMark/>
          </w:tcPr>
          <w:p w14:paraId="7FB85877"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5E26C171"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0FD801C4"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6CC87D63"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627F4037" w14:textId="79D2AC28"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46CF648F" w14:textId="22237950"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12FCAF0A" w14:textId="77777777" w:rsidTr="000707B8">
        <w:trPr>
          <w:trHeight w:val="390"/>
        </w:trPr>
        <w:tc>
          <w:tcPr>
            <w:tcW w:w="3263" w:type="dxa"/>
            <w:tcBorders>
              <w:top w:val="nil"/>
              <w:left w:val="nil"/>
              <w:bottom w:val="nil"/>
              <w:right w:val="nil"/>
            </w:tcBorders>
            <w:shd w:val="clear" w:color="auto" w:fill="auto"/>
            <w:vAlign w:val="center"/>
            <w:hideMark/>
          </w:tcPr>
          <w:p w14:paraId="5CE6DC2B"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Rossini et al, 2011</w:t>
            </w:r>
          </w:p>
        </w:tc>
        <w:tc>
          <w:tcPr>
            <w:tcW w:w="2119" w:type="dxa"/>
            <w:tcBorders>
              <w:top w:val="nil"/>
              <w:left w:val="nil"/>
              <w:bottom w:val="nil"/>
              <w:right w:val="nil"/>
            </w:tcBorders>
            <w:shd w:val="clear" w:color="auto" w:fill="auto"/>
            <w:vAlign w:val="center"/>
            <w:hideMark/>
          </w:tcPr>
          <w:p w14:paraId="1F99452D"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55FF83DF"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4672E883"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414ED603" w14:textId="45F1B26D"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604" w:type="dxa"/>
            <w:tcBorders>
              <w:top w:val="nil"/>
              <w:left w:val="nil"/>
              <w:bottom w:val="nil"/>
              <w:right w:val="nil"/>
            </w:tcBorders>
            <w:shd w:val="clear" w:color="auto" w:fill="F2F2F2" w:themeFill="background1" w:themeFillShade="F2"/>
            <w:vAlign w:val="center"/>
            <w:hideMark/>
          </w:tcPr>
          <w:p w14:paraId="08750490" w14:textId="6456DA8F"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auto" w:fill="F2F2F2" w:themeFill="background1" w:themeFillShade="F2"/>
            <w:vAlign w:val="center"/>
            <w:hideMark/>
          </w:tcPr>
          <w:p w14:paraId="0C3CC921" w14:textId="730B8D6B"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7F76B96A" w14:textId="77777777" w:rsidTr="000707B8">
        <w:trPr>
          <w:trHeight w:val="390"/>
        </w:trPr>
        <w:tc>
          <w:tcPr>
            <w:tcW w:w="3263" w:type="dxa"/>
            <w:tcBorders>
              <w:top w:val="nil"/>
              <w:left w:val="nil"/>
              <w:bottom w:val="nil"/>
              <w:right w:val="nil"/>
            </w:tcBorders>
            <w:shd w:val="clear" w:color="auto" w:fill="auto"/>
            <w:vAlign w:val="center"/>
            <w:hideMark/>
          </w:tcPr>
          <w:p w14:paraId="02D3C104"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Sarafoff et al, 2010</w:t>
            </w:r>
          </w:p>
        </w:tc>
        <w:tc>
          <w:tcPr>
            <w:tcW w:w="2119" w:type="dxa"/>
            <w:tcBorders>
              <w:top w:val="nil"/>
              <w:left w:val="nil"/>
              <w:bottom w:val="nil"/>
              <w:right w:val="nil"/>
            </w:tcBorders>
            <w:shd w:val="clear" w:color="auto" w:fill="auto"/>
            <w:vAlign w:val="center"/>
            <w:hideMark/>
          </w:tcPr>
          <w:p w14:paraId="10A07AA4"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778DA44B"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0FE4C35D"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562792D6"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auto" w:fill="F2F2F2" w:themeFill="background1" w:themeFillShade="F2"/>
            <w:vAlign w:val="center"/>
            <w:hideMark/>
          </w:tcPr>
          <w:p w14:paraId="47390398" w14:textId="1D3D2A2C"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auto" w:fill="F2F2F2" w:themeFill="background1" w:themeFillShade="F2"/>
            <w:vAlign w:val="center"/>
            <w:hideMark/>
          </w:tcPr>
          <w:p w14:paraId="714BAE9D" w14:textId="4E87ADD4" w:rsidR="00C91F71" w:rsidRPr="005E0B8E" w:rsidRDefault="00C91F71" w:rsidP="005E0B8E">
            <w:pPr>
              <w:spacing w:after="0" w:line="240" w:lineRule="auto"/>
              <w:jc w:val="center"/>
              <w:rPr>
                <w:rFonts w:ascii="Calibri" w:eastAsia="Times New Roman" w:hAnsi="Calibri" w:cs="Calibri"/>
                <w:color w:val="000000"/>
                <w:lang w:eastAsia="en-CA"/>
              </w:rPr>
            </w:pPr>
          </w:p>
        </w:tc>
      </w:tr>
      <w:tr w:rsidR="005E0B8E" w:rsidRPr="005E0B8E" w14:paraId="7A18575F" w14:textId="77777777" w:rsidTr="000707B8">
        <w:trPr>
          <w:trHeight w:val="390"/>
        </w:trPr>
        <w:tc>
          <w:tcPr>
            <w:tcW w:w="3263" w:type="dxa"/>
            <w:tcBorders>
              <w:top w:val="nil"/>
              <w:left w:val="nil"/>
              <w:bottom w:val="nil"/>
              <w:right w:val="nil"/>
            </w:tcBorders>
            <w:shd w:val="clear" w:color="auto" w:fill="auto"/>
            <w:vAlign w:val="center"/>
          </w:tcPr>
          <w:p w14:paraId="66D70338" w14:textId="1EEA266A" w:rsidR="005E0B8E" w:rsidRPr="005E0B8E" w:rsidRDefault="005E0B8E"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Sehested et al, 2018</w:t>
            </w:r>
          </w:p>
        </w:tc>
        <w:tc>
          <w:tcPr>
            <w:tcW w:w="2119" w:type="dxa"/>
            <w:tcBorders>
              <w:top w:val="nil"/>
              <w:left w:val="nil"/>
              <w:bottom w:val="nil"/>
              <w:right w:val="nil"/>
            </w:tcBorders>
            <w:shd w:val="clear" w:color="auto" w:fill="auto"/>
            <w:vAlign w:val="center"/>
          </w:tcPr>
          <w:p w14:paraId="61A37ACC" w14:textId="42ADF809" w:rsidR="005E0B8E" w:rsidRPr="005E0B8E" w:rsidRDefault="005E0B8E" w:rsidP="005E0B8E">
            <w:pPr>
              <w:spacing w:after="0" w:line="240" w:lineRule="auto"/>
              <w:jc w:val="center"/>
              <w:rPr>
                <w:rFonts w:ascii="Calibri" w:eastAsia="Times New Roman" w:hAnsi="Calibri" w:cs="Calibri"/>
                <w:color w:val="000000"/>
                <w:lang w:eastAsia="en-CA"/>
              </w:rPr>
            </w:pPr>
            <w:r w:rsidRPr="005E0B8E">
              <w:t>Cohort</w:t>
            </w:r>
          </w:p>
        </w:tc>
        <w:tc>
          <w:tcPr>
            <w:tcW w:w="1209" w:type="dxa"/>
            <w:tcBorders>
              <w:top w:val="nil"/>
              <w:left w:val="nil"/>
              <w:bottom w:val="nil"/>
              <w:right w:val="nil"/>
            </w:tcBorders>
            <w:shd w:val="clear" w:color="auto" w:fill="auto"/>
            <w:vAlign w:val="center"/>
          </w:tcPr>
          <w:p w14:paraId="57AABCD3" w14:textId="27115753" w:rsidR="005E0B8E" w:rsidRPr="005E0B8E" w:rsidRDefault="005E0B8E" w:rsidP="005E0B8E">
            <w:pPr>
              <w:spacing w:after="0" w:line="240" w:lineRule="auto"/>
              <w:jc w:val="center"/>
              <w:rPr>
                <w:rFonts w:ascii="Calibri" w:eastAsia="Times New Roman" w:hAnsi="Calibri" w:cs="Calibri"/>
                <w:color w:val="000000"/>
                <w:lang w:eastAsia="en-CA"/>
              </w:rPr>
            </w:pPr>
            <w:r w:rsidRPr="005E0B8E">
              <w:t>****</w:t>
            </w:r>
          </w:p>
        </w:tc>
        <w:tc>
          <w:tcPr>
            <w:tcW w:w="1232" w:type="dxa"/>
            <w:tcBorders>
              <w:top w:val="nil"/>
              <w:left w:val="nil"/>
              <w:bottom w:val="nil"/>
              <w:right w:val="nil"/>
            </w:tcBorders>
            <w:shd w:val="clear" w:color="auto" w:fill="auto"/>
            <w:vAlign w:val="center"/>
          </w:tcPr>
          <w:p w14:paraId="4C1AC6E3" w14:textId="5F4FCDC3" w:rsidR="005E0B8E" w:rsidRPr="005E0B8E" w:rsidRDefault="005E0B8E" w:rsidP="005E0B8E">
            <w:pPr>
              <w:spacing w:after="0" w:line="240" w:lineRule="auto"/>
              <w:jc w:val="center"/>
              <w:rPr>
                <w:rFonts w:ascii="Calibri" w:eastAsia="Times New Roman" w:hAnsi="Calibri" w:cs="Calibri"/>
                <w:color w:val="000000"/>
                <w:lang w:eastAsia="en-CA"/>
              </w:rPr>
            </w:pPr>
            <w:r w:rsidRPr="005E0B8E">
              <w:t>***</w:t>
            </w:r>
          </w:p>
        </w:tc>
        <w:tc>
          <w:tcPr>
            <w:tcW w:w="1621" w:type="dxa"/>
            <w:tcBorders>
              <w:top w:val="nil"/>
              <w:left w:val="nil"/>
              <w:bottom w:val="nil"/>
              <w:right w:val="nil"/>
            </w:tcBorders>
            <w:shd w:val="clear" w:color="auto" w:fill="auto"/>
            <w:vAlign w:val="center"/>
          </w:tcPr>
          <w:p w14:paraId="3A4CE34F" w14:textId="13959E0A" w:rsidR="005E0B8E" w:rsidRPr="005E0B8E" w:rsidRDefault="005E0B8E" w:rsidP="005E0B8E">
            <w:pPr>
              <w:spacing w:after="0" w:line="240" w:lineRule="auto"/>
              <w:jc w:val="center"/>
              <w:rPr>
                <w:rFonts w:ascii="Calibri" w:eastAsia="Times New Roman" w:hAnsi="Calibri" w:cs="Calibri"/>
                <w:color w:val="000000"/>
                <w:lang w:eastAsia="en-CA"/>
              </w:rPr>
            </w:pPr>
            <w:r w:rsidRPr="005E0B8E">
              <w:t>**</w:t>
            </w:r>
          </w:p>
        </w:tc>
        <w:tc>
          <w:tcPr>
            <w:tcW w:w="1604" w:type="dxa"/>
            <w:tcBorders>
              <w:top w:val="nil"/>
              <w:left w:val="nil"/>
              <w:bottom w:val="nil"/>
              <w:right w:val="nil"/>
            </w:tcBorders>
            <w:shd w:val="clear" w:color="auto" w:fill="F2F2F2" w:themeFill="background1" w:themeFillShade="F2"/>
            <w:vAlign w:val="center"/>
          </w:tcPr>
          <w:p w14:paraId="32B9164E"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auto" w:fill="F2F2F2" w:themeFill="background1" w:themeFillShade="F2"/>
            <w:vAlign w:val="center"/>
          </w:tcPr>
          <w:p w14:paraId="0199888E"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r>
      <w:tr w:rsidR="00C91F71" w:rsidRPr="005E0B8E" w14:paraId="226CE6FE" w14:textId="77777777" w:rsidTr="000707B8">
        <w:trPr>
          <w:trHeight w:val="390"/>
        </w:trPr>
        <w:tc>
          <w:tcPr>
            <w:tcW w:w="3263" w:type="dxa"/>
            <w:tcBorders>
              <w:top w:val="nil"/>
              <w:left w:val="nil"/>
              <w:bottom w:val="nil"/>
              <w:right w:val="nil"/>
            </w:tcBorders>
            <w:shd w:val="clear" w:color="auto" w:fill="auto"/>
            <w:vAlign w:val="center"/>
            <w:hideMark/>
          </w:tcPr>
          <w:p w14:paraId="08B4056E"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Shih et al, 2014</w:t>
            </w:r>
          </w:p>
        </w:tc>
        <w:tc>
          <w:tcPr>
            <w:tcW w:w="2119" w:type="dxa"/>
            <w:tcBorders>
              <w:top w:val="nil"/>
              <w:left w:val="nil"/>
              <w:bottom w:val="nil"/>
              <w:right w:val="nil"/>
            </w:tcBorders>
            <w:shd w:val="clear" w:color="auto" w:fill="auto"/>
            <w:vAlign w:val="center"/>
            <w:hideMark/>
          </w:tcPr>
          <w:p w14:paraId="7D41126B"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446C7B52"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10C3DAB9"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44AAAE31"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auto" w:fill="F2F2F2" w:themeFill="background1" w:themeFillShade="F2"/>
            <w:vAlign w:val="center"/>
            <w:hideMark/>
          </w:tcPr>
          <w:p w14:paraId="62E97679" w14:textId="462481AC"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auto" w:fill="F2F2F2" w:themeFill="background1" w:themeFillShade="F2"/>
            <w:vAlign w:val="center"/>
            <w:hideMark/>
          </w:tcPr>
          <w:p w14:paraId="3172F6A5" w14:textId="018F6D4B"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1622A086" w14:textId="77777777" w:rsidTr="000707B8">
        <w:trPr>
          <w:trHeight w:val="390"/>
        </w:trPr>
        <w:tc>
          <w:tcPr>
            <w:tcW w:w="3263" w:type="dxa"/>
            <w:tcBorders>
              <w:top w:val="nil"/>
              <w:left w:val="nil"/>
              <w:bottom w:val="nil"/>
              <w:right w:val="nil"/>
            </w:tcBorders>
            <w:shd w:val="clear" w:color="auto" w:fill="auto"/>
            <w:vAlign w:val="center"/>
            <w:hideMark/>
          </w:tcPr>
          <w:p w14:paraId="46E669F3"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Simon et al, 2016</w:t>
            </w:r>
          </w:p>
        </w:tc>
        <w:tc>
          <w:tcPr>
            <w:tcW w:w="2119" w:type="dxa"/>
            <w:tcBorders>
              <w:top w:val="nil"/>
              <w:left w:val="nil"/>
              <w:bottom w:val="nil"/>
              <w:right w:val="nil"/>
            </w:tcBorders>
            <w:shd w:val="clear" w:color="auto" w:fill="auto"/>
            <w:vAlign w:val="center"/>
            <w:hideMark/>
          </w:tcPr>
          <w:p w14:paraId="107B7AA7"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6C1D174E"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331405D8"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223108B6"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auto" w:fill="F2F2F2" w:themeFill="background1" w:themeFillShade="F2"/>
            <w:vAlign w:val="center"/>
            <w:hideMark/>
          </w:tcPr>
          <w:p w14:paraId="4E27EE68" w14:textId="7660867F"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auto" w:fill="F2F2F2" w:themeFill="background1" w:themeFillShade="F2"/>
            <w:vAlign w:val="center"/>
            <w:hideMark/>
          </w:tcPr>
          <w:p w14:paraId="6CF1DFC6" w14:textId="7014B570"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0FAE8E3C" w14:textId="77777777" w:rsidTr="000707B8">
        <w:trPr>
          <w:trHeight w:val="390"/>
        </w:trPr>
        <w:tc>
          <w:tcPr>
            <w:tcW w:w="3263" w:type="dxa"/>
            <w:tcBorders>
              <w:top w:val="nil"/>
              <w:left w:val="nil"/>
              <w:bottom w:val="nil"/>
              <w:right w:val="nil"/>
            </w:tcBorders>
            <w:shd w:val="clear" w:color="auto" w:fill="auto"/>
            <w:vAlign w:val="center"/>
            <w:hideMark/>
          </w:tcPr>
          <w:p w14:paraId="4974F63E"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Simon et al, 2016</w:t>
            </w:r>
          </w:p>
        </w:tc>
        <w:tc>
          <w:tcPr>
            <w:tcW w:w="2119" w:type="dxa"/>
            <w:tcBorders>
              <w:top w:val="nil"/>
              <w:left w:val="nil"/>
              <w:bottom w:val="nil"/>
              <w:right w:val="nil"/>
            </w:tcBorders>
            <w:shd w:val="clear" w:color="auto" w:fill="auto"/>
            <w:vAlign w:val="center"/>
            <w:hideMark/>
          </w:tcPr>
          <w:p w14:paraId="27177FE4"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4B921FB9"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3FD7EA80"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594C18B9"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575D6472" w14:textId="65818671"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34E35131" w14:textId="350F8786"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4C4253D7" w14:textId="77777777" w:rsidTr="000707B8">
        <w:trPr>
          <w:trHeight w:val="390"/>
        </w:trPr>
        <w:tc>
          <w:tcPr>
            <w:tcW w:w="3263" w:type="dxa"/>
            <w:tcBorders>
              <w:top w:val="nil"/>
              <w:left w:val="nil"/>
              <w:bottom w:val="nil"/>
              <w:right w:val="nil"/>
            </w:tcBorders>
            <w:shd w:val="clear" w:color="auto" w:fill="auto"/>
            <w:vAlign w:val="center"/>
            <w:hideMark/>
          </w:tcPr>
          <w:p w14:paraId="36934793"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Tentzeris et al, 2010</w:t>
            </w:r>
          </w:p>
        </w:tc>
        <w:tc>
          <w:tcPr>
            <w:tcW w:w="2119" w:type="dxa"/>
            <w:tcBorders>
              <w:top w:val="nil"/>
              <w:left w:val="nil"/>
              <w:bottom w:val="nil"/>
              <w:right w:val="nil"/>
            </w:tcBorders>
            <w:shd w:val="clear" w:color="auto" w:fill="auto"/>
            <w:vAlign w:val="center"/>
            <w:hideMark/>
          </w:tcPr>
          <w:p w14:paraId="4B2D9995"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2F69D866"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0A9F90C8"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26820653"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6539646F" w14:textId="2FCEFDCA"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65CEDEB3" w14:textId="32EB0D9E"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51A4D11B" w14:textId="77777777" w:rsidTr="000707B8">
        <w:trPr>
          <w:trHeight w:val="390"/>
        </w:trPr>
        <w:tc>
          <w:tcPr>
            <w:tcW w:w="3263" w:type="dxa"/>
            <w:tcBorders>
              <w:top w:val="nil"/>
              <w:left w:val="nil"/>
              <w:bottom w:val="nil"/>
              <w:right w:val="nil"/>
            </w:tcBorders>
            <w:shd w:val="clear" w:color="auto" w:fill="auto"/>
            <w:vAlign w:val="center"/>
            <w:hideMark/>
          </w:tcPr>
          <w:p w14:paraId="27973EA4"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Teramura-Grönblad et al, 2012</w:t>
            </w:r>
          </w:p>
        </w:tc>
        <w:tc>
          <w:tcPr>
            <w:tcW w:w="2119" w:type="dxa"/>
            <w:tcBorders>
              <w:top w:val="nil"/>
              <w:left w:val="nil"/>
              <w:bottom w:val="nil"/>
              <w:right w:val="nil"/>
            </w:tcBorders>
            <w:shd w:val="clear" w:color="auto" w:fill="auto"/>
            <w:vAlign w:val="center"/>
            <w:hideMark/>
          </w:tcPr>
          <w:p w14:paraId="704AE3C1"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04105C93"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02BC37D1"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09B5FA30"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254BABD4" w14:textId="7E763B10"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630BAAD0" w14:textId="18C4DEC2"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44D2E393" w14:textId="77777777" w:rsidTr="000707B8">
        <w:trPr>
          <w:trHeight w:val="390"/>
        </w:trPr>
        <w:tc>
          <w:tcPr>
            <w:tcW w:w="3263" w:type="dxa"/>
            <w:tcBorders>
              <w:top w:val="nil"/>
              <w:left w:val="nil"/>
              <w:bottom w:val="nil"/>
              <w:right w:val="nil"/>
            </w:tcBorders>
            <w:shd w:val="clear" w:color="auto" w:fill="auto"/>
            <w:vAlign w:val="center"/>
            <w:hideMark/>
          </w:tcPr>
          <w:p w14:paraId="3AF6CB61"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van Boxel et al, 2010</w:t>
            </w:r>
          </w:p>
        </w:tc>
        <w:tc>
          <w:tcPr>
            <w:tcW w:w="2119" w:type="dxa"/>
            <w:tcBorders>
              <w:top w:val="nil"/>
              <w:left w:val="nil"/>
              <w:bottom w:val="nil"/>
              <w:right w:val="nil"/>
            </w:tcBorders>
            <w:shd w:val="clear" w:color="auto" w:fill="auto"/>
            <w:vAlign w:val="center"/>
            <w:hideMark/>
          </w:tcPr>
          <w:p w14:paraId="28E52886"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7A505FD0"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7878A52C"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47657781"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1AA666B5" w14:textId="53A27B63"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7CBEF53B" w14:textId="1B6466AD"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5B244657" w14:textId="77777777" w:rsidTr="000707B8">
        <w:trPr>
          <w:trHeight w:val="390"/>
        </w:trPr>
        <w:tc>
          <w:tcPr>
            <w:tcW w:w="3263" w:type="dxa"/>
            <w:tcBorders>
              <w:top w:val="nil"/>
              <w:left w:val="nil"/>
              <w:bottom w:val="nil"/>
              <w:right w:val="nil"/>
            </w:tcBorders>
            <w:shd w:val="clear" w:color="auto" w:fill="auto"/>
            <w:vAlign w:val="center"/>
            <w:hideMark/>
          </w:tcPr>
          <w:p w14:paraId="69716414"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Wang et al, 2014</w:t>
            </w:r>
          </w:p>
        </w:tc>
        <w:tc>
          <w:tcPr>
            <w:tcW w:w="2119" w:type="dxa"/>
            <w:tcBorders>
              <w:top w:val="nil"/>
              <w:left w:val="nil"/>
              <w:bottom w:val="nil"/>
              <w:right w:val="nil"/>
            </w:tcBorders>
            <w:shd w:val="clear" w:color="auto" w:fill="auto"/>
            <w:vAlign w:val="center"/>
            <w:hideMark/>
          </w:tcPr>
          <w:p w14:paraId="3E193FC3"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69AFF647"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1E87E4DA"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5E63379D"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1F59799F" w14:textId="75C3A8ED"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469B9EB4" w14:textId="6E348122" w:rsidR="00C91F71" w:rsidRPr="005E0B8E" w:rsidRDefault="00C91F71" w:rsidP="005E0B8E">
            <w:pPr>
              <w:spacing w:after="0" w:line="240" w:lineRule="auto"/>
              <w:jc w:val="center"/>
              <w:rPr>
                <w:rFonts w:ascii="Calibri" w:eastAsia="Times New Roman" w:hAnsi="Calibri" w:cs="Calibri"/>
                <w:color w:val="000000"/>
                <w:lang w:eastAsia="en-CA"/>
              </w:rPr>
            </w:pPr>
          </w:p>
        </w:tc>
      </w:tr>
      <w:tr w:rsidR="005E0B8E" w:rsidRPr="005E0B8E" w14:paraId="2A95EDEE" w14:textId="77777777" w:rsidTr="000707B8">
        <w:trPr>
          <w:trHeight w:val="390"/>
        </w:trPr>
        <w:tc>
          <w:tcPr>
            <w:tcW w:w="3263" w:type="dxa"/>
            <w:tcBorders>
              <w:top w:val="nil"/>
              <w:left w:val="nil"/>
              <w:bottom w:val="nil"/>
              <w:right w:val="nil"/>
            </w:tcBorders>
            <w:shd w:val="clear" w:color="auto" w:fill="auto"/>
            <w:vAlign w:val="center"/>
          </w:tcPr>
          <w:p w14:paraId="4820E33E" w14:textId="17D08149" w:rsidR="005E0B8E" w:rsidRPr="005E0B8E" w:rsidRDefault="005E0B8E" w:rsidP="005E0B8E">
            <w:pPr>
              <w:spacing w:after="0" w:line="240" w:lineRule="auto"/>
              <w:rPr>
                <w:rFonts w:ascii="Calibri" w:eastAsia="Times New Roman" w:hAnsi="Calibri" w:cs="Calibri"/>
                <w:color w:val="000000"/>
                <w:lang w:eastAsia="en-CA"/>
              </w:rPr>
            </w:pPr>
            <w:r w:rsidRPr="005E0B8E">
              <w:rPr>
                <w:rFonts w:ascii="Calibri" w:hAnsi="Calibri" w:cs="Calibri"/>
                <w:color w:val="000000"/>
              </w:rPr>
              <w:t>Wang et al, 2017</w:t>
            </w:r>
          </w:p>
        </w:tc>
        <w:tc>
          <w:tcPr>
            <w:tcW w:w="2119" w:type="dxa"/>
            <w:tcBorders>
              <w:top w:val="nil"/>
              <w:left w:val="nil"/>
              <w:bottom w:val="nil"/>
              <w:right w:val="nil"/>
            </w:tcBorders>
            <w:shd w:val="clear" w:color="auto" w:fill="auto"/>
            <w:vAlign w:val="center"/>
          </w:tcPr>
          <w:p w14:paraId="30BAAFAB" w14:textId="7F87392D"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Cohort</w:t>
            </w:r>
          </w:p>
        </w:tc>
        <w:tc>
          <w:tcPr>
            <w:tcW w:w="1209" w:type="dxa"/>
            <w:tcBorders>
              <w:top w:val="nil"/>
              <w:left w:val="nil"/>
              <w:bottom w:val="nil"/>
              <w:right w:val="nil"/>
            </w:tcBorders>
            <w:shd w:val="clear" w:color="auto" w:fill="auto"/>
            <w:vAlign w:val="center"/>
          </w:tcPr>
          <w:p w14:paraId="04F20D6A" w14:textId="01A971FB"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232" w:type="dxa"/>
            <w:tcBorders>
              <w:top w:val="nil"/>
              <w:left w:val="nil"/>
              <w:bottom w:val="nil"/>
              <w:right w:val="nil"/>
            </w:tcBorders>
            <w:shd w:val="clear" w:color="auto" w:fill="auto"/>
            <w:vAlign w:val="center"/>
          </w:tcPr>
          <w:p w14:paraId="54F94A43" w14:textId="5C865CC2"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621" w:type="dxa"/>
            <w:tcBorders>
              <w:top w:val="nil"/>
              <w:left w:val="nil"/>
              <w:bottom w:val="nil"/>
              <w:right w:val="nil"/>
            </w:tcBorders>
            <w:shd w:val="clear" w:color="auto" w:fill="auto"/>
            <w:vAlign w:val="center"/>
          </w:tcPr>
          <w:p w14:paraId="7AA2D35D" w14:textId="29A16F9F"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604" w:type="dxa"/>
            <w:tcBorders>
              <w:top w:val="nil"/>
              <w:left w:val="nil"/>
              <w:bottom w:val="nil"/>
              <w:right w:val="nil"/>
            </w:tcBorders>
            <w:shd w:val="clear" w:color="auto" w:fill="F2F2F2" w:themeFill="background1" w:themeFillShade="F2"/>
            <w:vAlign w:val="center"/>
          </w:tcPr>
          <w:p w14:paraId="53938D9F"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auto" w:fill="F2F2F2" w:themeFill="background1" w:themeFillShade="F2"/>
            <w:vAlign w:val="center"/>
          </w:tcPr>
          <w:p w14:paraId="5EACE9E5"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r>
      <w:tr w:rsidR="00C91F71" w:rsidRPr="005E0B8E" w14:paraId="70670B0A" w14:textId="77777777" w:rsidTr="000707B8">
        <w:trPr>
          <w:trHeight w:val="390"/>
        </w:trPr>
        <w:tc>
          <w:tcPr>
            <w:tcW w:w="3263" w:type="dxa"/>
            <w:tcBorders>
              <w:top w:val="nil"/>
              <w:left w:val="nil"/>
              <w:bottom w:val="nil"/>
              <w:right w:val="nil"/>
            </w:tcBorders>
            <w:shd w:val="clear" w:color="auto" w:fill="auto"/>
            <w:vAlign w:val="center"/>
            <w:hideMark/>
          </w:tcPr>
          <w:p w14:paraId="19AB677A"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Weisz et al, 2015</w:t>
            </w:r>
          </w:p>
        </w:tc>
        <w:tc>
          <w:tcPr>
            <w:tcW w:w="2119" w:type="dxa"/>
            <w:tcBorders>
              <w:top w:val="nil"/>
              <w:left w:val="nil"/>
              <w:bottom w:val="nil"/>
              <w:right w:val="nil"/>
            </w:tcBorders>
            <w:shd w:val="clear" w:color="auto" w:fill="auto"/>
            <w:vAlign w:val="center"/>
            <w:hideMark/>
          </w:tcPr>
          <w:p w14:paraId="5FAD6E10"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1B64453D"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70C0FE70"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36EE0141"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63B2EA1C" w14:textId="6F4AEB10"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61CC29A8" w14:textId="2828AC71" w:rsidR="00C91F71" w:rsidRPr="005E0B8E" w:rsidRDefault="00C91F71" w:rsidP="005E0B8E">
            <w:pPr>
              <w:spacing w:after="0" w:line="240" w:lineRule="auto"/>
              <w:jc w:val="center"/>
              <w:rPr>
                <w:rFonts w:ascii="Calibri" w:eastAsia="Times New Roman" w:hAnsi="Calibri" w:cs="Calibri"/>
                <w:color w:val="000000"/>
                <w:lang w:eastAsia="en-CA"/>
              </w:rPr>
            </w:pPr>
          </w:p>
        </w:tc>
      </w:tr>
      <w:tr w:rsidR="005E0B8E" w:rsidRPr="005E0B8E" w14:paraId="50EA35BE" w14:textId="77777777" w:rsidTr="000707B8">
        <w:trPr>
          <w:trHeight w:val="390"/>
        </w:trPr>
        <w:tc>
          <w:tcPr>
            <w:tcW w:w="3263" w:type="dxa"/>
            <w:tcBorders>
              <w:top w:val="nil"/>
              <w:left w:val="nil"/>
              <w:bottom w:val="nil"/>
              <w:right w:val="nil"/>
            </w:tcBorders>
            <w:shd w:val="clear" w:color="auto" w:fill="auto"/>
            <w:vAlign w:val="center"/>
          </w:tcPr>
          <w:p w14:paraId="1A753AC0" w14:textId="34FC79A7" w:rsidR="005E0B8E" w:rsidRPr="005E0B8E" w:rsidRDefault="005E0B8E" w:rsidP="005E0B8E">
            <w:pPr>
              <w:spacing w:after="0" w:line="240" w:lineRule="auto"/>
              <w:rPr>
                <w:rFonts w:ascii="Calibri" w:eastAsia="Times New Roman" w:hAnsi="Calibri" w:cs="Calibri"/>
                <w:color w:val="000000"/>
                <w:lang w:eastAsia="en-CA"/>
              </w:rPr>
            </w:pPr>
            <w:r w:rsidRPr="005E0B8E">
              <w:rPr>
                <w:rFonts w:ascii="Calibri" w:hAnsi="Calibri" w:cs="Calibri"/>
                <w:color w:val="000000"/>
              </w:rPr>
              <w:t>Yan et al, 2016</w:t>
            </w:r>
          </w:p>
        </w:tc>
        <w:tc>
          <w:tcPr>
            <w:tcW w:w="2119" w:type="dxa"/>
            <w:tcBorders>
              <w:top w:val="nil"/>
              <w:left w:val="nil"/>
              <w:bottom w:val="nil"/>
              <w:right w:val="nil"/>
            </w:tcBorders>
            <w:shd w:val="clear" w:color="auto" w:fill="auto"/>
            <w:vAlign w:val="center"/>
          </w:tcPr>
          <w:p w14:paraId="1E5B9B43" w14:textId="6206A06D"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Cohort</w:t>
            </w:r>
          </w:p>
        </w:tc>
        <w:tc>
          <w:tcPr>
            <w:tcW w:w="1209" w:type="dxa"/>
            <w:tcBorders>
              <w:top w:val="nil"/>
              <w:left w:val="nil"/>
              <w:bottom w:val="nil"/>
              <w:right w:val="nil"/>
            </w:tcBorders>
            <w:shd w:val="clear" w:color="auto" w:fill="auto"/>
            <w:vAlign w:val="center"/>
          </w:tcPr>
          <w:p w14:paraId="3B602611" w14:textId="33456398"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232" w:type="dxa"/>
            <w:tcBorders>
              <w:top w:val="nil"/>
              <w:left w:val="nil"/>
              <w:bottom w:val="nil"/>
              <w:right w:val="nil"/>
            </w:tcBorders>
            <w:shd w:val="clear" w:color="auto" w:fill="auto"/>
            <w:vAlign w:val="center"/>
          </w:tcPr>
          <w:p w14:paraId="72A13403" w14:textId="080A8A93"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621" w:type="dxa"/>
            <w:tcBorders>
              <w:top w:val="nil"/>
              <w:left w:val="nil"/>
              <w:bottom w:val="nil"/>
              <w:right w:val="nil"/>
            </w:tcBorders>
            <w:shd w:val="clear" w:color="auto" w:fill="auto"/>
            <w:vAlign w:val="center"/>
          </w:tcPr>
          <w:p w14:paraId="2D554F20" w14:textId="1772E067" w:rsidR="005E0B8E" w:rsidRPr="005E0B8E" w:rsidRDefault="005E0B8E" w:rsidP="005E0B8E">
            <w:pPr>
              <w:spacing w:after="0" w:line="240" w:lineRule="auto"/>
              <w:jc w:val="center"/>
              <w:rPr>
                <w:rFonts w:ascii="Calibri" w:eastAsia="Times New Roman" w:hAnsi="Calibri" w:cs="Calibri"/>
                <w:color w:val="000000"/>
                <w:lang w:eastAsia="en-CA"/>
              </w:rPr>
            </w:pPr>
            <w:r w:rsidRPr="005E0B8E">
              <w:rPr>
                <w:rFonts w:ascii="Calibri" w:hAnsi="Calibri" w:cs="Calibri"/>
                <w:color w:val="000000"/>
              </w:rPr>
              <w:t>**</w:t>
            </w:r>
          </w:p>
        </w:tc>
        <w:tc>
          <w:tcPr>
            <w:tcW w:w="1604" w:type="dxa"/>
            <w:tcBorders>
              <w:top w:val="nil"/>
              <w:left w:val="nil"/>
              <w:bottom w:val="nil"/>
              <w:right w:val="nil"/>
            </w:tcBorders>
            <w:shd w:val="clear" w:color="000000" w:fill="F2F2F2"/>
            <w:vAlign w:val="center"/>
          </w:tcPr>
          <w:p w14:paraId="3CC9582A"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tcPr>
          <w:p w14:paraId="13481F6C" w14:textId="77777777" w:rsidR="005E0B8E" w:rsidRPr="005E0B8E" w:rsidRDefault="005E0B8E" w:rsidP="005E0B8E">
            <w:pPr>
              <w:spacing w:after="0" w:line="240" w:lineRule="auto"/>
              <w:jc w:val="center"/>
              <w:rPr>
                <w:rFonts w:ascii="Calibri" w:eastAsia="Times New Roman" w:hAnsi="Calibri" w:cs="Calibri"/>
                <w:color w:val="000000"/>
                <w:lang w:eastAsia="en-CA"/>
              </w:rPr>
            </w:pPr>
          </w:p>
        </w:tc>
      </w:tr>
      <w:tr w:rsidR="00C91F71" w:rsidRPr="005E0B8E" w14:paraId="046F2FE1" w14:textId="77777777" w:rsidTr="000707B8">
        <w:trPr>
          <w:trHeight w:val="390"/>
        </w:trPr>
        <w:tc>
          <w:tcPr>
            <w:tcW w:w="3263" w:type="dxa"/>
            <w:tcBorders>
              <w:top w:val="nil"/>
              <w:left w:val="nil"/>
              <w:bottom w:val="nil"/>
              <w:right w:val="nil"/>
            </w:tcBorders>
            <w:shd w:val="clear" w:color="auto" w:fill="auto"/>
            <w:vAlign w:val="center"/>
            <w:hideMark/>
          </w:tcPr>
          <w:p w14:paraId="3C1F65E2"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Zairis et al, 2010</w:t>
            </w:r>
          </w:p>
        </w:tc>
        <w:tc>
          <w:tcPr>
            <w:tcW w:w="2119" w:type="dxa"/>
            <w:tcBorders>
              <w:top w:val="nil"/>
              <w:left w:val="nil"/>
              <w:bottom w:val="nil"/>
              <w:right w:val="nil"/>
            </w:tcBorders>
            <w:shd w:val="clear" w:color="auto" w:fill="auto"/>
            <w:vAlign w:val="center"/>
            <w:hideMark/>
          </w:tcPr>
          <w:p w14:paraId="1B9474A2"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294B230D"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428C660A"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1F336FF1" w14:textId="3B6C269F"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604" w:type="dxa"/>
            <w:tcBorders>
              <w:top w:val="nil"/>
              <w:left w:val="nil"/>
              <w:bottom w:val="nil"/>
              <w:right w:val="nil"/>
            </w:tcBorders>
            <w:shd w:val="clear" w:color="000000" w:fill="F2F2F2"/>
            <w:vAlign w:val="center"/>
            <w:hideMark/>
          </w:tcPr>
          <w:p w14:paraId="135A3005" w14:textId="3F1264BF"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05F0DD87" w14:textId="3FAFDC10"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369285F1" w14:textId="77777777" w:rsidTr="000707B8">
        <w:trPr>
          <w:trHeight w:val="390"/>
        </w:trPr>
        <w:tc>
          <w:tcPr>
            <w:tcW w:w="3263" w:type="dxa"/>
            <w:tcBorders>
              <w:top w:val="nil"/>
              <w:left w:val="nil"/>
              <w:bottom w:val="nil"/>
              <w:right w:val="nil"/>
            </w:tcBorders>
            <w:shd w:val="clear" w:color="auto" w:fill="auto"/>
            <w:vAlign w:val="center"/>
            <w:hideMark/>
          </w:tcPr>
          <w:p w14:paraId="388C882E"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lastRenderedPageBreak/>
              <w:t>Zou et al, 2014</w:t>
            </w:r>
          </w:p>
        </w:tc>
        <w:tc>
          <w:tcPr>
            <w:tcW w:w="2119" w:type="dxa"/>
            <w:tcBorders>
              <w:top w:val="nil"/>
              <w:left w:val="nil"/>
              <w:bottom w:val="nil"/>
              <w:right w:val="nil"/>
            </w:tcBorders>
            <w:shd w:val="clear" w:color="auto" w:fill="auto"/>
            <w:vAlign w:val="center"/>
            <w:hideMark/>
          </w:tcPr>
          <w:p w14:paraId="02512475"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Cohort</w:t>
            </w:r>
          </w:p>
        </w:tc>
        <w:tc>
          <w:tcPr>
            <w:tcW w:w="1209" w:type="dxa"/>
            <w:tcBorders>
              <w:top w:val="nil"/>
              <w:left w:val="nil"/>
              <w:bottom w:val="nil"/>
              <w:right w:val="nil"/>
            </w:tcBorders>
            <w:shd w:val="clear" w:color="auto" w:fill="auto"/>
            <w:vAlign w:val="center"/>
            <w:hideMark/>
          </w:tcPr>
          <w:p w14:paraId="7DF04483"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232" w:type="dxa"/>
            <w:tcBorders>
              <w:top w:val="nil"/>
              <w:left w:val="nil"/>
              <w:bottom w:val="nil"/>
              <w:right w:val="nil"/>
            </w:tcBorders>
            <w:shd w:val="clear" w:color="auto" w:fill="auto"/>
            <w:vAlign w:val="center"/>
            <w:hideMark/>
          </w:tcPr>
          <w:p w14:paraId="058155A6"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21" w:type="dxa"/>
            <w:tcBorders>
              <w:top w:val="nil"/>
              <w:left w:val="nil"/>
              <w:bottom w:val="nil"/>
              <w:right w:val="nil"/>
            </w:tcBorders>
            <w:shd w:val="clear" w:color="auto" w:fill="auto"/>
            <w:vAlign w:val="center"/>
            <w:hideMark/>
          </w:tcPr>
          <w:p w14:paraId="4DBF75AE"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2F2F2"/>
            <w:vAlign w:val="center"/>
            <w:hideMark/>
          </w:tcPr>
          <w:p w14:paraId="45126CC7" w14:textId="589A2222"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132" w:type="dxa"/>
            <w:tcBorders>
              <w:top w:val="nil"/>
              <w:left w:val="nil"/>
              <w:bottom w:val="nil"/>
              <w:right w:val="nil"/>
            </w:tcBorders>
            <w:shd w:val="clear" w:color="000000" w:fill="F2F2F2"/>
            <w:vAlign w:val="center"/>
            <w:hideMark/>
          </w:tcPr>
          <w:p w14:paraId="6EE3DC97" w14:textId="2C1C67C4" w:rsidR="00C91F71" w:rsidRPr="005E0B8E" w:rsidRDefault="00C91F71" w:rsidP="005E0B8E">
            <w:pPr>
              <w:spacing w:after="0" w:line="240" w:lineRule="auto"/>
              <w:jc w:val="center"/>
              <w:rPr>
                <w:rFonts w:ascii="Calibri" w:eastAsia="Times New Roman" w:hAnsi="Calibri" w:cs="Calibri"/>
                <w:color w:val="000000"/>
                <w:lang w:eastAsia="en-CA"/>
              </w:rPr>
            </w:pPr>
          </w:p>
        </w:tc>
      </w:tr>
      <w:tr w:rsidR="00C91F71" w:rsidRPr="005E0B8E" w14:paraId="3E98B36F" w14:textId="77777777" w:rsidTr="00320E90">
        <w:trPr>
          <w:trHeight w:val="390"/>
        </w:trPr>
        <w:tc>
          <w:tcPr>
            <w:tcW w:w="3263" w:type="dxa"/>
            <w:tcBorders>
              <w:top w:val="nil"/>
              <w:left w:val="nil"/>
              <w:bottom w:val="nil"/>
              <w:right w:val="nil"/>
            </w:tcBorders>
            <w:shd w:val="clear" w:color="000000" w:fill="FFFFFF"/>
            <w:vAlign w:val="center"/>
            <w:hideMark/>
          </w:tcPr>
          <w:p w14:paraId="2E293669"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Johansson et al, 2003</w:t>
            </w:r>
          </w:p>
        </w:tc>
        <w:tc>
          <w:tcPr>
            <w:tcW w:w="2119" w:type="dxa"/>
            <w:tcBorders>
              <w:top w:val="nil"/>
              <w:left w:val="nil"/>
              <w:bottom w:val="nil"/>
              <w:right w:val="nil"/>
            </w:tcBorders>
            <w:shd w:val="clear" w:color="000000" w:fill="FFFFFF"/>
            <w:vAlign w:val="center"/>
            <w:hideMark/>
          </w:tcPr>
          <w:p w14:paraId="7E191509"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Case control</w:t>
            </w:r>
          </w:p>
        </w:tc>
        <w:tc>
          <w:tcPr>
            <w:tcW w:w="1209" w:type="dxa"/>
            <w:tcBorders>
              <w:top w:val="nil"/>
              <w:left w:val="nil"/>
              <w:bottom w:val="nil"/>
              <w:right w:val="nil"/>
            </w:tcBorders>
            <w:shd w:val="clear" w:color="auto" w:fill="F2F2F2" w:themeFill="background1" w:themeFillShade="F2"/>
            <w:vAlign w:val="center"/>
            <w:hideMark/>
          </w:tcPr>
          <w:p w14:paraId="2348F1A2" w14:textId="58C595E1"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232" w:type="dxa"/>
            <w:tcBorders>
              <w:top w:val="nil"/>
              <w:left w:val="nil"/>
              <w:bottom w:val="nil"/>
              <w:right w:val="nil"/>
            </w:tcBorders>
            <w:shd w:val="clear" w:color="auto" w:fill="F2F2F2" w:themeFill="background1" w:themeFillShade="F2"/>
            <w:vAlign w:val="center"/>
            <w:hideMark/>
          </w:tcPr>
          <w:p w14:paraId="406A94F7" w14:textId="2F13C41D"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621" w:type="dxa"/>
            <w:tcBorders>
              <w:top w:val="nil"/>
              <w:left w:val="nil"/>
              <w:bottom w:val="nil"/>
              <w:right w:val="nil"/>
            </w:tcBorders>
            <w:shd w:val="clear" w:color="000000" w:fill="FFFFFF"/>
            <w:vAlign w:val="center"/>
            <w:hideMark/>
          </w:tcPr>
          <w:p w14:paraId="53E19BA6"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FFFFF"/>
            <w:vAlign w:val="center"/>
            <w:hideMark/>
          </w:tcPr>
          <w:p w14:paraId="111D19EE"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132" w:type="dxa"/>
            <w:tcBorders>
              <w:top w:val="nil"/>
              <w:left w:val="nil"/>
              <w:bottom w:val="nil"/>
              <w:right w:val="nil"/>
            </w:tcBorders>
            <w:shd w:val="clear" w:color="000000" w:fill="FFFFFF"/>
            <w:vAlign w:val="center"/>
            <w:hideMark/>
          </w:tcPr>
          <w:p w14:paraId="24788525"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r>
      <w:tr w:rsidR="00C91F71" w:rsidRPr="005E0B8E" w14:paraId="120251AC" w14:textId="77777777" w:rsidTr="00320E90">
        <w:trPr>
          <w:trHeight w:val="390"/>
        </w:trPr>
        <w:tc>
          <w:tcPr>
            <w:tcW w:w="3263" w:type="dxa"/>
            <w:tcBorders>
              <w:top w:val="nil"/>
              <w:left w:val="nil"/>
              <w:bottom w:val="nil"/>
              <w:right w:val="nil"/>
            </w:tcBorders>
            <w:shd w:val="clear" w:color="000000" w:fill="FFFFFF"/>
            <w:vAlign w:val="center"/>
            <w:hideMark/>
          </w:tcPr>
          <w:p w14:paraId="03287EBF"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Juurlink et al, 2009</w:t>
            </w:r>
          </w:p>
        </w:tc>
        <w:tc>
          <w:tcPr>
            <w:tcW w:w="2119" w:type="dxa"/>
            <w:tcBorders>
              <w:top w:val="nil"/>
              <w:left w:val="nil"/>
              <w:bottom w:val="nil"/>
              <w:right w:val="nil"/>
            </w:tcBorders>
            <w:shd w:val="clear" w:color="000000" w:fill="FFFFFF"/>
            <w:vAlign w:val="center"/>
            <w:hideMark/>
          </w:tcPr>
          <w:p w14:paraId="43931B8F"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Case control</w:t>
            </w:r>
          </w:p>
        </w:tc>
        <w:tc>
          <w:tcPr>
            <w:tcW w:w="1209" w:type="dxa"/>
            <w:tcBorders>
              <w:top w:val="nil"/>
              <w:left w:val="nil"/>
              <w:bottom w:val="nil"/>
              <w:right w:val="nil"/>
            </w:tcBorders>
            <w:shd w:val="clear" w:color="auto" w:fill="F2F2F2" w:themeFill="background1" w:themeFillShade="F2"/>
            <w:vAlign w:val="center"/>
            <w:hideMark/>
          </w:tcPr>
          <w:p w14:paraId="7D95234D" w14:textId="24574B2D"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232" w:type="dxa"/>
            <w:tcBorders>
              <w:top w:val="nil"/>
              <w:left w:val="nil"/>
              <w:bottom w:val="nil"/>
              <w:right w:val="nil"/>
            </w:tcBorders>
            <w:shd w:val="clear" w:color="auto" w:fill="F2F2F2" w:themeFill="background1" w:themeFillShade="F2"/>
            <w:vAlign w:val="center"/>
            <w:hideMark/>
          </w:tcPr>
          <w:p w14:paraId="5D783675" w14:textId="43EBD17E"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621" w:type="dxa"/>
            <w:tcBorders>
              <w:top w:val="nil"/>
              <w:left w:val="nil"/>
              <w:bottom w:val="nil"/>
              <w:right w:val="nil"/>
            </w:tcBorders>
            <w:shd w:val="clear" w:color="000000" w:fill="FFFFFF"/>
            <w:vAlign w:val="center"/>
            <w:hideMark/>
          </w:tcPr>
          <w:p w14:paraId="67CE1F83"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FFFFF"/>
            <w:vAlign w:val="center"/>
            <w:hideMark/>
          </w:tcPr>
          <w:p w14:paraId="699BCBD7"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132" w:type="dxa"/>
            <w:tcBorders>
              <w:top w:val="nil"/>
              <w:left w:val="nil"/>
              <w:bottom w:val="nil"/>
              <w:right w:val="nil"/>
            </w:tcBorders>
            <w:shd w:val="clear" w:color="000000" w:fill="FFFFFF"/>
            <w:vAlign w:val="center"/>
            <w:hideMark/>
          </w:tcPr>
          <w:p w14:paraId="18E7DC7C"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r>
      <w:tr w:rsidR="00C91F71" w:rsidRPr="005E0B8E" w14:paraId="3A37B970" w14:textId="77777777" w:rsidTr="00320E90">
        <w:trPr>
          <w:trHeight w:val="390"/>
        </w:trPr>
        <w:tc>
          <w:tcPr>
            <w:tcW w:w="3263" w:type="dxa"/>
            <w:tcBorders>
              <w:top w:val="nil"/>
              <w:left w:val="nil"/>
              <w:bottom w:val="nil"/>
              <w:right w:val="nil"/>
            </w:tcBorders>
            <w:shd w:val="clear" w:color="000000" w:fill="FFFFFF"/>
            <w:vAlign w:val="center"/>
            <w:hideMark/>
          </w:tcPr>
          <w:p w14:paraId="7E03F80A"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Juurlink et al, 2011</w:t>
            </w:r>
          </w:p>
        </w:tc>
        <w:tc>
          <w:tcPr>
            <w:tcW w:w="2119" w:type="dxa"/>
            <w:tcBorders>
              <w:top w:val="nil"/>
              <w:left w:val="nil"/>
              <w:bottom w:val="nil"/>
              <w:right w:val="nil"/>
            </w:tcBorders>
            <w:shd w:val="clear" w:color="000000" w:fill="FFFFFF"/>
            <w:vAlign w:val="center"/>
            <w:hideMark/>
          </w:tcPr>
          <w:p w14:paraId="794F9F8D"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Case control</w:t>
            </w:r>
          </w:p>
        </w:tc>
        <w:tc>
          <w:tcPr>
            <w:tcW w:w="1209" w:type="dxa"/>
            <w:tcBorders>
              <w:top w:val="nil"/>
              <w:left w:val="nil"/>
              <w:bottom w:val="nil"/>
              <w:right w:val="nil"/>
            </w:tcBorders>
            <w:shd w:val="clear" w:color="auto" w:fill="F2F2F2" w:themeFill="background1" w:themeFillShade="F2"/>
            <w:vAlign w:val="center"/>
            <w:hideMark/>
          </w:tcPr>
          <w:p w14:paraId="7EA8D13D" w14:textId="48D0A7F0"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232" w:type="dxa"/>
            <w:tcBorders>
              <w:top w:val="nil"/>
              <w:left w:val="nil"/>
              <w:bottom w:val="nil"/>
              <w:right w:val="nil"/>
            </w:tcBorders>
            <w:shd w:val="clear" w:color="auto" w:fill="F2F2F2" w:themeFill="background1" w:themeFillShade="F2"/>
            <w:vAlign w:val="center"/>
            <w:hideMark/>
          </w:tcPr>
          <w:p w14:paraId="2D701C74" w14:textId="07C781E0"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621" w:type="dxa"/>
            <w:tcBorders>
              <w:top w:val="nil"/>
              <w:left w:val="nil"/>
              <w:bottom w:val="nil"/>
              <w:right w:val="nil"/>
            </w:tcBorders>
            <w:shd w:val="clear" w:color="000000" w:fill="FFFFFF"/>
            <w:vAlign w:val="center"/>
            <w:hideMark/>
          </w:tcPr>
          <w:p w14:paraId="41005B64"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FFFFF"/>
            <w:vAlign w:val="center"/>
            <w:hideMark/>
          </w:tcPr>
          <w:p w14:paraId="45BEEF95"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132" w:type="dxa"/>
            <w:tcBorders>
              <w:top w:val="nil"/>
              <w:left w:val="nil"/>
              <w:bottom w:val="nil"/>
              <w:right w:val="nil"/>
            </w:tcBorders>
            <w:shd w:val="clear" w:color="000000" w:fill="FFFFFF"/>
            <w:vAlign w:val="center"/>
            <w:hideMark/>
          </w:tcPr>
          <w:p w14:paraId="48FA0251"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r>
      <w:tr w:rsidR="00C91F71" w:rsidRPr="005E0B8E" w14:paraId="42E06E67" w14:textId="77777777" w:rsidTr="00320E90">
        <w:trPr>
          <w:trHeight w:val="390"/>
        </w:trPr>
        <w:tc>
          <w:tcPr>
            <w:tcW w:w="3263" w:type="dxa"/>
            <w:tcBorders>
              <w:top w:val="nil"/>
              <w:left w:val="nil"/>
              <w:bottom w:val="nil"/>
              <w:right w:val="nil"/>
            </w:tcBorders>
            <w:shd w:val="clear" w:color="000000" w:fill="FFFFFF"/>
            <w:vAlign w:val="center"/>
            <w:hideMark/>
          </w:tcPr>
          <w:p w14:paraId="06D1D9A1"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Juurlink et al, 2013</w:t>
            </w:r>
          </w:p>
        </w:tc>
        <w:tc>
          <w:tcPr>
            <w:tcW w:w="2119" w:type="dxa"/>
            <w:tcBorders>
              <w:top w:val="nil"/>
              <w:left w:val="nil"/>
              <w:bottom w:val="nil"/>
              <w:right w:val="nil"/>
            </w:tcBorders>
            <w:shd w:val="clear" w:color="000000" w:fill="FFFFFF"/>
            <w:vAlign w:val="center"/>
            <w:hideMark/>
          </w:tcPr>
          <w:p w14:paraId="3B96A418"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Case control</w:t>
            </w:r>
          </w:p>
        </w:tc>
        <w:tc>
          <w:tcPr>
            <w:tcW w:w="1209" w:type="dxa"/>
            <w:tcBorders>
              <w:top w:val="nil"/>
              <w:left w:val="nil"/>
              <w:bottom w:val="nil"/>
              <w:right w:val="nil"/>
            </w:tcBorders>
            <w:shd w:val="clear" w:color="auto" w:fill="F2F2F2" w:themeFill="background1" w:themeFillShade="F2"/>
            <w:vAlign w:val="center"/>
            <w:hideMark/>
          </w:tcPr>
          <w:p w14:paraId="1D2205D0" w14:textId="0BCE2022"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232" w:type="dxa"/>
            <w:tcBorders>
              <w:top w:val="nil"/>
              <w:left w:val="nil"/>
              <w:bottom w:val="nil"/>
              <w:right w:val="nil"/>
            </w:tcBorders>
            <w:shd w:val="clear" w:color="auto" w:fill="F2F2F2" w:themeFill="background1" w:themeFillShade="F2"/>
            <w:vAlign w:val="center"/>
            <w:hideMark/>
          </w:tcPr>
          <w:p w14:paraId="3D45AEEA" w14:textId="7DB35CD7"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621" w:type="dxa"/>
            <w:tcBorders>
              <w:top w:val="nil"/>
              <w:left w:val="nil"/>
              <w:bottom w:val="nil"/>
              <w:right w:val="nil"/>
            </w:tcBorders>
            <w:shd w:val="clear" w:color="000000" w:fill="FFFFFF"/>
            <w:vAlign w:val="center"/>
            <w:hideMark/>
          </w:tcPr>
          <w:p w14:paraId="3554233F"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FFFFF"/>
            <w:vAlign w:val="center"/>
            <w:hideMark/>
          </w:tcPr>
          <w:p w14:paraId="77D8F25D"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132" w:type="dxa"/>
            <w:tcBorders>
              <w:top w:val="nil"/>
              <w:left w:val="nil"/>
              <w:bottom w:val="nil"/>
              <w:right w:val="nil"/>
            </w:tcBorders>
            <w:shd w:val="clear" w:color="000000" w:fill="FFFFFF"/>
            <w:vAlign w:val="center"/>
            <w:hideMark/>
          </w:tcPr>
          <w:p w14:paraId="58D6C8C1"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r>
      <w:tr w:rsidR="00C91F71" w:rsidRPr="005E0B8E" w14:paraId="3F3BBC46" w14:textId="77777777" w:rsidTr="00320E90">
        <w:trPr>
          <w:trHeight w:val="390"/>
        </w:trPr>
        <w:tc>
          <w:tcPr>
            <w:tcW w:w="3263" w:type="dxa"/>
            <w:tcBorders>
              <w:top w:val="nil"/>
              <w:left w:val="nil"/>
              <w:bottom w:val="nil"/>
              <w:right w:val="nil"/>
            </w:tcBorders>
            <w:shd w:val="clear" w:color="000000" w:fill="FFFFFF"/>
            <w:vAlign w:val="center"/>
            <w:hideMark/>
          </w:tcPr>
          <w:p w14:paraId="36F83A8A"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Mahabaleshwarkar et al, 2013</w:t>
            </w:r>
          </w:p>
        </w:tc>
        <w:tc>
          <w:tcPr>
            <w:tcW w:w="2119" w:type="dxa"/>
            <w:tcBorders>
              <w:top w:val="nil"/>
              <w:left w:val="nil"/>
              <w:bottom w:val="nil"/>
              <w:right w:val="nil"/>
            </w:tcBorders>
            <w:shd w:val="clear" w:color="000000" w:fill="FFFFFF"/>
            <w:vAlign w:val="center"/>
            <w:hideMark/>
          </w:tcPr>
          <w:p w14:paraId="6BEA80CB"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Case control</w:t>
            </w:r>
          </w:p>
        </w:tc>
        <w:tc>
          <w:tcPr>
            <w:tcW w:w="1209" w:type="dxa"/>
            <w:tcBorders>
              <w:top w:val="nil"/>
              <w:left w:val="nil"/>
              <w:bottom w:val="nil"/>
              <w:right w:val="nil"/>
            </w:tcBorders>
            <w:shd w:val="clear" w:color="auto" w:fill="F2F2F2" w:themeFill="background1" w:themeFillShade="F2"/>
            <w:vAlign w:val="center"/>
            <w:hideMark/>
          </w:tcPr>
          <w:p w14:paraId="1E5BE296" w14:textId="64FD8F8D"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232" w:type="dxa"/>
            <w:tcBorders>
              <w:top w:val="nil"/>
              <w:left w:val="nil"/>
              <w:bottom w:val="nil"/>
              <w:right w:val="nil"/>
            </w:tcBorders>
            <w:shd w:val="clear" w:color="auto" w:fill="F2F2F2" w:themeFill="background1" w:themeFillShade="F2"/>
            <w:vAlign w:val="center"/>
            <w:hideMark/>
          </w:tcPr>
          <w:p w14:paraId="46104B44" w14:textId="6E790057"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621" w:type="dxa"/>
            <w:tcBorders>
              <w:top w:val="nil"/>
              <w:left w:val="nil"/>
              <w:bottom w:val="nil"/>
              <w:right w:val="nil"/>
            </w:tcBorders>
            <w:shd w:val="clear" w:color="000000" w:fill="FFFFFF"/>
            <w:vAlign w:val="center"/>
            <w:hideMark/>
          </w:tcPr>
          <w:p w14:paraId="7A244112"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FFFFF"/>
            <w:vAlign w:val="center"/>
            <w:hideMark/>
          </w:tcPr>
          <w:p w14:paraId="5BE159C8"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132" w:type="dxa"/>
            <w:tcBorders>
              <w:top w:val="nil"/>
              <w:left w:val="nil"/>
              <w:bottom w:val="nil"/>
              <w:right w:val="nil"/>
            </w:tcBorders>
            <w:shd w:val="clear" w:color="000000" w:fill="FFFFFF"/>
            <w:vAlign w:val="center"/>
            <w:hideMark/>
          </w:tcPr>
          <w:p w14:paraId="6F3E2C70"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r>
      <w:tr w:rsidR="00C91F71" w:rsidRPr="005E0B8E" w14:paraId="55B81A3F" w14:textId="77777777" w:rsidTr="00320E90">
        <w:trPr>
          <w:trHeight w:val="390"/>
        </w:trPr>
        <w:tc>
          <w:tcPr>
            <w:tcW w:w="3263" w:type="dxa"/>
            <w:tcBorders>
              <w:top w:val="nil"/>
              <w:left w:val="nil"/>
              <w:bottom w:val="nil"/>
              <w:right w:val="nil"/>
            </w:tcBorders>
            <w:shd w:val="clear" w:color="000000" w:fill="FFFFFF"/>
            <w:vAlign w:val="center"/>
            <w:hideMark/>
          </w:tcPr>
          <w:p w14:paraId="71B29F5F"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Turkiewicz et al, 2015</w:t>
            </w:r>
          </w:p>
        </w:tc>
        <w:tc>
          <w:tcPr>
            <w:tcW w:w="2119" w:type="dxa"/>
            <w:tcBorders>
              <w:top w:val="nil"/>
              <w:left w:val="nil"/>
              <w:bottom w:val="nil"/>
              <w:right w:val="nil"/>
            </w:tcBorders>
            <w:shd w:val="clear" w:color="000000" w:fill="FFFFFF"/>
            <w:vAlign w:val="center"/>
            <w:hideMark/>
          </w:tcPr>
          <w:p w14:paraId="6C98E676"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Case control</w:t>
            </w:r>
          </w:p>
        </w:tc>
        <w:tc>
          <w:tcPr>
            <w:tcW w:w="1209" w:type="dxa"/>
            <w:tcBorders>
              <w:top w:val="nil"/>
              <w:left w:val="nil"/>
              <w:bottom w:val="nil"/>
              <w:right w:val="nil"/>
            </w:tcBorders>
            <w:shd w:val="clear" w:color="auto" w:fill="F2F2F2" w:themeFill="background1" w:themeFillShade="F2"/>
            <w:vAlign w:val="center"/>
            <w:hideMark/>
          </w:tcPr>
          <w:p w14:paraId="40CE2CE3" w14:textId="330F0DEE"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232" w:type="dxa"/>
            <w:tcBorders>
              <w:top w:val="nil"/>
              <w:left w:val="nil"/>
              <w:bottom w:val="nil"/>
              <w:right w:val="nil"/>
            </w:tcBorders>
            <w:shd w:val="clear" w:color="auto" w:fill="F2F2F2" w:themeFill="background1" w:themeFillShade="F2"/>
            <w:vAlign w:val="center"/>
            <w:hideMark/>
          </w:tcPr>
          <w:p w14:paraId="409CC938" w14:textId="639634E8"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621" w:type="dxa"/>
            <w:tcBorders>
              <w:top w:val="nil"/>
              <w:left w:val="nil"/>
              <w:bottom w:val="nil"/>
              <w:right w:val="nil"/>
            </w:tcBorders>
            <w:shd w:val="clear" w:color="000000" w:fill="FFFFFF"/>
            <w:vAlign w:val="center"/>
            <w:hideMark/>
          </w:tcPr>
          <w:p w14:paraId="59E0517E"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nil"/>
              <w:right w:val="nil"/>
            </w:tcBorders>
            <w:shd w:val="clear" w:color="000000" w:fill="FFFFFF"/>
            <w:vAlign w:val="center"/>
            <w:hideMark/>
          </w:tcPr>
          <w:p w14:paraId="0DA33B0C"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132" w:type="dxa"/>
            <w:tcBorders>
              <w:top w:val="nil"/>
              <w:left w:val="nil"/>
              <w:bottom w:val="nil"/>
              <w:right w:val="nil"/>
            </w:tcBorders>
            <w:shd w:val="clear" w:color="000000" w:fill="FFFFFF"/>
            <w:vAlign w:val="center"/>
            <w:hideMark/>
          </w:tcPr>
          <w:p w14:paraId="4A1D00E4"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r>
      <w:tr w:rsidR="00C91F71" w:rsidRPr="005E0B8E" w14:paraId="7FD64F60" w14:textId="77777777" w:rsidTr="00320E90">
        <w:trPr>
          <w:trHeight w:val="390"/>
        </w:trPr>
        <w:tc>
          <w:tcPr>
            <w:tcW w:w="3263" w:type="dxa"/>
            <w:tcBorders>
              <w:top w:val="nil"/>
              <w:left w:val="nil"/>
              <w:bottom w:val="single" w:sz="4" w:space="0" w:color="auto"/>
              <w:right w:val="nil"/>
            </w:tcBorders>
            <w:shd w:val="clear" w:color="000000" w:fill="FFFFFF"/>
            <w:vAlign w:val="center"/>
            <w:hideMark/>
          </w:tcPr>
          <w:p w14:paraId="699D2D17" w14:textId="77777777" w:rsidR="00C91F71" w:rsidRPr="005E0B8E" w:rsidRDefault="00C91F71" w:rsidP="005E0B8E">
            <w:pPr>
              <w:spacing w:after="0" w:line="240" w:lineRule="auto"/>
              <w:rPr>
                <w:rFonts w:ascii="Calibri" w:eastAsia="Times New Roman" w:hAnsi="Calibri" w:cs="Calibri"/>
                <w:color w:val="000000"/>
                <w:lang w:eastAsia="en-CA"/>
              </w:rPr>
            </w:pPr>
            <w:r w:rsidRPr="005E0B8E">
              <w:rPr>
                <w:rFonts w:ascii="Calibri" w:eastAsia="Times New Roman" w:hAnsi="Calibri" w:cs="Calibri"/>
                <w:color w:val="000000"/>
                <w:lang w:eastAsia="en-CA"/>
              </w:rPr>
              <w:t>Valkhoff et al, 2010</w:t>
            </w:r>
          </w:p>
        </w:tc>
        <w:tc>
          <w:tcPr>
            <w:tcW w:w="2119" w:type="dxa"/>
            <w:tcBorders>
              <w:top w:val="nil"/>
              <w:left w:val="nil"/>
              <w:bottom w:val="single" w:sz="4" w:space="0" w:color="auto"/>
              <w:right w:val="nil"/>
            </w:tcBorders>
            <w:shd w:val="clear" w:color="000000" w:fill="FFFFFF"/>
            <w:vAlign w:val="center"/>
            <w:hideMark/>
          </w:tcPr>
          <w:p w14:paraId="4DD7A7BE"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Case control</w:t>
            </w:r>
          </w:p>
        </w:tc>
        <w:tc>
          <w:tcPr>
            <w:tcW w:w="1209" w:type="dxa"/>
            <w:tcBorders>
              <w:top w:val="nil"/>
              <w:left w:val="nil"/>
              <w:bottom w:val="single" w:sz="4" w:space="0" w:color="auto"/>
              <w:right w:val="nil"/>
            </w:tcBorders>
            <w:shd w:val="clear" w:color="auto" w:fill="F2F2F2" w:themeFill="background1" w:themeFillShade="F2"/>
            <w:vAlign w:val="center"/>
            <w:hideMark/>
          </w:tcPr>
          <w:p w14:paraId="654AFC70" w14:textId="59147F65"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232" w:type="dxa"/>
            <w:tcBorders>
              <w:top w:val="nil"/>
              <w:left w:val="nil"/>
              <w:bottom w:val="single" w:sz="4" w:space="0" w:color="auto"/>
              <w:right w:val="nil"/>
            </w:tcBorders>
            <w:shd w:val="clear" w:color="auto" w:fill="F2F2F2" w:themeFill="background1" w:themeFillShade="F2"/>
            <w:vAlign w:val="center"/>
            <w:hideMark/>
          </w:tcPr>
          <w:p w14:paraId="08C33B6B" w14:textId="02681C3D" w:rsidR="00C91F71" w:rsidRPr="005E0B8E" w:rsidRDefault="00C91F71" w:rsidP="005E0B8E">
            <w:pPr>
              <w:spacing w:after="0" w:line="240" w:lineRule="auto"/>
              <w:jc w:val="center"/>
              <w:rPr>
                <w:rFonts w:ascii="Calibri" w:eastAsia="Times New Roman" w:hAnsi="Calibri" w:cs="Calibri"/>
                <w:color w:val="000000"/>
                <w:lang w:eastAsia="en-CA"/>
              </w:rPr>
            </w:pPr>
          </w:p>
        </w:tc>
        <w:tc>
          <w:tcPr>
            <w:tcW w:w="1621" w:type="dxa"/>
            <w:tcBorders>
              <w:top w:val="nil"/>
              <w:left w:val="nil"/>
              <w:bottom w:val="single" w:sz="4" w:space="0" w:color="auto"/>
              <w:right w:val="nil"/>
            </w:tcBorders>
            <w:shd w:val="clear" w:color="000000" w:fill="FFFFFF"/>
            <w:vAlign w:val="center"/>
            <w:hideMark/>
          </w:tcPr>
          <w:p w14:paraId="44CB2C79"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604" w:type="dxa"/>
            <w:tcBorders>
              <w:top w:val="nil"/>
              <w:left w:val="nil"/>
              <w:bottom w:val="single" w:sz="4" w:space="0" w:color="auto"/>
              <w:right w:val="nil"/>
            </w:tcBorders>
            <w:shd w:val="clear" w:color="000000" w:fill="FFFFFF"/>
            <w:vAlign w:val="center"/>
            <w:hideMark/>
          </w:tcPr>
          <w:p w14:paraId="4175E510"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c>
          <w:tcPr>
            <w:tcW w:w="1132" w:type="dxa"/>
            <w:tcBorders>
              <w:top w:val="nil"/>
              <w:left w:val="nil"/>
              <w:bottom w:val="single" w:sz="4" w:space="0" w:color="auto"/>
              <w:right w:val="nil"/>
            </w:tcBorders>
            <w:shd w:val="clear" w:color="000000" w:fill="FFFFFF"/>
            <w:vAlign w:val="center"/>
            <w:hideMark/>
          </w:tcPr>
          <w:p w14:paraId="62E17F1C" w14:textId="77777777" w:rsidR="00C91F71" w:rsidRPr="005E0B8E" w:rsidRDefault="00C91F71" w:rsidP="005E0B8E">
            <w:pPr>
              <w:spacing w:after="0" w:line="240" w:lineRule="auto"/>
              <w:jc w:val="center"/>
              <w:rPr>
                <w:rFonts w:ascii="Calibri" w:eastAsia="Times New Roman" w:hAnsi="Calibri" w:cs="Calibri"/>
                <w:color w:val="000000"/>
                <w:lang w:eastAsia="en-CA"/>
              </w:rPr>
            </w:pPr>
            <w:r w:rsidRPr="005E0B8E">
              <w:rPr>
                <w:rFonts w:ascii="Calibri" w:eastAsia="Times New Roman" w:hAnsi="Calibri" w:cs="Calibri"/>
                <w:color w:val="000000"/>
                <w:lang w:eastAsia="en-CA"/>
              </w:rPr>
              <w:t>**</w:t>
            </w:r>
          </w:p>
        </w:tc>
      </w:tr>
    </w:tbl>
    <w:p w14:paraId="5BB01FE4" w14:textId="469D08A8" w:rsidR="00027842" w:rsidRDefault="00027842" w:rsidP="00C91F71"/>
    <w:p w14:paraId="1161EA14" w14:textId="7A612059" w:rsidR="00027842" w:rsidRDefault="00027842"/>
    <w:p w14:paraId="446DA715" w14:textId="77777777" w:rsidR="00027842" w:rsidRDefault="00027842" w:rsidP="00027842">
      <w:pPr>
        <w:pStyle w:val="Heading2"/>
        <w:sectPr w:rsidR="00027842" w:rsidSect="00EC2B27">
          <w:pgSz w:w="15840" w:h="12240" w:orient="landscape"/>
          <w:pgMar w:top="1440" w:right="1440" w:bottom="1440" w:left="1440" w:header="708" w:footer="708" w:gutter="0"/>
          <w:cols w:space="708"/>
          <w:docGrid w:linePitch="360"/>
        </w:sectPr>
      </w:pPr>
    </w:p>
    <w:p w14:paraId="15BB9FD2" w14:textId="61E47303" w:rsidR="00000522" w:rsidRDefault="00000522" w:rsidP="00F319CE">
      <w:pPr>
        <w:tabs>
          <w:tab w:val="left" w:pos="3635"/>
          <w:tab w:val="left" w:pos="5640"/>
        </w:tabs>
      </w:pPr>
      <w:r>
        <w:lastRenderedPageBreak/>
        <w:tab/>
      </w:r>
      <w:r w:rsidR="00F319CE">
        <w:tab/>
      </w:r>
    </w:p>
    <w:p w14:paraId="6DA8E42B" w14:textId="759F07F7" w:rsidR="00883C77" w:rsidRPr="00F319CE" w:rsidRDefault="00E63313" w:rsidP="00000522">
      <w:pPr>
        <w:tabs>
          <w:tab w:val="left" w:pos="3635"/>
        </w:tabs>
        <w:jc w:val="both"/>
        <w:rPr>
          <w:rStyle w:val="Hyperlink"/>
          <w:color w:val="2E74B5" w:themeColor="accent1" w:themeShade="BF"/>
          <w:sz w:val="28"/>
          <w:szCs w:val="28"/>
          <w:u w:val="none"/>
        </w:rPr>
      </w:pPr>
      <w:r w:rsidRPr="00F319CE">
        <w:rPr>
          <w:rStyle w:val="Hyperlink"/>
          <w:color w:val="2E74B5" w:themeColor="accent1" w:themeShade="BF"/>
          <w:sz w:val="28"/>
          <w:szCs w:val="28"/>
          <w:u w:val="none"/>
        </w:rPr>
        <w:t>Supplemental</w:t>
      </w:r>
      <w:r w:rsidR="00883C77" w:rsidRPr="00F319CE">
        <w:rPr>
          <w:rStyle w:val="Hyperlink"/>
          <w:color w:val="2E74B5" w:themeColor="accent1" w:themeShade="BF"/>
          <w:sz w:val="28"/>
          <w:szCs w:val="28"/>
          <w:u w:val="none"/>
        </w:rPr>
        <w:t xml:space="preserve"> Materials V</w:t>
      </w:r>
      <w:r w:rsidR="00C91F71" w:rsidRPr="00F319CE">
        <w:rPr>
          <w:rStyle w:val="Hyperlink"/>
          <w:color w:val="2E74B5" w:themeColor="accent1" w:themeShade="BF"/>
          <w:sz w:val="28"/>
          <w:szCs w:val="28"/>
          <w:u w:val="none"/>
        </w:rPr>
        <w:t>I</w:t>
      </w:r>
      <w:r w:rsidR="00883C77" w:rsidRPr="00F319CE">
        <w:rPr>
          <w:rStyle w:val="Hyperlink"/>
          <w:color w:val="2E74B5" w:themeColor="accent1" w:themeShade="BF"/>
          <w:sz w:val="28"/>
          <w:szCs w:val="28"/>
          <w:u w:val="none"/>
        </w:rPr>
        <w:t>I</w:t>
      </w:r>
      <w:r w:rsidR="0029794F" w:rsidRPr="00F319CE">
        <w:rPr>
          <w:rStyle w:val="Hyperlink"/>
          <w:color w:val="2E74B5" w:themeColor="accent1" w:themeShade="BF"/>
          <w:sz w:val="28"/>
          <w:szCs w:val="28"/>
          <w:u w:val="none"/>
        </w:rPr>
        <w:t>I</w:t>
      </w:r>
      <w:r w:rsidR="00883C77" w:rsidRPr="00F319CE">
        <w:rPr>
          <w:rStyle w:val="Hyperlink"/>
          <w:color w:val="2E74B5" w:themeColor="accent1" w:themeShade="BF"/>
          <w:sz w:val="28"/>
          <w:szCs w:val="28"/>
          <w:u w:val="none"/>
        </w:rPr>
        <w:t xml:space="preserve">: Findings from </w:t>
      </w:r>
      <w:r w:rsidR="00841021" w:rsidRPr="00F319CE">
        <w:rPr>
          <w:rStyle w:val="Hyperlink"/>
          <w:color w:val="2E74B5" w:themeColor="accent1" w:themeShade="BF"/>
          <w:sz w:val="28"/>
          <w:szCs w:val="28"/>
          <w:u w:val="none"/>
        </w:rPr>
        <w:t xml:space="preserve">observational </w:t>
      </w:r>
      <w:r w:rsidR="00883C77" w:rsidRPr="00F319CE">
        <w:rPr>
          <w:rStyle w:val="Hyperlink"/>
          <w:color w:val="2E74B5" w:themeColor="accent1" w:themeShade="BF"/>
          <w:sz w:val="28"/>
          <w:szCs w:val="28"/>
          <w:u w:val="none"/>
        </w:rPr>
        <w:t>studies that reported counts/rates of events.</w:t>
      </w:r>
    </w:p>
    <w:bookmarkEnd w:id="25"/>
    <w:p w14:paraId="65BA9F50" w14:textId="4607A29D" w:rsidR="00984B42" w:rsidRPr="00B842AC" w:rsidRDefault="00984B42" w:rsidP="00B842AC">
      <w:pPr>
        <w:pStyle w:val="Heading5"/>
        <w:rPr>
          <w:sz w:val="20"/>
          <w:szCs w:val="20"/>
        </w:rPr>
      </w:pPr>
      <w:r w:rsidRPr="00B842AC">
        <w:rPr>
          <w:sz w:val="20"/>
          <w:szCs w:val="20"/>
        </w:rPr>
        <w:t xml:space="preserve">Table </w:t>
      </w:r>
      <w:r w:rsidR="00B842AC" w:rsidRPr="00B842AC">
        <w:rPr>
          <w:sz w:val="20"/>
          <w:szCs w:val="20"/>
        </w:rPr>
        <w:t>S11</w:t>
      </w:r>
      <w:r w:rsidR="007C20BA" w:rsidRPr="00B842AC">
        <w:rPr>
          <w:sz w:val="20"/>
          <w:szCs w:val="20"/>
        </w:rPr>
        <w:t>.</w:t>
      </w:r>
      <w:r w:rsidRPr="00B842AC">
        <w:rPr>
          <w:sz w:val="20"/>
          <w:szCs w:val="20"/>
        </w:rPr>
        <w:t xml:space="preserve"> </w:t>
      </w:r>
      <w:r w:rsidR="00883C77" w:rsidRPr="00B842AC">
        <w:rPr>
          <w:sz w:val="20"/>
          <w:szCs w:val="20"/>
        </w:rPr>
        <w:t>Findings from observational studies that reported counts/rates of events among PPI users and non-users (with no concomitant treatment) (Group A). These findings were not included in the meta-analysis.</w:t>
      </w:r>
    </w:p>
    <w:tbl>
      <w:tblPr>
        <w:tblW w:w="12900" w:type="dxa"/>
        <w:tblLayout w:type="fixed"/>
        <w:tblLook w:val="04A0" w:firstRow="1" w:lastRow="0" w:firstColumn="1" w:lastColumn="0" w:noHBand="0" w:noVBand="1"/>
      </w:tblPr>
      <w:tblGrid>
        <w:gridCol w:w="1701"/>
        <w:gridCol w:w="1276"/>
        <w:gridCol w:w="1417"/>
        <w:gridCol w:w="4820"/>
        <w:gridCol w:w="3686"/>
      </w:tblGrid>
      <w:tr w:rsidR="00984B42" w14:paraId="560B5F17" w14:textId="77777777" w:rsidTr="009C4910">
        <w:trPr>
          <w:trHeight w:val="453"/>
          <w:tblHeader/>
        </w:trPr>
        <w:tc>
          <w:tcPr>
            <w:tcW w:w="1701" w:type="dxa"/>
            <w:tcBorders>
              <w:top w:val="single" w:sz="4" w:space="0" w:color="auto"/>
              <w:left w:val="nil"/>
              <w:bottom w:val="single" w:sz="4" w:space="0" w:color="auto"/>
              <w:right w:val="nil"/>
            </w:tcBorders>
            <w:shd w:val="clear" w:color="auto" w:fill="FFFFFF"/>
            <w:vAlign w:val="center"/>
            <w:hideMark/>
          </w:tcPr>
          <w:p w14:paraId="437EC044" w14:textId="77777777" w:rsidR="00984B42" w:rsidRDefault="00984B42">
            <w:pPr>
              <w:spacing w:after="0" w:line="240" w:lineRule="auto"/>
              <w:rPr>
                <w:rFonts w:ascii="Calibri" w:eastAsia="Times New Roman" w:hAnsi="Calibri" w:cs="Times New Roman"/>
                <w:b/>
                <w:bCs/>
                <w:color w:val="000000"/>
                <w:sz w:val="18"/>
                <w:szCs w:val="18"/>
                <w:lang w:eastAsia="en-CA"/>
              </w:rPr>
            </w:pPr>
            <w:r>
              <w:rPr>
                <w:rFonts w:ascii="Calibri" w:eastAsia="Times New Roman" w:hAnsi="Calibri" w:cs="Times New Roman"/>
                <w:b/>
                <w:bCs/>
                <w:color w:val="000000"/>
                <w:sz w:val="18"/>
                <w:szCs w:val="18"/>
                <w:lang w:eastAsia="en-CA"/>
              </w:rPr>
              <w:t>Citation</w:t>
            </w:r>
          </w:p>
          <w:p w14:paraId="70A2C25F" w14:textId="300C8608" w:rsidR="00984B42" w:rsidRDefault="00984B42">
            <w:pPr>
              <w:spacing w:after="0" w:line="240" w:lineRule="auto"/>
              <w:rPr>
                <w:rFonts w:ascii="Calibri" w:eastAsia="Times New Roman" w:hAnsi="Calibri" w:cs="Times New Roman"/>
                <w:b/>
                <w:bCs/>
                <w:color w:val="000000"/>
                <w:sz w:val="18"/>
                <w:szCs w:val="18"/>
                <w:lang w:eastAsia="en-CA"/>
              </w:rPr>
            </w:pPr>
          </w:p>
        </w:tc>
        <w:tc>
          <w:tcPr>
            <w:tcW w:w="1276" w:type="dxa"/>
            <w:tcBorders>
              <w:top w:val="single" w:sz="4" w:space="0" w:color="auto"/>
              <w:left w:val="nil"/>
              <w:bottom w:val="single" w:sz="4" w:space="0" w:color="auto"/>
              <w:right w:val="nil"/>
            </w:tcBorders>
            <w:shd w:val="clear" w:color="auto" w:fill="FFFFFF"/>
            <w:vAlign w:val="center"/>
            <w:hideMark/>
          </w:tcPr>
          <w:p w14:paraId="2F07B644" w14:textId="77777777" w:rsidR="00984B42" w:rsidRDefault="00984B42">
            <w:pPr>
              <w:spacing w:after="0" w:line="240" w:lineRule="auto"/>
              <w:rPr>
                <w:rFonts w:ascii="Calibri" w:eastAsia="Times New Roman" w:hAnsi="Calibri" w:cs="Times New Roman"/>
                <w:b/>
                <w:bCs/>
                <w:color w:val="000000"/>
                <w:sz w:val="18"/>
                <w:szCs w:val="18"/>
                <w:lang w:eastAsia="en-CA"/>
              </w:rPr>
            </w:pPr>
            <w:r>
              <w:rPr>
                <w:rFonts w:ascii="Calibri" w:eastAsia="Times New Roman" w:hAnsi="Calibri" w:cs="Times New Roman"/>
                <w:b/>
                <w:bCs/>
                <w:color w:val="000000"/>
                <w:sz w:val="18"/>
                <w:szCs w:val="18"/>
                <w:lang w:eastAsia="en-CA"/>
              </w:rPr>
              <w:t>Patient population</w:t>
            </w:r>
          </w:p>
        </w:tc>
        <w:tc>
          <w:tcPr>
            <w:tcW w:w="1417" w:type="dxa"/>
            <w:tcBorders>
              <w:top w:val="single" w:sz="4" w:space="0" w:color="auto"/>
              <w:left w:val="nil"/>
              <w:bottom w:val="single" w:sz="4" w:space="0" w:color="auto"/>
              <w:right w:val="nil"/>
            </w:tcBorders>
            <w:shd w:val="clear" w:color="auto" w:fill="FFFFFF"/>
            <w:vAlign w:val="center"/>
            <w:hideMark/>
          </w:tcPr>
          <w:p w14:paraId="55E81D01" w14:textId="79651B19" w:rsidR="00984B42" w:rsidRDefault="009C4910">
            <w:pPr>
              <w:spacing w:after="0" w:line="240" w:lineRule="auto"/>
              <w:rPr>
                <w:rFonts w:ascii="Calibri" w:eastAsia="Times New Roman" w:hAnsi="Calibri" w:cs="Times New Roman"/>
                <w:b/>
                <w:bCs/>
                <w:color w:val="000000"/>
                <w:sz w:val="18"/>
                <w:szCs w:val="18"/>
                <w:lang w:eastAsia="en-CA"/>
              </w:rPr>
            </w:pPr>
            <w:r>
              <w:rPr>
                <w:rFonts w:ascii="Calibri" w:eastAsia="Times New Roman" w:hAnsi="Calibri" w:cs="Times New Roman"/>
                <w:b/>
                <w:bCs/>
                <w:color w:val="000000"/>
                <w:sz w:val="18"/>
                <w:szCs w:val="18"/>
                <w:lang w:eastAsia="en-CA"/>
              </w:rPr>
              <w:t>Outcome (follow up</w:t>
            </w:r>
            <w:r w:rsidR="00984B42">
              <w:rPr>
                <w:rFonts w:ascii="Calibri" w:eastAsia="Times New Roman" w:hAnsi="Calibri" w:cs="Times New Roman"/>
                <w:b/>
                <w:bCs/>
                <w:color w:val="000000"/>
                <w:sz w:val="18"/>
                <w:szCs w:val="18"/>
                <w:lang w:eastAsia="en-CA"/>
              </w:rPr>
              <w:t>)</w:t>
            </w:r>
          </w:p>
        </w:tc>
        <w:tc>
          <w:tcPr>
            <w:tcW w:w="4820" w:type="dxa"/>
            <w:tcBorders>
              <w:top w:val="single" w:sz="4" w:space="0" w:color="auto"/>
              <w:left w:val="nil"/>
              <w:bottom w:val="single" w:sz="4" w:space="0" w:color="auto"/>
              <w:right w:val="nil"/>
            </w:tcBorders>
            <w:shd w:val="clear" w:color="auto" w:fill="FFFFFF"/>
            <w:vAlign w:val="center"/>
            <w:hideMark/>
          </w:tcPr>
          <w:p w14:paraId="44AD8216" w14:textId="77777777" w:rsidR="00984B42" w:rsidRDefault="00984B42">
            <w:pPr>
              <w:spacing w:after="0" w:line="240" w:lineRule="auto"/>
              <w:rPr>
                <w:rFonts w:ascii="Calibri" w:eastAsia="Times New Roman" w:hAnsi="Calibri" w:cs="Times New Roman"/>
                <w:b/>
                <w:bCs/>
                <w:sz w:val="18"/>
                <w:szCs w:val="18"/>
                <w:lang w:eastAsia="en-CA"/>
              </w:rPr>
            </w:pPr>
            <w:r>
              <w:rPr>
                <w:rFonts w:ascii="Calibri" w:eastAsia="Times New Roman" w:hAnsi="Calibri" w:cs="Times New Roman"/>
                <w:b/>
                <w:bCs/>
                <w:sz w:val="18"/>
                <w:szCs w:val="18"/>
                <w:lang w:eastAsia="en-CA"/>
              </w:rPr>
              <w:t>Percentage of events or unadjusted effect estimates (95% CI) and number of patients (N) in each exposure group</w:t>
            </w:r>
          </w:p>
        </w:tc>
        <w:tc>
          <w:tcPr>
            <w:tcW w:w="3686" w:type="dxa"/>
            <w:tcBorders>
              <w:top w:val="single" w:sz="4" w:space="0" w:color="auto"/>
              <w:left w:val="nil"/>
              <w:bottom w:val="single" w:sz="4" w:space="0" w:color="auto"/>
              <w:right w:val="nil"/>
            </w:tcBorders>
            <w:shd w:val="clear" w:color="auto" w:fill="FFFFFF"/>
            <w:vAlign w:val="center"/>
            <w:hideMark/>
          </w:tcPr>
          <w:p w14:paraId="4F644DD9" w14:textId="1A75A1EB" w:rsidR="00984B42" w:rsidRDefault="00984B42">
            <w:pPr>
              <w:spacing w:after="0" w:line="240" w:lineRule="auto"/>
              <w:rPr>
                <w:rFonts w:ascii="Calibri" w:eastAsia="Times New Roman" w:hAnsi="Calibri" w:cs="Times New Roman"/>
                <w:b/>
                <w:bCs/>
                <w:color w:val="000000"/>
                <w:sz w:val="18"/>
                <w:szCs w:val="18"/>
                <w:lang w:eastAsia="en-CA"/>
              </w:rPr>
            </w:pPr>
            <w:r>
              <w:rPr>
                <w:rFonts w:ascii="Calibri" w:eastAsia="Times New Roman" w:hAnsi="Calibri" w:cs="Times New Roman"/>
                <w:b/>
                <w:bCs/>
                <w:color w:val="000000"/>
                <w:sz w:val="18"/>
                <w:szCs w:val="18"/>
                <w:lang w:eastAsia="en-CA"/>
              </w:rPr>
              <w:t>Overall author conclusion on the PPI-outcome of interest association</w:t>
            </w:r>
            <w:r w:rsidR="00227061" w:rsidRPr="00227061">
              <w:rPr>
                <w:rFonts w:ascii="Calibri" w:eastAsia="Times New Roman" w:hAnsi="Calibri" w:cs="Times New Roman"/>
                <w:b/>
                <w:bCs/>
                <w:color w:val="000000"/>
                <w:sz w:val="18"/>
                <w:szCs w:val="18"/>
                <w:vertAlign w:val="superscript"/>
                <w:lang w:eastAsia="en-CA"/>
              </w:rPr>
              <w:t>1</w:t>
            </w:r>
          </w:p>
        </w:tc>
      </w:tr>
      <w:tr w:rsidR="00DE2B7A" w14:paraId="7F926725" w14:textId="77777777" w:rsidTr="00EC2B27">
        <w:trPr>
          <w:trHeight w:val="39"/>
        </w:trPr>
        <w:tc>
          <w:tcPr>
            <w:tcW w:w="4394" w:type="dxa"/>
            <w:gridSpan w:val="3"/>
            <w:tcBorders>
              <w:top w:val="nil"/>
              <w:left w:val="nil"/>
              <w:bottom w:val="single" w:sz="4" w:space="0" w:color="808080"/>
              <w:right w:val="nil"/>
            </w:tcBorders>
            <w:shd w:val="clear" w:color="auto" w:fill="DCE6F1"/>
            <w:vAlign w:val="center"/>
            <w:hideMark/>
          </w:tcPr>
          <w:p w14:paraId="7A2B5608" w14:textId="201F7B7E" w:rsidR="00DE2B7A" w:rsidRPr="00DE2B7A" w:rsidRDefault="00DE2B7A" w:rsidP="00DE2B7A">
            <w:pPr>
              <w:spacing w:after="0" w:line="240" w:lineRule="auto"/>
              <w:rPr>
                <w:rFonts w:ascii="Calibri" w:eastAsia="Times New Roman" w:hAnsi="Calibri" w:cs="Times New Roman"/>
                <w:b/>
                <w:bCs/>
                <w:i/>
                <w:iCs/>
                <w:color w:val="000000"/>
                <w:sz w:val="18"/>
                <w:szCs w:val="18"/>
                <w:lang w:eastAsia="en-CA"/>
              </w:rPr>
            </w:pPr>
            <w:r>
              <w:rPr>
                <w:rFonts w:ascii="Calibri" w:eastAsia="Times New Roman" w:hAnsi="Calibri" w:cs="Times New Roman"/>
                <w:b/>
                <w:bCs/>
                <w:i/>
                <w:iCs/>
                <w:color w:val="000000"/>
                <w:sz w:val="18"/>
                <w:szCs w:val="18"/>
                <w:lang w:eastAsia="en-CA"/>
              </w:rPr>
              <w:t>All-cause mortality</w:t>
            </w:r>
          </w:p>
        </w:tc>
        <w:tc>
          <w:tcPr>
            <w:tcW w:w="4820" w:type="dxa"/>
            <w:tcBorders>
              <w:top w:val="nil"/>
              <w:left w:val="nil"/>
              <w:bottom w:val="single" w:sz="4" w:space="0" w:color="808080"/>
              <w:right w:val="nil"/>
            </w:tcBorders>
            <w:shd w:val="clear" w:color="auto" w:fill="DCE6F1"/>
            <w:vAlign w:val="center"/>
            <w:hideMark/>
          </w:tcPr>
          <w:p w14:paraId="6B905FA6" w14:textId="77777777" w:rsidR="00DE2B7A" w:rsidRDefault="00DE2B7A">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 </w:t>
            </w:r>
          </w:p>
        </w:tc>
        <w:tc>
          <w:tcPr>
            <w:tcW w:w="3686" w:type="dxa"/>
            <w:tcBorders>
              <w:top w:val="nil"/>
              <w:left w:val="nil"/>
              <w:bottom w:val="single" w:sz="4" w:space="0" w:color="808080"/>
              <w:right w:val="nil"/>
            </w:tcBorders>
            <w:shd w:val="clear" w:color="auto" w:fill="DCE6F1"/>
            <w:vAlign w:val="center"/>
            <w:hideMark/>
          </w:tcPr>
          <w:p w14:paraId="1CB24F21" w14:textId="77777777" w:rsidR="00DE2B7A" w:rsidRDefault="00DE2B7A">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r>
      <w:tr w:rsidR="00984B42" w14:paraId="4D8B12E8" w14:textId="77777777" w:rsidTr="00EC2B27">
        <w:trPr>
          <w:trHeight w:val="277"/>
        </w:trPr>
        <w:tc>
          <w:tcPr>
            <w:tcW w:w="1701" w:type="dxa"/>
            <w:tcBorders>
              <w:top w:val="nil"/>
              <w:left w:val="nil"/>
              <w:bottom w:val="single" w:sz="4" w:space="0" w:color="808080"/>
              <w:right w:val="nil"/>
            </w:tcBorders>
            <w:shd w:val="clear" w:color="auto" w:fill="FFFFFF"/>
            <w:vAlign w:val="center"/>
            <w:hideMark/>
          </w:tcPr>
          <w:p w14:paraId="4CBDF007" w14:textId="22475236" w:rsidR="00984B42" w:rsidRDefault="00984B42" w:rsidP="00F418C4">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{"citationItems":[{"id":"ITEM-1","itemData":{"ISBN":"0002-9270","ISSN":"1572-0241","abstract":"OBJECTIVES:Observational studies suggest that proton pump inhibitors (PPIs) are a risk factor for incident Clostridium difficile infection (CDI). Data also suggest an association between PPIs and recurrent CDI, although large-scale studies focusing solely on hospitalized patients are lacking. We therefore performed a retrospective cohort analysis of inpatients with incident CDI to assess receipt of PPIs as a risk factor for CDI recurrence in this population.METHODS:Using electronic medical records, we identified hospitalized adult patients between 1 December 2009 and 30 June 2012 with incident CDI, defined as a first positive stool test for C. difficile toxin B and who received appropriate treatment. Electronic records were parsed for clinical factors including receipt of PPIs, other acid suppression, non-CDI antibiotics, and comorbidities. The primary exposure was in-hospital PPIs given concurrently with C. difficile treatment. Recurrence was defined as a second positive stool test 15-90 days after the initial positive test. C. difficile recurrence rates in the PPI exposed and unexposed groups were compared with the log-rank test. Multivariable Cox proportional hazards modeling was performed to control for demographics, comorbidities, and other clinical factors.RESULTS:We identified 894 inpatients with incident CDI. The cumulative incidence of CDI recurrence in the cohort was 23%. Receipt of PPIs concurrent with CDI treatment was not associated with C. difficile recurrence (hazard ratio (HR)=0.82; 95% confidence interval (CI)=0.58-1.16). Black race (HR=1.66, 95% CI=1.05-2.63), increased age (HR=1.02, 95% CI=1.01-1.03), and increased comorbidities (HR=1.09, 95% CI=1.04-1.14) were associated with CDI recurrence. In light of a higher 90-day mortality seen among those who received PPIs (log-rank P=0.02), we also analyzed the subset of patients who survived to 90 days of follow-up. Again, there was no association between PPIs and CDI recurrence (HR=0.87; 95% CI=0.60-1.28). Finally, there was no association between recurrent CDI and increased duration or dose of PPIs.CONCLUSIONS:Among hospitalized adults with C. difficile, receipt of PPIs concurrent with C. difficile treatment was not associated with CDI recurrence. Black race, increased age, and increased comorbidities significantly predicted recurrence. Future studies should test interventions to prevent CDI recurrence among high-risk inpatients.","author":[{"dropping-particle":"","family":"Freedberg","given":"Daniel E","non-dropping-particle":"","parse-names":false,"suffix":""},{"dropping-particle":"","family":"Salmasian","given":"Hojjat","non-dropping-particle":"","parse-names":false,"suffix":""},{"dropping-particle":"","family":"Friedman","given":"Carol","non-dropping-particle":"","parse-names":false,"suffix":""},{"dropping-particle":"","family":"Abrams","given":"Julian A","non-dropping-particle":"","parse-names":false,"suffix":""}],"container-title":"The American journal of gastroenterology","id":"ITEM-1","issue":"11","issued":{"date-parts":[["2013"]]},"note":"328\n\nFrom Duplicate 2 (Proton pump inhibitors and risk for recurrent Clostridium difficile infection among inpatients. - Freedberg, Daniel E; Salmasian, Hojjat; Friedman, Carol; Abrams, Julian A)\n\nComment in: Am J Gastroenterol. 2013 Nov;108(11):1802-3; PMID: 24192949, Comment in: Am J Gastroenterol. 2014 Apr;109(4):602-3; PMID: 24698871, Comment in: Am J Gastroenterol. 2014 Jun;109(6):922-3; PMID: 24896761, Comment in: Am J Gastroenterol. 2014 Jun;109(6):922; PMID: 24896760, Comment in: Am J Gastroenterol. 2014 Apr;109(4):601-2; PMID: 24698870","page":"1794-1801","publisher":"Nature Publishing Group (Houndmills, Basingstoke, Hampshire RG21 6XS, United Kingdom)","publisher-place":"United States","title":"Proton pump inhibitors and risk for recurrent clostridium difficile infection among inpatients","type":"article-journal","volume":"108"},"uris":["http://www.mendeley.com/documents/?uuid=c25b897a-71f3-4181-a8ed-20f8ef292371"]}],"mendeley":{"formattedCitation":"(Freedberg et al. 2013)","plainTextFormattedCitation":"(Freedberg et al. 2013)","previouslyFormattedCitation":"(Freedberg et al. 2013)"},"properties":{"noteIndex":0},"schema":"https://github.com/citation-style-language/schema/raw/master/csl-citation.json"}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(Freedberg et al. 2013)</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2DAE1569"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CDI</w:t>
            </w:r>
          </w:p>
        </w:tc>
        <w:tc>
          <w:tcPr>
            <w:tcW w:w="1417" w:type="dxa"/>
            <w:tcBorders>
              <w:top w:val="nil"/>
              <w:left w:val="nil"/>
              <w:bottom w:val="single" w:sz="4" w:space="0" w:color="808080"/>
              <w:right w:val="nil"/>
            </w:tcBorders>
            <w:shd w:val="clear" w:color="auto" w:fill="FFFFFF"/>
            <w:vAlign w:val="center"/>
            <w:hideMark/>
          </w:tcPr>
          <w:p w14:paraId="0A7820F5"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ACM (90 days)</w:t>
            </w:r>
          </w:p>
        </w:tc>
        <w:tc>
          <w:tcPr>
            <w:tcW w:w="4820" w:type="dxa"/>
            <w:tcBorders>
              <w:top w:val="nil"/>
              <w:left w:val="nil"/>
              <w:bottom w:val="single" w:sz="4" w:space="0" w:color="808080"/>
              <w:right w:val="nil"/>
            </w:tcBorders>
            <w:shd w:val="clear" w:color="auto" w:fill="FFFFFF"/>
            <w:vAlign w:val="center"/>
            <w:hideMark/>
          </w:tcPr>
          <w:p w14:paraId="3D95193E" w14:textId="06D26757" w:rsidR="00984B42" w:rsidRDefault="00984B42">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 xml:space="preserve">Within 90 days: PPI: 32% (N=551); no PPI: 25% (N=343);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0.03.</w:t>
            </w:r>
          </w:p>
        </w:tc>
        <w:tc>
          <w:tcPr>
            <w:tcW w:w="3686" w:type="dxa"/>
            <w:tcBorders>
              <w:top w:val="nil"/>
              <w:left w:val="nil"/>
              <w:bottom w:val="single" w:sz="4" w:space="0" w:color="808080"/>
              <w:right w:val="nil"/>
            </w:tcBorders>
            <w:shd w:val="clear" w:color="auto" w:fill="FFFFFF"/>
            <w:vAlign w:val="center"/>
            <w:hideMark/>
          </w:tcPr>
          <w:p w14:paraId="1BF628E1"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xml:space="preserve">Higher mortality CDI patients exposed to PPIs. </w:t>
            </w:r>
          </w:p>
        </w:tc>
      </w:tr>
      <w:tr w:rsidR="00D325C7" w14:paraId="44A118BB" w14:textId="77777777" w:rsidTr="00646369">
        <w:trPr>
          <w:trHeight w:val="277"/>
        </w:trPr>
        <w:tc>
          <w:tcPr>
            <w:tcW w:w="1701" w:type="dxa"/>
            <w:tcBorders>
              <w:top w:val="nil"/>
              <w:left w:val="nil"/>
              <w:bottom w:val="single" w:sz="4" w:space="0" w:color="808080"/>
              <w:right w:val="nil"/>
            </w:tcBorders>
            <w:shd w:val="clear" w:color="auto" w:fill="FBE4D5" w:themeFill="accent2" w:themeFillTint="33"/>
            <w:vAlign w:val="center"/>
          </w:tcPr>
          <w:p w14:paraId="4BF1D8C8" w14:textId="5F4A44C3" w:rsidR="00D325C7" w:rsidRDefault="00D325C7" w:rsidP="00D325C7">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{"citationItems":[{"id":"ITEM-1","itemData":{"DOI":"http://dx.doi.org/10.1136/gutjnl-2018-BSGAbstracts.49","ISBN":"1468-3288","PMID":"623564848","abstract":"Introduction Acute non-variceal upper GI bleeds are a common presentation to UK hospitals. NICE guidelines state patients should not receive treatment with proton pump inhibitors (PPI) prior to endoscopy, as the 2010 Cochrane review showed no reduction in mortality, re-bleeding or need for surgery. The review did however show a reduction in the requirement for endoscopic therapy. Methods We carried out a retrospective review of 763 patients who received an upper GI endoscopy for non-variceal bleeding between September 2010 and September 2013 at Cardiff and Vale University health board. Patients were divided into 2 groups depending on the receipt of PPFs pre-endoscopy. We then compared outcomes for both groups including mortality, need for surgery, re-bleeding and need for intervention at endoscopy. Results Our data showed 77% of patients were treated with a PPI pre-endoscopy despite NICE guidelines. There was not a significant difference in death rates (9% vs 14%, p = 0.91), need for surgery (3% vs 2% p = 0.28) or re-bleeding (6% vs 8% p = 0.37) in these patients. Our data does show a significant reduction in the need for endoscopic intervention (p = 0.014) in patients pre-treated with a PPI. Abstract PTH-028 Table 1 Therapeutic procedure at PPI pre-No PPI pre-Total endoscopy endoscopy endoscopy Yes 94(16%) 43(24%) 137 No 491 (84%) 135 (76%) 626 Total 585 178 763 (p=0.014) Conclusion Use of PPI pre-endoscopy is not detrimental to patient outcomes and our data supports the existing evidence base suggesting a reduction in the need for endoscopic inter-vention&lt;sup&gt;2&lt;/sup&gt;. Further study is needed to evaluate the cost effec-tiveness of PPI use pre-endoscopy.","author":[{"dropping-particle":"","family":"Gardezi","given":"A","non-dropping-particle":"","parse-names":false,"suffix":""},{"dropping-particle":"","family":"Tibbats","given":"C","non-dropping-particle":"","parse-names":false,"suffix":""},{"dropping-particle":"","family":"Aslam","given":"U","non-dropping-particle":"","parse-names":false,"suffix":""},{"dropping-particle":"","family":"Chase","given":"L","non-dropping-particle":"","parse-names":false,"suffix":""},{"dropping-particle":"","family":"Fahmy","given":"H","non-dropping-particle":"","parse-names":false,"suffix":""}],"container-title":"Gut","id":"ITEM-1","issued":{"date-parts":[["2018"]]},"language":"English","note":"British Society of Gastroenterology Annual General Meeting 2017, BSG 2018. United Kingdom","page":"A26","title":"Use of PPIS in acute non-variceal upper GL bleeds in a university teaching hospital","type":"article-journal","volume":"67 (Supple"},"uris":["http://www.mendeley.com/documents/?uuid=e337d79d-de9e-499e-9e2c-bf9bf70cd786"]}],"mendeley":{"formattedCitation":"(Gardezi et al. 2018)","plainTextFormattedCitation":"(Gardezi et al. 2018)","previouslyFormattedCitation":"(Gardezi et al. 2018)"},"properties":{"noteIndex":0},"schema":"https://github.com/citation-style-language/schema/raw/master/csl-citation.json"}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sidRPr="00D325C7">
              <w:rPr>
                <w:rFonts w:ascii="Calibri" w:eastAsia="Times New Roman" w:hAnsi="Calibri" w:cs="Times New Roman"/>
                <w:noProof/>
                <w:color w:val="000000"/>
                <w:sz w:val="18"/>
                <w:szCs w:val="18"/>
                <w:lang w:eastAsia="en-CA"/>
              </w:rPr>
              <w:t>(Gardezi et al. 2018)</w:t>
            </w:r>
            <w:r>
              <w:rPr>
                <w:rFonts w:ascii="Calibri" w:eastAsia="Times New Roman" w:hAnsi="Calibri" w:cs="Times New Roman"/>
                <w:color w:val="000000"/>
                <w:sz w:val="18"/>
                <w:szCs w:val="18"/>
                <w:lang w:eastAsia="en-CA"/>
              </w:rPr>
              <w:fldChar w:fldCharType="end"/>
            </w:r>
          </w:p>
        </w:tc>
        <w:tc>
          <w:tcPr>
            <w:tcW w:w="1276" w:type="dxa"/>
            <w:tcBorders>
              <w:top w:val="nil"/>
              <w:left w:val="nil"/>
              <w:bottom w:val="single" w:sz="4" w:space="0" w:color="808080"/>
              <w:right w:val="nil"/>
            </w:tcBorders>
            <w:shd w:val="clear" w:color="auto" w:fill="FBE4D5" w:themeFill="accent2" w:themeFillTint="33"/>
            <w:vAlign w:val="center"/>
          </w:tcPr>
          <w:p w14:paraId="181647BA" w14:textId="678C8B47" w:rsidR="00D325C7" w:rsidRDefault="00D325C7">
            <w:pPr>
              <w:spacing w:after="0" w:line="240" w:lineRule="auto"/>
              <w:rPr>
                <w:rFonts w:ascii="Calibri" w:eastAsia="Times New Roman" w:hAnsi="Calibri" w:cs="Times New Roman"/>
                <w:color w:val="000000"/>
                <w:sz w:val="18"/>
                <w:szCs w:val="18"/>
                <w:lang w:eastAsia="en-CA"/>
              </w:rPr>
            </w:pPr>
            <w:r w:rsidRPr="00D325C7">
              <w:rPr>
                <w:rFonts w:ascii="Calibri" w:eastAsia="Times New Roman" w:hAnsi="Calibri" w:cs="Times New Roman"/>
                <w:color w:val="000000"/>
                <w:sz w:val="18"/>
                <w:szCs w:val="18"/>
                <w:lang w:eastAsia="en-CA"/>
              </w:rPr>
              <w:t>Non-variceal bleeding</w:t>
            </w:r>
          </w:p>
        </w:tc>
        <w:tc>
          <w:tcPr>
            <w:tcW w:w="1417" w:type="dxa"/>
            <w:tcBorders>
              <w:top w:val="nil"/>
              <w:left w:val="nil"/>
              <w:bottom w:val="single" w:sz="4" w:space="0" w:color="808080"/>
              <w:right w:val="nil"/>
            </w:tcBorders>
            <w:shd w:val="clear" w:color="auto" w:fill="FBE4D5" w:themeFill="accent2" w:themeFillTint="33"/>
            <w:vAlign w:val="center"/>
          </w:tcPr>
          <w:p w14:paraId="29CA6098" w14:textId="15C81CC7" w:rsidR="00D325C7" w:rsidRDefault="00D325C7">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ACM (NR)</w:t>
            </w:r>
          </w:p>
        </w:tc>
        <w:tc>
          <w:tcPr>
            <w:tcW w:w="4820" w:type="dxa"/>
            <w:tcBorders>
              <w:top w:val="nil"/>
              <w:left w:val="nil"/>
              <w:bottom w:val="single" w:sz="4" w:space="0" w:color="808080"/>
              <w:right w:val="nil"/>
            </w:tcBorders>
            <w:shd w:val="clear" w:color="auto" w:fill="FBE4D5" w:themeFill="accent2" w:themeFillTint="33"/>
            <w:vAlign w:val="center"/>
          </w:tcPr>
          <w:p w14:paraId="53E87FA2" w14:textId="6F42734E" w:rsidR="00D325C7" w:rsidRDefault="00D325C7" w:rsidP="00D325C7">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PPI: 9%; No PPI: 14%;  p-value: 0.91;</w:t>
            </w:r>
          </w:p>
        </w:tc>
        <w:tc>
          <w:tcPr>
            <w:tcW w:w="3686" w:type="dxa"/>
            <w:tcBorders>
              <w:top w:val="nil"/>
              <w:left w:val="nil"/>
              <w:bottom w:val="single" w:sz="4" w:space="0" w:color="808080"/>
              <w:right w:val="nil"/>
            </w:tcBorders>
            <w:shd w:val="clear" w:color="auto" w:fill="FBE4D5" w:themeFill="accent2" w:themeFillTint="33"/>
            <w:vAlign w:val="center"/>
          </w:tcPr>
          <w:p w14:paraId="19755095" w14:textId="3E1153F9" w:rsidR="00D325C7" w:rsidRDefault="00D325C7">
            <w:pPr>
              <w:spacing w:after="0" w:line="240" w:lineRule="auto"/>
              <w:rPr>
                <w:rFonts w:ascii="Calibri" w:eastAsia="Times New Roman" w:hAnsi="Calibri" w:cs="Times New Roman"/>
                <w:color w:val="000000"/>
                <w:sz w:val="18"/>
                <w:szCs w:val="18"/>
                <w:lang w:eastAsia="en-CA"/>
              </w:rPr>
            </w:pPr>
            <w:r w:rsidRPr="00D325C7">
              <w:rPr>
                <w:rFonts w:ascii="Calibri" w:eastAsia="Times New Roman" w:hAnsi="Calibri" w:cs="Times New Roman"/>
                <w:color w:val="000000"/>
                <w:sz w:val="18"/>
                <w:szCs w:val="18"/>
                <w:lang w:eastAsia="en-CA"/>
              </w:rPr>
              <w:t>No association between pre-endoscopy use of PPIs and mortality.</w:t>
            </w:r>
          </w:p>
        </w:tc>
      </w:tr>
      <w:tr w:rsidR="00984B42" w14:paraId="6A77EBD5" w14:textId="77777777" w:rsidTr="00EC2B27">
        <w:trPr>
          <w:trHeight w:val="852"/>
        </w:trPr>
        <w:tc>
          <w:tcPr>
            <w:tcW w:w="1701" w:type="dxa"/>
            <w:tcBorders>
              <w:top w:val="nil"/>
              <w:left w:val="nil"/>
              <w:bottom w:val="single" w:sz="4" w:space="0" w:color="808080"/>
              <w:right w:val="nil"/>
            </w:tcBorders>
            <w:shd w:val="clear" w:color="auto" w:fill="FFFFFF"/>
            <w:vAlign w:val="center"/>
            <w:hideMark/>
          </w:tcPr>
          <w:p w14:paraId="6B613FF2" w14:textId="083AF52B" w:rsidR="00984B42" w:rsidRDefault="00984B42" w:rsidP="00F418C4">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{"citationItems":[{"id":"ITEM-1","itemData":{"ISBN":"2224-3992","abstract":"Aim: Gastric acid suppression is identified as a risk factor for Clostridium difficile infection (CDI). Our objective was to determine if the use of proton pump Inhibitors (PPI) are associated with increased severity of CDI (severe CDI). Methods: Retrospective analysis of hospitalized patients with CDI at Geisinger Medical Center was performed. Hospital admissions with CDI over an 8 year period (Jan 2001 to Oct 2009) were assessed for proton pump inhibitor (PPI)/histamine 2 receptor antagonist (H2RA) use, antibiotic (ABX) use, and features of severe CDI defined as two or more of the following within 5 days of a positive stool test (of index CDI): WBC&gt;15 K or &lt;4 K/muL, bandemia &gt;10%, shock (SBP&lt; 90 mmHg), subtotal/total colectomy after index CDI, organ dysfunction (acute respiratory failure, acute renal failure, altered mental status or serum lactate&gt;2.5 mmol/L). Death (30-day death attributed to CDI) was also analyzed. Results: 627 patients with CDI were divided into four groups: those on neither PPI nor H2RA, those on purely PPI blockers, those on purely H2RA blockers, and on both PPI and H2RA. Patients on PPI or H2RA were more likely to be on antibiotics (ABX) antibiotics within 90 days of CDI index case or vasopressors. Among all patients, 40% developed severe CDI. Unadjusted odds ratio (OR) of developing severe CDI for PPI was 1.91 (95% CI: 1.36, 2.69, p=0.0002), and for H2RA the OR was 0.66 (95% CI: 0.41, 1.05, p=0.0770). After controlling for confounders the effect of PPI was significantly elevated (OR=1.60, 95% CI: 1.09, 2.351) whereas the effect of H2RA was protective (OR=0.50, 95% CI: 0.31, 0.83).There was no statistically significant difference in 30-day mortality by medication group. Conclusions: Results suggest PPI use could lead to an elevated risk of developing severe CDI, while H2RA was found to decrease the risk of severe CDI. This study suggests limiting the indiscriminate use of PPI in hospitalized patients. © 2012 Thomson research.","author":[{"dropping-particle":"","family":"Haider","given":"F","non-dropping-particle":"","parse-names":false,"suffix":""},{"dropping-particle":"","family":"Raza","given":"N","non-dropping-particle":"","parse-names":false,"suffix":""},{"dropping-particle":"","family":"Komar","given":"N","non-dropping-particle":"","parse-names":false,"suffix":""},{"dropping-particle":"","family":"Rahman","given":"O","non-dropping-particle":"","parse-names":false,"suffix":""},{"dropping-particle":"","family":"Sartorius","given":"J","non-dropping-particle":"","parse-names":false,"suffix":""},{"dropping-particle":"","family":"H.L.","given":"Kirchner","non-dropping-particle":"","parse-names":false,"suffix":""}],"container-title":"Journal of Gastroenterology and Hepatology Research","id":"ITEM-1","issue":"4","issued":{"date-parts":[["2012"]]},"note":"465","page":"53-56","publisher":"ACT Publishing Group Liminted","publisher-place":"N. Raza, Department of Gastroenterology, Geisinger Medical Center, Danville, PA 17821, United States. E-mail: nraza1@geisinger.edu","title":"Proton pump inhibitor use elevates the risk of severe clostridium difficile colitis","type":"article","volume":"1"},"uris":["http://www.mendeley.com/documents/?uuid=c8e7833d-9ec5-4dcc-9305-07a9e4e0b553"]}],"mendeley":{"formattedCitation":"(Haider et al. 2012)","plainTextFormattedCitation":"(Haider et al. 2012)","previouslyFormattedCitation":"(Haider et al. 2012)"},"properties":{"noteIndex":0},"schema":"https://github.com/citation-style-language/schema/raw/master/csl-citation.json"}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(Haider et al. 2012)</w:t>
            </w:r>
            <w:r>
              <w:rPr>
                <w:rFonts w:ascii="Calibri" w:eastAsia="Times New Roman" w:hAnsi="Calibri" w:cs="Times New Roman"/>
                <w:color w:val="000000"/>
                <w:sz w:val="18"/>
                <w:szCs w:val="18"/>
                <w:lang w:eastAsia="en-CA"/>
              </w:rPr>
              <w:fldChar w:fldCharType="end"/>
            </w:r>
            <w:r w:rsidR="00F418C4">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0CDF15D0"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CDI</w:t>
            </w:r>
          </w:p>
        </w:tc>
        <w:tc>
          <w:tcPr>
            <w:tcW w:w="1417" w:type="dxa"/>
            <w:tcBorders>
              <w:top w:val="nil"/>
              <w:left w:val="nil"/>
              <w:bottom w:val="single" w:sz="4" w:space="0" w:color="808080"/>
              <w:right w:val="nil"/>
            </w:tcBorders>
            <w:shd w:val="clear" w:color="auto" w:fill="FFFFFF"/>
            <w:vAlign w:val="center"/>
            <w:hideMark/>
          </w:tcPr>
          <w:p w14:paraId="65547971"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ACM (in-hospital, 6 months)</w:t>
            </w:r>
          </w:p>
        </w:tc>
        <w:tc>
          <w:tcPr>
            <w:tcW w:w="4820" w:type="dxa"/>
            <w:tcBorders>
              <w:top w:val="nil"/>
              <w:left w:val="nil"/>
              <w:bottom w:val="single" w:sz="4" w:space="0" w:color="808080"/>
              <w:right w:val="nil"/>
            </w:tcBorders>
            <w:shd w:val="clear" w:color="auto" w:fill="FFFFFF"/>
            <w:vAlign w:val="center"/>
            <w:hideMark/>
          </w:tcPr>
          <w:p w14:paraId="74C3DCAF" w14:textId="77777777" w:rsidR="00984B42" w:rsidRDefault="00984B42">
            <w:pPr>
              <w:spacing w:after="0" w:line="240" w:lineRule="auto"/>
              <w:rPr>
                <w:rFonts w:ascii="Calibri" w:eastAsia="Times New Roman" w:hAnsi="Calibri" w:cs="Times New Roman"/>
                <w:b/>
                <w:bCs/>
                <w:i/>
                <w:iCs/>
                <w:sz w:val="18"/>
                <w:szCs w:val="18"/>
                <w:lang w:eastAsia="en-CA"/>
              </w:rPr>
            </w:pPr>
            <w:r>
              <w:rPr>
                <w:rFonts w:ascii="Calibri" w:eastAsia="Times New Roman" w:hAnsi="Calibri" w:cs="Times New Roman"/>
                <w:b/>
                <w:bCs/>
                <w:i/>
                <w:iCs/>
                <w:sz w:val="18"/>
                <w:szCs w:val="18"/>
                <w:lang w:eastAsia="en-CA"/>
              </w:rPr>
              <w:t>Within 6 months of index CDI</w:t>
            </w:r>
          </w:p>
          <w:p w14:paraId="32DDFA07" w14:textId="50D338CA" w:rsidR="00984B42" w:rsidRDefault="00984B42" w:rsidP="001A7BA2">
            <w:pPr>
              <w:spacing w:after="0" w:line="240" w:lineRule="auto"/>
              <w:rPr>
                <w:rFonts w:ascii="Calibri" w:eastAsia="Times New Roman" w:hAnsi="Calibri" w:cs="Times New Roman"/>
                <w:b/>
                <w:bCs/>
                <w:i/>
                <w:iCs/>
                <w:sz w:val="18"/>
                <w:szCs w:val="18"/>
                <w:lang w:eastAsia="en-CA"/>
              </w:rPr>
            </w:pPr>
            <w:r>
              <w:rPr>
                <w:rFonts w:ascii="Calibri" w:eastAsia="Times New Roman" w:hAnsi="Calibri" w:cs="Times New Roman"/>
                <w:sz w:val="18"/>
                <w:szCs w:val="18"/>
                <w:lang w:eastAsia="en-CA"/>
              </w:rPr>
              <w:t xml:space="preserve">PPI: 36% (N=172); no PPI: 31% (N=358);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0.25;</w:t>
            </w:r>
            <w:r>
              <w:rPr>
                <w:rFonts w:ascii="Calibri" w:eastAsia="Times New Roman" w:hAnsi="Calibri" w:cs="Times New Roman"/>
                <w:sz w:val="18"/>
                <w:szCs w:val="18"/>
                <w:lang w:eastAsia="en-CA"/>
              </w:rPr>
              <w:br/>
            </w:r>
            <w:r>
              <w:rPr>
                <w:rFonts w:ascii="Calibri" w:eastAsia="Times New Roman" w:hAnsi="Calibri" w:cs="Times New Roman"/>
                <w:b/>
                <w:bCs/>
                <w:i/>
                <w:iCs/>
                <w:sz w:val="18"/>
                <w:szCs w:val="18"/>
                <w:lang w:eastAsia="en-CA"/>
              </w:rPr>
              <w:t>In hospital mortality</w:t>
            </w:r>
          </w:p>
          <w:p w14:paraId="08CDB444" w14:textId="52368276" w:rsidR="00984B42" w:rsidRDefault="00984B42">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 xml:space="preserve"> PPI: 9% (N=172); no PPI: 1% (N=358);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&lt;0.0001</w:t>
            </w:r>
          </w:p>
        </w:tc>
        <w:tc>
          <w:tcPr>
            <w:tcW w:w="3686" w:type="dxa"/>
            <w:tcBorders>
              <w:top w:val="nil"/>
              <w:left w:val="nil"/>
              <w:bottom w:val="single" w:sz="4" w:space="0" w:color="808080"/>
              <w:right w:val="nil"/>
            </w:tcBorders>
            <w:shd w:val="clear" w:color="auto" w:fill="FFFFFF"/>
            <w:vAlign w:val="center"/>
            <w:hideMark/>
          </w:tcPr>
          <w:p w14:paraId="56894063"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b/>
                <w:i/>
                <w:color w:val="000000"/>
                <w:sz w:val="18"/>
                <w:szCs w:val="18"/>
                <w:lang w:eastAsia="en-CA"/>
              </w:rPr>
              <w:t>Difference in mortality between groups not statistically significant within 6 months of index CDI, but statistically significant for in-hospital mortality.</w:t>
            </w:r>
          </w:p>
        </w:tc>
      </w:tr>
      <w:tr w:rsidR="00984B42" w14:paraId="5B30D1B1" w14:textId="77777777" w:rsidTr="00EC2B27">
        <w:trPr>
          <w:trHeight w:val="418"/>
        </w:trPr>
        <w:tc>
          <w:tcPr>
            <w:tcW w:w="1701" w:type="dxa"/>
            <w:tcBorders>
              <w:top w:val="nil"/>
              <w:left w:val="nil"/>
              <w:bottom w:val="single" w:sz="4" w:space="0" w:color="808080"/>
              <w:right w:val="nil"/>
            </w:tcBorders>
            <w:shd w:val="clear" w:color="auto" w:fill="FFFFFF"/>
            <w:vAlign w:val="center"/>
            <w:hideMark/>
          </w:tcPr>
          <w:p w14:paraId="1628FF6A" w14:textId="743079A1" w:rsidR="00984B42" w:rsidRDefault="00984B42" w:rsidP="00F418C4">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{"citationItems":[{"id":"ITEM-1","itemData":{"ISBN":"0269-2813","ISSN":"0269-2813","abstract":"Background: Proton pump inhibitors (PPIs) following endoscopic haemostasis reduce rebleeding rates in patients with high-risk acute non-variceal upper gastrointestinal bleeding. Many advocate the use of PPIs prior to endoscopy, although its incremental benefit is unproven. Aim: To determine if providing PPIs before endoscopy reduces adverse gastrointestinal outcomes in acute non-variceal upper gastrointestinal bleeding patients. Methods: We performed a retrospective review to identify patients presenting to two tertiary care centres with acute non-variceal upper gastrointestinal bleeding between 1999 and 2004. Subjects receiving PPI therapy before endoscopy were compared with those not receiving pre-endoscopic PPI therapy. The primary outcome measure was the development of any adverse bleeding outcome (rebleeding, surgery for control of bleeding, in-hospital mortality, readmission within 30 days for acute non-variceal upper gastrointestinal bleeding). Results: 385 patients were included in our study [132 (12 intravenous/120 po) pre-endoscopic PPI vs. 253 no pre-endoscopic PPI]. Patients receiving pre-endoscopic PPI therapy were significantly less likely to develop adverse outcomes compared with those not given pre-endoscopic PPIs (25% vs. 13%, P = 0.005). Rebleeding, upper gastrointestinal surgery, mortality and length of hospital stay were also significantly lower in patients receiving pre-endoscopic PPI. Conclusions: The use of PPIs before endoscopy significantly reduces the risk of developing adverse gastrointestinal outcomes in patients with acute non-variceal upper gastrointestinal bleeding. Future studies are required to better characterize this relationship. © 2006 The Authors.","author":[{"dropping-particle":"","family":"Keyvani","given":"L","non-dropping-particle":"","parse-names":false,"suffix":""},{"dropping-particle":"","family":"Murthy","given":"S","non-dropping-particle":"","parse-names":false,"suffix":""},{"dropping-particle":"","family":"Leeson","given":"S","non-dropping-particle":"","parse-names":false,"suffix":""},{"dropping-particle":"","family":"Targownik","given":"L E","non-dropping-particle":"","parse-names":false,"suffix":""}],"container-title":"Alimentary pharmacology &amp; therapeutics","id":"ITEM-1","issue":"8","issued":{"date-parts":[["2006"]]},"note":"From Duplicate 2 (Pre-endoscopic proton pump inhibitor therapy reduces recurrent adverse gastrointestinal outcomes in patients with acute non-variceal upper gastrointestinal bleeding. - Keyvani, L; Murthy, S; Leeson, S; Targownik, L E)\n\nComment in: Aliment Pharmacol Ther. 2007 Feb 1;25(3):343-4; author reply 344-5; PMID: 17217451","page":"1247-1255","publisher":"Blackwell Publishing Ltd","publisher-place":"L.E. Targownik, 804E-715 McDermot Avenue, Winnipeg, Man. R3E 3P4, Canada. E-mail: targowni@cc.umanitoba.ca","title":"Pre-endoscopic proton pump inhibitor therapy reduces recurrent adverse gastrointestinal outcomes in patients with acute non-variceal upper gastrointestinal bleeding.","type":"article-journal","volume":"24"},"uris":["http://www.mendeley.com/documents/?uuid=3ab4a424-1724-4b5d-8476-d1f89f3afb70"]}],"mendeley":{"formattedCitation":"(Keyvani et al. 2006)","plainTextFormattedCitation":"(Keyvani et al. 2006)","previouslyFormattedCitation":"(Keyvani et al. 2006)"},"properties":{"noteIndex":0},"schema":"https://github.com/citation-style-language/schema/raw/master/csl-citation.json"}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(Keyvani et al. 2006)</w:t>
            </w:r>
            <w:r>
              <w:rPr>
                <w:rFonts w:ascii="Calibri" w:eastAsia="Times New Roman" w:hAnsi="Calibri" w:cs="Times New Roman"/>
                <w:color w:val="000000"/>
                <w:sz w:val="18"/>
                <w:szCs w:val="18"/>
                <w:lang w:eastAsia="en-CA"/>
              </w:rPr>
              <w:fldChar w:fldCharType="end"/>
            </w:r>
          </w:p>
        </w:tc>
        <w:tc>
          <w:tcPr>
            <w:tcW w:w="1276" w:type="dxa"/>
            <w:tcBorders>
              <w:top w:val="nil"/>
              <w:left w:val="nil"/>
              <w:bottom w:val="single" w:sz="4" w:space="0" w:color="808080"/>
              <w:right w:val="nil"/>
            </w:tcBorders>
            <w:shd w:val="clear" w:color="auto" w:fill="FFFFFF"/>
            <w:vAlign w:val="center"/>
            <w:hideMark/>
          </w:tcPr>
          <w:p w14:paraId="3DDB3FE1"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Acute non-variceal UGIB</w:t>
            </w:r>
          </w:p>
        </w:tc>
        <w:tc>
          <w:tcPr>
            <w:tcW w:w="1417" w:type="dxa"/>
            <w:tcBorders>
              <w:top w:val="nil"/>
              <w:left w:val="nil"/>
              <w:bottom w:val="single" w:sz="4" w:space="0" w:color="808080"/>
              <w:right w:val="nil"/>
            </w:tcBorders>
            <w:shd w:val="clear" w:color="auto" w:fill="FFFFFF"/>
            <w:vAlign w:val="center"/>
            <w:hideMark/>
          </w:tcPr>
          <w:p w14:paraId="1F2E6153"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ACM (in hospital)</w:t>
            </w:r>
          </w:p>
        </w:tc>
        <w:tc>
          <w:tcPr>
            <w:tcW w:w="4820" w:type="dxa"/>
            <w:tcBorders>
              <w:top w:val="nil"/>
              <w:left w:val="nil"/>
              <w:bottom w:val="single" w:sz="4" w:space="0" w:color="808080"/>
              <w:right w:val="nil"/>
            </w:tcBorders>
            <w:shd w:val="clear" w:color="auto" w:fill="FFFFFF"/>
            <w:vAlign w:val="center"/>
            <w:hideMark/>
          </w:tcPr>
          <w:p w14:paraId="471B0B2D" w14:textId="1037C3FC" w:rsidR="00984B42" w:rsidRDefault="00984B42" w:rsidP="00DE2B7A">
            <w:pPr>
              <w:spacing w:after="0" w:line="240" w:lineRule="auto"/>
              <w:rPr>
                <w:rFonts w:ascii="Calibri" w:eastAsia="Times New Roman" w:hAnsi="Calibri" w:cs="Times New Roman"/>
                <w:i/>
                <w:iCs/>
                <w:sz w:val="18"/>
                <w:szCs w:val="18"/>
                <w:lang w:eastAsia="en-CA"/>
              </w:rPr>
            </w:pPr>
            <w:r>
              <w:rPr>
                <w:rFonts w:ascii="Calibri" w:eastAsia="Times New Roman" w:hAnsi="Calibri" w:cs="Times New Roman"/>
                <w:sz w:val="18"/>
                <w:szCs w:val="18"/>
                <w:lang w:eastAsia="en-CA"/>
              </w:rPr>
              <w:t xml:space="preserve">PPI: 1.5% (N=132): no PPI: 3% (N=189);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xml:space="preserve">: 0.04;  </w:t>
            </w:r>
            <w:r>
              <w:rPr>
                <w:rFonts w:ascii="Calibri" w:eastAsia="Times New Roman" w:hAnsi="Calibri" w:cs="Times New Roman"/>
                <w:i/>
                <w:iCs/>
                <w:sz w:val="18"/>
                <w:szCs w:val="18"/>
                <w:lang w:eastAsia="en-CA"/>
              </w:rPr>
              <w:t>(PPI exposure pre-endoscopy)</w:t>
            </w:r>
          </w:p>
        </w:tc>
        <w:tc>
          <w:tcPr>
            <w:tcW w:w="3686" w:type="dxa"/>
            <w:tcBorders>
              <w:top w:val="nil"/>
              <w:left w:val="nil"/>
              <w:bottom w:val="single" w:sz="4" w:space="0" w:color="808080"/>
              <w:right w:val="nil"/>
            </w:tcBorders>
            <w:shd w:val="clear" w:color="auto" w:fill="FFFFFF"/>
            <w:vAlign w:val="center"/>
            <w:hideMark/>
          </w:tcPr>
          <w:p w14:paraId="73889E61"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No difference in mortality between groups.</w:t>
            </w:r>
          </w:p>
        </w:tc>
      </w:tr>
      <w:tr w:rsidR="00984B42" w14:paraId="0012632F" w14:textId="77777777" w:rsidTr="00EC2B27">
        <w:trPr>
          <w:trHeight w:val="361"/>
        </w:trPr>
        <w:tc>
          <w:tcPr>
            <w:tcW w:w="1701" w:type="dxa"/>
            <w:tcBorders>
              <w:top w:val="nil"/>
              <w:left w:val="nil"/>
              <w:bottom w:val="single" w:sz="4" w:space="0" w:color="808080"/>
              <w:right w:val="nil"/>
            </w:tcBorders>
            <w:shd w:val="clear" w:color="auto" w:fill="FFFFFF"/>
            <w:vAlign w:val="center"/>
            <w:hideMark/>
          </w:tcPr>
          <w:p w14:paraId="7AE96736" w14:textId="22CF1308" w:rsidR="00984B42" w:rsidRDefault="00984B42" w:rsidP="00F418C4">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{"citationItems":[{"id":"ITEM-1","itemData":{"ISBN":"8756-3282","abstract":"Objectives: Proton pump inhibitors (PPIs) are among the most prescribed medications worldwide, however, there is growing concern regarding potential negative effects on bone health. The aim was to examine the effect of dose and type of PPI use on subsequent use of osteoporosis medication and fractures in older Australian women. Methods: Data were included from 4432 participants (born 1921-26) in the 2002 survey of the Australian Longitudinal Study on Women's Health. Medication data were from the national pharmaceutical administrative database (2003-2012, inclusive). Fractures were sourced from linked hospital datasets available for four major States of Australia. Competing risk regression models used PPI exposure as a time-dependent covariate and either time to first osteoporosis medication prescription or fracture as the outcome, with death as a competing risk. Results: Of the 2328 PPI users and 2104 PPI non-users, 827 (36%) and 550 (26%) became users of osteoporosis medication, respectively. PPI use was associated with an increased risk of subsequent use of osteoporosis medication (adjusted sub-hazard ratio [SHR] = 1.28; 95% confidence interval [CI] = 1.13-1.44) and subsequent fracture (SHR = 1.29, CI = 1.08-1.55). Analysis with PPI categorized according to defined daily dose (DDD), showed some evidence for a dose-response effect (osteoporosis medication: &lt;400 DDD: SHR = 1.23, CI = 1.06-1.42 and &gt;400 DDD: SHR = 1.39, CI = 1.17-1.65, compared with non-users; SHRs were in the same range for fractures). Esomeprazole was the most common PPI prescribed (22.9%). Analysis by type of PPI use showed an increased subsequent risk for: (1) use of osteoporosis medication for rabeprazole (SHR = 1.51, CI = 1.08-2.10) and esomeprazole (SHR = 1.48, CI = 1.17-1.88); and (2) fractures for rabeprazole (SHR = 2.06, CI = 1.37-3.10). Users of multiple types of PPI also had increased risks for use of osteoporosis medication and fractures. Conclusion: An appropriate benefit/risk assessment should be made when prescribing PPIs, especially for esomeprazole and rabeprazole, as osteoporosis and fracture risks were increased in this cohort of elderly females subsequent to PPI prescription.","author":[{"dropping-particle":"","family":"Hoorn","given":"M","non-dropping-particle":"van der","parse-names":false,"suffix":""},{"dropping-particle":"","family":"Tett","given":"S","non-dropping-particle":"","parse-names":false,"suffix":""},{"dropping-particle":"","family":"Vries","given":"O","non-dropping-particle":"de","parse-names":false,"suffix":""},{"dropping-particle":"","family":"Dobson","given":"A","non-dropping-particle":"","parse-names":false,"suffix":""},{"dropping-particle":"","family":"Peeters","given":"G","non-dropping-particle":"","parse-names":false,"suffix":""}],"container-title":"Bone","id":"ITEM-1","issued":{"date-parts":[["2015"]]},"note":"7","page":"675-682","publisher":"Elsevier Inc.","publisher-place":"G.M.E.E.G. Peeters, The University of Queensland, School of Public Health, Herston Road, Herston, QLD 4006, Australia","title":"The effect of dose and type of proton pump inhibitor use on risk of fractures and osteoporosis treatment in older Australian women: A prospective cohort study","type":"article","volume":"81"},"uris":["http://www.mendeley.com/documents/?uuid=690c4ecb-baed-41db-bc5d-6bd348bb1ddf"]}],"mendeley":{"formattedCitation":"(van der Hoorn et al. 2015)","plainTextFormattedCitation":"(van der Hoorn et al. 2015)","previouslyFormattedCitation":"(van der Hoorn et al. 2015)"},"properties":{"noteIndex":0},"schema":"https://github.com/citation-style-language/schema/raw/master/csl-citation.json"}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(van der Hoorn et al. 2015)</w:t>
            </w:r>
            <w:r>
              <w:rPr>
                <w:rFonts w:ascii="Calibri" w:eastAsia="Times New Roman" w:hAnsi="Calibri" w:cs="Times New Roman"/>
                <w:color w:val="000000"/>
                <w:sz w:val="18"/>
                <w:szCs w:val="18"/>
                <w:lang w:eastAsia="en-CA"/>
              </w:rPr>
              <w:fldChar w:fldCharType="end"/>
            </w:r>
            <w:r w:rsidR="00F418C4">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672982BE"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Elderly women</w:t>
            </w:r>
          </w:p>
        </w:tc>
        <w:tc>
          <w:tcPr>
            <w:tcW w:w="1417" w:type="dxa"/>
            <w:tcBorders>
              <w:top w:val="nil"/>
              <w:left w:val="nil"/>
              <w:bottom w:val="single" w:sz="4" w:space="0" w:color="808080"/>
              <w:right w:val="nil"/>
            </w:tcBorders>
            <w:shd w:val="clear" w:color="auto" w:fill="FFFFFF"/>
            <w:vAlign w:val="center"/>
            <w:hideMark/>
          </w:tcPr>
          <w:p w14:paraId="3E89A43E"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ACM (mean 6.6 years)</w:t>
            </w:r>
          </w:p>
        </w:tc>
        <w:tc>
          <w:tcPr>
            <w:tcW w:w="4820" w:type="dxa"/>
            <w:tcBorders>
              <w:top w:val="nil"/>
              <w:left w:val="nil"/>
              <w:bottom w:val="single" w:sz="4" w:space="0" w:color="808080"/>
              <w:right w:val="nil"/>
            </w:tcBorders>
            <w:shd w:val="clear" w:color="auto" w:fill="FFFFFF"/>
            <w:vAlign w:val="center"/>
            <w:hideMark/>
          </w:tcPr>
          <w:p w14:paraId="416EA39C" w14:textId="4666493A" w:rsidR="00984B42" w:rsidRDefault="00984B42">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 xml:space="preserve">PPI: 20% (N=2,328); No PPI: 23% (N=2,104);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0.015;</w:t>
            </w:r>
          </w:p>
        </w:tc>
        <w:tc>
          <w:tcPr>
            <w:tcW w:w="3686" w:type="dxa"/>
            <w:tcBorders>
              <w:top w:val="nil"/>
              <w:left w:val="nil"/>
              <w:bottom w:val="single" w:sz="4" w:space="0" w:color="808080"/>
              <w:right w:val="nil"/>
            </w:tcBorders>
            <w:shd w:val="clear" w:color="auto" w:fill="FFFFFF"/>
            <w:vAlign w:val="center"/>
            <w:hideMark/>
          </w:tcPr>
          <w:p w14:paraId="4C875D48" w14:textId="6B6A31B4" w:rsidR="00984B42" w:rsidRDefault="00984B42">
            <w:pPr>
              <w:spacing w:after="0" w:line="240" w:lineRule="auto"/>
              <w:rPr>
                <w:rFonts w:ascii="Calibri" w:eastAsia="Times New Roman" w:hAnsi="Calibri" w:cs="Times New Roman"/>
                <w:b/>
                <w:bCs/>
                <w:i/>
                <w:iCs/>
                <w:color w:val="000000"/>
                <w:sz w:val="18"/>
                <w:szCs w:val="18"/>
                <w:lang w:eastAsia="en-CA"/>
              </w:rPr>
            </w:pPr>
            <w:r>
              <w:rPr>
                <w:rFonts w:ascii="Calibri" w:eastAsia="Times New Roman" w:hAnsi="Calibri" w:cs="Times New Roman"/>
                <w:b/>
                <w:bCs/>
                <w:i/>
                <w:iCs/>
                <w:color w:val="000000"/>
                <w:sz w:val="18"/>
                <w:szCs w:val="18"/>
                <w:lang w:eastAsia="en-CA"/>
              </w:rPr>
              <w:t>Difference in mortality is statistically significant</w:t>
            </w:r>
            <w:r w:rsidR="00646369">
              <w:rPr>
                <w:rFonts w:ascii="Calibri" w:eastAsia="Times New Roman" w:hAnsi="Calibri" w:cs="Times New Roman"/>
                <w:b/>
                <w:bCs/>
                <w:i/>
                <w:iCs/>
                <w:color w:val="000000"/>
                <w:sz w:val="18"/>
                <w:szCs w:val="18"/>
                <w:lang w:eastAsia="en-CA"/>
              </w:rPr>
              <w:t xml:space="preserve"> between treatment groups. </w:t>
            </w:r>
          </w:p>
        </w:tc>
      </w:tr>
      <w:tr w:rsidR="00984B42" w14:paraId="2EE96F8E" w14:textId="77777777" w:rsidTr="00EC2B27">
        <w:trPr>
          <w:trHeight w:val="480"/>
        </w:trPr>
        <w:tc>
          <w:tcPr>
            <w:tcW w:w="1701" w:type="dxa"/>
            <w:tcBorders>
              <w:top w:val="nil"/>
              <w:left w:val="nil"/>
              <w:bottom w:val="single" w:sz="4" w:space="0" w:color="808080"/>
              <w:right w:val="nil"/>
            </w:tcBorders>
            <w:shd w:val="clear" w:color="auto" w:fill="FFFFFF"/>
            <w:vAlign w:val="center"/>
            <w:hideMark/>
          </w:tcPr>
          <w:p w14:paraId="5C73B540" w14:textId="6F7810F4" w:rsidR="00984B42" w:rsidRDefault="00984B42" w:rsidP="00F418C4">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{"citationItems":[{"id":"ITEM-1","itemData":{"ISBN":"0002-9270","abstract":"Purpose: Administration of PPIs while awaiting endoscopy in patients who present with UGIB rapidly raises the intra-gastric pH which may promote early healing and decrease bleeding of high risk lesions. However, PPI therapy is associated with significant expense and there is little evidence to support that PPI usage prior to presentation with UGIB (baseline PPI use) leads to improved outcomes. We hypothesized those patients taking PPIs prior to admission will be less likely to have peptic ulcer disease and will have overall better outcomes when they are admitted for overt UGIB. Methods: A retrospective chart review was performed from January, 2005 to December, 2008 on patients presenting for endoscopic evaluation of overt UGIB defined as hematemesis, bloody nasogastric tube lavage, melena, hematochezia +/- acute hematocrit drop or orthorstasis. Patients who had UGIB secondary to varices, portal hypertensive gastropathy, and patients who had no significant finding on upper endoscopy were excluded. Eligible patients were assigned to two groups: patients who were taking a PPI prior to admission and patients who were not taking a PPI prior to admission. Logistic regression analysis was performed using treatment with a PPI within the last 4 weeks prior to admission as a predictor variable in both groups. Peptic ulcer disease, erosions, esophagitis, gastritis, duodenitis and arterial bleeding were considered to be a cause of non-variceal UGIB. Results: 843 consecutive patients were referred for endoscopic evaluation of UGIB, 658 patients met the inclusion criteria. There were 110 patients who were on PPI prior to admission and 548 patients who were not on PPI prior to admission. Demographic and clinical data are shown in Table 1. Conclusion: Patients taking a PPI prior to admission were less likely to have peptic ulcer disease (p=0.04), has decreased length of stay (p=0.05), and a trend toward lower mortality (p=0.06) when admitted for overt UGIB. (Table Presented) .","author":[{"dropping-particle":"","family":"Win","given":"M","non-dropping-particle":"","parse-names":false,"suffix":""},{"dropping-particle":"","family":"Joseph","given":"J","non-dropping-particle":"","parse-names":false,"suffix":""},{"dropping-particle":"","family":"Gress","given":"F","non-dropping-particle":"","parse-names":false,"suffix":""},{"dropping-particle":"","family":"Lee","given":"Y","non-dropping-particle":"","parse-names":false,"suffix":""},{"dropping-particle":"","family":"Goodman","given":"A","non-dropping-particle":"","parse-names":false,"suffix":""}],"collection-title":"75th Annual Scientific Meeting of the American College of Gastroenterology San Antonio, TX United States. Conference Start: 20101015 Conference End: 20101020","container-title":"American Journal of Gastroenterology","id":"ITEM-1","issued":{"date-parts":[["2010"]]},"note":"647","page":"S526-S527","publisher":"Nature Publishing Group","publisher-place":"M. Win, SUNY Downstate Medical Center, Brooklyn, NY, United States","title":"Effect of baseline Proton Pump Inhibitor (PPI) use on the prevalence and outcomes of peptic ulcer disease in african american patients with overt Upper Gastrointestinal Bleeding (UGIB)","type":"article","volume":"105"},"uris":["http://www.mendeley.com/documents/?uuid=0862ce2b-54e6-482c-bdd1-a326ec96978b"]}],"mendeley":{"formattedCitation":"(Win et al. 2010)","plainTextFormattedCitation":"(Win et al. 2010)","previouslyFormattedCitation":"(Win et al. 2010)"},"properties":{"noteIndex":0},"schema":"https://github.com/citation-style-language/schema/raw/master/csl-citation.json"}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(Win et al. 2010)</w:t>
            </w:r>
            <w:r>
              <w:rPr>
                <w:rFonts w:ascii="Calibri" w:eastAsia="Times New Roman" w:hAnsi="Calibri" w:cs="Times New Roman"/>
                <w:color w:val="000000"/>
                <w:sz w:val="18"/>
                <w:szCs w:val="18"/>
                <w:lang w:eastAsia="en-CA"/>
              </w:rPr>
              <w:fldChar w:fldCharType="end"/>
            </w:r>
            <w:r w:rsidR="00F418C4">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5DFD3469"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UGIB</w:t>
            </w:r>
          </w:p>
        </w:tc>
        <w:tc>
          <w:tcPr>
            <w:tcW w:w="1417" w:type="dxa"/>
            <w:tcBorders>
              <w:top w:val="nil"/>
              <w:left w:val="nil"/>
              <w:bottom w:val="single" w:sz="4" w:space="0" w:color="808080"/>
              <w:right w:val="nil"/>
            </w:tcBorders>
            <w:shd w:val="clear" w:color="auto" w:fill="FFFFFF"/>
            <w:vAlign w:val="center"/>
            <w:hideMark/>
          </w:tcPr>
          <w:p w14:paraId="55D097A7" w14:textId="77777777" w:rsidR="00984B42" w:rsidRDefault="00984B42">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ACM (not clear)</w:t>
            </w:r>
          </w:p>
        </w:tc>
        <w:tc>
          <w:tcPr>
            <w:tcW w:w="4820" w:type="dxa"/>
            <w:tcBorders>
              <w:top w:val="nil"/>
              <w:left w:val="nil"/>
              <w:bottom w:val="single" w:sz="4" w:space="0" w:color="808080"/>
              <w:right w:val="nil"/>
            </w:tcBorders>
            <w:shd w:val="clear" w:color="auto" w:fill="FFFFFF"/>
            <w:vAlign w:val="center"/>
            <w:hideMark/>
          </w:tcPr>
          <w:p w14:paraId="24832C70" w14:textId="5D141620" w:rsidR="00984B42" w:rsidRDefault="00984B42" w:rsidP="00DE2B7A">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 xml:space="preserve">PPI prior to admission: 3.63% (N=110); no PPI prior to admission:  9.12% (N=548);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xml:space="preserve"> 0.06;</w:t>
            </w:r>
            <w:r w:rsidR="00DE2B7A">
              <w:rPr>
                <w:rFonts w:ascii="Calibri" w:eastAsia="Times New Roman" w:hAnsi="Calibri" w:cs="Times New Roman"/>
                <w:sz w:val="18"/>
                <w:szCs w:val="18"/>
                <w:lang w:eastAsia="en-CA"/>
              </w:rPr>
              <w:t xml:space="preserve"> </w:t>
            </w:r>
            <w:r>
              <w:rPr>
                <w:rFonts w:ascii="Calibri" w:eastAsia="Times New Roman" w:hAnsi="Calibri" w:cs="Times New Roman"/>
                <w:i/>
                <w:iCs/>
                <w:sz w:val="18"/>
                <w:szCs w:val="18"/>
                <w:lang w:eastAsia="en-CA"/>
              </w:rPr>
              <w:t>(PPI exposure assessed in the 4 weeks prior to admission)</w:t>
            </w:r>
          </w:p>
        </w:tc>
        <w:tc>
          <w:tcPr>
            <w:tcW w:w="3686" w:type="dxa"/>
            <w:tcBorders>
              <w:top w:val="nil"/>
              <w:left w:val="nil"/>
              <w:bottom w:val="single" w:sz="4" w:space="0" w:color="808080"/>
              <w:right w:val="nil"/>
            </w:tcBorders>
            <w:shd w:val="clear" w:color="auto" w:fill="FFFFFF"/>
            <w:noWrap/>
            <w:vAlign w:val="center"/>
            <w:hideMark/>
          </w:tcPr>
          <w:p w14:paraId="574C8DD1" w14:textId="77777777" w:rsidR="00984B42" w:rsidRDefault="00984B42">
            <w:pPr>
              <w:spacing w:after="0" w:line="240" w:lineRule="auto"/>
              <w:rPr>
                <w:rFonts w:ascii="Calibri" w:eastAsia="Times New Roman" w:hAnsi="Calibri" w:cs="Times New Roman"/>
                <w:b/>
                <w:i/>
                <w:color w:val="000000"/>
                <w:sz w:val="18"/>
                <w:szCs w:val="18"/>
                <w:lang w:eastAsia="en-CA"/>
              </w:rPr>
            </w:pPr>
            <w:r>
              <w:rPr>
                <w:rFonts w:ascii="Calibri" w:eastAsia="Times New Roman" w:hAnsi="Calibri" w:cs="Times New Roman"/>
                <w:b/>
                <w:i/>
                <w:color w:val="000000"/>
                <w:sz w:val="18"/>
                <w:szCs w:val="18"/>
                <w:lang w:eastAsia="en-CA"/>
              </w:rPr>
              <w:t xml:space="preserve">Difference in mortality is not statistically significantly among treatment groups. </w:t>
            </w:r>
          </w:p>
        </w:tc>
      </w:tr>
      <w:tr w:rsidR="006D13D4" w14:paraId="4285C028" w14:textId="77777777" w:rsidTr="00EC2B27">
        <w:trPr>
          <w:trHeight w:val="61"/>
        </w:trPr>
        <w:tc>
          <w:tcPr>
            <w:tcW w:w="9214" w:type="dxa"/>
            <w:gridSpan w:val="4"/>
            <w:tcBorders>
              <w:top w:val="nil"/>
              <w:left w:val="nil"/>
              <w:bottom w:val="single" w:sz="4" w:space="0" w:color="808080"/>
              <w:right w:val="nil"/>
            </w:tcBorders>
            <w:shd w:val="clear" w:color="auto" w:fill="DEEAF6" w:themeFill="accent1" w:themeFillTint="33"/>
            <w:vAlign w:val="center"/>
          </w:tcPr>
          <w:p w14:paraId="5248855B" w14:textId="668C47A9" w:rsidR="006D13D4" w:rsidRPr="006D13D4" w:rsidRDefault="006D13D4" w:rsidP="00DE2B7A">
            <w:pPr>
              <w:spacing w:after="0" w:line="240" w:lineRule="auto"/>
              <w:rPr>
                <w:rFonts w:ascii="Calibri" w:eastAsia="Times New Roman" w:hAnsi="Calibri" w:cs="Times New Roman"/>
                <w:b/>
                <w:bCs/>
                <w:i/>
                <w:iCs/>
                <w:color w:val="000000"/>
                <w:sz w:val="18"/>
                <w:szCs w:val="18"/>
                <w:lang w:eastAsia="en-CA"/>
              </w:rPr>
            </w:pPr>
            <w:r>
              <w:rPr>
                <w:rFonts w:ascii="Calibri" w:eastAsia="Times New Roman" w:hAnsi="Calibri" w:cs="Times New Roman"/>
                <w:b/>
                <w:bCs/>
                <w:i/>
                <w:iCs/>
                <w:color w:val="000000"/>
                <w:sz w:val="18"/>
                <w:szCs w:val="18"/>
                <w:lang w:eastAsia="en-CA"/>
              </w:rPr>
              <w:t>Cardiovascular mortality</w:t>
            </w:r>
          </w:p>
        </w:tc>
        <w:tc>
          <w:tcPr>
            <w:tcW w:w="3686" w:type="dxa"/>
            <w:tcBorders>
              <w:top w:val="nil"/>
              <w:left w:val="nil"/>
              <w:bottom w:val="single" w:sz="4" w:space="0" w:color="808080"/>
              <w:right w:val="nil"/>
            </w:tcBorders>
            <w:shd w:val="clear" w:color="auto" w:fill="DEEAF6" w:themeFill="accent1" w:themeFillTint="33"/>
            <w:vAlign w:val="center"/>
          </w:tcPr>
          <w:p w14:paraId="4330CF19" w14:textId="77777777" w:rsidR="006D13D4" w:rsidRPr="006D13D4" w:rsidRDefault="006D13D4">
            <w:pPr>
              <w:spacing w:after="0" w:line="240" w:lineRule="auto"/>
              <w:rPr>
                <w:rFonts w:ascii="Calibri" w:eastAsia="Times New Roman" w:hAnsi="Calibri" w:cs="Times New Roman"/>
                <w:b/>
                <w:bCs/>
                <w:i/>
                <w:iCs/>
                <w:color w:val="000000"/>
                <w:sz w:val="18"/>
                <w:szCs w:val="18"/>
                <w:lang w:eastAsia="en-CA"/>
              </w:rPr>
            </w:pPr>
          </w:p>
        </w:tc>
      </w:tr>
      <w:tr w:rsidR="00984B42" w14:paraId="0FF2C112" w14:textId="77777777" w:rsidTr="00EC2B27">
        <w:trPr>
          <w:trHeight w:val="355"/>
        </w:trPr>
        <w:tc>
          <w:tcPr>
            <w:tcW w:w="1701" w:type="dxa"/>
            <w:tcBorders>
              <w:top w:val="nil"/>
              <w:left w:val="nil"/>
              <w:bottom w:val="single" w:sz="4" w:space="0" w:color="808080"/>
              <w:right w:val="nil"/>
            </w:tcBorders>
            <w:shd w:val="clear" w:color="auto" w:fill="FFFFFF"/>
            <w:vAlign w:val="center"/>
            <w:hideMark/>
          </w:tcPr>
          <w:p w14:paraId="27FD35A1" w14:textId="5A3E3D72" w:rsidR="00984B42" w:rsidRDefault="00984B42" w:rsidP="00F418C4">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{"citationItems":[{"id":"ITEM-1","itemData":{"ISSN":"1347-4820","abstract":"BACKGROUND: The aim of this study was to examine the effect of proton-pump inhibitor (PPI) on clinical outcomes in Japanese patients who undergo coronary stent implantation., METHODS AND RESULTS: A total of 1,270 patients (males 915, 69 years) were enrolled and dual antiplatelet therapy of aspirin and a thienopyridine derivative was prescribed (clopidogrel 630, ticlopidine 640). Patients were divided into 2 groups treated with or without PPI. PPI was administered in 331 cases (26%), and non-PPI in 939 (74%). There were no significant differences in cardiovascular death (PPI vs. non-PPI: 5 vs. 11 cases), nonfatal myocardial infarction (3 vs. 5), and stroke (3 vs. 16) between PPI and non-PPI groups, but the ratio of gastrointestinal events had a higher tendency in non-PPI group compared with PPI group (1 vs. 17, P=0.08). In subgroup analysis of patients taking clopidogrel, or patients with acute coronary syndrome, there was no significant difference in the ratio of cardiovascular events (7 vs. 16, 6 vs. 17, NS). The non-PPI group had a tendency of an increased risk of gastrointestinal events compared with the PPI group (0 vs. 9, P=0.06; 1 vs. 7, P=0.14)., CONCLUSIONS: In contrast to the negative drug interaction of PPI reported elsewhere, in the present study the intake of PPI was not associated with an increased risk for adverse clinical outcomes in patients treated with stents.","author":[{"dropping-particle":"","family":"Chitose","given":"Tadasuke","non-dropping-particle":"","parse-names":false,"suffix":""},{"dropping-particle":"","family":"Hokimoto","given":"Seiji","non-dropping-particle":"","parse-names":false,"suffix":""},{"dropping-particle":"","family":"Oshima","given":"Shuichi","non-dropping-particle":"","parse-names":false,"suffix":""},{"dropping-particle":"","family":"Nakao","given":"Koichi","non-dropping-particle":"","parse-names":false,"suffix":""},{"dropping-particle":"","family":"Fujimoto","given":"Kazuteru","non-dropping-particle":"","parse-names":false,"suffix":""},{"dropping-particle":"","family":"Miyao","given":"Yuji","non-dropping-particle":"","parse-names":false,"suffix":""},{"dropping-particle":"","family":"Shimomura","given":"Hideki","non-dropping-particle":"","parse-names":false,"suffix":""},{"dropping-particle":"","family":"Tsunoda","given":"Ryusuke","non-dropping-particle":"","parse-names":false,"suffix":""},{"dropping-particle":"","family":"Maruyama","given":"Hideki","non-dropping-particle":"","parse-names":false,"suffix":""},{"dropping-particle":"","family":"Hirose","given":"Toyoki","non-dropping-particle":"","parse-names":false,"suffix":""},{"dropping-particle":"","family":"Yamamoto","given":"Koichiro","non-dropping-particle":"","parse-names":false,"suffix":""},{"dropping-particle":"","family":"Mizobe","given":"Michio","non-dropping-particle":"","parse-names":false,"suffix":""},{"dropping-particle":"","family":"Kaikita","given":"Koichi","non-dropping-particle":"","parse-names":false,"suffix":""},{"dropping-particle":"","family":"Nakamura","given":"Sunao","non-dropping-particle":"","parse-names":false,"suffix":""},{"dropping-particle":"","family":"Ogawa","given":"Hisao","non-dropping-particle":"","parse-names":false,"suffix":""}],"container-title":"Circulation journal : official journal of the Japanese Circulation Society","id":"ITEM-1","issue":"1","issued":{"date-parts":[["2012"]]},"note":"495","page":"71-78","publisher":"Chitose,Tadasuke. Department of Cardiovascular Medicine, Graduate School of Medical Sciences, Kumamoto University, Kumamoto, Japan.","publisher-place":"Japan","title":"Clinical outcomes following coronary stenting in Japanese patients treated with and without proton pump inhibitor.","type":"article-journal","volume":"76"},"uris":["http://www.mendeley.com/documents/?uuid=bd780bc7-c9e6-4bf3-97c4-0cd4563f3392"]}],"mendeley":{"formattedCitation":"(Chitose et al. 2012)","plainTextFormattedCitation":"(Chitose et al. 2012)","previouslyFormattedCitation":"(Chitose et al. 2012)"},"properties":{"noteIndex":0},"schema":"https://github.com/citation-style-language/schema/raw/master/csl-citation.json"}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(Chitose et al. 2012)</w:t>
            </w:r>
            <w:r>
              <w:rPr>
                <w:rFonts w:ascii="Calibri" w:eastAsia="Times New Roman" w:hAnsi="Calibri" w:cs="Times New Roman"/>
                <w:color w:val="000000"/>
                <w:sz w:val="18"/>
                <w:szCs w:val="18"/>
                <w:lang w:eastAsia="en-CA"/>
              </w:rPr>
              <w:fldChar w:fldCharType="end"/>
            </w:r>
            <w:r w:rsidR="00F418C4">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37FF3269"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PCI</w:t>
            </w:r>
          </w:p>
        </w:tc>
        <w:tc>
          <w:tcPr>
            <w:tcW w:w="1417" w:type="dxa"/>
            <w:tcBorders>
              <w:top w:val="nil"/>
              <w:left w:val="nil"/>
              <w:bottom w:val="single" w:sz="4" w:space="0" w:color="808080"/>
              <w:right w:val="nil"/>
            </w:tcBorders>
            <w:shd w:val="clear" w:color="auto" w:fill="FFFFFF"/>
            <w:vAlign w:val="center"/>
            <w:hideMark/>
          </w:tcPr>
          <w:p w14:paraId="543DC694"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CVD mort (18 months)</w:t>
            </w:r>
          </w:p>
        </w:tc>
        <w:tc>
          <w:tcPr>
            <w:tcW w:w="4820" w:type="dxa"/>
            <w:tcBorders>
              <w:top w:val="nil"/>
              <w:left w:val="nil"/>
              <w:bottom w:val="single" w:sz="4" w:space="0" w:color="808080"/>
              <w:right w:val="nil"/>
            </w:tcBorders>
            <w:shd w:val="clear" w:color="auto" w:fill="FFFFFF"/>
            <w:vAlign w:val="center"/>
            <w:hideMark/>
          </w:tcPr>
          <w:p w14:paraId="684E6D5D" w14:textId="66FF64BD" w:rsidR="00984B42" w:rsidRDefault="00984B42" w:rsidP="00DE2B7A">
            <w:pPr>
              <w:spacing w:after="0" w:line="240" w:lineRule="auto"/>
              <w:rPr>
                <w:rFonts w:ascii="Calibri" w:eastAsia="Times New Roman" w:hAnsi="Calibri" w:cs="Times New Roman"/>
                <w:sz w:val="18"/>
                <w:szCs w:val="18"/>
                <w:lang w:eastAsia="en-CA"/>
              </w:rPr>
            </w:pPr>
            <w:r>
              <w:rPr>
                <w:rFonts w:ascii="Calibri" w:eastAsia="Times New Roman" w:hAnsi="Calibri" w:cs="Times New Roman"/>
                <w:b/>
                <w:bCs/>
                <w:i/>
                <w:iCs/>
                <w:sz w:val="18"/>
                <w:szCs w:val="18"/>
                <w:lang w:eastAsia="en-CA"/>
              </w:rPr>
              <w:t>All patients</w:t>
            </w:r>
            <w:r w:rsidR="00DE2B7A">
              <w:rPr>
                <w:rFonts w:ascii="Calibri" w:eastAsia="Times New Roman" w:hAnsi="Calibri" w:cs="Times New Roman"/>
                <w:b/>
                <w:bCs/>
                <w:i/>
                <w:iCs/>
                <w:sz w:val="18"/>
                <w:szCs w:val="18"/>
                <w:lang w:eastAsia="en-CA"/>
              </w:rPr>
              <w:t xml:space="preserve">: </w:t>
            </w:r>
            <w:r>
              <w:rPr>
                <w:rFonts w:ascii="Calibri" w:eastAsia="Times New Roman" w:hAnsi="Calibri" w:cs="Times New Roman"/>
                <w:sz w:val="18"/>
                <w:szCs w:val="18"/>
                <w:lang w:eastAsia="en-CA"/>
              </w:rPr>
              <w:t>PPI: 2% (N=331); no</w:t>
            </w:r>
            <w:r w:rsidR="00DE2B7A">
              <w:rPr>
                <w:rFonts w:ascii="Calibri" w:eastAsia="Times New Roman" w:hAnsi="Calibri" w:cs="Times New Roman"/>
                <w:sz w:val="18"/>
                <w:szCs w:val="18"/>
                <w:lang w:eastAsia="en-CA"/>
              </w:rPr>
              <w:t xml:space="preserve"> PPI: 1% (N=939); </w:t>
            </w:r>
            <w:r w:rsidR="00EC672E">
              <w:rPr>
                <w:rFonts w:ascii="Calibri" w:eastAsia="Times New Roman" w:hAnsi="Calibri" w:cs="Times New Roman"/>
                <w:sz w:val="18"/>
                <w:szCs w:val="18"/>
                <w:lang w:eastAsia="en-CA"/>
              </w:rPr>
              <w:t>p-value</w:t>
            </w:r>
            <w:r w:rsidR="00DE2B7A">
              <w:rPr>
                <w:rFonts w:ascii="Calibri" w:eastAsia="Times New Roman" w:hAnsi="Calibri" w:cs="Times New Roman"/>
                <w:sz w:val="18"/>
                <w:szCs w:val="18"/>
                <w:lang w:eastAsia="en-CA"/>
              </w:rPr>
              <w:t>: 0.43;</w:t>
            </w:r>
            <w:r>
              <w:rPr>
                <w:rFonts w:ascii="Calibri" w:eastAsia="Times New Roman" w:hAnsi="Calibri" w:cs="Times New Roman"/>
                <w:sz w:val="18"/>
                <w:szCs w:val="18"/>
                <w:lang w:eastAsia="en-CA"/>
              </w:rPr>
              <w:br/>
            </w:r>
            <w:r>
              <w:rPr>
                <w:rFonts w:ascii="Calibri" w:eastAsia="Times New Roman" w:hAnsi="Calibri" w:cs="Times New Roman"/>
                <w:b/>
                <w:bCs/>
                <w:i/>
                <w:iCs/>
                <w:sz w:val="18"/>
                <w:szCs w:val="18"/>
                <w:lang w:eastAsia="en-CA"/>
              </w:rPr>
              <w:t>ACS patients</w:t>
            </w:r>
            <w:r w:rsidR="00DE2B7A">
              <w:rPr>
                <w:rFonts w:ascii="Calibri" w:eastAsia="Times New Roman" w:hAnsi="Calibri" w:cs="Times New Roman"/>
                <w:b/>
                <w:bCs/>
                <w:i/>
                <w:iCs/>
                <w:sz w:val="18"/>
                <w:szCs w:val="18"/>
                <w:lang w:eastAsia="en-CA"/>
              </w:rPr>
              <w:t xml:space="preserve">: </w:t>
            </w:r>
            <w:r>
              <w:rPr>
                <w:rFonts w:ascii="Calibri" w:eastAsia="Times New Roman" w:hAnsi="Calibri" w:cs="Times New Roman"/>
                <w:sz w:val="18"/>
                <w:szCs w:val="18"/>
                <w:lang w:eastAsia="en-CA"/>
              </w:rPr>
              <w:t xml:space="preserve">PPI: 1% (N=171); no PPI: 2% (N=450);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0.44;</w:t>
            </w:r>
          </w:p>
        </w:tc>
        <w:tc>
          <w:tcPr>
            <w:tcW w:w="3686" w:type="dxa"/>
            <w:tcBorders>
              <w:top w:val="nil"/>
              <w:left w:val="nil"/>
              <w:bottom w:val="single" w:sz="4" w:space="0" w:color="808080"/>
              <w:right w:val="nil"/>
            </w:tcBorders>
            <w:shd w:val="clear" w:color="auto" w:fill="FFFFFF"/>
            <w:vAlign w:val="center"/>
            <w:hideMark/>
          </w:tcPr>
          <w:p w14:paraId="23C677E8"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No increased risk of adverse events with PPI after PCI/stent implantation.</w:t>
            </w:r>
          </w:p>
        </w:tc>
      </w:tr>
      <w:tr w:rsidR="00DE2B7A" w14:paraId="254FE496" w14:textId="77777777" w:rsidTr="00EC2B27">
        <w:trPr>
          <w:trHeight w:val="94"/>
        </w:trPr>
        <w:tc>
          <w:tcPr>
            <w:tcW w:w="4394" w:type="dxa"/>
            <w:gridSpan w:val="3"/>
            <w:tcBorders>
              <w:top w:val="nil"/>
              <w:left w:val="nil"/>
              <w:bottom w:val="single" w:sz="4" w:space="0" w:color="808080"/>
              <w:right w:val="nil"/>
            </w:tcBorders>
            <w:shd w:val="clear" w:color="auto" w:fill="DCE6F1"/>
            <w:vAlign w:val="center"/>
            <w:hideMark/>
          </w:tcPr>
          <w:p w14:paraId="2568201F" w14:textId="65A81ABC" w:rsidR="00DE2B7A" w:rsidRDefault="00DE2B7A" w:rsidP="00DE2B7A">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b/>
                <w:bCs/>
                <w:i/>
                <w:iCs/>
                <w:color w:val="000000"/>
                <w:sz w:val="18"/>
                <w:szCs w:val="18"/>
                <w:lang w:eastAsia="en-CA"/>
              </w:rPr>
              <w:t>Myocardial infarction</w:t>
            </w:r>
          </w:p>
        </w:tc>
        <w:tc>
          <w:tcPr>
            <w:tcW w:w="4820" w:type="dxa"/>
            <w:tcBorders>
              <w:top w:val="nil"/>
              <w:left w:val="nil"/>
              <w:bottom w:val="single" w:sz="4" w:space="0" w:color="808080"/>
              <w:right w:val="nil"/>
            </w:tcBorders>
            <w:shd w:val="clear" w:color="auto" w:fill="DCE6F1"/>
            <w:vAlign w:val="center"/>
            <w:hideMark/>
          </w:tcPr>
          <w:p w14:paraId="26A4FCA3" w14:textId="77777777" w:rsidR="00DE2B7A" w:rsidRDefault="00DE2B7A">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 </w:t>
            </w:r>
          </w:p>
        </w:tc>
        <w:tc>
          <w:tcPr>
            <w:tcW w:w="3686" w:type="dxa"/>
            <w:tcBorders>
              <w:top w:val="nil"/>
              <w:left w:val="nil"/>
              <w:bottom w:val="single" w:sz="4" w:space="0" w:color="808080"/>
              <w:right w:val="nil"/>
            </w:tcBorders>
            <w:shd w:val="clear" w:color="auto" w:fill="DCE6F1"/>
            <w:vAlign w:val="center"/>
            <w:hideMark/>
          </w:tcPr>
          <w:p w14:paraId="227CB59C" w14:textId="77777777" w:rsidR="00DE2B7A" w:rsidRDefault="00DE2B7A">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r>
      <w:tr w:rsidR="00984B42" w14:paraId="3D3E58C6" w14:textId="77777777" w:rsidTr="00EC2B27">
        <w:trPr>
          <w:trHeight w:val="534"/>
        </w:trPr>
        <w:tc>
          <w:tcPr>
            <w:tcW w:w="1701" w:type="dxa"/>
            <w:tcBorders>
              <w:top w:val="nil"/>
              <w:left w:val="nil"/>
              <w:bottom w:val="single" w:sz="4" w:space="0" w:color="808080"/>
              <w:right w:val="nil"/>
            </w:tcBorders>
            <w:shd w:val="clear" w:color="auto" w:fill="FFFFFF"/>
            <w:vAlign w:val="center"/>
            <w:hideMark/>
          </w:tcPr>
          <w:p w14:paraId="050109D7" w14:textId="03057EAB" w:rsidR="00984B42" w:rsidRDefault="00984B42" w:rsidP="00F418C4">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{"citationItems":[{"id":"ITEM-1","itemData":{"ISSN":"1347-4820","abstract":"BACKGROUND: The aim of this study was to examine the effect of proton-pump inhibitor (PPI) on clinical outcomes in Japanese patients who undergo coronary stent implantation., METHODS AND RESULTS: A total of 1,270 patients (males 915, 69 years) were enrolled and dual antiplatelet therapy of aspirin and a thienopyridine derivative was prescribed (clopidogrel 630, ticlopidine 640). Patients were divided into 2 groups treated with or without PPI. PPI was administered in 331 cases (26%), and non-PPI in 939 (74%). There were no significant differences in cardiovascular death (PPI vs. non-PPI: 5 vs. 11 cases), nonfatal myocardial infarction (3 vs. 5), and stroke (3 vs. 16) between PPI and non-PPI groups, but the ratio of gastrointestinal events had a higher tendency in non-PPI group compared with PPI group (1 vs. 17, P=0.08). In subgroup analysis of patients taking clopidogrel, or patients with acute coronary syndrome, there was no significant difference in the ratio of cardiovascular events (7 vs. 16, 6 vs. 17, NS). The non-PPI group had a tendency of an increased risk of gastrointestinal events compared with the PPI group (0 vs. 9, P=0.06; 1 vs. 7, P=0.14)., CONCLUSIONS: In contrast to the negative drug interaction of PPI reported elsewhere, in the present study the intake of PPI was not associated with an increased risk for adverse clinical outcomes in patients treated with stents.","author":[{"dropping-particle":"","family":"Chitose","given":"Tadasuke","non-dropping-particle":"","parse-names":false,"suffix":""},{"dropping-particle":"","family":"Hokimoto","given":"Seiji","non-dropping-particle":"","parse-names":false,"suffix":""},{"dropping-particle":"","family":"Oshima","given":"Shuichi","non-dropping-particle":"","parse-names":false,"suffix":""},{"dropping-particle":"","family":"Nakao","given":"Koichi","non-dropping-particle":"","parse-names":false,"suffix":""},{"dropping-particle":"","family":"Fujimoto","given":"Kazuteru","non-dropping-particle":"","parse-names":false,"suffix":""},{"dropping-particle":"","family":"Miyao","given":"Yuji","non-dropping-particle":"","parse-names":false,"suffix":""},{"dropping-particle":"","family":"Shimomura","given":"Hideki","non-dropping-particle":"","parse-names":false,"suffix":""},{"dropping-particle":"","family":"Tsunoda","given":"Ryusuke","non-dropping-particle":"","parse-names":false,"suffix":""},{"dropping-particle":"","family":"Maruyama","given":"Hideki","non-dropping-particle":"","parse-names":false,"suffix":""},{"dropping-particle":"","family":"Hirose","given":"Toyoki","non-dropping-particle":"","parse-names":false,"suffix":""},{"dropping-particle":"","family":"Yamamoto","given":"Koichiro","non-dropping-particle":"","parse-names":false,"suffix":""},{"dropping-particle":"","family":"Mizobe","given":"Michio","non-dropping-particle":"","parse-names":false,"suffix":""},{"dropping-particle":"","family":"Kaikita","given":"Koichi","non-dropping-particle":"","parse-names":false,"suffix":""},{"dropping-particle":"","family":"Nakamura","given":"Sunao","non-dropping-particle":"","parse-names":false,"suffix":""},{"dropping-particle":"","family":"Ogawa","given":"Hisao","non-dropping-particle":"","parse-names":false,"suffix":""}],"container-title":"Circulation journal : official journal of the Japanese Circulation Society","id":"ITEM-1","issue":"1","issued":{"date-parts":[["2012"]]},"note":"495","page":"71-78","publisher":"Chitose,Tadasuke. Department of Cardiovascular Medicine, Graduate School of Medical Sciences, Kumamoto University, Kumamoto, Japan.","publisher-place":"Japan","title":"Clinical outcomes following coronary stenting in Japanese patients treated with and without proton pump inhibitor.","type":"article-journal","volume":"76"},"uris":["http://www.mendeley.com/documents/?uuid=bd780bc7-c9e6-4bf3-97c4-0cd4563f3392"]}],"mendeley":{"formattedCitation":"(Chitose et al. 2012)","plainTextFormattedCitation":"(Chitose et al. 2012)","previouslyFormattedCitation":"(Chitose et al. 2012)"},"properties":{"noteIndex":0},"schema":"https://github.com/citation-style-language/schema/raw/master/csl-citation.json"}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(Chitose et al. 2012)</w:t>
            </w:r>
            <w:r>
              <w:rPr>
                <w:rFonts w:ascii="Calibri" w:eastAsia="Times New Roman" w:hAnsi="Calibri" w:cs="Times New Roman"/>
                <w:color w:val="000000"/>
                <w:sz w:val="18"/>
                <w:szCs w:val="18"/>
                <w:lang w:eastAsia="en-CA"/>
              </w:rPr>
              <w:fldChar w:fldCharType="end"/>
            </w:r>
            <w:r w:rsidR="00F418C4">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13E32B30"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PCI</w:t>
            </w:r>
          </w:p>
        </w:tc>
        <w:tc>
          <w:tcPr>
            <w:tcW w:w="1417" w:type="dxa"/>
            <w:tcBorders>
              <w:top w:val="nil"/>
              <w:left w:val="nil"/>
              <w:bottom w:val="single" w:sz="4" w:space="0" w:color="808080"/>
              <w:right w:val="nil"/>
            </w:tcBorders>
            <w:shd w:val="clear" w:color="auto" w:fill="FFFFFF"/>
            <w:vAlign w:val="center"/>
            <w:hideMark/>
          </w:tcPr>
          <w:p w14:paraId="0CFC9F1E"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MI (18 months)</w:t>
            </w:r>
          </w:p>
        </w:tc>
        <w:tc>
          <w:tcPr>
            <w:tcW w:w="4820" w:type="dxa"/>
            <w:tcBorders>
              <w:top w:val="nil"/>
              <w:left w:val="nil"/>
              <w:bottom w:val="single" w:sz="4" w:space="0" w:color="808080"/>
              <w:right w:val="nil"/>
            </w:tcBorders>
            <w:shd w:val="clear" w:color="auto" w:fill="FFFFFF"/>
            <w:vAlign w:val="center"/>
            <w:hideMark/>
          </w:tcPr>
          <w:p w14:paraId="5270EABC" w14:textId="1FE1DE8D" w:rsidR="00984B42" w:rsidRDefault="00984B42" w:rsidP="00DE2B7A">
            <w:pPr>
              <w:spacing w:after="0" w:line="240" w:lineRule="auto"/>
              <w:ind w:right="-482"/>
              <w:rPr>
                <w:rFonts w:ascii="Calibri" w:eastAsia="Times New Roman" w:hAnsi="Calibri" w:cs="Times New Roman"/>
                <w:sz w:val="18"/>
                <w:szCs w:val="18"/>
                <w:lang w:eastAsia="en-CA"/>
              </w:rPr>
            </w:pPr>
            <w:r>
              <w:rPr>
                <w:rFonts w:ascii="Calibri" w:eastAsia="Times New Roman" w:hAnsi="Calibri" w:cs="Times New Roman"/>
                <w:b/>
                <w:i/>
                <w:sz w:val="18"/>
                <w:szCs w:val="18"/>
                <w:lang w:eastAsia="en-CA"/>
              </w:rPr>
              <w:t>All patients</w:t>
            </w:r>
            <w:r w:rsidR="00DE2B7A">
              <w:rPr>
                <w:rFonts w:ascii="Calibri" w:eastAsia="Times New Roman" w:hAnsi="Calibri" w:cs="Times New Roman"/>
                <w:b/>
                <w:i/>
                <w:sz w:val="18"/>
                <w:szCs w:val="18"/>
                <w:lang w:eastAsia="en-CA"/>
              </w:rPr>
              <w:t xml:space="preserve">: </w:t>
            </w:r>
            <w:r>
              <w:rPr>
                <w:rFonts w:ascii="Calibri" w:eastAsia="Times New Roman" w:hAnsi="Calibri" w:cs="Times New Roman"/>
                <w:sz w:val="18"/>
                <w:szCs w:val="18"/>
                <w:lang w:eastAsia="en-CA"/>
              </w:rPr>
              <w:t xml:space="preserve">PPI: 1% (N=331) ; no PPI: 0.5% (N = 939);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xml:space="preserve"> 0.24;</w:t>
            </w:r>
            <w:r>
              <w:rPr>
                <w:rFonts w:ascii="Calibri" w:eastAsia="Times New Roman" w:hAnsi="Calibri" w:cs="Times New Roman"/>
                <w:sz w:val="18"/>
                <w:szCs w:val="18"/>
                <w:lang w:eastAsia="en-CA"/>
              </w:rPr>
              <w:br/>
            </w:r>
            <w:r>
              <w:rPr>
                <w:rFonts w:ascii="Calibri" w:eastAsia="Times New Roman" w:hAnsi="Calibri" w:cs="Times New Roman"/>
                <w:b/>
                <w:i/>
                <w:sz w:val="18"/>
                <w:szCs w:val="18"/>
                <w:lang w:eastAsia="en-CA"/>
              </w:rPr>
              <w:t>ACS patients</w:t>
            </w:r>
            <w:r w:rsidR="00DE2B7A">
              <w:rPr>
                <w:rFonts w:ascii="Calibri" w:eastAsia="Times New Roman" w:hAnsi="Calibri" w:cs="Times New Roman"/>
                <w:b/>
                <w:i/>
                <w:sz w:val="18"/>
                <w:szCs w:val="18"/>
                <w:lang w:eastAsia="en-CA"/>
              </w:rPr>
              <w:t xml:space="preserve">: </w:t>
            </w:r>
            <w:r>
              <w:rPr>
                <w:rFonts w:ascii="Calibri" w:eastAsia="Times New Roman" w:hAnsi="Calibri" w:cs="Times New Roman"/>
                <w:sz w:val="18"/>
                <w:szCs w:val="18"/>
                <w:lang w:eastAsia="en-CA"/>
              </w:rPr>
              <w:t xml:space="preserve">PPI: 1.1% (N=171); no PPI: 0.2% (N=450);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0.17;</w:t>
            </w:r>
          </w:p>
        </w:tc>
        <w:tc>
          <w:tcPr>
            <w:tcW w:w="3686" w:type="dxa"/>
            <w:tcBorders>
              <w:top w:val="nil"/>
              <w:left w:val="nil"/>
              <w:bottom w:val="single" w:sz="4" w:space="0" w:color="808080"/>
              <w:right w:val="nil"/>
            </w:tcBorders>
            <w:shd w:val="clear" w:color="auto" w:fill="FFFFFF"/>
            <w:vAlign w:val="center"/>
            <w:hideMark/>
          </w:tcPr>
          <w:p w14:paraId="50EA07E9"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No increased risk of adverse events with PPI after PCI/stent implantation.</w:t>
            </w:r>
          </w:p>
        </w:tc>
      </w:tr>
      <w:tr w:rsidR="00984B42" w14:paraId="00F69E83" w14:textId="77777777" w:rsidTr="00EC2B27">
        <w:trPr>
          <w:trHeight w:val="87"/>
        </w:trPr>
        <w:tc>
          <w:tcPr>
            <w:tcW w:w="1701" w:type="dxa"/>
            <w:tcBorders>
              <w:top w:val="nil"/>
              <w:left w:val="nil"/>
              <w:bottom w:val="single" w:sz="4" w:space="0" w:color="808080"/>
              <w:right w:val="nil"/>
            </w:tcBorders>
            <w:shd w:val="clear" w:color="auto" w:fill="DCE6F1"/>
            <w:vAlign w:val="center"/>
            <w:hideMark/>
          </w:tcPr>
          <w:p w14:paraId="1BE089AF" w14:textId="77777777" w:rsidR="00984B42" w:rsidRDefault="00984B42">
            <w:pPr>
              <w:spacing w:after="0" w:line="240" w:lineRule="auto"/>
              <w:rPr>
                <w:rFonts w:ascii="Calibri" w:eastAsia="Times New Roman" w:hAnsi="Calibri" w:cs="Times New Roman"/>
                <w:b/>
                <w:bCs/>
                <w:i/>
                <w:iCs/>
                <w:color w:val="000000"/>
                <w:sz w:val="18"/>
                <w:szCs w:val="18"/>
                <w:lang w:eastAsia="en-CA"/>
              </w:rPr>
            </w:pPr>
            <w:r>
              <w:rPr>
                <w:rFonts w:ascii="Calibri" w:eastAsia="Times New Roman" w:hAnsi="Calibri" w:cs="Times New Roman"/>
                <w:b/>
                <w:bCs/>
                <w:i/>
                <w:iCs/>
                <w:color w:val="000000"/>
                <w:sz w:val="18"/>
                <w:szCs w:val="18"/>
                <w:lang w:eastAsia="en-CA"/>
              </w:rPr>
              <w:t>Stroke</w:t>
            </w:r>
          </w:p>
        </w:tc>
        <w:tc>
          <w:tcPr>
            <w:tcW w:w="1276" w:type="dxa"/>
            <w:tcBorders>
              <w:top w:val="nil"/>
              <w:left w:val="nil"/>
              <w:bottom w:val="single" w:sz="4" w:space="0" w:color="808080"/>
              <w:right w:val="nil"/>
            </w:tcBorders>
            <w:shd w:val="clear" w:color="auto" w:fill="DCE6F1"/>
            <w:vAlign w:val="center"/>
            <w:hideMark/>
          </w:tcPr>
          <w:p w14:paraId="100ECBAE"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c>
          <w:tcPr>
            <w:tcW w:w="1417" w:type="dxa"/>
            <w:tcBorders>
              <w:top w:val="nil"/>
              <w:left w:val="nil"/>
              <w:bottom w:val="single" w:sz="4" w:space="0" w:color="808080"/>
              <w:right w:val="nil"/>
            </w:tcBorders>
            <w:shd w:val="clear" w:color="auto" w:fill="DCE6F1"/>
            <w:vAlign w:val="center"/>
            <w:hideMark/>
          </w:tcPr>
          <w:p w14:paraId="22A8822B"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c>
          <w:tcPr>
            <w:tcW w:w="4820" w:type="dxa"/>
            <w:tcBorders>
              <w:top w:val="nil"/>
              <w:left w:val="nil"/>
              <w:bottom w:val="single" w:sz="4" w:space="0" w:color="808080"/>
              <w:right w:val="nil"/>
            </w:tcBorders>
            <w:shd w:val="clear" w:color="auto" w:fill="DCE6F1"/>
            <w:vAlign w:val="center"/>
            <w:hideMark/>
          </w:tcPr>
          <w:p w14:paraId="359668B0" w14:textId="77777777" w:rsidR="00984B42" w:rsidRDefault="00984B42">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 </w:t>
            </w:r>
          </w:p>
        </w:tc>
        <w:tc>
          <w:tcPr>
            <w:tcW w:w="3686" w:type="dxa"/>
            <w:tcBorders>
              <w:top w:val="nil"/>
              <w:left w:val="nil"/>
              <w:bottom w:val="single" w:sz="4" w:space="0" w:color="808080"/>
              <w:right w:val="nil"/>
            </w:tcBorders>
            <w:shd w:val="clear" w:color="auto" w:fill="DCE6F1"/>
            <w:vAlign w:val="center"/>
            <w:hideMark/>
          </w:tcPr>
          <w:p w14:paraId="663B0333"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r>
      <w:tr w:rsidR="00984B42" w14:paraId="43D223FA" w14:textId="77777777" w:rsidTr="00EC2B27">
        <w:trPr>
          <w:trHeight w:val="319"/>
        </w:trPr>
        <w:tc>
          <w:tcPr>
            <w:tcW w:w="1701" w:type="dxa"/>
            <w:tcBorders>
              <w:top w:val="nil"/>
              <w:left w:val="nil"/>
              <w:bottom w:val="single" w:sz="4" w:space="0" w:color="808080"/>
              <w:right w:val="nil"/>
            </w:tcBorders>
            <w:shd w:val="clear" w:color="auto" w:fill="FFFFFF"/>
            <w:vAlign w:val="center"/>
            <w:hideMark/>
          </w:tcPr>
          <w:p w14:paraId="102BB90C" w14:textId="2E5AD5C6" w:rsidR="00984B42" w:rsidRDefault="00984B42" w:rsidP="00F418C4">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{"citationItems":[{"id":"ITEM-1","itemData":{"ISSN":"1347-4820","abstract":"BACKGROUND: The aim of this study was to examine the effect of proton-pump inhibitor (PPI) on clinical outcomes in Japanese patients who undergo coronary stent implantation., METHODS AND RESULTS: A total of 1,270 patients (males 915, 69 years) were enrolled and dual antiplatelet therapy of aspirin and a thienopyridine derivative was prescribed (clopidogrel 630, ticlopidine 640). Patients were divided into 2 groups treated with or without PPI. PPI was administered in 331 cases (26%), and non-PPI in 939 (74%). There were no significant differences in cardiovascular death (PPI vs. non-PPI: 5 vs. 11 cases), nonfatal myocardial infarction (3 vs. 5), and stroke (3 vs. 16) between PPI and non-PPI groups, but the ratio of gastrointestinal events had a higher tendency in non-PPI group compared with PPI group (1 vs. 17, P=0.08). In subgroup analysis of patients taking clopidogrel, or patients with acute coronary syndrome, there was no significant difference in the ratio of cardiovascular events (7 vs. 16, 6 vs. 17, NS). The non-PPI group had a tendency of an increased risk of gastrointestinal events compared with the PPI group (0 vs. 9, P=0.06; 1 vs. 7, P=0.14)., CONCLUSIONS: In contrast to the negative drug interaction of PPI reported elsewhere, in the present study the intake of PPI was not associated with an increased risk for adverse clinical outcomes in patients treated with stents.","author":[{"dropping-particle":"","family":"Chitose","given":"Tadasuke","non-dropping-particle":"","parse-names":false,"suffix":""},{"dropping-particle":"","family":"Hokimoto","given":"Seiji","non-dropping-particle":"","parse-names":false,"suffix":""},{"dropping-particle":"","family":"Oshima","given":"Shuichi","non-dropping-particle":"","parse-names":false,"suffix":""},{"dropping-particle":"","family":"Nakao","given":"Koichi","non-dropping-particle":"","parse-names":false,"suffix":""},{"dropping-particle":"","family":"Fujimoto","given":"Kazuteru","non-dropping-particle":"","parse-names":false,"suffix":""},{"dropping-particle":"","family":"Miyao","given":"Yuji","non-dropping-particle":"","parse-names":false,"suffix":""},{"dropping-particle":"","family":"Shimomura","given":"Hideki","non-dropping-particle":"","parse-names":false,"suffix":""},{"dropping-particle":"","family":"Tsunoda","given":"Ryusuke","non-dropping-particle":"","parse-names":false,"suffix":""},{"dropping-particle":"","family":"Maruyama","given":"Hideki","non-dropping-particle":"","parse-names":false,"suffix":""},{"dropping-particle":"","family":"Hirose","given":"Toyoki","non-dropping-particle":"","parse-names":false,"suffix":""},{"dropping-particle":"","family":"Yamamoto","given":"Koichiro","non-dropping-particle":"","parse-names":false,"suffix":""},{"dropping-particle":"","family":"Mizobe","given":"Michio","non-dropping-particle":"","parse-names":false,"suffix":""},{"dropping-particle":"","family":"Kaikita","given":"Koichi","non-dropping-particle":"","parse-names":false,"suffix":""},{"dropping-particle":"","family":"Nakamura","given":"Sunao","non-dropping-particle":"","parse-names":false,"suffix":""},{"dropping-particle":"","family":"Ogawa","given":"Hisao","non-dropping-particle":"","parse-names":false,"suffix":""}],"container-title":"Circulation journal : official journal of the Japanese Circulation Society","id":"ITEM-1","issue":"1","issued":{"date-parts":[["2012"]]},"note":"495","page":"71-78","publisher":"Chitose,Tadasuke. Department of Cardiovascular Medicine, Graduate School of Medical Sciences, Kumamoto University, Kumamoto, Japan.","publisher-place":"Japan","title":"Clinical outcomes following coronary stenting in Japanese patients treated with and without proton pump inhibitor.","type":"article-journal","volume":"76"},"uris":["http://www.mendeley.com/documents/?uuid=bd780bc7-c9e6-4bf3-97c4-0cd4563f3392"]}],"mendeley":{"formattedCitation":"(Chitose et al. 2012)","plainTextFormattedCitation":"(Chitose et al. 2012)","previouslyFormattedCitation":"(Chitose et al. 2012)"},"properties":{"noteIndex":0},"schema":"https://github.com/citation-style-language/schema/raw/master/csl-citation.json"}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(Chitose et al. 2012)</w:t>
            </w:r>
            <w:r>
              <w:rPr>
                <w:rFonts w:ascii="Calibri" w:eastAsia="Times New Roman" w:hAnsi="Calibri" w:cs="Times New Roman"/>
                <w:color w:val="000000"/>
                <w:sz w:val="18"/>
                <w:szCs w:val="18"/>
                <w:lang w:eastAsia="en-CA"/>
              </w:rPr>
              <w:fldChar w:fldCharType="end"/>
            </w:r>
            <w:r w:rsidR="00F418C4">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7866B056"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PCI</w:t>
            </w:r>
          </w:p>
        </w:tc>
        <w:tc>
          <w:tcPr>
            <w:tcW w:w="1417" w:type="dxa"/>
            <w:tcBorders>
              <w:top w:val="nil"/>
              <w:left w:val="nil"/>
              <w:bottom w:val="single" w:sz="4" w:space="0" w:color="808080"/>
              <w:right w:val="nil"/>
            </w:tcBorders>
            <w:shd w:val="clear" w:color="auto" w:fill="FFFFFF"/>
            <w:vAlign w:val="center"/>
            <w:hideMark/>
          </w:tcPr>
          <w:p w14:paraId="1687DAAE"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Stroke (18 months)</w:t>
            </w:r>
          </w:p>
        </w:tc>
        <w:tc>
          <w:tcPr>
            <w:tcW w:w="4820" w:type="dxa"/>
            <w:tcBorders>
              <w:top w:val="nil"/>
              <w:left w:val="nil"/>
              <w:bottom w:val="single" w:sz="4" w:space="0" w:color="808080"/>
              <w:right w:val="nil"/>
            </w:tcBorders>
            <w:shd w:val="clear" w:color="auto" w:fill="FFFFFF"/>
            <w:vAlign w:val="center"/>
            <w:hideMark/>
          </w:tcPr>
          <w:p w14:paraId="5B2F15C4" w14:textId="6782F28F" w:rsidR="00984B42" w:rsidRDefault="00984B42" w:rsidP="00DE2B7A">
            <w:pPr>
              <w:spacing w:after="0" w:line="240" w:lineRule="auto"/>
              <w:rPr>
                <w:rFonts w:ascii="Calibri" w:eastAsia="Times New Roman" w:hAnsi="Calibri" w:cs="Times New Roman"/>
                <w:sz w:val="18"/>
                <w:szCs w:val="18"/>
                <w:lang w:eastAsia="en-CA"/>
              </w:rPr>
            </w:pPr>
            <w:r>
              <w:rPr>
                <w:rFonts w:ascii="Calibri" w:eastAsia="Times New Roman" w:hAnsi="Calibri" w:cs="Times New Roman"/>
                <w:b/>
                <w:bCs/>
                <w:i/>
                <w:iCs/>
                <w:sz w:val="18"/>
                <w:szCs w:val="18"/>
                <w:lang w:eastAsia="en-CA"/>
              </w:rPr>
              <w:t>All patients</w:t>
            </w:r>
            <w:r w:rsidR="00DE2B7A">
              <w:rPr>
                <w:rFonts w:ascii="Calibri" w:eastAsia="Times New Roman" w:hAnsi="Calibri" w:cs="Times New Roman"/>
                <w:b/>
                <w:bCs/>
                <w:i/>
                <w:iCs/>
                <w:sz w:val="18"/>
                <w:szCs w:val="18"/>
                <w:lang w:eastAsia="en-CA"/>
              </w:rPr>
              <w:t xml:space="preserve">: </w:t>
            </w:r>
            <w:r>
              <w:rPr>
                <w:rFonts w:ascii="Calibri" w:eastAsia="Times New Roman" w:hAnsi="Calibri" w:cs="Times New Roman"/>
                <w:sz w:val="18"/>
                <w:szCs w:val="18"/>
                <w:lang w:eastAsia="en-CA"/>
              </w:rPr>
              <w:t xml:space="preserve">PPI: 1% (N=331);  no PPI: 1.7% (N=939);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0.5;</w:t>
            </w:r>
            <w:r>
              <w:rPr>
                <w:rFonts w:ascii="Calibri" w:eastAsia="Times New Roman" w:hAnsi="Calibri" w:cs="Times New Roman"/>
                <w:sz w:val="18"/>
                <w:szCs w:val="18"/>
                <w:lang w:eastAsia="en-CA"/>
              </w:rPr>
              <w:br/>
            </w:r>
            <w:r>
              <w:rPr>
                <w:rFonts w:ascii="Calibri" w:eastAsia="Times New Roman" w:hAnsi="Calibri" w:cs="Times New Roman"/>
                <w:b/>
                <w:bCs/>
                <w:i/>
                <w:iCs/>
                <w:sz w:val="18"/>
                <w:szCs w:val="18"/>
                <w:lang w:eastAsia="en-CA"/>
              </w:rPr>
              <w:t>ACS patients</w:t>
            </w:r>
            <w:r w:rsidR="00DE2B7A">
              <w:rPr>
                <w:rFonts w:ascii="Calibri" w:eastAsia="Times New Roman" w:hAnsi="Calibri" w:cs="Times New Roman"/>
                <w:b/>
                <w:bCs/>
                <w:i/>
                <w:iCs/>
                <w:sz w:val="18"/>
                <w:szCs w:val="18"/>
                <w:lang w:eastAsia="en-CA"/>
              </w:rPr>
              <w:t xml:space="preserve">: </w:t>
            </w:r>
            <w:r>
              <w:rPr>
                <w:rFonts w:ascii="Calibri" w:eastAsia="Times New Roman" w:hAnsi="Calibri" w:cs="Times New Roman"/>
                <w:sz w:val="18"/>
                <w:szCs w:val="18"/>
                <w:lang w:eastAsia="en-CA"/>
              </w:rPr>
              <w:t xml:space="preserve">1.2% (N=171); no PPI: 0.4% (N=450);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0.28;</w:t>
            </w:r>
          </w:p>
        </w:tc>
        <w:tc>
          <w:tcPr>
            <w:tcW w:w="3686" w:type="dxa"/>
            <w:tcBorders>
              <w:top w:val="nil"/>
              <w:left w:val="nil"/>
              <w:bottom w:val="single" w:sz="4" w:space="0" w:color="808080"/>
              <w:right w:val="nil"/>
            </w:tcBorders>
            <w:shd w:val="clear" w:color="auto" w:fill="FFFFFF"/>
            <w:vAlign w:val="center"/>
            <w:hideMark/>
          </w:tcPr>
          <w:p w14:paraId="3862DD57" w14:textId="77777777" w:rsidR="00984B42" w:rsidRDefault="00984B4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No increased risk of adverse events with PPI after PCI/stent implantation.</w:t>
            </w:r>
          </w:p>
        </w:tc>
      </w:tr>
    </w:tbl>
    <w:p w14:paraId="584BB405" w14:textId="23329C72" w:rsidR="00227061" w:rsidRDefault="00227061" w:rsidP="00EC672E">
      <w:pPr>
        <w:rPr>
          <w:rFonts w:eastAsia="Batang"/>
          <w:lang w:eastAsia="en-CA"/>
        </w:rPr>
      </w:pPr>
      <w:r w:rsidRPr="00C0609C">
        <w:rPr>
          <w:sz w:val="16"/>
          <w:szCs w:val="16"/>
          <w:vertAlign w:val="superscript"/>
        </w:rPr>
        <w:t xml:space="preserve">1 </w:t>
      </w:r>
      <w:r w:rsidRPr="00C0609C">
        <w:rPr>
          <w:sz w:val="16"/>
          <w:szCs w:val="16"/>
        </w:rPr>
        <w:t>When the authors’ conclusions regarding the association in question was missing, the reviewers arrived at a conclusion based on whether there was a statistically significant difference in the proportion of events between the treatment groups; these conclusions are bolded in this column.</w:t>
      </w:r>
    </w:p>
    <w:p w14:paraId="5551FDE4" w14:textId="256F5367" w:rsidR="00227061" w:rsidRPr="00B842AC" w:rsidRDefault="00227061" w:rsidP="009A0644">
      <w:pPr>
        <w:pStyle w:val="Heading5"/>
        <w:rPr>
          <w:sz w:val="20"/>
          <w:szCs w:val="20"/>
        </w:rPr>
      </w:pPr>
      <w:r>
        <w:br w:type="page"/>
      </w:r>
      <w:r w:rsidRPr="00B842AC">
        <w:rPr>
          <w:sz w:val="20"/>
          <w:szCs w:val="20"/>
        </w:rPr>
        <w:lastRenderedPageBreak/>
        <w:t xml:space="preserve">Table </w:t>
      </w:r>
      <w:r w:rsidR="00B842AC" w:rsidRPr="00B842AC">
        <w:rPr>
          <w:sz w:val="20"/>
          <w:szCs w:val="20"/>
        </w:rPr>
        <w:t>S12</w:t>
      </w:r>
      <w:r w:rsidRPr="00B842AC">
        <w:rPr>
          <w:sz w:val="20"/>
          <w:szCs w:val="20"/>
        </w:rPr>
        <w:t>. Findings from observational studies that reported counts/rates of events or unadjusted RRs among concomitant PPI/clopidogrel users a</w:t>
      </w:r>
      <w:r w:rsidR="009A0644">
        <w:rPr>
          <w:sz w:val="20"/>
          <w:szCs w:val="20"/>
        </w:rPr>
        <w:t>nd patients on clopidogrel alone</w:t>
      </w:r>
      <w:r w:rsidRPr="00B842AC">
        <w:rPr>
          <w:sz w:val="20"/>
          <w:szCs w:val="20"/>
        </w:rPr>
        <w:t xml:space="preserve"> (Group B). These findings were not included in the meta-analysis.</w:t>
      </w:r>
    </w:p>
    <w:tbl>
      <w:tblPr>
        <w:tblW w:w="12900" w:type="dxa"/>
        <w:tblLayout w:type="fixed"/>
        <w:tblLook w:val="04A0" w:firstRow="1" w:lastRow="0" w:firstColumn="1" w:lastColumn="0" w:noHBand="0" w:noVBand="1"/>
      </w:tblPr>
      <w:tblGrid>
        <w:gridCol w:w="1701"/>
        <w:gridCol w:w="1276"/>
        <w:gridCol w:w="1418"/>
        <w:gridCol w:w="4819"/>
        <w:gridCol w:w="3686"/>
      </w:tblGrid>
      <w:tr w:rsidR="00227061" w14:paraId="4478DFF7" w14:textId="77777777" w:rsidTr="009C4910">
        <w:trPr>
          <w:trHeight w:val="453"/>
          <w:tblHeader/>
        </w:trPr>
        <w:tc>
          <w:tcPr>
            <w:tcW w:w="1701" w:type="dxa"/>
            <w:tcBorders>
              <w:top w:val="single" w:sz="4" w:space="0" w:color="auto"/>
              <w:left w:val="nil"/>
              <w:bottom w:val="single" w:sz="4" w:space="0" w:color="auto"/>
              <w:right w:val="nil"/>
            </w:tcBorders>
            <w:shd w:val="clear" w:color="auto" w:fill="FFFFFF"/>
            <w:vAlign w:val="center"/>
            <w:hideMark/>
          </w:tcPr>
          <w:p w14:paraId="3CF5F690" w14:textId="5842F766" w:rsidR="00227061" w:rsidRDefault="00227061" w:rsidP="006F61B0">
            <w:pPr>
              <w:spacing w:after="0" w:line="240" w:lineRule="auto"/>
              <w:rPr>
                <w:rFonts w:ascii="Calibri" w:eastAsia="Times New Roman" w:hAnsi="Calibri" w:cs="Times New Roman"/>
                <w:b/>
                <w:bCs/>
                <w:color w:val="000000"/>
                <w:sz w:val="18"/>
                <w:szCs w:val="18"/>
                <w:lang w:eastAsia="en-CA"/>
              </w:rPr>
            </w:pPr>
            <w:r>
              <w:rPr>
                <w:rFonts w:ascii="Calibri" w:eastAsia="Times New Roman" w:hAnsi="Calibri" w:cs="Times New Roman"/>
                <w:b/>
                <w:bCs/>
                <w:color w:val="000000"/>
                <w:sz w:val="18"/>
                <w:szCs w:val="18"/>
                <w:lang w:eastAsia="en-CA"/>
              </w:rPr>
              <w:t>Citation</w:t>
            </w:r>
          </w:p>
        </w:tc>
        <w:tc>
          <w:tcPr>
            <w:tcW w:w="1276" w:type="dxa"/>
            <w:tcBorders>
              <w:top w:val="single" w:sz="4" w:space="0" w:color="auto"/>
              <w:left w:val="nil"/>
              <w:bottom w:val="single" w:sz="4" w:space="0" w:color="auto"/>
              <w:right w:val="nil"/>
            </w:tcBorders>
            <w:shd w:val="clear" w:color="auto" w:fill="FFFFFF"/>
            <w:vAlign w:val="center"/>
            <w:hideMark/>
          </w:tcPr>
          <w:p w14:paraId="4300C316" w14:textId="77777777" w:rsidR="00227061" w:rsidRDefault="00227061" w:rsidP="006F61B0">
            <w:pPr>
              <w:spacing w:after="0" w:line="240" w:lineRule="auto"/>
              <w:rPr>
                <w:rFonts w:ascii="Calibri" w:eastAsia="Times New Roman" w:hAnsi="Calibri" w:cs="Times New Roman"/>
                <w:b/>
                <w:bCs/>
                <w:color w:val="000000"/>
                <w:sz w:val="18"/>
                <w:szCs w:val="18"/>
                <w:lang w:eastAsia="en-CA"/>
              </w:rPr>
            </w:pPr>
            <w:r>
              <w:rPr>
                <w:rFonts w:ascii="Calibri" w:eastAsia="Times New Roman" w:hAnsi="Calibri" w:cs="Times New Roman"/>
                <w:b/>
                <w:bCs/>
                <w:color w:val="000000"/>
                <w:sz w:val="18"/>
                <w:szCs w:val="18"/>
                <w:lang w:eastAsia="en-CA"/>
              </w:rPr>
              <w:t>Patient population</w:t>
            </w:r>
          </w:p>
        </w:tc>
        <w:tc>
          <w:tcPr>
            <w:tcW w:w="1418" w:type="dxa"/>
            <w:tcBorders>
              <w:top w:val="single" w:sz="4" w:space="0" w:color="auto"/>
              <w:left w:val="nil"/>
              <w:bottom w:val="single" w:sz="4" w:space="0" w:color="auto"/>
              <w:right w:val="nil"/>
            </w:tcBorders>
            <w:shd w:val="clear" w:color="auto" w:fill="FFFFFF"/>
            <w:vAlign w:val="center"/>
            <w:hideMark/>
          </w:tcPr>
          <w:p w14:paraId="0F48F57E" w14:textId="4024FAB6" w:rsidR="00227061" w:rsidRDefault="00227061" w:rsidP="009C4910">
            <w:pPr>
              <w:spacing w:after="0" w:line="240" w:lineRule="auto"/>
              <w:rPr>
                <w:rFonts w:ascii="Calibri" w:eastAsia="Times New Roman" w:hAnsi="Calibri" w:cs="Times New Roman"/>
                <w:b/>
                <w:bCs/>
                <w:color w:val="000000"/>
                <w:sz w:val="18"/>
                <w:szCs w:val="18"/>
                <w:lang w:eastAsia="en-CA"/>
              </w:rPr>
            </w:pPr>
            <w:r>
              <w:rPr>
                <w:rFonts w:ascii="Calibri" w:eastAsia="Times New Roman" w:hAnsi="Calibri" w:cs="Times New Roman"/>
                <w:b/>
                <w:bCs/>
                <w:color w:val="000000"/>
                <w:sz w:val="18"/>
                <w:szCs w:val="18"/>
                <w:lang w:eastAsia="en-CA"/>
              </w:rPr>
              <w:t>Outcome (follow up)</w:t>
            </w:r>
          </w:p>
        </w:tc>
        <w:tc>
          <w:tcPr>
            <w:tcW w:w="4819" w:type="dxa"/>
            <w:tcBorders>
              <w:top w:val="single" w:sz="4" w:space="0" w:color="auto"/>
              <w:left w:val="nil"/>
              <w:bottom w:val="single" w:sz="4" w:space="0" w:color="auto"/>
              <w:right w:val="nil"/>
            </w:tcBorders>
            <w:shd w:val="clear" w:color="auto" w:fill="FFFFFF"/>
            <w:vAlign w:val="center"/>
            <w:hideMark/>
          </w:tcPr>
          <w:p w14:paraId="7CFE95B9" w14:textId="77777777" w:rsidR="00227061" w:rsidRDefault="00227061" w:rsidP="006F61B0">
            <w:pPr>
              <w:spacing w:after="0" w:line="240" w:lineRule="auto"/>
              <w:rPr>
                <w:rFonts w:ascii="Calibri" w:eastAsia="Times New Roman" w:hAnsi="Calibri" w:cs="Times New Roman"/>
                <w:b/>
                <w:bCs/>
                <w:sz w:val="18"/>
                <w:szCs w:val="18"/>
                <w:lang w:eastAsia="en-CA"/>
              </w:rPr>
            </w:pPr>
            <w:r>
              <w:rPr>
                <w:rFonts w:ascii="Calibri" w:eastAsia="Times New Roman" w:hAnsi="Calibri" w:cs="Times New Roman"/>
                <w:b/>
                <w:bCs/>
                <w:sz w:val="18"/>
                <w:szCs w:val="18"/>
                <w:lang w:eastAsia="en-CA"/>
              </w:rPr>
              <w:t>Counts/rates of events or unadjusted effect estimates and number of patients (N) in each exposure group</w:t>
            </w:r>
          </w:p>
        </w:tc>
        <w:tc>
          <w:tcPr>
            <w:tcW w:w="3686" w:type="dxa"/>
            <w:tcBorders>
              <w:top w:val="single" w:sz="4" w:space="0" w:color="auto"/>
              <w:left w:val="nil"/>
              <w:bottom w:val="single" w:sz="4" w:space="0" w:color="auto"/>
              <w:right w:val="nil"/>
            </w:tcBorders>
            <w:shd w:val="clear" w:color="auto" w:fill="FFFFFF"/>
            <w:vAlign w:val="center"/>
            <w:hideMark/>
          </w:tcPr>
          <w:p w14:paraId="4DC2C7D4" w14:textId="29239820" w:rsidR="00227061" w:rsidRDefault="00227061" w:rsidP="006F61B0">
            <w:pPr>
              <w:spacing w:after="0" w:line="240" w:lineRule="auto"/>
              <w:rPr>
                <w:rFonts w:ascii="Calibri" w:eastAsia="Times New Roman" w:hAnsi="Calibri" w:cs="Times New Roman"/>
                <w:b/>
                <w:bCs/>
                <w:color w:val="000000"/>
                <w:sz w:val="18"/>
                <w:szCs w:val="18"/>
                <w:lang w:eastAsia="en-CA"/>
              </w:rPr>
            </w:pPr>
            <w:r>
              <w:rPr>
                <w:rFonts w:ascii="Calibri" w:eastAsia="Times New Roman" w:hAnsi="Calibri" w:cs="Times New Roman"/>
                <w:b/>
                <w:bCs/>
                <w:color w:val="000000"/>
                <w:sz w:val="18"/>
                <w:szCs w:val="18"/>
                <w:lang w:eastAsia="en-CA"/>
              </w:rPr>
              <w:t>Overall author conclusion on the PPI-outcome of interest association</w:t>
            </w:r>
            <w:r w:rsidRPr="00227061">
              <w:rPr>
                <w:rFonts w:ascii="Calibri" w:eastAsia="Times New Roman" w:hAnsi="Calibri" w:cs="Times New Roman"/>
                <w:b/>
                <w:bCs/>
                <w:color w:val="000000"/>
                <w:sz w:val="18"/>
                <w:szCs w:val="18"/>
                <w:vertAlign w:val="superscript"/>
                <w:lang w:eastAsia="en-CA"/>
              </w:rPr>
              <w:t>1</w:t>
            </w:r>
          </w:p>
        </w:tc>
      </w:tr>
      <w:tr w:rsidR="00227061" w14:paraId="29040A86" w14:textId="77777777" w:rsidTr="00EC2B27">
        <w:trPr>
          <w:trHeight w:val="372"/>
        </w:trPr>
        <w:tc>
          <w:tcPr>
            <w:tcW w:w="1701" w:type="dxa"/>
            <w:tcBorders>
              <w:top w:val="nil"/>
              <w:left w:val="nil"/>
              <w:bottom w:val="single" w:sz="4" w:space="0" w:color="808080"/>
              <w:right w:val="nil"/>
            </w:tcBorders>
            <w:shd w:val="clear" w:color="auto" w:fill="DCE6F1"/>
            <w:vAlign w:val="center"/>
            <w:hideMark/>
          </w:tcPr>
          <w:p w14:paraId="6C34D94D" w14:textId="77777777" w:rsidR="00227061" w:rsidRDefault="00227061" w:rsidP="006F61B0">
            <w:pPr>
              <w:spacing w:after="0" w:line="240" w:lineRule="auto"/>
              <w:rPr>
                <w:rFonts w:ascii="Calibri" w:eastAsia="Times New Roman" w:hAnsi="Calibri" w:cs="Times New Roman"/>
                <w:b/>
                <w:bCs/>
                <w:i/>
                <w:iCs/>
                <w:color w:val="000000"/>
                <w:sz w:val="18"/>
                <w:szCs w:val="18"/>
                <w:lang w:eastAsia="en-CA"/>
              </w:rPr>
            </w:pPr>
            <w:r>
              <w:rPr>
                <w:rFonts w:ascii="Calibri" w:eastAsia="Times New Roman" w:hAnsi="Calibri" w:cs="Times New Roman"/>
                <w:b/>
                <w:bCs/>
                <w:i/>
                <w:iCs/>
                <w:color w:val="000000"/>
                <w:sz w:val="18"/>
                <w:szCs w:val="18"/>
                <w:lang w:eastAsia="en-CA"/>
              </w:rPr>
              <w:t>All-cause mortality</w:t>
            </w:r>
          </w:p>
        </w:tc>
        <w:tc>
          <w:tcPr>
            <w:tcW w:w="1276" w:type="dxa"/>
            <w:tcBorders>
              <w:top w:val="nil"/>
              <w:left w:val="nil"/>
              <w:bottom w:val="single" w:sz="4" w:space="0" w:color="808080"/>
              <w:right w:val="nil"/>
            </w:tcBorders>
            <w:shd w:val="clear" w:color="auto" w:fill="DCE6F1"/>
            <w:vAlign w:val="center"/>
            <w:hideMark/>
          </w:tcPr>
          <w:p w14:paraId="42813F41"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c>
          <w:tcPr>
            <w:tcW w:w="1418" w:type="dxa"/>
            <w:tcBorders>
              <w:top w:val="nil"/>
              <w:left w:val="nil"/>
              <w:bottom w:val="single" w:sz="4" w:space="0" w:color="808080"/>
              <w:right w:val="nil"/>
            </w:tcBorders>
            <w:shd w:val="clear" w:color="auto" w:fill="DCE6F1"/>
            <w:vAlign w:val="center"/>
            <w:hideMark/>
          </w:tcPr>
          <w:p w14:paraId="73648A2F"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c>
          <w:tcPr>
            <w:tcW w:w="4819" w:type="dxa"/>
            <w:tcBorders>
              <w:top w:val="nil"/>
              <w:left w:val="nil"/>
              <w:bottom w:val="single" w:sz="4" w:space="0" w:color="808080"/>
              <w:right w:val="nil"/>
            </w:tcBorders>
            <w:shd w:val="clear" w:color="auto" w:fill="DCE6F1"/>
            <w:vAlign w:val="center"/>
            <w:hideMark/>
          </w:tcPr>
          <w:p w14:paraId="73162AA7" w14:textId="77777777"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 </w:t>
            </w:r>
          </w:p>
        </w:tc>
        <w:tc>
          <w:tcPr>
            <w:tcW w:w="3686" w:type="dxa"/>
            <w:tcBorders>
              <w:top w:val="nil"/>
              <w:left w:val="nil"/>
              <w:bottom w:val="single" w:sz="4" w:space="0" w:color="808080"/>
              <w:right w:val="nil"/>
            </w:tcBorders>
            <w:shd w:val="clear" w:color="auto" w:fill="DCE6F1"/>
            <w:vAlign w:val="center"/>
            <w:hideMark/>
          </w:tcPr>
          <w:p w14:paraId="346F32FE"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r>
      <w:tr w:rsidR="00227061" w14:paraId="02417B50" w14:textId="77777777" w:rsidTr="00EC2B27">
        <w:trPr>
          <w:trHeight w:val="241"/>
        </w:trPr>
        <w:tc>
          <w:tcPr>
            <w:tcW w:w="1701" w:type="dxa"/>
            <w:tcBorders>
              <w:top w:val="nil"/>
              <w:left w:val="nil"/>
              <w:bottom w:val="single" w:sz="4" w:space="0" w:color="808080"/>
              <w:right w:val="nil"/>
            </w:tcBorders>
            <w:shd w:val="clear" w:color="auto" w:fill="FFFFFF"/>
            <w:vAlign w:val="center"/>
            <w:hideMark/>
          </w:tcPr>
          <w:p w14:paraId="1B147EC3" w14:textId="0BABCB1C"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{"citationItems":[{"id":"ITEM-1","itemData":{"ISBN":"0954-6820","ISSN":"1365-2796","abstract":"OBJECTIVE: To investigate whether there is an increased risk of cardiac events with a combined therapy of clopidogrel and proton pump inhibitors (PPIs) after percutaneous coronary intervention (PCI)., DESIGN: In the BAsel Stent Kosten Effektivitats Trial (BASKET), all patients undergoing PCI received 6 months of clopidogrel and were analysed for the use of PPI therapy. Endpoints were major adverse cardiac events (MACE), myocardial infarction (MI), death and target vessel revascularization (TVR) after 36 months., RESULTS: Of 801 patients with available discharge medication data, 109 (14%) received PPIs. Patients who received PPIs were older (66.5 +/- 10.5 vs. 63.3 +/- 11.3 years, P = 0.006), more likely to be woman (80% vs. 69%, P = 0.009) and have a history of diabetes (29.6% vs. 17.3%, P = 0.002) or gastrointestinal ulcer disease (8.3% vs. 3.3%, P = 0.015) and more often received nonsteroidal anti-inflammatory drugs (7.3% vs. 2.2%, P = 0.003) and corticosteroids (11% vs. 3.6%, P = 0.001) but not aspirin (91.7% vs. 97%, P = 0.008) compared with those who did not receive PPIs. Patients who received PPI therapy had higher rates of MACE (30.3% vs. 20.8%, P = 0.027) and MI (14.7% vs. 7.4%, P = 0.01) but similar rates of death (9.2% vs. 7.4%, P = 0.51) and TVR (20.2% vs. 15.3%, P = 0.2) compared with those who did not. By multivariate analysis, diabetes (hazard ratio 1.83, 95% confidence interval 1.07-3.15) and PPI use (hazard ratio 1.88, 95% confidence interval 1.05-3.37) were the only independent risk factors for MI., CONCLUSION: In a real-world PCI population, the combination of PPIs and clopidogrel was associated with a doubling of MI rates after 3 years. Even after correction for confounding factors, concomitant PPI use remained an independent predictor of outcome emphasizing the clinical importance of this drug-drug interaction.","author":[{"dropping-particle":"","family":"Burkard","given":"T","non-dropping-particle":"","parse-names":false,"suffix":""},{"dropping-particle":"","family":"Kaiser","given":"C A","non-dropping-particle":"","parse-names":false,"suffix":""},{"dropping-particle":"","family":"Brunner-La Rocca","given":"H","non-dropping-particle":"","parse-names":false,"suffix":""},{"dropping-particle":"","family":"Osswald","given":"S","non-dropping-particle":"","parse-names":false,"suffix":""},{"dropping-particle":"","family":"Pfisterer","given":"M E","non-dropping-particle":"","parse-names":false,"suffix":""},{"dropping-particle":"V","family":"Jeger","given":"R","non-dropping-particle":"","parse-names":false,"suffix":""},{"dropping-particle":"","family":"Investigators","given":"BASKET","non-dropping-particle":"","parse-names":false,"suffix":""}],"container-title":"Journal of internal medicine","id":"ITEM-1","issue":"3","issued":{"date-parts":[["2012"]]},"note":"506\n","page":"257-263","publisher":"Blackwell Publishing Ltd (9600 Garsington Road, Oxford OX4 2XG, United Kingdom)","publisher-place":"England","title":"Combined clopidogrel and proton pump inhibitor therapy is associated with higher cardiovascular event rates after percutaneous coronary intervention: a report from the BASKET trial.","type":"article-journal","volume":"271"},"uris":["http://www.mendeley.com/documents/?uuid=20c60c99-5a52-4fd6-be8f-e75af8f036bf"]}],"mendeley":{"formattedCitation":"(Burkard et al. 2012)","plainTextFormattedCitation":"(Burkard et al. 2012)","previouslyFormattedCitation":"(Burkard et al. 2012)"},"properties":{"noteIndex":0},"schema":"https://github.com/citation-style-language/schema/raw/master/csl-citation.json"}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(Burkard et al. 2012)</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7C4FCEA3"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PCI</w:t>
            </w:r>
          </w:p>
        </w:tc>
        <w:tc>
          <w:tcPr>
            <w:tcW w:w="1418" w:type="dxa"/>
            <w:tcBorders>
              <w:top w:val="nil"/>
              <w:left w:val="nil"/>
              <w:bottom w:val="single" w:sz="4" w:space="0" w:color="808080"/>
              <w:right w:val="nil"/>
            </w:tcBorders>
            <w:shd w:val="clear" w:color="auto" w:fill="FFFFFF"/>
            <w:vAlign w:val="center"/>
            <w:hideMark/>
          </w:tcPr>
          <w:p w14:paraId="1CB72E37"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ACM (36 months)</w:t>
            </w:r>
          </w:p>
        </w:tc>
        <w:tc>
          <w:tcPr>
            <w:tcW w:w="4819" w:type="dxa"/>
            <w:tcBorders>
              <w:top w:val="nil"/>
              <w:left w:val="nil"/>
              <w:bottom w:val="single" w:sz="4" w:space="0" w:color="808080"/>
              <w:right w:val="nil"/>
            </w:tcBorders>
            <w:shd w:val="clear" w:color="auto" w:fill="FFFFFF"/>
            <w:vAlign w:val="center"/>
            <w:hideMark/>
          </w:tcPr>
          <w:p w14:paraId="3A74B625" w14:textId="25A046EC"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i/>
                <w:iCs/>
                <w:sz w:val="18"/>
                <w:szCs w:val="18"/>
                <w:lang w:eastAsia="en-CA"/>
              </w:rPr>
              <w:t>Clopidogrel and aspirin users</w:t>
            </w:r>
            <w:r>
              <w:rPr>
                <w:rFonts w:ascii="Calibri" w:eastAsia="Times New Roman" w:hAnsi="Calibri" w:cs="Times New Roman"/>
                <w:sz w:val="18"/>
                <w:szCs w:val="18"/>
                <w:lang w:eastAsia="en-CA"/>
              </w:rPr>
              <w:br/>
              <w:t xml:space="preserve">PPI:  9.2% (N=109); no PPI: 7.4% (N=692);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0.51</w:t>
            </w:r>
          </w:p>
        </w:tc>
        <w:tc>
          <w:tcPr>
            <w:tcW w:w="3686" w:type="dxa"/>
            <w:tcBorders>
              <w:top w:val="nil"/>
              <w:left w:val="nil"/>
              <w:bottom w:val="single" w:sz="4" w:space="0" w:color="808080"/>
              <w:right w:val="nil"/>
            </w:tcBorders>
            <w:shd w:val="clear" w:color="auto" w:fill="FFFFFF"/>
            <w:vAlign w:val="center"/>
            <w:hideMark/>
          </w:tcPr>
          <w:p w14:paraId="2A7C6BD4"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b/>
                <w:i/>
                <w:color w:val="000000"/>
                <w:sz w:val="18"/>
                <w:szCs w:val="18"/>
                <w:lang w:eastAsia="en-CA"/>
              </w:rPr>
              <w:t>No difference in deaths among groups. (not authors, authors not relevant to ACM)</w:t>
            </w:r>
            <w:r>
              <w:rPr>
                <w:rFonts w:ascii="Calibri" w:eastAsia="Times New Roman" w:hAnsi="Calibri" w:cs="Times New Roman"/>
                <w:color w:val="000000"/>
                <w:sz w:val="18"/>
                <w:szCs w:val="18"/>
                <w:lang w:eastAsia="en-CA"/>
              </w:rPr>
              <w:t xml:space="preserve">. </w:t>
            </w:r>
          </w:p>
        </w:tc>
      </w:tr>
      <w:tr w:rsidR="00227061" w14:paraId="050E1801" w14:textId="77777777" w:rsidTr="00EC2B27">
        <w:trPr>
          <w:trHeight w:val="720"/>
        </w:trPr>
        <w:tc>
          <w:tcPr>
            <w:tcW w:w="1701" w:type="dxa"/>
            <w:tcBorders>
              <w:top w:val="nil"/>
              <w:left w:val="nil"/>
              <w:bottom w:val="single" w:sz="4" w:space="0" w:color="808080"/>
              <w:right w:val="nil"/>
            </w:tcBorders>
            <w:shd w:val="clear" w:color="auto" w:fill="FFFFFF"/>
            <w:vAlign w:val="center"/>
            <w:hideMark/>
          </w:tcPr>
          <w:p w14:paraId="252450A1" w14:textId="6323E93E"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{"citationItems":[{"id":"ITEM-1","itemData":{"ISBN":"1470-269X","ISSN":"1473-1150","abstract":"We examined clinical outcomes with proton pump inhibitors (PPI) use within CYP2C19 genotype groups during clopidogrel treatment following acute myocardial infarction (AMI). 2062 patients were genotyped for CYP2C19*2 and*17 variants in TRIUMPH. 12 month clinical outcomes were analyzed among patients discharged on clopidogrel within CYP2C19*2 carrier, CYP2C19*17 carrier, and CYP2C19*1 homozygote genotype groups. PPI use was not associated with a difference in mortality. Among clopidogrel-treated Caucasians following AMI, PPI use was associated with a significantly higher rate of cardiac rehospitalization (HR 1.62, 95% CI 1.19-2.19; P=0.002) compared with no PPI use. PPI users who were carriers of the CYP2C19*17 variant experienced significantly higher rates of cardiac rehospitalization (HR 2.05, 95% CI 1.26-3.33; P=0.003), carriers of the CYP2C19*2 variant had a trend toward increased 1-year cardiac rehospitalization (HR 1.69, 95% CI 0.95-2.99; P=0.07), while no significant differences were observed among CYP2C19*1 homozygotes. These results indicate that the risks associated with PPI use among clopidogrel-treated Caucasian post-MI patients are impacted by CYP2C19 genotype, and suggest knowledge of genotype may be useful for personalizing PPI use among patients following AMI to reduce rehospitalization.","author":[{"dropping-particle":"","family":"Depta","given":"J P","non-dropping-particle":"","parse-names":false,"suffix":""},{"dropping-particle":"","family":"Lenzini","given":"P A","non-dropping-particle":"","parse-names":false,"suffix":""},{"dropping-particle":"","family":"Lanfear","given":"D E","non-dropping-particle":"","parse-names":false,"suffix":""},{"dropping-particle":"","family":"Wang","given":"T Y","non-dropping-particle":"","parse-names":false,"suffix":""},{"dropping-particle":"","family":"Spertus","given":"J A","non-dropping-particle":"","parse-names":false,"suffix":""},{"dropping-particle":"","family":"Bach","given":"R G","non-dropping-particle":"","parse-names":false,"suffix":""},{"dropping-particle":"","family":"Cresci","given":"S","non-dropping-particle":"","parse-names":false,"suffix":""}],"container-title":"Pharmacogenomics Journal","id":"ITEM-1","issue":"1","issued":{"date-parts":[["2015"]]},"note":"63","page":"20-25","publisher":"Depta,J P. Washington University School of Medicine, Department of Medicine, St Louis, MO, USA.","publisher-place":"United States","title":"Clinical outcomes associated with proton pump inhibitor use among clopidogrel-treated patients within CYP2C19 genotype groups following acute myocardial infarction","type":"article-journal","volume":"15"},"uris":["http://www.mendeley.com/documents/?uuid=b6cd58cf-d234-4f50-a963-4f7bfa35cbb6"]}],"mendeley":{"formattedCitation":"(Depta et al. 2015)","plainTextFormattedCitation":"(Depta et al. 2015)","previouslyFormattedCitation":"(Depta et al. 2015)"},"properties":{"noteIndex":0},"schema":"https://github.com/citation-style-language/schema/raw/master/csl-citation.json"}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(Depta et al. 2015)</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7D35FC8A"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ACS</w:t>
            </w:r>
          </w:p>
        </w:tc>
        <w:tc>
          <w:tcPr>
            <w:tcW w:w="1418" w:type="dxa"/>
            <w:tcBorders>
              <w:top w:val="nil"/>
              <w:left w:val="nil"/>
              <w:bottom w:val="single" w:sz="4" w:space="0" w:color="808080"/>
              <w:right w:val="nil"/>
            </w:tcBorders>
            <w:shd w:val="clear" w:color="auto" w:fill="FFFFFF"/>
            <w:vAlign w:val="center"/>
            <w:hideMark/>
          </w:tcPr>
          <w:p w14:paraId="1B2638FD"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ACM  (1 year)</w:t>
            </w:r>
          </w:p>
        </w:tc>
        <w:tc>
          <w:tcPr>
            <w:tcW w:w="4819" w:type="dxa"/>
            <w:tcBorders>
              <w:top w:val="nil"/>
              <w:left w:val="nil"/>
              <w:bottom w:val="single" w:sz="4" w:space="0" w:color="808080"/>
              <w:right w:val="nil"/>
            </w:tcBorders>
            <w:shd w:val="clear" w:color="auto" w:fill="FFFFFF"/>
            <w:vAlign w:val="center"/>
          </w:tcPr>
          <w:p w14:paraId="5323463C" w14:textId="10CD7F97" w:rsidR="00227061" w:rsidRDefault="00227061" w:rsidP="00DE2B7A">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i/>
                <w:iCs/>
                <w:color w:val="000000"/>
                <w:sz w:val="18"/>
                <w:szCs w:val="18"/>
                <w:lang w:eastAsia="en-CA"/>
              </w:rPr>
              <w:t>Clopidogrel users</w:t>
            </w:r>
            <w:r>
              <w:rPr>
                <w:rFonts w:ascii="Calibri" w:eastAsia="Times New Roman" w:hAnsi="Calibri" w:cs="Times New Roman"/>
                <w:color w:val="000000"/>
                <w:sz w:val="18"/>
                <w:szCs w:val="18"/>
                <w:lang w:eastAsia="en-CA"/>
              </w:rPr>
              <w:br/>
            </w:r>
            <w:r>
              <w:rPr>
                <w:rFonts w:ascii="Calibri" w:eastAsia="Times New Roman" w:hAnsi="Calibri" w:cs="Times New Roman"/>
                <w:b/>
                <w:bCs/>
                <w:i/>
                <w:iCs/>
                <w:color w:val="000000"/>
                <w:sz w:val="18"/>
                <w:szCs w:val="18"/>
                <w:lang w:eastAsia="en-CA"/>
              </w:rPr>
              <w:t>Caucasians</w:t>
            </w:r>
            <w:r w:rsidR="00DE2B7A">
              <w:rPr>
                <w:rFonts w:ascii="Calibri" w:eastAsia="Times New Roman" w:hAnsi="Calibri" w:cs="Times New Roman"/>
                <w:b/>
                <w:bCs/>
                <w:i/>
                <w:iCs/>
                <w:color w:val="000000"/>
                <w:sz w:val="18"/>
                <w:szCs w:val="18"/>
                <w:lang w:eastAsia="en-CA"/>
              </w:rPr>
              <w:t xml:space="preserve">: </w:t>
            </w:r>
            <w:r>
              <w:rPr>
                <w:rFonts w:ascii="Calibri" w:eastAsia="Times New Roman" w:hAnsi="Calibri" w:cs="Times New Roman"/>
                <w:color w:val="000000"/>
                <w:sz w:val="18"/>
                <w:szCs w:val="18"/>
                <w:lang w:eastAsia="en-CA"/>
              </w:rPr>
              <w:t xml:space="preserve">PPI: 2.9% (N= 307); no PPI: 3.8% (N=1,325); </w:t>
            </w:r>
            <w:r w:rsidR="00EC672E">
              <w:rPr>
                <w:rFonts w:ascii="Calibri" w:eastAsia="Times New Roman" w:hAnsi="Calibri" w:cs="Times New Roman"/>
                <w:color w:val="000000"/>
                <w:sz w:val="18"/>
                <w:szCs w:val="18"/>
                <w:lang w:eastAsia="en-CA"/>
              </w:rPr>
              <w:t>p-value</w:t>
            </w:r>
            <w:r>
              <w:rPr>
                <w:rFonts w:ascii="Calibri" w:eastAsia="Times New Roman" w:hAnsi="Calibri" w:cs="Times New Roman"/>
                <w:color w:val="000000"/>
                <w:sz w:val="18"/>
                <w:szCs w:val="18"/>
                <w:lang w:eastAsia="en-CA"/>
              </w:rPr>
              <w:t xml:space="preserve">=0.48; </w:t>
            </w:r>
          </w:p>
          <w:p w14:paraId="7E7B41AC" w14:textId="36A46BA5" w:rsidR="00227061" w:rsidRDefault="00227061" w:rsidP="00DE2B7A">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b/>
                <w:bCs/>
                <w:i/>
                <w:iCs/>
                <w:color w:val="000000"/>
                <w:sz w:val="18"/>
                <w:szCs w:val="18"/>
                <w:lang w:eastAsia="en-CA"/>
              </w:rPr>
              <w:t>African Americans</w:t>
            </w:r>
            <w:r w:rsidR="00DE2B7A">
              <w:rPr>
                <w:rFonts w:ascii="Calibri" w:eastAsia="Times New Roman" w:hAnsi="Calibri" w:cs="Times New Roman"/>
                <w:b/>
                <w:bCs/>
                <w:i/>
                <w:iCs/>
                <w:color w:val="000000"/>
                <w:sz w:val="18"/>
                <w:szCs w:val="18"/>
                <w:lang w:eastAsia="en-CA"/>
              </w:rPr>
              <w:t xml:space="preserve">: </w:t>
            </w:r>
            <w:r>
              <w:rPr>
                <w:rFonts w:ascii="Calibri" w:eastAsia="Times New Roman" w:hAnsi="Calibri" w:cs="Times New Roman"/>
                <w:color w:val="000000"/>
                <w:sz w:val="18"/>
                <w:szCs w:val="18"/>
                <w:lang w:eastAsia="en-CA"/>
              </w:rPr>
              <w:t xml:space="preserve">PPI: 6.2% (N=65); no PPI:  7.4% (N=365); </w:t>
            </w:r>
            <w:r w:rsidR="00EC672E">
              <w:rPr>
                <w:rFonts w:ascii="Calibri" w:eastAsia="Times New Roman" w:hAnsi="Calibri" w:cs="Times New Roman"/>
                <w:color w:val="000000"/>
                <w:sz w:val="18"/>
                <w:szCs w:val="18"/>
                <w:lang w:eastAsia="en-CA"/>
              </w:rPr>
              <w:t>p-value</w:t>
            </w:r>
            <w:r>
              <w:rPr>
                <w:rFonts w:ascii="Calibri" w:eastAsia="Times New Roman" w:hAnsi="Calibri" w:cs="Times New Roman"/>
                <w:color w:val="000000"/>
                <w:sz w:val="18"/>
                <w:szCs w:val="18"/>
                <w:lang w:eastAsia="en-CA"/>
              </w:rPr>
              <w:t>=0.64;</w:t>
            </w:r>
          </w:p>
        </w:tc>
        <w:tc>
          <w:tcPr>
            <w:tcW w:w="3686" w:type="dxa"/>
            <w:tcBorders>
              <w:top w:val="nil"/>
              <w:left w:val="nil"/>
              <w:bottom w:val="single" w:sz="4" w:space="0" w:color="808080"/>
              <w:right w:val="nil"/>
            </w:tcBorders>
            <w:shd w:val="clear" w:color="auto" w:fill="FFFFFF"/>
            <w:vAlign w:val="center"/>
            <w:hideMark/>
          </w:tcPr>
          <w:p w14:paraId="59935AC5"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xml:space="preserve">No association between PPI use and all-cause mortality in either Caucasian or African American race or within each CYP2C19 genotype group. </w:t>
            </w:r>
          </w:p>
        </w:tc>
      </w:tr>
      <w:tr w:rsidR="00227061" w14:paraId="528148FE" w14:textId="77777777" w:rsidTr="00EC2B27">
        <w:trPr>
          <w:trHeight w:val="720"/>
        </w:trPr>
        <w:tc>
          <w:tcPr>
            <w:tcW w:w="1701" w:type="dxa"/>
            <w:tcBorders>
              <w:top w:val="nil"/>
              <w:left w:val="nil"/>
              <w:bottom w:val="single" w:sz="4" w:space="0" w:color="808080"/>
              <w:right w:val="nil"/>
            </w:tcBorders>
            <w:shd w:val="clear" w:color="auto" w:fill="FFFFFF"/>
            <w:vAlign w:val="center"/>
            <w:hideMark/>
          </w:tcPr>
          <w:p w14:paraId="08BB8913" w14:textId="330831BC"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{"citationItems":[{"id":"ITEM-1","itemData":{"ISBN":"1130-6343","ISSN":"0214-753X","abstract":"OBJECTIVES: Check the progress of hospitalization and death of the patients that use clopidogrel associated with omeprazole and the patients that do not., METHODS: A retrospective cohort was conducted between January 2007 and November 2009 to evaluate patients that were using clopidogrel in association or not with omeprazole., RESULTS: The study included 2823 patients. Of these patients, 36% were female and 64% were male, the mean age was 63 years. Regarding the association of drugs for gastric protection, omeprazole was prescribed to 45%, ranitidine for 9%, while 46% of patients were not receiving gastroprotective medication. As for the analysis by groups, 35.5% of the omeprazole group was hospitalized after starting treatment with clopidogrel, compared with 25.7% in the group without omeprazole. In evaluating the deaths among patients using clopidogrel in the study period, we found the occurrence of 36 deaths, 22 in the omeprazole group and 14 in the other group., CONCLUSIONS: In our study, we did not evaluate the clinical status of the patients and the rates of reinfarction. And, as our study data showed, there are not any statistically differences between the groups that used clopidogrel associated with omeprazole, with ranitidine or that did not use any gastroprotective medication.Copyright © 2011 SEFH. Published by Elsevier Espana. All rights reserved.","author":[{"dropping-particle":"","family":"Galante","given":"CM","non-dropping-particle":"","parse-names":false,"suffix":""},{"dropping-particle":"","family":"Santos","given":"VG","non-dropping-particle":"","parse-names":false,"suffix":""},{"dropping-particle":"","family":"Cunha","given":"GBW","non-dropping-particle":"da","parse-names":false,"suffix":""}],"container-title":"Farmacia hospitalaria : organo oficial de expresion cientifica de la Sociedad Espanola de Farmacia Hospitalaria","id":"ITEM-1","issue":"4","issued":{"date-parts":[["2012"]]},"note":"505","page":"216-219","publisher":"Cappelletti Galante,M. Pharmacy Service-Heart Institute (InCor) do Hospital das Clinicas da Faculdade de Medicina da Universidade de Sao Paulo, Sao Paulo, SP, Brazil. mariana.galante@incor.usp.br","publisher-place":"Spain","title":"Assessment of the use of clopidogrel associated with gastroprotective medications in outpatients.","type":"article-journal","volume":"36"},"uris":["http://www.mendeley.com/documents/?uuid=89541c62-edcf-4193-b2f4-e13aaa9adea0"]}],"mendeley":{"formattedCitation":"(Galante et al. 2012)","plainTextFormattedCitation":"(Galante et al. 2012)","previouslyFormattedCitation":"(Galante et al. 2012)"},"properties":{"noteIndex":0},"schema":"https://github.com/citation-style-language/schema/raw/master/csl-citation.json"}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(Galante et al. 2012)</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1D8665E9"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PCI</w:t>
            </w:r>
          </w:p>
        </w:tc>
        <w:tc>
          <w:tcPr>
            <w:tcW w:w="1418" w:type="dxa"/>
            <w:tcBorders>
              <w:top w:val="nil"/>
              <w:left w:val="nil"/>
              <w:bottom w:val="single" w:sz="4" w:space="0" w:color="808080"/>
              <w:right w:val="nil"/>
            </w:tcBorders>
            <w:shd w:val="clear" w:color="auto" w:fill="FFFFFF"/>
            <w:vAlign w:val="center"/>
            <w:hideMark/>
          </w:tcPr>
          <w:p w14:paraId="4800647A"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ACM (not reported)</w:t>
            </w:r>
          </w:p>
        </w:tc>
        <w:tc>
          <w:tcPr>
            <w:tcW w:w="4819" w:type="dxa"/>
            <w:tcBorders>
              <w:top w:val="nil"/>
              <w:left w:val="nil"/>
              <w:bottom w:val="single" w:sz="4" w:space="0" w:color="808080"/>
              <w:right w:val="nil"/>
            </w:tcBorders>
            <w:shd w:val="clear" w:color="auto" w:fill="FFFFFF"/>
            <w:vAlign w:val="center"/>
            <w:hideMark/>
          </w:tcPr>
          <w:p w14:paraId="521B6513" w14:textId="126CA8ED" w:rsidR="00227061" w:rsidRDefault="00227061" w:rsidP="006F61B0">
            <w:pPr>
              <w:spacing w:after="0" w:line="240" w:lineRule="auto"/>
              <w:rPr>
                <w:rFonts w:ascii="Calibri" w:eastAsia="Times New Roman" w:hAnsi="Calibri" w:cs="Times New Roman"/>
                <w:i/>
                <w:iCs/>
                <w:sz w:val="18"/>
                <w:szCs w:val="18"/>
                <w:lang w:eastAsia="en-CA"/>
              </w:rPr>
            </w:pPr>
            <w:r>
              <w:rPr>
                <w:rFonts w:ascii="Calibri" w:eastAsia="Times New Roman" w:hAnsi="Calibri" w:cs="Times New Roman"/>
                <w:color w:val="000000"/>
                <w:sz w:val="18"/>
                <w:szCs w:val="18"/>
                <w:lang w:eastAsia="en-CA"/>
              </w:rPr>
              <w:t>Unadjusted RR 1.0 (0.98-1.0); PPI: N=1273; no PPI: N=1295</w:t>
            </w:r>
          </w:p>
        </w:tc>
        <w:tc>
          <w:tcPr>
            <w:tcW w:w="3686" w:type="dxa"/>
            <w:tcBorders>
              <w:top w:val="nil"/>
              <w:left w:val="nil"/>
              <w:bottom w:val="single" w:sz="4" w:space="0" w:color="808080"/>
              <w:right w:val="nil"/>
            </w:tcBorders>
            <w:shd w:val="clear" w:color="auto" w:fill="FFFFFF"/>
            <w:vAlign w:val="center"/>
            <w:hideMark/>
          </w:tcPr>
          <w:p w14:paraId="0001720F" w14:textId="77777777" w:rsidR="00227061" w:rsidRDefault="00227061" w:rsidP="006F61B0">
            <w:pPr>
              <w:spacing w:after="0" w:line="240" w:lineRule="auto"/>
              <w:rPr>
                <w:rFonts w:ascii="Calibri" w:eastAsia="Times New Roman" w:hAnsi="Calibri" w:cs="Times New Roman"/>
                <w:color w:val="000000" w:themeColor="text1"/>
                <w:sz w:val="18"/>
                <w:szCs w:val="18"/>
                <w:lang w:eastAsia="en-CA"/>
              </w:rPr>
            </w:pPr>
            <w:r>
              <w:rPr>
                <w:rFonts w:ascii="Calibri" w:eastAsia="Times New Roman" w:hAnsi="Calibri" w:cs="Times New Roman"/>
                <w:color w:val="000000" w:themeColor="text1"/>
                <w:sz w:val="18"/>
                <w:szCs w:val="18"/>
                <w:lang w:eastAsia="en-CA"/>
              </w:rPr>
              <w:t>No statistical difference in MACE risk in concomitant clopidogrel and PPI treatment vs clopidogrel only treatment.</w:t>
            </w:r>
          </w:p>
        </w:tc>
      </w:tr>
      <w:tr w:rsidR="00227061" w14:paraId="7FBC2F9E" w14:textId="77777777" w:rsidTr="00EC2B27">
        <w:trPr>
          <w:trHeight w:val="720"/>
        </w:trPr>
        <w:tc>
          <w:tcPr>
            <w:tcW w:w="1701" w:type="dxa"/>
            <w:tcBorders>
              <w:top w:val="nil"/>
              <w:left w:val="nil"/>
              <w:bottom w:val="single" w:sz="4" w:space="0" w:color="808080"/>
              <w:right w:val="nil"/>
            </w:tcBorders>
            <w:shd w:val="clear" w:color="auto" w:fill="FFFFFF"/>
            <w:vAlign w:val="center"/>
            <w:hideMark/>
          </w:tcPr>
          <w:p w14:paraId="44DA242C" w14:textId="7146DDBD"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{"citationItems":[{"id":"ITEM-1","itemData":{"DOI":"10.1016/j.amjcard.2009.10.063","ISSN":"0002-9149","author":[{"dropping-particle":"","family":"Gaglia","given":"Michael A","non-dropping-particle":"","parse-names":false,"suffix":""},{"dropping-particle":"","family":"Torguson","given":"Rebecca","non-dropping-particle":"","parse-names":false,"suffix":""},{"dropping-particle":"","family":"Hanna","given":"Nicholas","non-dropping-particle":"","parse-names":false,"suffix":""},{"dropping-particle":"","family":"Gonzalez","given":"Manuel A","non-dropping-particle":"","parse-names":false,"suffix":""},{"dropping-particle":"","family":"Collins","given":"Sara D","non-dropping-particle":"","parse-names":false,"suffix":""},{"dropping-particle":"","family":"Syed","given":"Asmir I","non-dropping-particle":"","parse-names":false,"suffix":""},{"dropping-particle":"","family":"Ben-dor","given":"Itsik","non-dropping-particle":"","parse-names":false,"suffix":""},{"dropping-particle":"","family":"Maluenda","given":"Gabriel","non-dropping-particle":"","parse-names":false,"suffix":""},{"dropping-particle":"","family":"Delhaye","given":"Cedric","non-dropping-particle":"","parse-names":false,"suffix":""},{"dropping-particle":"","family":"Wakabayashi","given":"Kohei","non-dropping-particle":"","parse-names":false,"suffix":""},{"dropping-particle":"","family":"Xue","given":"Zhenyi","non-dropping-particle":"","parse-names":false,"suffix":""},{"dropping-particle":"","family":"Suddath","given":"William O","non-dropping-particle":"","parse-names":false,"suffix":""},{"dropping-particle":"","family":"Kent","given":"Kenneth M","non-dropping-particle":"","parse-names":false,"suffix":""},{"dropping-particle":"","family":"Satler","given":"Lowell F","non-dropping-particle":"","parse-names":false,"suffix":""},{"dropping-particle":"","family":"Pichard","given":"Augusto D","non-dropping-particle":"","parse-names":false,"suffix":""},{"dropping-particle":"","family":"Waksman","given":"Ron","non-dropping-particle":"","parse-names":false,"suffix":""}],"container-title":"American Journal of Cardiology","id":"ITEM-1","issue":"6","issued":{"date-parts":[["2010"]]},"note":"NULL","page":"833-838","publisher":"Elsevier Inc.","title":"Relation of Proton Pump Inhibitor Use After Percutaneous Coronary Intervention With Drug-Eluting Stents to Outcomes","type":"article-journal","volume":"105"},"uris":["http://www.mendeley.com/documents/?uuid=fcf06f02-259d-4b2d-8481-c0da88c9f28f"]}],"mendeley":{"formattedCitation":"(Gaglia et al. 2010)","plainTextFormattedCitation":"(Gaglia et al. 2010)","previouslyFormattedCitation":"(Gaglia et al. 2010)"},"properties":{"noteIndex":0},"schema":"https://github.com/citation-style-language/schema/raw/master/csl-citation.json"}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(Gaglia et al. 2010)</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7FAA82E6"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PCI with DES</w:t>
            </w:r>
          </w:p>
        </w:tc>
        <w:tc>
          <w:tcPr>
            <w:tcW w:w="1418" w:type="dxa"/>
            <w:tcBorders>
              <w:top w:val="nil"/>
              <w:left w:val="nil"/>
              <w:bottom w:val="single" w:sz="4" w:space="0" w:color="808080"/>
              <w:right w:val="nil"/>
            </w:tcBorders>
            <w:shd w:val="clear" w:color="auto" w:fill="FFFFFF"/>
            <w:vAlign w:val="center"/>
            <w:hideMark/>
          </w:tcPr>
          <w:p w14:paraId="4B6CA65E"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ACM (30 days, 1 year)</w:t>
            </w:r>
          </w:p>
        </w:tc>
        <w:tc>
          <w:tcPr>
            <w:tcW w:w="4819" w:type="dxa"/>
            <w:tcBorders>
              <w:top w:val="nil"/>
              <w:left w:val="nil"/>
              <w:bottom w:val="single" w:sz="4" w:space="0" w:color="808080"/>
              <w:right w:val="nil"/>
            </w:tcBorders>
            <w:shd w:val="clear" w:color="auto" w:fill="FFFFFF"/>
            <w:vAlign w:val="center"/>
            <w:hideMark/>
          </w:tcPr>
          <w:p w14:paraId="4CA2EC32" w14:textId="279278AC" w:rsidR="00227061" w:rsidRDefault="00227061" w:rsidP="00DE2B7A">
            <w:pPr>
              <w:spacing w:after="0" w:line="240" w:lineRule="auto"/>
              <w:rPr>
                <w:rFonts w:ascii="Calibri" w:eastAsia="Times New Roman" w:hAnsi="Calibri" w:cs="Times New Roman"/>
                <w:sz w:val="18"/>
                <w:szCs w:val="18"/>
                <w:lang w:eastAsia="en-CA"/>
              </w:rPr>
            </w:pPr>
            <w:r>
              <w:rPr>
                <w:rFonts w:ascii="Calibri" w:eastAsia="Times New Roman" w:hAnsi="Calibri" w:cs="Times New Roman"/>
                <w:i/>
                <w:iCs/>
                <w:sz w:val="18"/>
                <w:szCs w:val="18"/>
                <w:lang w:eastAsia="en-CA"/>
              </w:rPr>
              <w:t>Clopidogrel and aspirin users</w:t>
            </w:r>
            <w:r>
              <w:rPr>
                <w:rFonts w:ascii="Calibri" w:eastAsia="Times New Roman" w:hAnsi="Calibri" w:cs="Times New Roman"/>
                <w:sz w:val="18"/>
                <w:szCs w:val="18"/>
                <w:lang w:eastAsia="en-CA"/>
              </w:rPr>
              <w:br/>
            </w:r>
            <w:r>
              <w:rPr>
                <w:rFonts w:ascii="Calibri" w:eastAsia="Times New Roman" w:hAnsi="Calibri" w:cs="Times New Roman"/>
                <w:b/>
                <w:bCs/>
                <w:i/>
                <w:iCs/>
                <w:sz w:val="18"/>
                <w:szCs w:val="18"/>
                <w:lang w:eastAsia="en-CA"/>
              </w:rPr>
              <w:t>30 days</w:t>
            </w:r>
            <w:r w:rsidR="00DE2B7A">
              <w:rPr>
                <w:rFonts w:ascii="Calibri" w:eastAsia="Times New Roman" w:hAnsi="Calibri" w:cs="Times New Roman"/>
                <w:b/>
                <w:bCs/>
                <w:i/>
                <w:iCs/>
                <w:sz w:val="18"/>
                <w:szCs w:val="18"/>
                <w:lang w:eastAsia="en-CA"/>
              </w:rPr>
              <w:t xml:space="preserve">: </w:t>
            </w:r>
            <w:r>
              <w:rPr>
                <w:rFonts w:ascii="Calibri" w:eastAsia="Times New Roman" w:hAnsi="Calibri" w:cs="Times New Roman"/>
                <w:sz w:val="18"/>
                <w:szCs w:val="18"/>
                <w:lang w:eastAsia="en-CA"/>
              </w:rPr>
              <w:t xml:space="preserve">PPI: 1% (N=318);  no PPI: 0.2% (N=502);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xml:space="preserve"> 0.08;</w:t>
            </w:r>
            <w:r>
              <w:rPr>
                <w:rFonts w:ascii="Calibri" w:eastAsia="Times New Roman" w:hAnsi="Calibri" w:cs="Times New Roman"/>
                <w:sz w:val="18"/>
                <w:szCs w:val="18"/>
                <w:lang w:eastAsia="en-CA"/>
              </w:rPr>
              <w:br/>
            </w:r>
            <w:r w:rsidR="00DE2B7A">
              <w:rPr>
                <w:rFonts w:ascii="Calibri" w:eastAsia="Times New Roman" w:hAnsi="Calibri" w:cs="Times New Roman"/>
                <w:b/>
                <w:bCs/>
                <w:i/>
                <w:iCs/>
                <w:sz w:val="18"/>
                <w:szCs w:val="18"/>
                <w:lang w:eastAsia="en-CA"/>
              </w:rPr>
              <w:t>1</w:t>
            </w:r>
            <w:r>
              <w:rPr>
                <w:rFonts w:ascii="Calibri" w:eastAsia="Times New Roman" w:hAnsi="Calibri" w:cs="Times New Roman"/>
                <w:b/>
                <w:bCs/>
                <w:i/>
                <w:iCs/>
                <w:sz w:val="18"/>
                <w:szCs w:val="18"/>
                <w:lang w:eastAsia="en-CA"/>
              </w:rPr>
              <w:t xml:space="preserve"> year</w:t>
            </w:r>
            <w:r w:rsidR="00DE2B7A">
              <w:rPr>
                <w:rFonts w:ascii="Calibri" w:eastAsia="Times New Roman" w:hAnsi="Calibri" w:cs="Times New Roman"/>
                <w:b/>
                <w:bCs/>
                <w:i/>
                <w:iCs/>
                <w:sz w:val="18"/>
                <w:szCs w:val="18"/>
                <w:lang w:eastAsia="en-CA"/>
              </w:rPr>
              <w:t xml:space="preserve">: </w:t>
            </w:r>
            <w:r>
              <w:rPr>
                <w:rFonts w:ascii="Calibri" w:eastAsia="Times New Roman" w:hAnsi="Calibri" w:cs="Times New Roman"/>
                <w:sz w:val="18"/>
                <w:szCs w:val="18"/>
                <w:lang w:eastAsia="en-CA"/>
              </w:rPr>
              <w:t xml:space="preserve">PPI 5% (N=318); no PPI: 2% (N=502);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xml:space="preserve"> 0.02; </w:t>
            </w:r>
          </w:p>
        </w:tc>
        <w:tc>
          <w:tcPr>
            <w:tcW w:w="3686" w:type="dxa"/>
            <w:tcBorders>
              <w:top w:val="nil"/>
              <w:left w:val="nil"/>
              <w:bottom w:val="single" w:sz="4" w:space="0" w:color="808080"/>
              <w:right w:val="nil"/>
            </w:tcBorders>
            <w:shd w:val="clear" w:color="auto" w:fill="FFFFFF"/>
            <w:vAlign w:val="center"/>
            <w:hideMark/>
          </w:tcPr>
          <w:p w14:paraId="214C1B33"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xml:space="preserve">Association between PPI/clopidogrel use and MACE and all-cause mortality at 1 year in PCI patients with DES. </w:t>
            </w:r>
          </w:p>
        </w:tc>
      </w:tr>
      <w:tr w:rsidR="00227061" w14:paraId="68A82C4A" w14:textId="77777777" w:rsidTr="00EC2B27">
        <w:trPr>
          <w:trHeight w:val="367"/>
        </w:trPr>
        <w:tc>
          <w:tcPr>
            <w:tcW w:w="1701" w:type="dxa"/>
            <w:tcBorders>
              <w:top w:val="nil"/>
              <w:left w:val="nil"/>
              <w:bottom w:val="single" w:sz="4" w:space="0" w:color="808080"/>
              <w:right w:val="nil"/>
            </w:tcBorders>
            <w:shd w:val="clear" w:color="auto" w:fill="FFFFFF"/>
            <w:vAlign w:val="center"/>
            <w:hideMark/>
          </w:tcPr>
          <w:p w14:paraId="717BB429" w14:textId="1522A197"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{"citationItems":[{"id":"ITEM-1","itemData":{"ISSN":"1952-4005","abstract":"BACKGROUND: Dual antiplatelet therapy (aspirin plus clopidogrel) is recommended in patients undergoing percutaneous coronary intervention (PCI). Treatment with proton pump inhibitors (PPIs) decreases bleeding rate. Alarming reports have been made that PPIs may decrease the antiplatelet activity of clopidogrel. We sought to determine whether levels of interleukin-6 (IL-6) and transforming growth factor-beta1 (TGF-beta1) might help distinguish individuals at risk for adverse events., METHODS: Thirty-eight patients on aspirin and clopidogrel were enrolled and divided into two groups: group 1 [patients receiving omeprazole (n = 18)] and group 2 [patients not receiving omeprazole (n = 20)]. Patients underwent PCI and were scheduled for twelve-month clinical follow-up. The major, adverse cardiac and cerebrovascular events (MACCE) include death, re-hospitalization for acute coronary syndromes, and stroke., RESULTS: Median concentrations of IL-6 were higher in group 1 at 4.7 pg/mL, in comparison with group 2, 1.65 pg/mL (p = 0.003). Median concentrations of TGF-beta1 were similar in both groups (p = 0.5). Patients in group 1 had a significantly higher leukocyte count [103/mm3] (median 7.5 vs 6.5; p = 0.04). There were no deaths during follow-up. The incidence of myocardial infarction was higher in group 1 (33.4% vs 5.0%; p = 0.03). MACCE at twelve months were more frequent in group 1 (55.6% vs 20.0%; p = 0.02). The cut-off value to predict MACCEs for IL-6 was &gt; 3.6 pg/mL (sensitivity 64%, specificity 88%, positive predictive value 75%, negative predictive value 81%)., INTERPRETATION: We show here that concomitant omeprazole use is associated with an increased inflammatory reaction. Drug interactions may reduce the anti-inflammatory effect of clopidogrel. This mechanism maybe responsible for an increased risk of non-fatal, cardiovascular events, following stent placement.","author":[{"dropping-particle":"","family":"Hudzik","given":"Bartosz","non-dropping-particle":"","parse-names":false,"suffix":""},{"dropping-particle":"","family":"Szkodzinski","given":"Janusz","non-dropping-particle":"","parse-names":false,"suffix":""},{"dropping-particle":"","family":"Danikiewicz","given":"Aleksander","non-dropping-particle":"","parse-names":false,"suffix":""},{"dropping-particle":"","family":"Wilczek","given":"Krzysztof","non-dropping-particle":"","parse-names":false,"suffix":""},{"dropping-particle":"","family":"Romanowski","given":"Wojciech","non-dropping-particle":"","parse-names":false,"suffix":""},{"dropping-particle":"","family":"Lekston","given":"Andrzej","non-dropping-particle":"","parse-names":false,"suffix":""},{"dropping-particle":"","family":"Polonski","given":"Lech","non-dropping-particle":"","parse-names":false,"suffix":""},{"dropping-particle":"","family":"Zubelewicz-Szkodzinska","given":"Barbara","non-dropping-particle":"","parse-names":false,"suffix":""}],"container-title":"European cytokine network","id":"ITEM-1","issue":"4","issued":{"date-parts":[["2010"]]},"note":"709","page":"257-263","publisher":"Hudzik,Bartosz. 3rd Department of Cardiology, Silesian Center for Heart Disease, Medical University of Silesia, Zabrze, Poland. bartekh@mp.pl","publisher-place":"France","title":"Effect of omeprazole on the concentration of interleukin-6 and transforming growth factor-beta1 in patients receiving dual antiplatelet therapy after percutaneous coronary intervention.","type":"article-journal","volume":"21"},"uris":["http://www.mendeley.com/documents/?uuid=ce45dd8f-bf01-452e-bf64-468df4605515"]}],"mendeley":{"formattedCitation":"(Hudzik et al. 2010)","plainTextFormattedCitation":"(Hudzik et al. 2010)","previouslyFormattedCitation":"(Hudzik et al. 2010)"},"properties":{"noteIndex":0},"schema":"https://github.com/citation-style-language/schema/raw/master/csl-citation.json"}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(Hudzik et al. 2010)</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31BB7B29"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Stent</w:t>
            </w:r>
          </w:p>
        </w:tc>
        <w:tc>
          <w:tcPr>
            <w:tcW w:w="1418" w:type="dxa"/>
            <w:tcBorders>
              <w:top w:val="nil"/>
              <w:left w:val="nil"/>
              <w:bottom w:val="single" w:sz="4" w:space="0" w:color="808080"/>
              <w:right w:val="nil"/>
            </w:tcBorders>
            <w:shd w:val="clear" w:color="auto" w:fill="FFFFFF"/>
            <w:vAlign w:val="center"/>
            <w:hideMark/>
          </w:tcPr>
          <w:p w14:paraId="0070ADE3"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ACM (1 year)</w:t>
            </w:r>
          </w:p>
        </w:tc>
        <w:tc>
          <w:tcPr>
            <w:tcW w:w="4819" w:type="dxa"/>
            <w:tcBorders>
              <w:top w:val="nil"/>
              <w:left w:val="nil"/>
              <w:bottom w:val="single" w:sz="4" w:space="0" w:color="808080"/>
              <w:right w:val="nil"/>
            </w:tcBorders>
            <w:shd w:val="clear" w:color="auto" w:fill="FFFFFF"/>
            <w:vAlign w:val="center"/>
            <w:hideMark/>
          </w:tcPr>
          <w:p w14:paraId="7DCB96B5" w14:textId="77777777"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i/>
                <w:iCs/>
                <w:color w:val="000000"/>
                <w:sz w:val="18"/>
                <w:szCs w:val="18"/>
                <w:lang w:eastAsia="en-CA"/>
              </w:rPr>
              <w:t>Clopidogrel users</w:t>
            </w:r>
            <w:r>
              <w:rPr>
                <w:rFonts w:ascii="Calibri" w:eastAsia="Times New Roman" w:hAnsi="Calibri" w:cs="Times New Roman"/>
                <w:i/>
                <w:iCs/>
                <w:color w:val="000000"/>
                <w:sz w:val="18"/>
                <w:szCs w:val="18"/>
                <w:lang w:eastAsia="en-CA"/>
              </w:rPr>
              <w:br/>
            </w:r>
            <w:r>
              <w:rPr>
                <w:rFonts w:ascii="Calibri" w:eastAsia="Times New Roman" w:hAnsi="Calibri" w:cs="Times New Roman"/>
                <w:sz w:val="18"/>
                <w:szCs w:val="18"/>
                <w:lang w:eastAsia="en-CA"/>
              </w:rPr>
              <w:t>PPI: 0 (N=83); no PPI: 0 (N=65);</w:t>
            </w:r>
          </w:p>
        </w:tc>
        <w:tc>
          <w:tcPr>
            <w:tcW w:w="3686" w:type="dxa"/>
            <w:tcBorders>
              <w:top w:val="nil"/>
              <w:left w:val="nil"/>
              <w:bottom w:val="single" w:sz="4" w:space="0" w:color="808080"/>
              <w:right w:val="nil"/>
            </w:tcBorders>
            <w:shd w:val="clear" w:color="auto" w:fill="FFFFFF"/>
            <w:vAlign w:val="center"/>
            <w:hideMark/>
          </w:tcPr>
          <w:p w14:paraId="06619545" w14:textId="77777777" w:rsidR="00227061" w:rsidRDefault="00227061" w:rsidP="006F61B0">
            <w:pPr>
              <w:spacing w:after="0" w:line="240" w:lineRule="auto"/>
              <w:rPr>
                <w:rFonts w:ascii="Calibri" w:eastAsia="Times New Roman" w:hAnsi="Calibri" w:cs="Times New Roman"/>
                <w:b/>
                <w:i/>
                <w:color w:val="000000"/>
                <w:sz w:val="18"/>
                <w:szCs w:val="18"/>
                <w:lang w:eastAsia="en-CA"/>
              </w:rPr>
            </w:pPr>
            <w:r>
              <w:rPr>
                <w:rFonts w:ascii="Calibri" w:eastAsia="Times New Roman" w:hAnsi="Calibri" w:cs="Times New Roman"/>
                <w:b/>
                <w:i/>
                <w:color w:val="000000"/>
                <w:sz w:val="18"/>
                <w:szCs w:val="18"/>
                <w:lang w:eastAsia="en-CA"/>
              </w:rPr>
              <w:t xml:space="preserve">No difference in deaths among groups. </w:t>
            </w:r>
          </w:p>
        </w:tc>
      </w:tr>
      <w:tr w:rsidR="00227061" w14:paraId="02490FC0" w14:textId="77777777" w:rsidTr="00EC2B27">
        <w:trPr>
          <w:trHeight w:val="720"/>
        </w:trPr>
        <w:tc>
          <w:tcPr>
            <w:tcW w:w="1701" w:type="dxa"/>
            <w:tcBorders>
              <w:top w:val="nil"/>
              <w:left w:val="nil"/>
              <w:bottom w:val="single" w:sz="4" w:space="0" w:color="808080"/>
              <w:right w:val="nil"/>
            </w:tcBorders>
            <w:shd w:val="clear" w:color="auto" w:fill="FFFFFF"/>
            <w:vAlign w:val="center"/>
            <w:hideMark/>
          </w:tcPr>
          <w:p w14:paraId="2C797EEB" w14:textId="488116EB"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{"citationItems":[{"id":"ITEM-1","itemData":{"ISBN":"0160-2446","ISSN":"1533-4023","abstract":"BACKGROUND: Among patients receiving clopidogrel for coronary artery disease, concomitant therapy with proton pump inhibitors (PPIs) has been associated with an increased risk for recurrent coronary events., PATIENTS AND METHODS: Factores de Riesgo y ENfermedad Arterial (FRENA) is an ongoing, multicenter, observational registry of consecutive outpatients with coronary artery disease, cerebrovascular disease, or peripheral artery disease. We retrospectively examined the influence of concomitant use of PPIs on outcome in patients receiving clopidogrel., RESULTS: As of March 2009, 1222 patients were using clopidogrel: 595 had coronary artery disease, 329 cerebrovascular disease, and 298 had peripheral artery disease. Of these, 519 (42%) were concomitantly using PPIs. Over a mean follow-up of 15 months, 131 patients (11%) had 139 subsequent ischemic events: myocardial infarction 44, ischemic stroke 40, and critical limb ischemia 55. Seventeen of them (13%) died within 15 days of the subsequent event. PPI users had a higher incidence of myocardial infarction (rate ratio, 2.5; 95% confidence interval [CI], 1.3-4.8), ischemic stroke (rate ratio, 1.9; 95% CI, 1.03-3.7), and a nonsignificantly higher rate of critical limb ischemia (rate ratio, 1.6; 95% CI, 0.95-2.8) than nonusers. On multivariate analysis, concomitant use of clopidogrel and PPIs was independently associated with an increased risk for subsequent ischemic events both in the whole series of patients (hazard ratio, 1.8; 95% CI, 1.1-2.7) and in those with cerebrovascular disease or peripheral artery disease (hazard ratio, 1.5; 95% CI, 1.01-2.4)., CONCLUSIONS: In patients with established arterial disease, concomitant use of PPIs and clopidogrel was associated with a nearly doubling of the incidence of subsequent myocardial infarction or ischemic stroke. This higher incidence persisted after multivariate adjustment.","author":[{"dropping-particle":"","family":"Munoz-Torrero","given":"Juan Francisco Sanchez","non-dropping-particle":"","parse-names":false,"suffix":""},{"dropping-particle":"","family":"Escudero","given":"Domingo","non-dropping-particle":"","parse-names":false,"suffix":""},{"dropping-particle":"","family":"Suarez","given":"Carmen","non-dropping-particle":"","parse-names":false,"suffix":""},{"dropping-particle":"","family":"Sanclemente","given":"Carmen","non-dropping-particle":"","parse-names":false,"suffix":""},{"dropping-particle":"","family":"Pascual","given":"Ma Teresa","non-dropping-particle":"","parse-names":false,"suffix":""},{"dropping-particle":"","family":"Zamorano","given":"Jose","non-dropping-particle":"","parse-names":false,"suffix":""},{"dropping-particle":"","family":"Trujillo-Santos","given":"Javier","non-dropping-particle":"","parse-names":false,"suffix":""},{"dropping-particle":"","family":"Monreal","given":"Manuel","non-dropping-particle":"","parse-names":false,"suffix":""}],"container-title":"Journal of Cardiovascular Pharmacology","id":"ITEM-1","issue":"1","issued":{"date-parts":[["2011"]]},"note":"552","page":"13-19","publisher":"Munoz-Torrero,Juan Francisco Sanchez. Department of Internal Medicine, Hospital San Pedro de Alcantara, Caceres, Spain.","publisher-place":"United States","title":"Concomitant use of proton pump inhibitors and clopidogrel in patients with coronary, cerebrovascular, or peripheral artery disease in the factores de Riesgo y ENfermedad Arterial (FRENA) registry.","type":"article-journal","volume":"57"},"uris":["http://www.mendeley.com/documents/?uuid=7ccdd93e-d639-4d86-832e-ce5da21047ba"]}],"mendeley":{"formattedCitation":"(Munoz-Torrero et al. 2011)","plainTextFormattedCitation":"(Munoz-Torrero et al. 2011)","previouslyFormattedCitation":"(Munoz-Torrero et al. 2011)"},"properties":{"noteIndex":0},"schema":"https://github.com/citation-style-language/schema/raw/master/csl-citation.json"}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(Munoz-Torrero et al. 2011)</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4C06CF58"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CAD, cerebrovascular or PAD</w:t>
            </w:r>
          </w:p>
        </w:tc>
        <w:tc>
          <w:tcPr>
            <w:tcW w:w="1418" w:type="dxa"/>
            <w:tcBorders>
              <w:top w:val="nil"/>
              <w:left w:val="nil"/>
              <w:bottom w:val="single" w:sz="4" w:space="0" w:color="808080"/>
              <w:right w:val="nil"/>
            </w:tcBorders>
            <w:shd w:val="clear" w:color="auto" w:fill="FFFFFF"/>
            <w:vAlign w:val="center"/>
            <w:hideMark/>
          </w:tcPr>
          <w:p w14:paraId="3C4D31DE"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ACM (at least 1 year)</w:t>
            </w:r>
          </w:p>
        </w:tc>
        <w:tc>
          <w:tcPr>
            <w:tcW w:w="4819" w:type="dxa"/>
            <w:tcBorders>
              <w:top w:val="nil"/>
              <w:left w:val="nil"/>
              <w:bottom w:val="single" w:sz="4" w:space="0" w:color="808080"/>
              <w:right w:val="nil"/>
            </w:tcBorders>
            <w:shd w:val="clear" w:color="auto" w:fill="FFFFFF"/>
            <w:vAlign w:val="center"/>
          </w:tcPr>
          <w:p w14:paraId="39A6BA5D" w14:textId="72D9F394" w:rsidR="00227061" w:rsidRDefault="00227061" w:rsidP="00DE2B7A">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i/>
                <w:iCs/>
                <w:color w:val="000000"/>
                <w:sz w:val="18"/>
                <w:szCs w:val="18"/>
                <w:lang w:eastAsia="en-CA"/>
              </w:rPr>
              <w:t>Clopidogrel users</w:t>
            </w:r>
            <w:r>
              <w:rPr>
                <w:rFonts w:ascii="Calibri" w:eastAsia="Times New Roman" w:hAnsi="Calibri" w:cs="Times New Roman"/>
                <w:i/>
                <w:iCs/>
                <w:color w:val="000000"/>
                <w:sz w:val="18"/>
                <w:szCs w:val="18"/>
                <w:lang w:eastAsia="en-CA"/>
              </w:rPr>
              <w:br/>
            </w:r>
            <w:r>
              <w:rPr>
                <w:rFonts w:ascii="Calibri" w:eastAsia="Times New Roman" w:hAnsi="Calibri" w:cs="Times New Roman"/>
                <w:b/>
                <w:bCs/>
                <w:i/>
                <w:iCs/>
                <w:color w:val="000000"/>
                <w:sz w:val="18"/>
                <w:szCs w:val="18"/>
                <w:lang w:eastAsia="en-CA"/>
              </w:rPr>
              <w:t>All patients</w:t>
            </w:r>
            <w:r w:rsidR="00DE2B7A">
              <w:rPr>
                <w:rFonts w:ascii="Calibri" w:eastAsia="Times New Roman" w:hAnsi="Calibri" w:cs="Times New Roman"/>
                <w:b/>
                <w:bCs/>
                <w:i/>
                <w:iCs/>
                <w:color w:val="000000"/>
                <w:sz w:val="18"/>
                <w:szCs w:val="18"/>
                <w:lang w:eastAsia="en-CA"/>
              </w:rPr>
              <w:t xml:space="preserve">: </w:t>
            </w:r>
            <w:r>
              <w:rPr>
                <w:rFonts w:ascii="Calibri" w:eastAsia="Times New Roman" w:hAnsi="Calibri" w:cs="Times New Roman"/>
                <w:color w:val="000000"/>
                <w:sz w:val="18"/>
                <w:szCs w:val="18"/>
                <w:lang w:eastAsia="en-CA"/>
              </w:rPr>
              <w:t xml:space="preserve">Unadjusted </w:t>
            </w:r>
            <w:r w:rsidR="00DE2B7A">
              <w:rPr>
                <w:rFonts w:ascii="Calibri" w:eastAsia="Times New Roman" w:hAnsi="Calibri" w:cs="Times New Roman"/>
                <w:color w:val="000000"/>
                <w:sz w:val="18"/>
                <w:szCs w:val="18"/>
                <w:lang w:eastAsia="en-CA"/>
              </w:rPr>
              <w:t>RR, 2.2 (1.3–3.7)</w:t>
            </w:r>
            <w:r>
              <w:rPr>
                <w:rFonts w:ascii="Calibri" w:eastAsia="Times New Roman" w:hAnsi="Calibri" w:cs="Times New Roman"/>
                <w:color w:val="000000"/>
                <w:sz w:val="18"/>
                <w:szCs w:val="18"/>
                <w:lang w:eastAsia="en-CA"/>
              </w:rPr>
              <w:t>;</w:t>
            </w:r>
            <w:r w:rsidR="00DE2B7A">
              <w:rPr>
                <w:rFonts w:ascii="Calibri" w:eastAsia="Times New Roman" w:hAnsi="Calibri" w:cs="Times New Roman"/>
                <w:color w:val="000000"/>
                <w:sz w:val="18"/>
                <w:szCs w:val="18"/>
                <w:lang w:eastAsia="en-CA"/>
              </w:rPr>
              <w:t xml:space="preserve"> </w:t>
            </w:r>
            <w:r>
              <w:rPr>
                <w:rFonts w:ascii="Calibri" w:eastAsia="Times New Roman" w:hAnsi="Calibri" w:cs="Times New Roman"/>
                <w:color w:val="000000"/>
                <w:sz w:val="18"/>
                <w:szCs w:val="18"/>
                <w:lang w:eastAsia="en-CA"/>
              </w:rPr>
              <w:t>p value 0.003;  PPI: N=519, no PPI: N=703;</w:t>
            </w:r>
          </w:p>
          <w:p w14:paraId="712B8630" w14:textId="392C18A1" w:rsidR="00227061" w:rsidRDefault="00227061" w:rsidP="00DE2B7A">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b/>
                <w:bCs/>
                <w:i/>
                <w:iCs/>
                <w:color w:val="000000"/>
                <w:sz w:val="18"/>
                <w:szCs w:val="18"/>
                <w:lang w:eastAsia="en-CA"/>
              </w:rPr>
              <w:t>CVD patients</w:t>
            </w:r>
            <w:r w:rsidR="00DE2B7A">
              <w:rPr>
                <w:rFonts w:ascii="Calibri" w:eastAsia="Times New Roman" w:hAnsi="Calibri" w:cs="Times New Roman"/>
                <w:b/>
                <w:bCs/>
                <w:i/>
                <w:iCs/>
                <w:color w:val="000000"/>
                <w:sz w:val="18"/>
                <w:szCs w:val="18"/>
                <w:lang w:eastAsia="en-CA"/>
              </w:rPr>
              <w:t xml:space="preserve">: </w:t>
            </w:r>
            <w:r>
              <w:rPr>
                <w:rFonts w:ascii="Calibri" w:eastAsia="Times New Roman" w:hAnsi="Calibri" w:cs="Times New Roman"/>
                <w:color w:val="000000"/>
                <w:sz w:val="18"/>
                <w:szCs w:val="18"/>
                <w:lang w:eastAsia="en-CA"/>
              </w:rPr>
              <w:t xml:space="preserve">Unadjusted RR, 1.6 (0.7–4.0), </w:t>
            </w:r>
            <w:r w:rsidR="00EC672E">
              <w:rPr>
                <w:rFonts w:ascii="Calibri" w:eastAsia="Times New Roman" w:hAnsi="Calibri" w:cs="Times New Roman"/>
                <w:color w:val="000000"/>
                <w:sz w:val="18"/>
                <w:szCs w:val="18"/>
                <w:lang w:eastAsia="en-CA"/>
              </w:rPr>
              <w:t>p-value</w:t>
            </w:r>
            <w:r>
              <w:rPr>
                <w:rFonts w:ascii="Calibri" w:eastAsia="Times New Roman" w:hAnsi="Calibri" w:cs="Times New Roman"/>
                <w:color w:val="000000"/>
                <w:sz w:val="18"/>
                <w:szCs w:val="18"/>
                <w:lang w:eastAsia="en-CA"/>
              </w:rPr>
              <w:t xml:space="preserve"> 0.298; PPI: N=142 , no PPI: N=187;</w:t>
            </w:r>
          </w:p>
          <w:p w14:paraId="52CF107E" w14:textId="4DB6154A" w:rsidR="00227061" w:rsidRDefault="00227061" w:rsidP="00DE2B7A">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b/>
                <w:bCs/>
                <w:i/>
                <w:iCs/>
                <w:color w:val="000000"/>
                <w:sz w:val="18"/>
                <w:szCs w:val="18"/>
                <w:lang w:eastAsia="en-CA"/>
              </w:rPr>
              <w:t>PAD patients</w:t>
            </w:r>
            <w:r w:rsidR="00DE2B7A">
              <w:rPr>
                <w:rFonts w:ascii="Calibri" w:eastAsia="Times New Roman" w:hAnsi="Calibri" w:cs="Times New Roman"/>
                <w:b/>
                <w:bCs/>
                <w:i/>
                <w:iCs/>
                <w:color w:val="000000"/>
                <w:sz w:val="18"/>
                <w:szCs w:val="18"/>
                <w:lang w:eastAsia="en-CA"/>
              </w:rPr>
              <w:t xml:space="preserve">: </w:t>
            </w:r>
            <w:r>
              <w:rPr>
                <w:rFonts w:ascii="Calibri" w:eastAsia="Times New Roman" w:hAnsi="Calibri" w:cs="Times New Roman"/>
                <w:color w:val="000000"/>
                <w:sz w:val="18"/>
                <w:szCs w:val="18"/>
                <w:lang w:eastAsia="en-CA"/>
              </w:rPr>
              <w:t xml:space="preserve">Unadjusted RR, 1.9 (0.8–4.9), </w:t>
            </w:r>
            <w:r w:rsidR="00EC672E">
              <w:rPr>
                <w:rFonts w:ascii="Calibri" w:eastAsia="Times New Roman" w:hAnsi="Calibri" w:cs="Times New Roman"/>
                <w:color w:val="000000"/>
                <w:sz w:val="18"/>
                <w:szCs w:val="18"/>
                <w:lang w:eastAsia="en-CA"/>
              </w:rPr>
              <w:t>p-value</w:t>
            </w:r>
            <w:r>
              <w:rPr>
                <w:rFonts w:ascii="Calibri" w:eastAsia="Times New Roman" w:hAnsi="Calibri" w:cs="Times New Roman"/>
                <w:color w:val="000000"/>
                <w:sz w:val="18"/>
                <w:szCs w:val="18"/>
                <w:lang w:eastAsia="en-CA"/>
              </w:rPr>
              <w:t xml:space="preserve">  0.142; PPI: N=130, no PPI:N=168;</w:t>
            </w:r>
            <w:r>
              <w:rPr>
                <w:rFonts w:ascii="Calibri" w:eastAsia="Times New Roman" w:hAnsi="Calibri" w:cs="Times New Roman"/>
                <w:color w:val="000000"/>
                <w:sz w:val="18"/>
                <w:szCs w:val="18"/>
                <w:lang w:eastAsia="en-CA"/>
              </w:rPr>
              <w:br/>
            </w:r>
            <w:r>
              <w:rPr>
                <w:rFonts w:ascii="Calibri" w:eastAsia="Times New Roman" w:hAnsi="Calibri" w:cs="Times New Roman"/>
                <w:b/>
                <w:bCs/>
                <w:i/>
                <w:iCs/>
                <w:color w:val="000000"/>
                <w:sz w:val="18"/>
                <w:szCs w:val="18"/>
                <w:lang w:eastAsia="en-CA"/>
              </w:rPr>
              <w:t>CAD patients</w:t>
            </w:r>
            <w:r w:rsidR="00DE2B7A">
              <w:rPr>
                <w:rFonts w:ascii="Calibri" w:eastAsia="Times New Roman" w:hAnsi="Calibri" w:cs="Times New Roman"/>
                <w:color w:val="000000"/>
                <w:sz w:val="18"/>
                <w:szCs w:val="18"/>
                <w:lang w:eastAsia="en-CA"/>
              </w:rPr>
              <w:t xml:space="preserve">: </w:t>
            </w:r>
            <w:r>
              <w:rPr>
                <w:rFonts w:ascii="Calibri" w:eastAsia="Times New Roman" w:hAnsi="Calibri" w:cs="Times New Roman"/>
                <w:color w:val="000000"/>
                <w:sz w:val="18"/>
                <w:szCs w:val="18"/>
                <w:lang w:eastAsia="en-CA"/>
              </w:rPr>
              <w:t xml:space="preserve">Unadjusted RR, 3.2 (1.2–8.8); </w:t>
            </w:r>
            <w:r w:rsidR="00EC672E">
              <w:rPr>
                <w:rFonts w:ascii="Calibri" w:eastAsia="Times New Roman" w:hAnsi="Calibri" w:cs="Times New Roman"/>
                <w:color w:val="000000"/>
                <w:sz w:val="18"/>
                <w:szCs w:val="18"/>
                <w:lang w:eastAsia="en-CA"/>
              </w:rPr>
              <w:t>p-value</w:t>
            </w:r>
            <w:r>
              <w:rPr>
                <w:rFonts w:ascii="Calibri" w:eastAsia="Times New Roman" w:hAnsi="Calibri" w:cs="Times New Roman"/>
                <w:color w:val="000000"/>
                <w:sz w:val="18"/>
                <w:szCs w:val="18"/>
                <w:lang w:eastAsia="en-CA"/>
              </w:rPr>
              <w:t xml:space="preserve"> 0.014; PPI: N=247, no PPI: N=348;</w:t>
            </w:r>
          </w:p>
        </w:tc>
        <w:tc>
          <w:tcPr>
            <w:tcW w:w="3686" w:type="dxa"/>
            <w:tcBorders>
              <w:top w:val="nil"/>
              <w:left w:val="nil"/>
              <w:bottom w:val="single" w:sz="4" w:space="0" w:color="808080"/>
              <w:right w:val="nil"/>
            </w:tcBorders>
            <w:shd w:val="clear" w:color="auto" w:fill="FFFFFF"/>
            <w:vAlign w:val="center"/>
            <w:hideMark/>
          </w:tcPr>
          <w:p w14:paraId="6CB8A2C3" w14:textId="77777777" w:rsidR="00227061" w:rsidRDefault="00227061" w:rsidP="006F61B0">
            <w:pPr>
              <w:spacing w:after="0" w:line="240" w:lineRule="auto"/>
              <w:rPr>
                <w:rFonts w:ascii="Calibri" w:eastAsia="Times New Roman" w:hAnsi="Calibri" w:cs="Times New Roman"/>
                <w:b/>
                <w:i/>
                <w:color w:val="000000"/>
                <w:sz w:val="18"/>
                <w:szCs w:val="18"/>
                <w:lang w:eastAsia="en-CA"/>
              </w:rPr>
            </w:pPr>
            <w:r>
              <w:rPr>
                <w:rFonts w:ascii="Calibri" w:eastAsia="Times New Roman" w:hAnsi="Calibri" w:cs="Times New Roman"/>
                <w:b/>
                <w:i/>
                <w:color w:val="000000"/>
                <w:sz w:val="18"/>
                <w:szCs w:val="18"/>
                <w:lang w:eastAsia="en-CA"/>
              </w:rPr>
              <w:t xml:space="preserve">Concomitant use of PPIs and clopidogrel is associated with increased mortality risk in CAD patients but not CVD or PAD patients </w:t>
            </w:r>
          </w:p>
        </w:tc>
      </w:tr>
      <w:tr w:rsidR="00227061" w14:paraId="679E7070" w14:textId="77777777" w:rsidTr="00EC2B27">
        <w:trPr>
          <w:trHeight w:val="720"/>
        </w:trPr>
        <w:tc>
          <w:tcPr>
            <w:tcW w:w="1701" w:type="dxa"/>
            <w:tcBorders>
              <w:top w:val="nil"/>
              <w:left w:val="nil"/>
              <w:bottom w:val="single" w:sz="4" w:space="0" w:color="808080"/>
              <w:right w:val="nil"/>
            </w:tcBorders>
            <w:shd w:val="clear" w:color="auto" w:fill="FFFFFF"/>
            <w:vAlign w:val="center"/>
            <w:hideMark/>
          </w:tcPr>
          <w:p w14:paraId="0C614C33" w14:textId="64AA92BB"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{"citationItems":[{"id":"ITEM-1","itemData":{"ISSN":"1528-0012","abstract":"BACKGROUND &amp; AIMS: Previous observational studies reported that concomitant use of clopidogrel and proton pump inhibitors (PPIs) in patients with prior acute coronary syndrome (ACS) was associated with adverse cardiovascular outcomes. We investigated whether H(2)-receptor antagonist (H(2)RA) is an alternative to PPI in patients with ACS., METHODS: We conducted a population-based retrospective cohort study of 6552 patients in Taiwan discharged for ACS between 2002 and 2005. Patients were divided into 5 cohorts: clopidogrel plus H(2)RA (n = 252), clopidogrel plus PPI (n = 311), clopidogrel alone (n = 5551), H(2)RA alone (n = 235), and PPI alone (n = 203). The primary outcome was rehospitalization for ACS or all-cause mortality within 3 month of rehospitalization., RESULTS: The 1-year cumulative incidence of the primary outcome was 26.8% (95% CI: 21.5%-33.0%) in the clopidogrel plus H(2)RA cohort and 33.2% (95% CI: 27.8%-39.4%) in the clopidogrel plus PPI cohort, compared with 11.6% (95% CI: 10.8%-12.5%) in the clopidogrel alone cohort (P &lt; .0001). No significant difference was observed between the PPI alone cohort (11.0%; 95% CI: 7.1%-16.8%), the H(2)RA alone cohort (11.8%; 95% CI: 8.2%-16.8%), and the clopidogrel alone cohort in terms of the primary outcome. The number needed to harm was 7 with concomitant H(2)RA and 5 with concomitant PPI. On multivariate analysis, concomitant H(2)RA and PPI were independent risk factors predicting adverse outcomes (adjusted hazard ratios, 2.48 and 3.20, respectively; P &lt; .0001)., CONCLUSIONS: Concomitant use of clopidogrel and H(2)RA or PPI after hospital discharge for ACS is associated with increased risk of adverse outcomes.Copyright © 2010 AGA Institute. Published by Elsevier Inc. All rights reserved.","author":[{"dropping-particle":"","family":"Wu","given":"Chun-Ying","non-dropping-particle":"","parse-names":false,"suffix":""},{"dropping-particle":"","family":"Chan","given":"Francis Ka-Leung","non-dropping-particle":"","parse-names":false,"suffix":""},{"dropping-particle":"","family":"Wu","given":"Ming-Shiang","non-dropping-particle":"","parse-names":false,"suffix":""},{"dropping-particle":"","family":"Kuo","given":"Ken N","non-dropping-particle":"","parse-names":false,"suffix":""},{"dropping-particle":"","family":"Wang","given":"Chang-Bi","non-dropping-particle":"","parse-names":false,"suffix":""},{"dropping-particle":"","family":"Tsao","given":"Chen-Rong","non-dropping-particle":"","parse-names":false,"suffix":""},{"dropping-particle":"","family":"Lin","given":"Jaw-Town","non-dropping-particle":"","parse-names":false,"suffix":""}],"container-title":"Gastroenterology","id":"ITEM-1","issue":"4","issued":{"date-parts":[["2010"]]},"note":"646","page":"1165-1171","publisher":"Wu,Chun-Ying. Division of Gastroenterology, Taichung Veterans General Hospital, Taichung, Taiwan. chun@vghtc.gov.tw","publisher-place":"United States","title":"Histamine2-receptor antagonists are an alternative to proton pump inhibitor in patients receiving clopidogrel.","type":"article-journal","volume":"139"},"uris":["http://www.mendeley.com/documents/?uuid=bc840fd0-d6c4-42bf-b6c1-b25560fc59d5"]}],"mendeley":{"formattedCitation":"(Wu et al. 2010)","plainTextFormattedCitation":"(Wu et al. 2010)","previouslyFormattedCitation":"(Wu et al. 2010)"},"properties":{"noteIndex":0},"schema":"https://github.com/citation-style-language/schema/raw/master/csl-citation.json"}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(Wu et al. 2010)</w:t>
            </w:r>
            <w:r>
              <w:rPr>
                <w:rFonts w:ascii="Calibri" w:eastAsia="Times New Roman" w:hAnsi="Calibri" w:cs="Times New Roman"/>
                <w:color w:val="000000"/>
                <w:sz w:val="18"/>
                <w:szCs w:val="18"/>
                <w:lang w:eastAsia="en-CA"/>
              </w:rPr>
              <w:fldChar w:fldCharType="end"/>
            </w:r>
          </w:p>
        </w:tc>
        <w:tc>
          <w:tcPr>
            <w:tcW w:w="1276" w:type="dxa"/>
            <w:tcBorders>
              <w:top w:val="nil"/>
              <w:left w:val="nil"/>
              <w:bottom w:val="single" w:sz="4" w:space="0" w:color="808080"/>
              <w:right w:val="nil"/>
            </w:tcBorders>
            <w:shd w:val="clear" w:color="auto" w:fill="FFFFFF"/>
            <w:vAlign w:val="center"/>
            <w:hideMark/>
          </w:tcPr>
          <w:p w14:paraId="0BB4EACA"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ACS</w:t>
            </w:r>
          </w:p>
        </w:tc>
        <w:tc>
          <w:tcPr>
            <w:tcW w:w="1418" w:type="dxa"/>
            <w:tcBorders>
              <w:top w:val="nil"/>
              <w:left w:val="nil"/>
              <w:bottom w:val="single" w:sz="4" w:space="0" w:color="808080"/>
              <w:right w:val="nil"/>
            </w:tcBorders>
            <w:shd w:val="clear" w:color="auto" w:fill="FFFFFF"/>
            <w:vAlign w:val="center"/>
            <w:hideMark/>
          </w:tcPr>
          <w:p w14:paraId="36A00BF1"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ACM (3 months)</w:t>
            </w:r>
          </w:p>
        </w:tc>
        <w:tc>
          <w:tcPr>
            <w:tcW w:w="4819" w:type="dxa"/>
            <w:tcBorders>
              <w:top w:val="nil"/>
              <w:left w:val="nil"/>
              <w:bottom w:val="single" w:sz="4" w:space="0" w:color="808080"/>
              <w:right w:val="nil"/>
            </w:tcBorders>
            <w:shd w:val="clear" w:color="auto" w:fill="FFFFFF"/>
            <w:vAlign w:val="center"/>
            <w:hideMark/>
          </w:tcPr>
          <w:p w14:paraId="34F6FE1C" w14:textId="77777777"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i/>
                <w:iCs/>
                <w:sz w:val="18"/>
                <w:szCs w:val="18"/>
                <w:lang w:eastAsia="en-CA"/>
              </w:rPr>
              <w:t>Clopidogrel users</w:t>
            </w:r>
          </w:p>
          <w:p w14:paraId="027F3EAF" w14:textId="77777777"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 xml:space="preserve">PPI: 11.4% (95% CI: 8-16%) (N=311); no PPI: 1.7% (95% CI: 1.4-2.1%) (N=5,551); </w:t>
            </w:r>
          </w:p>
        </w:tc>
        <w:tc>
          <w:tcPr>
            <w:tcW w:w="3686" w:type="dxa"/>
            <w:tcBorders>
              <w:top w:val="nil"/>
              <w:left w:val="nil"/>
              <w:bottom w:val="single" w:sz="4" w:space="0" w:color="808080"/>
              <w:right w:val="nil"/>
            </w:tcBorders>
            <w:shd w:val="clear" w:color="auto" w:fill="FFFFFF"/>
            <w:vAlign w:val="center"/>
            <w:hideMark/>
          </w:tcPr>
          <w:p w14:paraId="66947020"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Concomitant PPI/clopidogrel treatment after hospital discharge for ACS increases risk of adverse MACE.</w:t>
            </w:r>
          </w:p>
        </w:tc>
      </w:tr>
      <w:tr w:rsidR="00227061" w14:paraId="2246D4ED" w14:textId="77777777" w:rsidTr="00EC2B27">
        <w:trPr>
          <w:trHeight w:val="160"/>
        </w:trPr>
        <w:tc>
          <w:tcPr>
            <w:tcW w:w="2977" w:type="dxa"/>
            <w:gridSpan w:val="2"/>
            <w:tcBorders>
              <w:top w:val="single" w:sz="4" w:space="0" w:color="808080"/>
              <w:left w:val="nil"/>
              <w:bottom w:val="single" w:sz="4" w:space="0" w:color="808080"/>
              <w:right w:val="nil"/>
            </w:tcBorders>
            <w:shd w:val="clear" w:color="auto" w:fill="DCE6F1"/>
            <w:vAlign w:val="center"/>
            <w:hideMark/>
          </w:tcPr>
          <w:p w14:paraId="444C7059" w14:textId="77777777" w:rsidR="00227061" w:rsidRDefault="00227061" w:rsidP="006F61B0">
            <w:pPr>
              <w:spacing w:after="0" w:line="240" w:lineRule="auto"/>
              <w:rPr>
                <w:rFonts w:ascii="Calibri" w:eastAsia="Times New Roman" w:hAnsi="Calibri" w:cs="Times New Roman"/>
                <w:b/>
                <w:bCs/>
                <w:i/>
                <w:iCs/>
                <w:color w:val="000000"/>
                <w:sz w:val="18"/>
                <w:szCs w:val="18"/>
                <w:lang w:eastAsia="en-CA"/>
              </w:rPr>
            </w:pPr>
            <w:r>
              <w:rPr>
                <w:rFonts w:ascii="Calibri" w:eastAsia="Times New Roman" w:hAnsi="Calibri" w:cs="Times New Roman"/>
                <w:b/>
                <w:bCs/>
                <w:i/>
                <w:iCs/>
                <w:color w:val="000000"/>
                <w:sz w:val="18"/>
                <w:szCs w:val="18"/>
                <w:lang w:eastAsia="en-CA"/>
              </w:rPr>
              <w:t>Cardiovascular mortality</w:t>
            </w:r>
          </w:p>
        </w:tc>
        <w:tc>
          <w:tcPr>
            <w:tcW w:w="1418" w:type="dxa"/>
            <w:tcBorders>
              <w:top w:val="nil"/>
              <w:left w:val="nil"/>
              <w:bottom w:val="single" w:sz="4" w:space="0" w:color="808080"/>
              <w:right w:val="nil"/>
            </w:tcBorders>
            <w:shd w:val="clear" w:color="auto" w:fill="DCE6F1"/>
            <w:vAlign w:val="center"/>
            <w:hideMark/>
          </w:tcPr>
          <w:p w14:paraId="437EE33E"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c>
          <w:tcPr>
            <w:tcW w:w="4819" w:type="dxa"/>
            <w:tcBorders>
              <w:top w:val="nil"/>
              <w:left w:val="nil"/>
              <w:bottom w:val="single" w:sz="4" w:space="0" w:color="808080"/>
              <w:right w:val="nil"/>
            </w:tcBorders>
            <w:shd w:val="clear" w:color="auto" w:fill="DCE6F1"/>
            <w:vAlign w:val="center"/>
            <w:hideMark/>
          </w:tcPr>
          <w:p w14:paraId="75E0A45A" w14:textId="77777777"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 </w:t>
            </w:r>
          </w:p>
        </w:tc>
        <w:tc>
          <w:tcPr>
            <w:tcW w:w="3686" w:type="dxa"/>
            <w:tcBorders>
              <w:top w:val="nil"/>
              <w:left w:val="nil"/>
              <w:bottom w:val="single" w:sz="4" w:space="0" w:color="808080"/>
              <w:right w:val="nil"/>
            </w:tcBorders>
            <w:shd w:val="clear" w:color="auto" w:fill="DCE6F1"/>
            <w:vAlign w:val="center"/>
            <w:hideMark/>
          </w:tcPr>
          <w:p w14:paraId="460E00F0"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r>
      <w:tr w:rsidR="00227061" w14:paraId="65EF9BFB" w14:textId="77777777" w:rsidTr="00EC2B27">
        <w:trPr>
          <w:trHeight w:val="644"/>
        </w:trPr>
        <w:tc>
          <w:tcPr>
            <w:tcW w:w="1701" w:type="dxa"/>
            <w:tcBorders>
              <w:top w:val="nil"/>
              <w:left w:val="nil"/>
              <w:bottom w:val="single" w:sz="4" w:space="0" w:color="808080"/>
              <w:right w:val="nil"/>
            </w:tcBorders>
            <w:shd w:val="clear" w:color="auto" w:fill="FFFFFF"/>
            <w:vAlign w:val="center"/>
            <w:hideMark/>
          </w:tcPr>
          <w:p w14:paraId="1263447E" w14:textId="3B4F35DE"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{"citationItems":[{"id":"ITEM-1","itemData":{"ISSN":"1347-4820","abstract":"BACKGROUND: The aim of this study was to examine the effect of proton-pump inhibitor (PPI) on clinical outcomes in Japanese patients who undergo coronary stent implantation., METHODS AND RESULTS: A total of 1,270 patients (males 915, 69 years) were enrolled and dual antiplatelet therapy of aspirin and a thienopyridine derivative was prescribed (clopidogrel 630, ticlopidine 640). Patients were divided into 2 groups treated with or without PPI. PPI was administered in 331 cases (26%), and non-PPI in 939 (74%). There were no significant differences in cardiovascular death (PPI vs. non-PPI: 5 vs. 11 cases), nonfatal myocardial infarction (3 vs. 5), and stroke (3 vs. 16) between PPI and non-PPI groups, but the ratio of gastrointestinal events had a higher tendency in non-PPI group compared with PPI group (1 vs. 17, P=0.08). In subgroup analysis of patients taking clopidogrel, or patients with acute coronary syndrome, there was no significant difference in the ratio of cardiovascular events (7 vs. 16, 6 vs. 17, NS). The non-PPI group had a tendency of an increased risk of gastrointestinal events compared with the PPI group (0 vs. 9, P=0.06; 1 vs. 7, P=0.14)., CONCLUSIONS: In contrast to the negative drug interaction of PPI reported elsewhere, in the present study the intake of PPI was not associated with an increased risk for adverse clinical outcomes in patients treated with stents.","author":[{"dropping-particle":"","family":"Chitose","given":"Tadasuke","non-dropping-particle":"","parse-names":false,"suffix":""},{"dropping-particle":"","family":"Hokimoto","given":"Seiji","non-dropping-particle":"","parse-names":false,"suffix":""},{"dropping-particle":"","family":"Oshima","given":"Shuichi","non-dropping-particle":"","parse-names":false,"suffix":""},{"dropping-particle":"","family":"Nakao","given":"Koichi","non-dropping-particle":"","parse-names":false,"suffix":""},{"dropping-particle":"","family":"Fujimoto","given":"Kazuteru","non-dropping-particle":"","parse-names":false,"suffix":""},{"dropping-particle":"","family":"Miyao","given":"Yuji","non-dropping-particle":"","parse-names":false,"suffix":""},{"dropping-particle":"","family":"Shimomura","given":"Hideki","non-dropping-particle":"","parse-names":false,"suffix":""},{"dropping-particle":"","family":"Tsunoda","given":"Ryusuke","non-dropping-particle":"","parse-names":false,"suffix":""},{"dropping-particle":"","family":"Maruyama","given":"Hideki","non-dropping-particle":"","parse-names":false,"suffix":""},{"dropping-particle":"","family":"Hirose","given":"Toyoki","non-dropping-particle":"","parse-names":false,"suffix":""},{"dropping-particle":"","family":"Yamamoto","given":"Koichiro","non-dropping-particle":"","parse-names":false,"suffix":""},{"dropping-particle":"","family":"Mizobe","given":"Michio","non-dropping-particle":"","parse-names":false,"suffix":""},{"dropping-particle":"","family":"Kaikita","given":"Koichi","non-dropping-particle":"","parse-names":false,"suffix":""},{"dropping-particle":"","family":"Nakamura","given":"Sunao","non-dropping-particle":"","parse-names":false,"suffix":""},{"dropping-particle":"","family":"Ogawa","given":"Hisao","non-dropping-particle":"","parse-names":false,"suffix":""}],"container-title":"Circulation journal : official journal of the Japanese Circulation Society","id":"ITEM-1","issue":"1","issued":{"date-parts":[["2012"]]},"note":"495","page":"71-78","publisher":"Chitose,Tadasuke. Department of Cardiovascular Medicine, Graduate School of Medical Sciences, Kumamoto University, Kumamoto, Japan.","publisher-place":"Japan","title":"Clinical outcomes following coronary stenting in Japanese patients treated with and without proton pump inhibitor.","type":"article-journal","volume":"76"},"uris":["http://www.mendeley.com/documents/?uuid=bd780bc7-c9e6-4bf3-97c4-0cd4563f3392"]}],"mendeley":{"formattedCitation":"(Chitose et al. 2012)","plainTextFormattedCitation":"(Chitose et al. 2012)","previouslyFormattedCitation":"(Chitose et al. 2012)"},"properties":{"noteIndex":0},"schema":"https://github.com/citation-style-language/schema/raw/master/csl-citation.json"}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(Chitose et al. 2012)</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054758B0"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PCI</w:t>
            </w:r>
          </w:p>
        </w:tc>
        <w:tc>
          <w:tcPr>
            <w:tcW w:w="1418" w:type="dxa"/>
            <w:tcBorders>
              <w:top w:val="nil"/>
              <w:left w:val="nil"/>
              <w:bottom w:val="single" w:sz="4" w:space="0" w:color="808080"/>
              <w:right w:val="nil"/>
            </w:tcBorders>
            <w:shd w:val="clear" w:color="auto" w:fill="FFFFFF"/>
            <w:vAlign w:val="center"/>
            <w:hideMark/>
          </w:tcPr>
          <w:p w14:paraId="1D221348"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CVD mort (18 months)</w:t>
            </w:r>
          </w:p>
        </w:tc>
        <w:tc>
          <w:tcPr>
            <w:tcW w:w="4819" w:type="dxa"/>
            <w:tcBorders>
              <w:top w:val="nil"/>
              <w:left w:val="nil"/>
              <w:bottom w:val="single" w:sz="4" w:space="0" w:color="808080"/>
              <w:right w:val="nil"/>
            </w:tcBorders>
            <w:shd w:val="clear" w:color="auto" w:fill="FFFFFF"/>
            <w:vAlign w:val="center"/>
            <w:hideMark/>
          </w:tcPr>
          <w:p w14:paraId="3F4A859A" w14:textId="77777777" w:rsidR="00227061" w:rsidRDefault="00227061" w:rsidP="006F61B0">
            <w:pPr>
              <w:spacing w:after="0" w:line="240" w:lineRule="auto"/>
              <w:rPr>
                <w:rFonts w:ascii="Calibri" w:eastAsia="Times New Roman" w:hAnsi="Calibri" w:cs="Times New Roman"/>
                <w:i/>
                <w:iCs/>
                <w:sz w:val="18"/>
                <w:szCs w:val="18"/>
                <w:lang w:eastAsia="en-CA"/>
              </w:rPr>
            </w:pPr>
            <w:r>
              <w:rPr>
                <w:rFonts w:ascii="Calibri" w:eastAsia="Times New Roman" w:hAnsi="Calibri" w:cs="Times New Roman"/>
                <w:i/>
                <w:iCs/>
                <w:sz w:val="18"/>
                <w:szCs w:val="18"/>
                <w:lang w:eastAsia="en-CA"/>
              </w:rPr>
              <w:t>Clopidogrel users</w:t>
            </w:r>
          </w:p>
          <w:p w14:paraId="28F4339F" w14:textId="5D5BA799"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 xml:space="preserve">PPI: 2% (N=187); no PPI: 1% (N=443);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0.28;</w:t>
            </w:r>
          </w:p>
        </w:tc>
        <w:tc>
          <w:tcPr>
            <w:tcW w:w="3686" w:type="dxa"/>
            <w:tcBorders>
              <w:top w:val="nil"/>
              <w:left w:val="nil"/>
              <w:bottom w:val="single" w:sz="4" w:space="0" w:color="808080"/>
              <w:right w:val="nil"/>
            </w:tcBorders>
            <w:shd w:val="clear" w:color="auto" w:fill="FFFFFF"/>
            <w:vAlign w:val="center"/>
            <w:hideMark/>
          </w:tcPr>
          <w:p w14:paraId="3B6D29F6"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No increased risk of adverse events with PPI after PCI/stent implantation.</w:t>
            </w:r>
          </w:p>
        </w:tc>
      </w:tr>
      <w:tr w:rsidR="00227061" w14:paraId="5E1D5222" w14:textId="77777777" w:rsidTr="00EC2B27">
        <w:trPr>
          <w:trHeight w:val="824"/>
        </w:trPr>
        <w:tc>
          <w:tcPr>
            <w:tcW w:w="1701" w:type="dxa"/>
            <w:tcBorders>
              <w:top w:val="nil"/>
              <w:left w:val="nil"/>
              <w:bottom w:val="single" w:sz="4" w:space="0" w:color="808080"/>
              <w:right w:val="nil"/>
            </w:tcBorders>
            <w:shd w:val="clear" w:color="auto" w:fill="FFFFFF"/>
            <w:vAlign w:val="center"/>
            <w:hideMark/>
          </w:tcPr>
          <w:p w14:paraId="0F0115D2" w14:textId="7894E822"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lastRenderedPageBreak/>
              <w:fldChar w:fldCharType="begin" w:fldLock="1"/>
            </w:r>
            <w:r w:rsidR="00D325C7">
              <w:rPr>
                <w:rFonts w:ascii="Calibri" w:eastAsia="Times New Roman" w:hAnsi="Calibri" w:cs="Times New Roman"/>
                <w:color w:val="000000"/>
                <w:sz w:val="18"/>
                <w:szCs w:val="18"/>
                <w:lang w:eastAsia="en-CA"/>
              </w:rPr>
              <w:instrText>ADDIN CSL_CITATION {"citationItems":[{"id":"ITEM-1","itemData":{"DOI":"10.1016/S0016-5085(10)62300-1","ISSN":"0016-5085","author":[{"dropping-particle":"","family":"Hokimoto","given":"Seiji","non-dropping-particle":"","parse-names":false,"suffix":""},{"dropping-particle":"","family":"Ogawa","given":"Hisao","non-dropping-particle":"","parse-names":false,"suffix":""}],"container-title":"Gastroenterology","id":"ITEM-1","issue":"5","issued":{"date-parts":[["2010"]]},"note":"NULL","page":"S-498","publisher":"AGA","title":"Is it Safe to use a Proton Pump Inhibitor With Clopidogrel? A Comparison of Clopidogrel With or Without Rabeprazole in Japan","type":"article-journal","volume":"138"},"uris":["http://www.mendeley.com/documents/?uuid=ccb94450-c0f8-49bf-9596-bf15dfe7e156"]}],"mendeley":{"formattedCitation":"(Hokimoto and Ogawa 2010)","plainTextFormattedCitation":"(Hokimoto and Ogawa 2010)","previouslyFormattedCitation":"(Hokimoto and Ogawa 2010)"},"properties":{"noteIndex":0},"schema":"https://github.com/citation-style-language/schema/raw/master/csl-citation.json"}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sidR="00D325C7" w:rsidRPr="00D325C7">
              <w:rPr>
                <w:rFonts w:ascii="Calibri" w:eastAsia="Times New Roman" w:hAnsi="Calibri" w:cs="Times New Roman"/>
                <w:noProof/>
                <w:color w:val="000000"/>
                <w:sz w:val="18"/>
                <w:szCs w:val="18"/>
                <w:lang w:eastAsia="en-CA"/>
              </w:rPr>
              <w:t>(Hokimoto and Ogawa 2010)</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37AEC007"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On aspirin and clopidogrel</w:t>
            </w:r>
          </w:p>
        </w:tc>
        <w:tc>
          <w:tcPr>
            <w:tcW w:w="1418" w:type="dxa"/>
            <w:tcBorders>
              <w:top w:val="nil"/>
              <w:left w:val="nil"/>
              <w:bottom w:val="single" w:sz="4" w:space="0" w:color="808080"/>
              <w:right w:val="nil"/>
            </w:tcBorders>
            <w:shd w:val="clear" w:color="auto" w:fill="FFFFFF"/>
            <w:vAlign w:val="center"/>
            <w:hideMark/>
          </w:tcPr>
          <w:p w14:paraId="4609A2DC"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CVD mort (1 year)</w:t>
            </w:r>
          </w:p>
        </w:tc>
        <w:tc>
          <w:tcPr>
            <w:tcW w:w="4819" w:type="dxa"/>
            <w:tcBorders>
              <w:top w:val="nil"/>
              <w:left w:val="nil"/>
              <w:bottom w:val="single" w:sz="4" w:space="0" w:color="808080"/>
              <w:right w:val="nil"/>
            </w:tcBorders>
            <w:shd w:val="clear" w:color="auto" w:fill="FFFFFF"/>
            <w:vAlign w:val="center"/>
            <w:hideMark/>
          </w:tcPr>
          <w:p w14:paraId="7AB9B559" w14:textId="2039921E"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i/>
                <w:iCs/>
                <w:sz w:val="18"/>
                <w:szCs w:val="18"/>
                <w:lang w:eastAsia="en-CA"/>
              </w:rPr>
              <w:t>Clopidogrel and aspirin users</w:t>
            </w:r>
            <w:r>
              <w:rPr>
                <w:rFonts w:ascii="Calibri" w:eastAsia="Times New Roman" w:hAnsi="Calibri" w:cs="Times New Roman"/>
                <w:i/>
                <w:iCs/>
                <w:sz w:val="18"/>
                <w:szCs w:val="18"/>
                <w:lang w:eastAsia="en-CA"/>
              </w:rPr>
              <w:br/>
            </w:r>
            <w:r>
              <w:rPr>
                <w:rFonts w:ascii="Calibri" w:eastAsia="Times New Roman" w:hAnsi="Calibri" w:cs="Times New Roman"/>
                <w:sz w:val="18"/>
                <w:szCs w:val="18"/>
                <w:lang w:eastAsia="en-CA"/>
              </w:rPr>
              <w:t xml:space="preserve">PPI: no deaths (N=37); no PPI: 2% (N=133);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0.38;</w:t>
            </w:r>
          </w:p>
        </w:tc>
        <w:tc>
          <w:tcPr>
            <w:tcW w:w="3686" w:type="dxa"/>
            <w:tcBorders>
              <w:top w:val="nil"/>
              <w:left w:val="nil"/>
              <w:bottom w:val="single" w:sz="4" w:space="0" w:color="808080"/>
              <w:right w:val="nil"/>
            </w:tcBorders>
            <w:shd w:val="clear" w:color="auto" w:fill="FFFFFF"/>
            <w:vAlign w:val="center"/>
            <w:hideMark/>
          </w:tcPr>
          <w:p w14:paraId="416F18F5"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No significant difference in clinical outcomes between rabeprazole treated and non-rabeprazole group.</w:t>
            </w:r>
          </w:p>
        </w:tc>
      </w:tr>
      <w:tr w:rsidR="00D325C7" w14:paraId="3E7F6110" w14:textId="77777777" w:rsidTr="008F1453">
        <w:trPr>
          <w:trHeight w:val="720"/>
        </w:trPr>
        <w:tc>
          <w:tcPr>
            <w:tcW w:w="1701" w:type="dxa"/>
            <w:tcBorders>
              <w:top w:val="nil"/>
              <w:left w:val="nil"/>
              <w:bottom w:val="single" w:sz="4" w:space="0" w:color="808080"/>
              <w:right w:val="nil"/>
            </w:tcBorders>
            <w:shd w:val="clear" w:color="auto" w:fill="FFFFFF"/>
            <w:vAlign w:val="center"/>
          </w:tcPr>
          <w:p w14:paraId="26712A74" w14:textId="77777777" w:rsidR="00D325C7" w:rsidRDefault="00D325C7" w:rsidP="008F1453">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{"citationItems":[{"id":"ITEM-1","itemData":{"DOI":"https://dx.doi.org/10.1177/1076029616669787","ISBN":"1938-2723","PMID":"27637911","abstract":"OBJECTIVE: Conflicting data exist as to whether proton-pump inhibitors (PPIs) diminish the efficacy of clopidogrel. The aim of this study was to investigate the association between cytochrome P450 ( CYP) genetic variants and clinical adverse outcomes of concomitant use of PPIs and clopidogrel by patients. METHODS: We consecutively enrolled 523 patients with ischemic stroke receiving clopidogrel. Platelet aggregation was measured before and after 7 to 10 days of clopidogrel treatment. Single-nucleotide polymorphisms of CYP3A4, CYP3A5, CYP2C19*2, and CYP2C19*3 were examined using mass spectrometry. The primary outcome was a composite of recurrent ischemic stroke (RIS), myocardial infarction (MI), and vascular death that occurred during the 1-year follow-up period. The safety outcome was hemorrhagic episodes that occurred during the 1-year follow-up period. RESULTS: This study comprised a total of 523 patients with IS, 96.3% (155/161) patients treated with PPIs and 95.9% (347/362) in patients treated without PPIs completed 1-year follow-up. The primary outcome was observed in 69 (13.7%) patients (56 RIS, 7 MI, and 6 died). There was no significant difference in the frequencies of primary outcome and safety outcome between patients treated with or without PPIs. The frequency of primary outcome was significantly higher in patients carrying CYP2C19*2 AG/AA genotype receiving PPIs compared with the same genotype in those not receiving PPIs. The PPIs used in patients carrying CYP2C19*2 AG/AA was independently associated with the primary outcome after adjusting for other risk factors. CONCLUSIONS: The concomitant use of PPIs and clopidogrel may be associated with an increased risk of RIS, MI, or vascular death in patients with IS carrying reduced-function CYP2C19*2.","author":[{"dropping-particle":"","family":"Yi","given":"X","non-dropping-particle":"","parse-names":false,"suffix":""},{"dropping-particle":"","family":"Han","given":"Z","non-dropping-particle":"","parse-names":false,"suffix":""},{"dropping-particle":"","family":"Zhou","given":"Q","non-dropping-particle":"","parse-names":false,"suffix":""},{"dropping-particle":"","family":"Cheng","given":"W","non-dropping-particle":"","parse-names":false,"suffix":""},{"dropping-particle":"","family":"Lin","given":"J","non-dropping-particle":"","parse-names":false,"suffix":""},{"dropping-particle":"","family":"Wang","given":"C","non-dropping-particle":"","parse-names":false,"suffix":""}],"container-title":"Clinical &amp; Applied Thrombosis/Hemostasis","id":"ITEM-1","issue":"1","issued":{"date-parts":[["2018"]]},"language":"English","note":"Yi, Xingyang\nHan, Zhao\nZhou, Qiang\nCheng, Wen\nLin, Jing\nWang, Chun","page":"55-62","title":"Concomitant Use of Proton-Pump Inhibitors and Clopidogrel Increases the Risk of Adverse Outcomes in Patients With Ischemic Stroke Carrying Reduced-Function CYP2C19 2","type":"article-journal","volume":"24"},"uris":["http://www.mendeley.com/documents/?uuid=3667af1d-a133-469b-a417-38d5a5bd15a2"]}],"mendeley":{"formattedCitation":"(Yi et al. 2018)","plainTextFormattedCitation":"(Yi et al. 2018)"},"properties":{"noteIndex":0},"schema":"https://github.com/citation-style-language/schema/raw/master/csl-citation.json"}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sidRPr="00D325C7">
              <w:rPr>
                <w:rFonts w:ascii="Calibri" w:eastAsia="Times New Roman" w:hAnsi="Calibri" w:cs="Times New Roman"/>
                <w:noProof/>
                <w:color w:val="000000"/>
                <w:sz w:val="18"/>
                <w:szCs w:val="18"/>
                <w:lang w:eastAsia="en-CA"/>
              </w:rPr>
              <w:t>(Yi et al. 2018)</w:t>
            </w:r>
            <w:r>
              <w:rPr>
                <w:rFonts w:ascii="Calibri" w:eastAsia="Times New Roman" w:hAnsi="Calibri" w:cs="Times New Roman"/>
                <w:color w:val="000000"/>
                <w:sz w:val="18"/>
                <w:szCs w:val="18"/>
                <w:lang w:eastAsia="en-CA"/>
              </w:rPr>
              <w:fldChar w:fldCharType="end"/>
            </w:r>
          </w:p>
        </w:tc>
        <w:tc>
          <w:tcPr>
            <w:tcW w:w="1276" w:type="dxa"/>
            <w:tcBorders>
              <w:top w:val="nil"/>
              <w:left w:val="nil"/>
              <w:bottom w:val="single" w:sz="4" w:space="0" w:color="808080"/>
              <w:right w:val="nil"/>
            </w:tcBorders>
            <w:shd w:val="clear" w:color="auto" w:fill="FFFFFF"/>
            <w:vAlign w:val="center"/>
          </w:tcPr>
          <w:p w14:paraId="5E765884" w14:textId="77777777" w:rsidR="00D325C7" w:rsidRDefault="00D325C7" w:rsidP="008F1453">
            <w:pPr>
              <w:spacing w:after="0" w:line="240" w:lineRule="auto"/>
              <w:rPr>
                <w:rFonts w:ascii="Calibri" w:eastAsia="Times New Roman" w:hAnsi="Calibri" w:cs="Times New Roman"/>
                <w:color w:val="000000"/>
                <w:sz w:val="18"/>
                <w:szCs w:val="18"/>
                <w:lang w:eastAsia="en-CA"/>
              </w:rPr>
            </w:pPr>
            <w:r w:rsidRPr="00D325C7">
              <w:rPr>
                <w:rFonts w:ascii="Calibri" w:eastAsia="Times New Roman" w:hAnsi="Calibri" w:cs="Times New Roman"/>
                <w:color w:val="000000"/>
                <w:sz w:val="18"/>
                <w:szCs w:val="18"/>
                <w:lang w:eastAsia="en-CA"/>
              </w:rPr>
              <w:t>Strok</w:t>
            </w:r>
            <w:r>
              <w:rPr>
                <w:rFonts w:ascii="Calibri" w:eastAsia="Times New Roman" w:hAnsi="Calibri" w:cs="Times New Roman"/>
                <w:color w:val="000000"/>
                <w:sz w:val="18"/>
                <w:szCs w:val="18"/>
                <w:lang w:eastAsia="en-CA"/>
              </w:rPr>
              <w:t>e patients</w:t>
            </w:r>
          </w:p>
        </w:tc>
        <w:tc>
          <w:tcPr>
            <w:tcW w:w="1418" w:type="dxa"/>
            <w:tcBorders>
              <w:top w:val="nil"/>
              <w:left w:val="nil"/>
              <w:bottom w:val="single" w:sz="4" w:space="0" w:color="808080"/>
              <w:right w:val="nil"/>
            </w:tcBorders>
            <w:shd w:val="clear" w:color="auto" w:fill="FFFFFF"/>
            <w:vAlign w:val="center"/>
          </w:tcPr>
          <w:p w14:paraId="7D2E9884" w14:textId="77777777" w:rsidR="00D325C7" w:rsidRDefault="00D325C7" w:rsidP="008F1453">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MI (1 year)</w:t>
            </w:r>
          </w:p>
        </w:tc>
        <w:tc>
          <w:tcPr>
            <w:tcW w:w="4819" w:type="dxa"/>
            <w:tcBorders>
              <w:top w:val="nil"/>
              <w:left w:val="nil"/>
              <w:bottom w:val="single" w:sz="4" w:space="0" w:color="808080"/>
              <w:right w:val="nil"/>
            </w:tcBorders>
            <w:shd w:val="clear" w:color="auto" w:fill="FFFFFF"/>
            <w:vAlign w:val="center"/>
          </w:tcPr>
          <w:p w14:paraId="37BB86EB" w14:textId="77777777" w:rsidR="00D325C7" w:rsidRDefault="00D325C7" w:rsidP="008F1453">
            <w:pPr>
              <w:spacing w:after="0" w:line="240" w:lineRule="auto"/>
              <w:rPr>
                <w:rFonts w:ascii="Calibri" w:eastAsia="Times New Roman" w:hAnsi="Calibri" w:cs="Times New Roman"/>
                <w:i/>
                <w:iCs/>
                <w:sz w:val="18"/>
                <w:szCs w:val="18"/>
                <w:lang w:eastAsia="en-CA"/>
              </w:rPr>
            </w:pPr>
            <w:r w:rsidRPr="000B5487">
              <w:rPr>
                <w:rFonts w:ascii="Calibri" w:eastAsia="Times New Roman" w:hAnsi="Calibri" w:cs="Times New Roman"/>
                <w:i/>
                <w:iCs/>
                <w:sz w:val="18"/>
                <w:szCs w:val="18"/>
                <w:lang w:eastAsia="en-CA"/>
              </w:rPr>
              <w:t>Clopidogrel users</w:t>
            </w:r>
          </w:p>
          <w:p w14:paraId="7F9DF49D" w14:textId="05AC7A93" w:rsidR="00D325C7" w:rsidRPr="005E0B8E" w:rsidRDefault="00D325C7" w:rsidP="00D325C7">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PPI: 3/155 (1.9%); no PPI: 3/347 (0.9%); p-value: 0.32;</w:t>
            </w:r>
          </w:p>
        </w:tc>
        <w:tc>
          <w:tcPr>
            <w:tcW w:w="3686" w:type="dxa"/>
            <w:tcBorders>
              <w:top w:val="nil"/>
              <w:left w:val="nil"/>
              <w:bottom w:val="single" w:sz="4" w:space="0" w:color="808080"/>
              <w:right w:val="nil"/>
            </w:tcBorders>
            <w:shd w:val="clear" w:color="auto" w:fill="FFFFFF"/>
            <w:vAlign w:val="center"/>
          </w:tcPr>
          <w:p w14:paraId="69BE2431" w14:textId="77777777" w:rsidR="00D325C7" w:rsidRDefault="00D325C7" w:rsidP="008F1453">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No association between PPI use and MACE</w:t>
            </w:r>
            <w:r w:rsidRPr="00D325C7">
              <w:rPr>
                <w:rFonts w:ascii="Calibri" w:eastAsia="Times New Roman" w:hAnsi="Calibri" w:cs="Times New Roman"/>
                <w:color w:val="000000"/>
                <w:sz w:val="18"/>
                <w:szCs w:val="18"/>
                <w:lang w:eastAsia="en-CA"/>
              </w:rPr>
              <w:t xml:space="preserve"> among patients with a first time stroke.</w:t>
            </w:r>
          </w:p>
        </w:tc>
      </w:tr>
      <w:tr w:rsidR="00DE2B7A" w14:paraId="3E23B87E" w14:textId="77777777" w:rsidTr="00EC2B27">
        <w:trPr>
          <w:trHeight w:val="145"/>
        </w:trPr>
        <w:tc>
          <w:tcPr>
            <w:tcW w:w="2977" w:type="dxa"/>
            <w:gridSpan w:val="2"/>
            <w:tcBorders>
              <w:top w:val="nil"/>
              <w:left w:val="nil"/>
              <w:bottom w:val="single" w:sz="4" w:space="0" w:color="808080"/>
              <w:right w:val="nil"/>
            </w:tcBorders>
            <w:shd w:val="clear" w:color="auto" w:fill="DCE6F1"/>
            <w:vAlign w:val="center"/>
            <w:hideMark/>
          </w:tcPr>
          <w:p w14:paraId="54DD80E9" w14:textId="36500977" w:rsidR="00DE2B7A" w:rsidRPr="00DE2B7A" w:rsidRDefault="00DE2B7A" w:rsidP="00DE2B7A">
            <w:pPr>
              <w:spacing w:after="0" w:line="240" w:lineRule="auto"/>
              <w:rPr>
                <w:rFonts w:ascii="Calibri" w:eastAsia="Times New Roman" w:hAnsi="Calibri" w:cs="Times New Roman"/>
                <w:b/>
                <w:bCs/>
                <w:i/>
                <w:iCs/>
                <w:color w:val="000000"/>
                <w:sz w:val="18"/>
                <w:szCs w:val="18"/>
                <w:lang w:eastAsia="en-CA"/>
              </w:rPr>
            </w:pPr>
            <w:r>
              <w:rPr>
                <w:rFonts w:ascii="Calibri" w:eastAsia="Times New Roman" w:hAnsi="Calibri" w:cs="Times New Roman"/>
                <w:b/>
                <w:bCs/>
                <w:i/>
                <w:iCs/>
                <w:color w:val="000000"/>
                <w:sz w:val="18"/>
                <w:szCs w:val="18"/>
                <w:lang w:eastAsia="en-CA"/>
              </w:rPr>
              <w:t>Myocardial infarction</w:t>
            </w:r>
          </w:p>
        </w:tc>
        <w:tc>
          <w:tcPr>
            <w:tcW w:w="1418" w:type="dxa"/>
            <w:tcBorders>
              <w:top w:val="nil"/>
              <w:left w:val="nil"/>
              <w:bottom w:val="single" w:sz="4" w:space="0" w:color="808080"/>
              <w:right w:val="nil"/>
            </w:tcBorders>
            <w:shd w:val="clear" w:color="auto" w:fill="DCE6F1"/>
            <w:vAlign w:val="center"/>
            <w:hideMark/>
          </w:tcPr>
          <w:p w14:paraId="50A740F6" w14:textId="77777777" w:rsidR="00DE2B7A" w:rsidRDefault="00DE2B7A"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c>
          <w:tcPr>
            <w:tcW w:w="4819" w:type="dxa"/>
            <w:tcBorders>
              <w:top w:val="nil"/>
              <w:left w:val="nil"/>
              <w:bottom w:val="single" w:sz="4" w:space="0" w:color="808080"/>
              <w:right w:val="nil"/>
            </w:tcBorders>
            <w:shd w:val="clear" w:color="auto" w:fill="DCE6F1"/>
            <w:vAlign w:val="center"/>
            <w:hideMark/>
          </w:tcPr>
          <w:p w14:paraId="3B7400CC" w14:textId="77777777" w:rsidR="00DE2B7A" w:rsidRDefault="00DE2B7A"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 </w:t>
            </w:r>
          </w:p>
        </w:tc>
        <w:tc>
          <w:tcPr>
            <w:tcW w:w="3686" w:type="dxa"/>
            <w:tcBorders>
              <w:top w:val="nil"/>
              <w:left w:val="nil"/>
              <w:bottom w:val="single" w:sz="4" w:space="0" w:color="808080"/>
              <w:right w:val="nil"/>
            </w:tcBorders>
            <w:shd w:val="clear" w:color="auto" w:fill="DCE6F1"/>
            <w:vAlign w:val="center"/>
            <w:hideMark/>
          </w:tcPr>
          <w:p w14:paraId="6C4F6D5F" w14:textId="77777777" w:rsidR="00DE2B7A" w:rsidRDefault="00DE2B7A"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r>
      <w:tr w:rsidR="00227061" w14:paraId="4D8A5E6F" w14:textId="77777777" w:rsidTr="00EC2B27">
        <w:trPr>
          <w:trHeight w:val="720"/>
        </w:trPr>
        <w:tc>
          <w:tcPr>
            <w:tcW w:w="1701" w:type="dxa"/>
            <w:tcBorders>
              <w:top w:val="nil"/>
              <w:left w:val="nil"/>
              <w:bottom w:val="single" w:sz="4" w:space="0" w:color="808080"/>
              <w:right w:val="nil"/>
            </w:tcBorders>
            <w:shd w:val="clear" w:color="auto" w:fill="FFFFFF"/>
            <w:vAlign w:val="center"/>
            <w:hideMark/>
          </w:tcPr>
          <w:p w14:paraId="1C060312" w14:textId="21053E3F"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{"citationItems":[{"id":"ITEM-1","itemData":{"ISBN":"0277-0008","ISSN":"1875-9114","abstract":"Study Objective. To examine the effect of the drug interaction between clopidogrel and proton pump inhibitors (PPIs) on the risk of an adverse cardiovascular event. Design. Population-based, retrospective cohort study. Data Source. IMS LifeLink Health Plan administrative claims database. Patients. A total of 10, 101 patients aged 18 years or older with a diagnosis of acute coronary syndrome (ACS) made during a hospitalization or emergency department visit between 2001 and 2008 and who had their first clopidogrel prescription within 90 days after their ACS diagnosis were included in the study. Patients were stratified according to concurrent use (clopidogrel plus PPI group) or no use (clopidogrel alone group) of the following PPIs: esomeprazole, lansoprazole, omeprazole, pantoprazole, or rabeprazole. Measurements and Main Results. Data were collected on baseline patient demographic and clinical characteristics. Patients were followed from their first clopidogrel prescription until they experienced an adverse cardiovascular event, defined as inpatient hospitalization or emergency department visits for myocardial infarction, percutaneous coronary intervention, or intermediate coronary syndrome; were disenrolled; discontinued clopidogrel; or reached the end of the study period. Using a propensity scoring method, the clopidogrel plus PPI group was matched in a 1:1 ratio with the clopidogrel alone group. Exposure to overlapping clopidogrel-PPI prescriptions was modeled as a time-dependent covariate. The Cox hazards regression model was used to estimate the risk of an adverse cardiovascular event in the clopidogrel plus PPI group versus the clopidogrel alone group. Propensity score matching resulted in 2674 patient pairs. In the propensity score-matched sample, the mean age was 61.30 years, with a mean follow-up of 268 days, and 70.04% were male. Concurrent use of clopidogrel with a PPI was associated with a significantly increased risk of a cardiovascular adverse event (hazard ratio 1.438, 95% confidence interval 1.237-1.671) compared with clopidogrel alone. Conclusion. Concurrent use of clopidogrel plus a PPI was associated with a significant increase in risk of an adverse cardiovascular event in patients with ACS. Large randomized studies are needed to confirm this finding. Until then, clinicians should prescribe the concurrent use of these two drugs cautiously.","author":[{"dropping-particle":"","family":"Bhurke","given":"Sharvari M","non-dropping-particle":"","parse-names":false,"suffix":""},{"dropping-particle":"","family":"Martin","given":"Bradley C","non-dropping-particle":"","parse-names":false,"suffix":""},{"dropping-particle":"","family":"Li","given":"Chenghui","non-dropping-particle":"","parse-names":false,"suffix":""},{"dropping-particle":"","family":"Franks","given":"Amy M","non-dropping-particle":"","parse-names":false,"suffix":""},{"dropping-particle":"","family":"Bursac","given":"Zoran","non-dropping-particle":"","parse-names":false,"suffix":""},{"dropping-particle":"","family":"Said","given":"Qayyim","non-dropping-particle":"","parse-names":false,"suffix":""}],"container-title":"Pharmacotherapy","id":"ITEM-1","issue":"9","issued":{"date-parts":[["2012"]]},"note":"510","page":"809-818","publisher":"Pharmacotherapy Publications Inc. (750 Washington Street, Boston MA 02111, United States)","publisher-place":"United States","title":"Effect of the clopidogrel - Proton Pump Inhibitor drug interaction on adverse cardiovascular events in patients with Acute Coronary Syndrome","type":"article-journal","volume":"32"},"uris":["http://www.mendeley.com/documents/?uuid=df525721-42af-4a49-a8d0-17b7af3d2997"]}],"mendeley":{"formattedCitation":"(Bhurke et al. 2012)","plainTextFormattedCitation":"(Bhurke et al. 2012)","previouslyFormattedCitation":"(Bhurke et al. 2012)"},"properties":{"noteIndex":0},"schema":"https://github.com/citation-style-language/schema/raw/master/csl-citation.json"}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(Bhurke et al. 2012)</w:t>
            </w:r>
            <w:r>
              <w:rPr>
                <w:rFonts w:ascii="Calibri" w:eastAsia="Times New Roman" w:hAnsi="Calibri" w:cs="Times New Roman"/>
                <w:color w:val="000000"/>
                <w:sz w:val="18"/>
                <w:szCs w:val="18"/>
                <w:lang w:eastAsia="en-CA"/>
              </w:rPr>
              <w:fldChar w:fldCharType="end"/>
            </w:r>
          </w:p>
        </w:tc>
        <w:tc>
          <w:tcPr>
            <w:tcW w:w="1276" w:type="dxa"/>
            <w:tcBorders>
              <w:top w:val="nil"/>
              <w:left w:val="nil"/>
              <w:bottom w:val="single" w:sz="4" w:space="0" w:color="808080"/>
              <w:right w:val="nil"/>
            </w:tcBorders>
            <w:shd w:val="clear" w:color="auto" w:fill="FFFFFF"/>
            <w:vAlign w:val="center"/>
            <w:hideMark/>
          </w:tcPr>
          <w:p w14:paraId="2DB09AFD"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ACS</w:t>
            </w:r>
          </w:p>
        </w:tc>
        <w:tc>
          <w:tcPr>
            <w:tcW w:w="1418" w:type="dxa"/>
            <w:tcBorders>
              <w:top w:val="nil"/>
              <w:left w:val="nil"/>
              <w:bottom w:val="single" w:sz="4" w:space="0" w:color="808080"/>
              <w:right w:val="nil"/>
            </w:tcBorders>
            <w:shd w:val="clear" w:color="auto" w:fill="FFFFFF"/>
            <w:vAlign w:val="center"/>
            <w:hideMark/>
          </w:tcPr>
          <w:p w14:paraId="6B36A064"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MI (mean 268 days)</w:t>
            </w:r>
          </w:p>
        </w:tc>
        <w:tc>
          <w:tcPr>
            <w:tcW w:w="4819" w:type="dxa"/>
            <w:tcBorders>
              <w:top w:val="nil"/>
              <w:left w:val="nil"/>
              <w:bottom w:val="single" w:sz="4" w:space="0" w:color="808080"/>
              <w:right w:val="nil"/>
            </w:tcBorders>
            <w:shd w:val="clear" w:color="auto" w:fill="FFFFFF"/>
            <w:vAlign w:val="center"/>
            <w:hideMark/>
          </w:tcPr>
          <w:p w14:paraId="29B41D48" w14:textId="5BA75433"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i/>
                <w:iCs/>
                <w:sz w:val="18"/>
                <w:szCs w:val="18"/>
                <w:lang w:eastAsia="en-CA"/>
              </w:rPr>
              <w:t>Clopidogrel users</w:t>
            </w:r>
            <w:r>
              <w:rPr>
                <w:rFonts w:ascii="Calibri" w:eastAsia="Times New Roman" w:hAnsi="Calibri" w:cs="Times New Roman"/>
                <w:sz w:val="18"/>
                <w:szCs w:val="18"/>
                <w:lang w:eastAsia="en-CA"/>
              </w:rPr>
              <w:br/>
              <w:t xml:space="preserve">PPI: 6.4% (N=2,674); no PPI: 6.1% (N=2,674);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0.65;</w:t>
            </w:r>
          </w:p>
        </w:tc>
        <w:tc>
          <w:tcPr>
            <w:tcW w:w="3686" w:type="dxa"/>
            <w:tcBorders>
              <w:top w:val="nil"/>
              <w:left w:val="nil"/>
              <w:bottom w:val="single" w:sz="4" w:space="0" w:color="808080"/>
              <w:right w:val="nil"/>
            </w:tcBorders>
            <w:shd w:val="clear" w:color="auto" w:fill="FFFFFF"/>
            <w:vAlign w:val="center"/>
            <w:hideMark/>
          </w:tcPr>
          <w:p w14:paraId="7DD41DDB" w14:textId="77777777"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Concomitant treatment associated with increased MI risk.</w:t>
            </w:r>
          </w:p>
        </w:tc>
      </w:tr>
      <w:tr w:rsidR="00227061" w14:paraId="30A286C0" w14:textId="77777777" w:rsidTr="00EC2B27">
        <w:trPr>
          <w:trHeight w:val="720"/>
        </w:trPr>
        <w:tc>
          <w:tcPr>
            <w:tcW w:w="1701" w:type="dxa"/>
            <w:tcBorders>
              <w:top w:val="nil"/>
              <w:left w:val="nil"/>
              <w:bottom w:val="single" w:sz="4" w:space="0" w:color="808080"/>
              <w:right w:val="nil"/>
            </w:tcBorders>
            <w:shd w:val="clear" w:color="auto" w:fill="FFFFFF"/>
            <w:vAlign w:val="center"/>
            <w:hideMark/>
          </w:tcPr>
          <w:p w14:paraId="5055962D" w14:textId="43686208"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{"citationItems":[{"id":"ITEM-1","itemData":{"ISSN":"1347-4820","abstract":"BACKGROUND: The aim of this study was to examine the effect of proton-pump inhibitor (PPI) on clinical outcomes in Japanese patients who undergo coronary stent implantation., METHODS AND RESULTS: A total of 1,270 patients (males 915, 69 years) were enrolled and dual antiplatelet therapy of aspirin and a thienopyridine derivative was prescribed (clopidogrel 630, ticlopidine 640). Patients were divided into 2 groups treated with or without PPI. PPI was administered in 331 cases (26%), and non-PPI in 939 (74%). There were no significant differences in cardiovascular death (PPI vs. non-PPI: 5 vs. 11 cases), nonfatal myocardial infarction (3 vs. 5), and stroke (3 vs. 16) between PPI and non-PPI groups, but the ratio of gastrointestinal events had a higher tendency in non-PPI group compared with PPI group (1 vs. 17, P=0.08). In subgroup analysis of patients taking clopidogrel, or patients with acute coronary syndrome, there was no significant difference in the ratio of cardiovascular events (7 vs. 16, 6 vs. 17, NS). The non-PPI group had a tendency of an increased risk of gastrointestinal events compared with the PPI group (0 vs. 9, P=0.06; 1 vs. 7, P=0.14)., CONCLUSIONS: In contrast to the negative drug interaction of PPI reported elsewhere, in the present study the intake of PPI was not associated with an increased risk for adverse clinical outcomes in patients treated with stents.","author":[{"dropping-particle":"","family":"Chitose","given":"Tadasuke","non-dropping-particle":"","parse-names":false,"suffix":""},{"dropping-particle":"","family":"Hokimoto","given":"Seiji","non-dropping-particle":"","parse-names":false,"suffix":""},{"dropping-particle":"","family":"Oshima","given":"Shuichi","non-dropping-particle":"","parse-names":false,"suffix":""},{"dropping-particle":"","family":"Nakao","given":"Koichi","non-dropping-particle":"","parse-names":false,"suffix":""},{"dropping-particle":"","family":"Fujimoto","given":"Kazuteru","non-dropping-particle":"","parse-names":false,"suffix":""},{"dropping-particle":"","family":"Miyao","given":"Yuji","non-dropping-particle":"","parse-names":false,"suffix":""},{"dropping-particle":"","family":"Shimomura","given":"Hideki","non-dropping-particle":"","parse-names":false,"suffix":""},{"dropping-particle":"","family":"Tsunoda","given":"Ryusuke","non-dropping-particle":"","parse-names":false,"suffix":""},{"dropping-particle":"","family":"Maruyama","given":"Hideki","non-dropping-particle":"","parse-names":false,"suffix":""},{"dropping-particle":"","family":"Hirose","given":"Toyoki","non-dropping-particle":"","parse-names":false,"suffix":""},{"dropping-particle":"","family":"Yamamoto","given":"Koichiro","non-dropping-particle":"","parse-names":false,"suffix":""},{"dropping-particle":"","family":"Mizobe","given":"Michio","non-dropping-particle":"","parse-names":false,"suffix":""},{"dropping-particle":"","family":"Kaikita","given":"Koichi","non-dropping-particle":"","parse-names":false,"suffix":""},{"dropping-particle":"","family":"Nakamura","given":"Sunao","non-dropping-particle":"","parse-names":false,"suffix":""},{"dropping-particle":"","family":"Ogawa","given":"Hisao","non-dropping-particle":"","parse-names":false,"suffix":""}],"container-title":"Circulation journal : official journal of the Japanese Circulation Society","id":"ITEM-1","issue":"1","issued":{"date-parts":[["2012"]]},"note":"495","page":"71-78","publisher":"Chitose,Tadasuke. Department of Cardiovascular Medicine, Graduate School of Medical Sciences, Kumamoto University, Kumamoto, Japan.","publisher-place":"Japan","title":"Clinical outcomes following coronary stenting in Japanese patients treated with and without proton pump inhibitor.","type":"article-journal","volume":"76"},"uris":["http://www.mendeley.com/documents/?uuid=bd780bc7-c9e6-4bf3-97c4-0cd4563f3392"]}],"mendeley":{"formattedCitation":"(Chitose et al. 2012)","plainTextFormattedCitation":"(Chitose et al. 2012)","previouslyFormattedCitation":"(Chitose et al. 2012)"},"properties":{"noteIndex":0},"schema":"https://github.com/citation-style-language/schema/raw/master/csl-citation.json"}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(Chitose et al. 2012)</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7E6F0B9E"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PCI</w:t>
            </w:r>
          </w:p>
        </w:tc>
        <w:tc>
          <w:tcPr>
            <w:tcW w:w="1418" w:type="dxa"/>
            <w:tcBorders>
              <w:top w:val="nil"/>
              <w:left w:val="nil"/>
              <w:bottom w:val="single" w:sz="4" w:space="0" w:color="808080"/>
              <w:right w:val="nil"/>
            </w:tcBorders>
            <w:shd w:val="clear" w:color="auto" w:fill="FFFFFF"/>
            <w:vAlign w:val="center"/>
            <w:hideMark/>
          </w:tcPr>
          <w:p w14:paraId="051DB359"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MI (18 months)</w:t>
            </w:r>
          </w:p>
        </w:tc>
        <w:tc>
          <w:tcPr>
            <w:tcW w:w="4819" w:type="dxa"/>
            <w:tcBorders>
              <w:top w:val="nil"/>
              <w:left w:val="nil"/>
              <w:bottom w:val="single" w:sz="4" w:space="0" w:color="808080"/>
              <w:right w:val="nil"/>
            </w:tcBorders>
            <w:shd w:val="clear" w:color="auto" w:fill="FFFFFF"/>
            <w:vAlign w:val="center"/>
            <w:hideMark/>
          </w:tcPr>
          <w:p w14:paraId="5F76160D" w14:textId="3D56176C"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i/>
                <w:iCs/>
                <w:sz w:val="18"/>
                <w:szCs w:val="18"/>
                <w:lang w:eastAsia="en-CA"/>
              </w:rPr>
              <w:t>Clopidogrel users</w:t>
            </w:r>
            <w:r>
              <w:rPr>
                <w:rFonts w:ascii="Calibri" w:eastAsia="Times New Roman" w:hAnsi="Calibri" w:cs="Times New Roman"/>
                <w:sz w:val="18"/>
                <w:szCs w:val="18"/>
                <w:lang w:eastAsia="en-CA"/>
              </w:rPr>
              <w:t xml:space="preserve">  </w:t>
            </w:r>
            <w:r>
              <w:rPr>
                <w:rFonts w:ascii="Calibri" w:eastAsia="Times New Roman" w:hAnsi="Calibri" w:cs="Times New Roman"/>
                <w:sz w:val="18"/>
                <w:szCs w:val="18"/>
                <w:lang w:eastAsia="en-CA"/>
              </w:rPr>
              <w:br/>
              <w:t xml:space="preserve">PPI: 0.5% (N=187); no PPI: 0.7% (N=443);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xml:space="preserve"> 0.97;</w:t>
            </w:r>
          </w:p>
        </w:tc>
        <w:tc>
          <w:tcPr>
            <w:tcW w:w="3686" w:type="dxa"/>
            <w:tcBorders>
              <w:top w:val="nil"/>
              <w:left w:val="nil"/>
              <w:bottom w:val="single" w:sz="4" w:space="0" w:color="808080"/>
              <w:right w:val="nil"/>
            </w:tcBorders>
            <w:shd w:val="clear" w:color="auto" w:fill="FFFFFF"/>
            <w:vAlign w:val="center"/>
            <w:hideMark/>
          </w:tcPr>
          <w:p w14:paraId="5038DDD1"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No increased risk of adverse events with PPI after PCI/stent implantation.</w:t>
            </w:r>
          </w:p>
        </w:tc>
      </w:tr>
      <w:tr w:rsidR="00227061" w14:paraId="349EACB4" w14:textId="77777777" w:rsidTr="00EC2B27">
        <w:trPr>
          <w:trHeight w:val="720"/>
        </w:trPr>
        <w:tc>
          <w:tcPr>
            <w:tcW w:w="1701" w:type="dxa"/>
            <w:tcBorders>
              <w:top w:val="nil"/>
              <w:left w:val="nil"/>
              <w:bottom w:val="single" w:sz="4" w:space="0" w:color="808080"/>
              <w:right w:val="nil"/>
            </w:tcBorders>
            <w:shd w:val="clear" w:color="auto" w:fill="FFFFFF"/>
            <w:vAlign w:val="center"/>
            <w:hideMark/>
          </w:tcPr>
          <w:p w14:paraId="661835D6" w14:textId="0B869378"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{"citationItems":[{"id":"ITEM-1","itemData":{"DOI":"10.1016/j.amjcard.2009.10.063","ISSN":"0002-9149","author":[{"dropping-particle":"","family":"Gaglia","given":"Michael A","non-dropping-particle":"","parse-names":false,"suffix":""},{"dropping-particle":"","family":"Torguson","given":"Rebecca","non-dropping-particle":"","parse-names":false,"suffix":""},{"dropping-particle":"","family":"Hanna","given":"Nicholas","non-dropping-particle":"","parse-names":false,"suffix":""},{"dropping-particle":"","family":"Gonzalez","given":"Manuel A","non-dropping-particle":"","parse-names":false,"suffix":""},{"dropping-particle":"","family":"Collins","given":"Sara D","non-dropping-particle":"","parse-names":false,"suffix":""},{"dropping-particle":"","family":"Syed","given":"Asmir I","non-dropping-particle":"","parse-names":false,"suffix":""},{"dropping-particle":"","family":"Ben-dor","given":"Itsik","non-dropping-particle":"","parse-names":false,"suffix":""},{"dropping-particle":"","family":"Maluenda","given":"Gabriel","non-dropping-particle":"","parse-names":false,"suffix":""},{"dropping-particle":"","family":"Delhaye","given":"Cedric","non-dropping-particle":"","parse-names":false,"suffix":""},{"dropping-particle":"","family":"Wakabayashi","given":"Kohei","non-dropping-particle":"","parse-names":false,"suffix":""},{"dropping-particle":"","family":"Xue","given":"Zhenyi","non-dropping-particle":"","parse-names":false,"suffix":""},{"dropping-particle":"","family":"Suddath","given":"William O","non-dropping-particle":"","parse-names":false,"suffix":""},{"dropping-particle":"","family":"Kent","given":"Kenneth M","non-dropping-particle":"","parse-names":false,"suffix":""},{"dropping-particle":"","family":"Satler","given":"Lowell F","non-dropping-particle":"","parse-names":false,"suffix":""},{"dropping-particle":"","family":"Pichard","given":"Augusto D","non-dropping-particle":"","parse-names":false,"suffix":""},{"dropping-particle":"","family":"Waksman","given":"Ron","non-dropping-particle":"","parse-names":false,"suffix":""}],"container-title":"American Journal of Cardiology","id":"ITEM-1","issue":"6","issued":{"date-parts":[["2010"]]},"note":"NULL","page":"833-838","publisher":"Elsevier Inc.","title":"Relation of Proton Pump Inhibitor Use After Percutaneous Coronary Intervention With Drug-Eluting Stents to Outcomes","type":"article-journal","volume":"105"},"uris":["http://www.mendeley.com/documents/?uuid=fcf06f02-259d-4b2d-8481-c0da88c9f28f"]}],"mendeley":{"formattedCitation":"(Gaglia et al. 2010)","plainTextFormattedCitation":"(Gaglia et al. 2010)","previouslyFormattedCitation":"(Gaglia et al. 2010)"},"properties":{"noteIndex":0},"schema":"https://github.com/citation-style-language/schema/raw/master/csl-citation.json"}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(Gaglia et al. 2010)</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49D63486"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PCI with DES</w:t>
            </w:r>
          </w:p>
        </w:tc>
        <w:tc>
          <w:tcPr>
            <w:tcW w:w="1418" w:type="dxa"/>
            <w:tcBorders>
              <w:top w:val="nil"/>
              <w:left w:val="nil"/>
              <w:bottom w:val="single" w:sz="4" w:space="0" w:color="808080"/>
              <w:right w:val="nil"/>
            </w:tcBorders>
            <w:shd w:val="clear" w:color="auto" w:fill="FFFFFF"/>
            <w:vAlign w:val="center"/>
            <w:hideMark/>
          </w:tcPr>
          <w:p w14:paraId="39A9D418"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MI (in-hospital, 1 year)</w:t>
            </w:r>
          </w:p>
        </w:tc>
        <w:tc>
          <w:tcPr>
            <w:tcW w:w="4819" w:type="dxa"/>
            <w:tcBorders>
              <w:top w:val="nil"/>
              <w:left w:val="nil"/>
              <w:bottom w:val="single" w:sz="4" w:space="0" w:color="808080"/>
              <w:right w:val="nil"/>
            </w:tcBorders>
            <w:shd w:val="clear" w:color="auto" w:fill="FFFFFF"/>
            <w:vAlign w:val="center"/>
            <w:hideMark/>
          </w:tcPr>
          <w:p w14:paraId="41F7032B" w14:textId="238809F5" w:rsidR="00227061" w:rsidRDefault="00227061" w:rsidP="00DE2B7A">
            <w:pPr>
              <w:spacing w:after="0" w:line="240" w:lineRule="auto"/>
              <w:rPr>
                <w:rFonts w:ascii="Calibri" w:eastAsia="Times New Roman" w:hAnsi="Calibri" w:cs="Times New Roman"/>
                <w:sz w:val="18"/>
                <w:szCs w:val="18"/>
                <w:lang w:eastAsia="en-CA"/>
              </w:rPr>
            </w:pPr>
            <w:r>
              <w:rPr>
                <w:rFonts w:ascii="Calibri" w:eastAsia="Times New Roman" w:hAnsi="Calibri" w:cs="Times New Roman"/>
                <w:i/>
                <w:iCs/>
                <w:sz w:val="18"/>
                <w:szCs w:val="18"/>
                <w:lang w:eastAsia="en-CA"/>
              </w:rPr>
              <w:t>Clopidogrel and aspirin users</w:t>
            </w:r>
            <w:r>
              <w:rPr>
                <w:rFonts w:ascii="Calibri" w:eastAsia="Times New Roman" w:hAnsi="Calibri" w:cs="Times New Roman"/>
                <w:sz w:val="18"/>
                <w:szCs w:val="18"/>
                <w:lang w:eastAsia="en-CA"/>
              </w:rPr>
              <w:br/>
            </w:r>
            <w:r>
              <w:rPr>
                <w:rFonts w:ascii="Calibri" w:eastAsia="Times New Roman" w:hAnsi="Calibri" w:cs="Times New Roman"/>
                <w:b/>
                <w:bCs/>
                <w:i/>
                <w:iCs/>
                <w:sz w:val="18"/>
                <w:szCs w:val="18"/>
                <w:lang w:eastAsia="en-CA"/>
              </w:rPr>
              <w:t>In hospital mortality</w:t>
            </w:r>
            <w:r w:rsidR="00DE2B7A">
              <w:rPr>
                <w:rFonts w:ascii="Calibri" w:eastAsia="Times New Roman" w:hAnsi="Calibri" w:cs="Times New Roman"/>
                <w:b/>
                <w:bCs/>
                <w:i/>
                <w:iCs/>
                <w:sz w:val="18"/>
                <w:szCs w:val="18"/>
                <w:lang w:eastAsia="en-CA"/>
              </w:rPr>
              <w:t xml:space="preserve">: </w:t>
            </w:r>
            <w:r>
              <w:rPr>
                <w:rFonts w:ascii="Calibri" w:eastAsia="Times New Roman" w:hAnsi="Calibri" w:cs="Times New Roman"/>
                <w:sz w:val="18"/>
                <w:szCs w:val="18"/>
                <w:lang w:eastAsia="en-CA"/>
              </w:rPr>
              <w:t xml:space="preserve">PPI: 0.3% (N=318);  no PPI: 0.2% (N=502),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1;</w:t>
            </w:r>
            <w:r>
              <w:rPr>
                <w:rFonts w:ascii="Calibri" w:eastAsia="Times New Roman" w:hAnsi="Calibri" w:cs="Times New Roman"/>
                <w:sz w:val="18"/>
                <w:szCs w:val="18"/>
                <w:lang w:eastAsia="en-CA"/>
              </w:rPr>
              <w:br/>
            </w:r>
            <w:r>
              <w:rPr>
                <w:rFonts w:ascii="Calibri" w:eastAsia="Times New Roman" w:hAnsi="Calibri" w:cs="Times New Roman"/>
                <w:b/>
                <w:bCs/>
                <w:i/>
                <w:iCs/>
                <w:sz w:val="18"/>
                <w:szCs w:val="18"/>
                <w:lang w:eastAsia="en-CA"/>
              </w:rPr>
              <w:t>30-day</w:t>
            </w:r>
            <w:r w:rsidR="00DE2B7A">
              <w:rPr>
                <w:rFonts w:ascii="Calibri" w:eastAsia="Times New Roman" w:hAnsi="Calibri" w:cs="Times New Roman"/>
                <w:b/>
                <w:bCs/>
                <w:i/>
                <w:iCs/>
                <w:sz w:val="18"/>
                <w:szCs w:val="18"/>
                <w:lang w:eastAsia="en-CA"/>
              </w:rPr>
              <w:t xml:space="preserve">: </w:t>
            </w:r>
            <w:r>
              <w:rPr>
                <w:rFonts w:ascii="Calibri" w:eastAsia="Times New Roman" w:hAnsi="Calibri" w:cs="Times New Roman"/>
                <w:sz w:val="18"/>
                <w:szCs w:val="18"/>
                <w:lang w:eastAsia="en-CA"/>
              </w:rPr>
              <w:t xml:space="preserve">PPI: 0% (N=318); no PPI: 0.2% (N=502);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1.</w:t>
            </w:r>
          </w:p>
        </w:tc>
        <w:tc>
          <w:tcPr>
            <w:tcW w:w="3686" w:type="dxa"/>
            <w:tcBorders>
              <w:top w:val="nil"/>
              <w:left w:val="nil"/>
              <w:bottom w:val="single" w:sz="4" w:space="0" w:color="808080"/>
              <w:right w:val="nil"/>
            </w:tcBorders>
            <w:shd w:val="clear" w:color="auto" w:fill="FFFFFF"/>
            <w:vAlign w:val="center"/>
            <w:hideMark/>
          </w:tcPr>
          <w:p w14:paraId="3C416A7A" w14:textId="5B46035A" w:rsidR="00227061" w:rsidRDefault="008558D2"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b/>
                <w:i/>
                <w:color w:val="000000"/>
                <w:sz w:val="18"/>
                <w:szCs w:val="18"/>
                <w:lang w:eastAsia="en-CA"/>
              </w:rPr>
              <w:t xml:space="preserve">No difference in MI </w:t>
            </w:r>
            <w:r w:rsidR="00227061">
              <w:rPr>
                <w:rFonts w:ascii="Calibri" w:eastAsia="Times New Roman" w:hAnsi="Calibri" w:cs="Times New Roman"/>
                <w:b/>
                <w:i/>
                <w:color w:val="000000"/>
                <w:sz w:val="18"/>
                <w:szCs w:val="18"/>
                <w:lang w:eastAsia="en-CA"/>
              </w:rPr>
              <w:t xml:space="preserve">among groups. </w:t>
            </w:r>
          </w:p>
        </w:tc>
      </w:tr>
      <w:tr w:rsidR="00227061" w14:paraId="205DB6E5" w14:textId="77777777" w:rsidTr="00EC2B27">
        <w:trPr>
          <w:trHeight w:val="720"/>
        </w:trPr>
        <w:tc>
          <w:tcPr>
            <w:tcW w:w="1701" w:type="dxa"/>
            <w:tcBorders>
              <w:top w:val="nil"/>
              <w:left w:val="nil"/>
              <w:bottom w:val="single" w:sz="4" w:space="0" w:color="808080"/>
              <w:right w:val="nil"/>
            </w:tcBorders>
            <w:shd w:val="clear" w:color="auto" w:fill="FFFFFF"/>
            <w:vAlign w:val="center"/>
            <w:hideMark/>
          </w:tcPr>
          <w:p w14:paraId="2887DD9A" w14:textId="6B79E718"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DOI":"10.1016/S0016-5085(10)62300-1","ISSN":"0016-5085","author":[{"dropping-particle":"","family":"Hokimoto","given":"Seiji","non-dropping-particle":"","parse-names":false,"suffix":""},{"dropping-particle":"","family":"Ogawa","given":"Hisao","non-dropping-particle":"","parse-names":false,"suffix":""}],"container-title":"Gastroenterology","id":"ITEM-1","issue":"5","issued":{"date-parts":[["2010"]]},"note":"NULL","page":"S-498","publisher":"AGA","title":"Is it Safe to use a Proton Pump Inhibitor With Clopidogrel? A Comparison of Clopidogrel With or Without Rabeprazole in Japan","type":"article-journal","volume":"138"},"uris":["http://www.mendeley.com/documents/?uuid=ccb94450-c0f8-49bf-9596-bf15dfe7e156"]}],"mendeley":{"formattedCitation":"(Hokimoto and Ogawa 2010)","plainTextFormattedCitation":"(Hokimoto and Ogawa 2010)","previouslyFormattedCitation":"(Hokimoto and Ogawa 2010)"},"properties":{"noteIndex":0},"schema":"https://github.com/citation-style-language/schema/raw/master/csl-citation.json"}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sidR="00D325C7" w:rsidRPr="00D325C7">
              <w:rPr>
                <w:rFonts w:ascii="Calibri" w:eastAsia="Times New Roman" w:hAnsi="Calibri" w:cs="Times New Roman"/>
                <w:noProof/>
                <w:color w:val="000000"/>
                <w:sz w:val="18"/>
                <w:szCs w:val="18"/>
                <w:lang w:eastAsia="en-CA"/>
              </w:rPr>
              <w:t>(Hokimoto and Ogawa 2010)</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7F4D2F83"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On aspirin and clopidogrel</w:t>
            </w:r>
          </w:p>
        </w:tc>
        <w:tc>
          <w:tcPr>
            <w:tcW w:w="1418" w:type="dxa"/>
            <w:tcBorders>
              <w:top w:val="nil"/>
              <w:left w:val="nil"/>
              <w:bottom w:val="single" w:sz="4" w:space="0" w:color="808080"/>
              <w:right w:val="nil"/>
            </w:tcBorders>
            <w:shd w:val="clear" w:color="auto" w:fill="FFFFFF"/>
            <w:vAlign w:val="center"/>
            <w:hideMark/>
          </w:tcPr>
          <w:p w14:paraId="4F24BB3C"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MI (1 year)</w:t>
            </w:r>
          </w:p>
        </w:tc>
        <w:tc>
          <w:tcPr>
            <w:tcW w:w="4819" w:type="dxa"/>
            <w:tcBorders>
              <w:top w:val="nil"/>
              <w:left w:val="nil"/>
              <w:bottom w:val="single" w:sz="4" w:space="0" w:color="808080"/>
              <w:right w:val="nil"/>
            </w:tcBorders>
            <w:shd w:val="clear" w:color="auto" w:fill="FFFFFF"/>
            <w:vAlign w:val="center"/>
            <w:hideMark/>
          </w:tcPr>
          <w:p w14:paraId="4F2FD65F" w14:textId="77777777"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i/>
                <w:iCs/>
                <w:sz w:val="18"/>
                <w:szCs w:val="18"/>
                <w:lang w:eastAsia="en-CA"/>
              </w:rPr>
              <w:t>Clopidogrel and aspirin users</w:t>
            </w:r>
            <w:r>
              <w:rPr>
                <w:rFonts w:ascii="Calibri" w:eastAsia="Times New Roman" w:hAnsi="Calibri" w:cs="Times New Roman"/>
                <w:sz w:val="18"/>
                <w:szCs w:val="18"/>
                <w:lang w:eastAsia="en-CA"/>
              </w:rPr>
              <w:br/>
              <w:t>PPI: 0 (N=37); no PPI: 0 (N=133);</w:t>
            </w:r>
          </w:p>
        </w:tc>
        <w:tc>
          <w:tcPr>
            <w:tcW w:w="3686" w:type="dxa"/>
            <w:tcBorders>
              <w:top w:val="nil"/>
              <w:left w:val="nil"/>
              <w:bottom w:val="single" w:sz="4" w:space="0" w:color="808080"/>
              <w:right w:val="nil"/>
            </w:tcBorders>
            <w:shd w:val="clear" w:color="auto" w:fill="FFFFFF"/>
            <w:vAlign w:val="center"/>
            <w:hideMark/>
          </w:tcPr>
          <w:p w14:paraId="793FD1BA"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No significant difference in clinical outcomes between rabeprazole treated and non-rabeprazole group.</w:t>
            </w:r>
          </w:p>
        </w:tc>
      </w:tr>
      <w:tr w:rsidR="00227061" w14:paraId="1AF5FD64" w14:textId="77777777" w:rsidTr="00EC2B27">
        <w:trPr>
          <w:trHeight w:val="720"/>
        </w:trPr>
        <w:tc>
          <w:tcPr>
            <w:tcW w:w="1701" w:type="dxa"/>
            <w:tcBorders>
              <w:top w:val="nil"/>
              <w:left w:val="nil"/>
              <w:bottom w:val="single" w:sz="4" w:space="0" w:color="808080"/>
              <w:right w:val="nil"/>
            </w:tcBorders>
            <w:shd w:val="clear" w:color="auto" w:fill="FFFFFF"/>
            <w:vAlign w:val="center"/>
            <w:hideMark/>
          </w:tcPr>
          <w:p w14:paraId="463E3F71" w14:textId="2940D61E"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{"citationItems":[{"id":"ITEM-1","itemData":{"ISSN":"1952-4005","abstract":"BACKGROUND: Dual antiplatelet therapy (aspirin plus clopidogrel) is recommended in patients undergoing percutaneous coronary intervention (PCI). Treatment with proton pump inhibitors (PPIs) decreases bleeding rate. Alarming reports have been made that PPIs may decrease the antiplatelet activity of clopidogrel. We sought to determine whether levels of interleukin-6 (IL-6) and transforming growth factor-beta1 (TGF-beta1) might help distinguish individuals at risk for adverse events., METHODS: Thirty-eight patients on aspirin and clopidogrel were enrolled and divided into two groups: group 1 [patients receiving omeprazole (n = 18)] and group 2 [patients not receiving omeprazole (n = 20)]. Patients underwent PCI and were scheduled for twelve-month clinical follow-up. The major, adverse cardiac and cerebrovascular events (MACCE) include death, re-hospitalization for acute coronary syndromes, and stroke., RESULTS: Median concentrations of IL-6 were higher in group 1 at 4.7 pg/mL, in comparison with group 2, 1.65 pg/mL (p = 0.003). Median concentrations of TGF-beta1 were similar in both groups (p = 0.5). Patients in group 1 had a significantly higher leukocyte count [103/mm3] (median 7.5 vs 6.5; p = 0.04). There were no deaths during follow-up. The incidence of myocardial infarction was higher in group 1 (33.4% vs 5.0%; p = 0.03). MACCE at twelve months were more frequent in group 1 (55.6% vs 20.0%; p = 0.02). The cut-off value to predict MACCEs for IL-6 was &gt; 3.6 pg/mL (sensitivity 64%, specificity 88%, positive predictive value 75%, negative predictive value 81%)., INTERPRETATION: We show here that concomitant omeprazole use is associated with an increased inflammatory reaction. Drug interactions may reduce the anti-inflammatory effect of clopidogrel. This mechanism maybe responsible for an increased risk of non-fatal, cardiovascular events, following stent placement.","author":[{"dropping-particle":"","family":"Hudzik","given":"Bartosz","non-dropping-particle":"","parse-names":false,"suffix":""},{"dropping-particle":"","family":"Szkodzinski","given":"Janusz","non-dropping-particle":"","parse-names":false,"suffix":""},{"dropping-particle":"","family":"Danikiewicz","given":"Aleksander","non-dropping-particle":"","parse-names":false,"suffix":""},{"dropping-particle":"","family":"Wilczek","given":"Krzysztof","non-dropping-particle":"","parse-names":false,"suffix":""},{"dropping-particle":"","family":"Romanowski","given":"Wojciech","non-dropping-particle":"","parse-names":false,"suffix":""},{"dropping-particle":"","family":"Lekston","given":"Andrzej","non-dropping-particle":"","parse-names":false,"suffix":""},{"dropping-particle":"","family":"Polonski","given":"Lech","non-dropping-particle":"","parse-names":false,"suffix":""},{"dropping-particle":"","family":"Zubelewicz-Szkodzinska","given":"Barbara","non-dropping-particle":"","parse-names":false,"suffix":""}],"container-title":"European cytokine network","id":"ITEM-1","issue":"4","issued":{"date-parts":[["2010"]]},"note":"709","page":"257-263","publisher":"Hudzik,Bartosz. 3rd Department of Cardiology, Silesian Center for Heart Disease, Medical University of Silesia, Zabrze, Poland. bartekh@mp.pl","publisher-place":"France","title":"Effect of omeprazole on the concentration of interleukin-6 and transforming growth factor-beta1 in patients receiving dual antiplatelet therapy after percutaneous coronary intervention.","type":"article-journal","volume":"21"},"uris":["http://www.mendeley.com/documents/?uuid=ce45dd8f-bf01-452e-bf64-468df4605515"]}],"mendeley":{"formattedCitation":"(Hudzik et al. 2010)","plainTextFormattedCitation":"(Hudzik et al. 2010)","previouslyFormattedCitation":"(Hudzik et al. 2010)"},"properties":{"noteIndex":0},"schema":"https://github.com/citation-style-language/schema/raw/master/csl-citation.json"}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(Hudzik et al. 2010)</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5D149A21"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Stent</w:t>
            </w:r>
          </w:p>
        </w:tc>
        <w:tc>
          <w:tcPr>
            <w:tcW w:w="1418" w:type="dxa"/>
            <w:tcBorders>
              <w:top w:val="nil"/>
              <w:left w:val="nil"/>
              <w:bottom w:val="single" w:sz="4" w:space="0" w:color="808080"/>
              <w:right w:val="nil"/>
            </w:tcBorders>
            <w:shd w:val="clear" w:color="auto" w:fill="FFFFFF"/>
            <w:vAlign w:val="center"/>
            <w:hideMark/>
          </w:tcPr>
          <w:p w14:paraId="7A69DA26"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MI (1 year)</w:t>
            </w:r>
          </w:p>
        </w:tc>
        <w:tc>
          <w:tcPr>
            <w:tcW w:w="4819" w:type="dxa"/>
            <w:tcBorders>
              <w:top w:val="nil"/>
              <w:left w:val="nil"/>
              <w:bottom w:val="single" w:sz="4" w:space="0" w:color="808080"/>
              <w:right w:val="nil"/>
            </w:tcBorders>
            <w:shd w:val="clear" w:color="auto" w:fill="FFFFFF"/>
            <w:vAlign w:val="center"/>
            <w:hideMark/>
          </w:tcPr>
          <w:p w14:paraId="49E2CECD" w14:textId="34F2C06A"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i/>
                <w:iCs/>
                <w:sz w:val="18"/>
                <w:szCs w:val="18"/>
                <w:lang w:eastAsia="en-CA"/>
              </w:rPr>
              <w:t>Clopidogrel and aspirin users</w:t>
            </w:r>
            <w:r>
              <w:rPr>
                <w:rFonts w:ascii="Calibri" w:eastAsia="Times New Roman" w:hAnsi="Calibri" w:cs="Times New Roman"/>
                <w:sz w:val="18"/>
                <w:szCs w:val="18"/>
                <w:lang w:eastAsia="en-CA"/>
              </w:rPr>
              <w:br/>
              <w:t xml:space="preserve">PPI: 33.4% (N=18); no PPI: 5.0% (N=20) ;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xml:space="preserve"> = 0.03;</w:t>
            </w:r>
          </w:p>
        </w:tc>
        <w:tc>
          <w:tcPr>
            <w:tcW w:w="3686" w:type="dxa"/>
            <w:tcBorders>
              <w:top w:val="nil"/>
              <w:left w:val="nil"/>
              <w:bottom w:val="single" w:sz="4" w:space="0" w:color="808080"/>
              <w:right w:val="nil"/>
            </w:tcBorders>
            <w:shd w:val="clear" w:color="auto" w:fill="FFFFFF"/>
            <w:vAlign w:val="center"/>
            <w:hideMark/>
          </w:tcPr>
          <w:p w14:paraId="1D247700"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Possible association between concomitant CP/omeprazole treatment and MI after stent implantation.</w:t>
            </w:r>
          </w:p>
        </w:tc>
      </w:tr>
      <w:tr w:rsidR="00227061" w14:paraId="5A740142" w14:textId="77777777" w:rsidTr="00EC2B27">
        <w:trPr>
          <w:trHeight w:val="720"/>
        </w:trPr>
        <w:tc>
          <w:tcPr>
            <w:tcW w:w="1701" w:type="dxa"/>
            <w:tcBorders>
              <w:top w:val="nil"/>
              <w:left w:val="nil"/>
              <w:bottom w:val="single" w:sz="4" w:space="0" w:color="808080"/>
              <w:right w:val="nil"/>
            </w:tcBorders>
            <w:shd w:val="clear" w:color="auto" w:fill="FFFFFF"/>
            <w:vAlign w:val="center"/>
            <w:hideMark/>
          </w:tcPr>
          <w:p w14:paraId="19BF2CE8" w14:textId="3E4BDD30"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{"citationItems":[{"id":"ITEM-1","itemData":{"ISBN":"0160-2446","ISSN":"1533-4023","abstract":"BACKGROUND: Among patients receiving clopidogrel for coronary artery disease, concomitant therapy with proton pump inhibitors (PPIs) has been associated with an increased risk for recurrent coronary events., PATIENTS AND METHODS: Factores de Riesgo y ENfermedad Arterial (FRENA) is an ongoing, multicenter, observational registry of consecutive outpatients with coronary artery disease, cerebrovascular disease, or peripheral artery disease. We retrospectively examined the influence of concomitant use of PPIs on outcome in patients receiving clopidogrel., RESULTS: As of March 2009, 1222 patients were using clopidogrel: 595 had coronary artery disease, 329 cerebrovascular disease, and 298 had peripheral artery disease. Of these, 519 (42%) were concomitantly using PPIs. Over a mean follow-up of 15 months, 131 patients (11%) had 139 subsequent ischemic events: myocardial infarction 44, ischemic stroke 40, and critical limb ischemia 55. Seventeen of them (13%) died within 15 days of the subsequent event. PPI users had a higher incidence of myocardial infarction (rate ratio, 2.5; 95% confidence interval [CI], 1.3-4.8), ischemic stroke (rate ratio, 1.9; 95% CI, 1.03-3.7), and a nonsignificantly higher rate of critical limb ischemia (rate ratio, 1.6; 95% CI, 0.95-2.8) than nonusers. On multivariate analysis, concomitant use of clopidogrel and PPIs was independently associated with an increased risk for subsequent ischemic events both in the whole series of patients (hazard ratio, 1.8; 95% CI, 1.1-2.7) and in those with cerebrovascular disease or peripheral artery disease (hazard ratio, 1.5; 95% CI, 1.01-2.4)., CONCLUSIONS: In patients with established arterial disease, concomitant use of PPIs and clopidogrel was associated with a nearly doubling of the incidence of subsequent myocardial infarction or ischemic stroke. This higher incidence persisted after multivariate adjustment.","author":[{"dropping-particle":"","family":"Munoz-Torrero","given":"Juan Francisco Sanchez","non-dropping-particle":"","parse-names":false,"suffix":""},{"dropping-particle":"","family":"Escudero","given":"Domingo","non-dropping-particle":"","parse-names":false,"suffix":""},{"dropping-particle":"","family":"Suarez","given":"Carmen","non-dropping-particle":"","parse-names":false,"suffix":""},{"dropping-particle":"","family":"Sanclemente","given":"Carmen","non-dropping-particle":"","parse-names":false,"suffix":""},{"dropping-particle":"","family":"Pascual","given":"Ma Teresa","non-dropping-particle":"","parse-names":false,"suffix":""},{"dropping-particle":"","family":"Zamorano","given":"Jose","non-dropping-particle":"","parse-names":false,"suffix":""},{"dropping-particle":"","family":"Trujillo-Santos","given":"Javier","non-dropping-particle":"","parse-names":false,"suffix":""},{"dropping-particle":"","family":"Monreal","given":"Manuel","non-dropping-particle":"","parse-names":false,"suffix":""}],"container-title":"Journal of Cardiovascular Pharmacology","id":"ITEM-1","issue":"1","issued":{"date-parts":[["2011"]]},"note":"552","page":"13-19","publisher":"Munoz-Torrero,Juan Francisco Sanchez. Department of Internal Medicine, Hospital San Pedro de Alcantara, Caceres, Spain.","publisher-place":"United States","title":"Concomitant use of proton pump inhibitors and clopidogrel in patients with coronary, cerebrovascular, or peripheral artery disease in the factores de Riesgo y ENfermedad Arterial (FRENA) registry.","type":"article-journal","volume":"57"},"uris":["http://www.mendeley.com/documents/?uuid=7ccdd93e-d639-4d86-832e-ce5da21047ba"]}],"mendeley":{"formattedCitation":"(Munoz-Torrero et al. 2011)","plainTextFormattedCitation":"(Munoz-Torrero et al. 2011)","previouslyFormattedCitation":"(Munoz-Torrero et al. 2011)"},"properties":{"noteIndex":0},"schema":"https://github.com/citation-style-language/schema/raw/master/csl-citation.json"}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(Munoz-Torrero et al. 2011)</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562A8C55"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CAD, cerebrovascular or PAD</w:t>
            </w:r>
          </w:p>
        </w:tc>
        <w:tc>
          <w:tcPr>
            <w:tcW w:w="1418" w:type="dxa"/>
            <w:tcBorders>
              <w:top w:val="nil"/>
              <w:left w:val="nil"/>
              <w:bottom w:val="single" w:sz="4" w:space="0" w:color="808080"/>
              <w:right w:val="nil"/>
            </w:tcBorders>
            <w:shd w:val="clear" w:color="auto" w:fill="FFFFFF"/>
            <w:vAlign w:val="center"/>
            <w:hideMark/>
          </w:tcPr>
          <w:p w14:paraId="395680BB"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MI (at least 1 year)</w:t>
            </w:r>
          </w:p>
        </w:tc>
        <w:tc>
          <w:tcPr>
            <w:tcW w:w="4819" w:type="dxa"/>
            <w:tcBorders>
              <w:top w:val="nil"/>
              <w:left w:val="nil"/>
              <w:bottom w:val="single" w:sz="4" w:space="0" w:color="808080"/>
              <w:right w:val="nil"/>
            </w:tcBorders>
            <w:shd w:val="clear" w:color="auto" w:fill="FFFFFF"/>
            <w:vAlign w:val="center"/>
            <w:hideMark/>
          </w:tcPr>
          <w:p w14:paraId="46955655" w14:textId="77777777" w:rsidR="00227061" w:rsidRDefault="00227061" w:rsidP="006F61B0">
            <w:pPr>
              <w:spacing w:after="0" w:line="240" w:lineRule="auto"/>
              <w:rPr>
                <w:rFonts w:ascii="Calibri" w:eastAsia="Times New Roman" w:hAnsi="Calibri" w:cs="Times New Roman"/>
                <w:i/>
                <w:iCs/>
                <w:color w:val="000000"/>
                <w:sz w:val="18"/>
                <w:szCs w:val="18"/>
                <w:lang w:eastAsia="en-CA"/>
              </w:rPr>
            </w:pPr>
            <w:r>
              <w:rPr>
                <w:rFonts w:ascii="Calibri" w:eastAsia="Times New Roman" w:hAnsi="Calibri" w:cs="Times New Roman"/>
                <w:i/>
                <w:iCs/>
                <w:color w:val="000000"/>
                <w:sz w:val="18"/>
                <w:szCs w:val="18"/>
                <w:lang w:eastAsia="en-CA"/>
              </w:rPr>
              <w:t>Clopidogrel users</w:t>
            </w:r>
          </w:p>
          <w:p w14:paraId="63E1C61E" w14:textId="2E153EB6" w:rsidR="00227061" w:rsidRDefault="00227061" w:rsidP="00DE2B7A">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b/>
                <w:bCs/>
                <w:i/>
                <w:iCs/>
                <w:color w:val="000000"/>
                <w:sz w:val="18"/>
                <w:szCs w:val="18"/>
                <w:lang w:eastAsia="en-CA"/>
              </w:rPr>
              <w:t>All patients</w:t>
            </w:r>
            <w:r w:rsidR="00DE2B7A">
              <w:rPr>
                <w:rFonts w:ascii="Calibri" w:eastAsia="Times New Roman" w:hAnsi="Calibri" w:cs="Times New Roman"/>
                <w:b/>
                <w:bCs/>
                <w:i/>
                <w:iCs/>
                <w:color w:val="000000"/>
                <w:sz w:val="18"/>
                <w:szCs w:val="18"/>
                <w:lang w:eastAsia="en-CA"/>
              </w:rPr>
              <w:t xml:space="preserve">: </w:t>
            </w:r>
            <w:r>
              <w:rPr>
                <w:rFonts w:ascii="Calibri" w:eastAsia="Times New Roman" w:hAnsi="Calibri" w:cs="Times New Roman"/>
                <w:color w:val="000000"/>
                <w:sz w:val="18"/>
                <w:szCs w:val="18"/>
                <w:lang w:eastAsia="en-CA"/>
              </w:rPr>
              <w:t>Unadjusted RR, 2.5 (1.3–4.8);   N PPI 519, no PPI 703</w:t>
            </w:r>
            <w:r w:rsidR="00DE2B7A">
              <w:rPr>
                <w:rFonts w:ascii="Calibri" w:eastAsia="Times New Roman" w:hAnsi="Calibri" w:cs="Times New Roman"/>
                <w:color w:val="000000"/>
                <w:sz w:val="18"/>
                <w:szCs w:val="18"/>
                <w:lang w:eastAsia="en-CA"/>
              </w:rPr>
              <w:t>;</w:t>
            </w:r>
            <w:r>
              <w:rPr>
                <w:rFonts w:ascii="Calibri" w:eastAsia="Times New Roman" w:hAnsi="Calibri" w:cs="Times New Roman"/>
                <w:color w:val="000000"/>
                <w:sz w:val="18"/>
                <w:szCs w:val="18"/>
                <w:lang w:eastAsia="en-CA"/>
              </w:rPr>
              <w:br/>
            </w:r>
            <w:r>
              <w:rPr>
                <w:rFonts w:ascii="Calibri" w:eastAsia="Times New Roman" w:hAnsi="Calibri" w:cs="Times New Roman"/>
                <w:b/>
                <w:bCs/>
                <w:i/>
                <w:iCs/>
                <w:color w:val="000000"/>
                <w:sz w:val="18"/>
                <w:szCs w:val="18"/>
                <w:lang w:eastAsia="en-CA"/>
              </w:rPr>
              <w:t>CAD patients</w:t>
            </w:r>
            <w:r w:rsidR="00DE2B7A">
              <w:rPr>
                <w:rFonts w:ascii="Calibri" w:eastAsia="Times New Roman" w:hAnsi="Calibri" w:cs="Times New Roman"/>
                <w:b/>
                <w:bCs/>
                <w:i/>
                <w:iCs/>
                <w:color w:val="000000"/>
                <w:sz w:val="18"/>
                <w:szCs w:val="18"/>
                <w:lang w:eastAsia="en-CA"/>
              </w:rPr>
              <w:t xml:space="preserve">: </w:t>
            </w:r>
            <w:r>
              <w:rPr>
                <w:rFonts w:ascii="Calibri" w:eastAsia="Times New Roman" w:hAnsi="Calibri" w:cs="Times New Roman"/>
                <w:color w:val="000000"/>
                <w:sz w:val="18"/>
                <w:szCs w:val="18"/>
                <w:lang w:eastAsia="en-CA"/>
              </w:rPr>
              <w:t>Unadjusted RR, 3.4 (1.5–8.2);  N, PPI 247, no PPI 348;</w:t>
            </w:r>
            <w:r>
              <w:rPr>
                <w:rFonts w:ascii="Calibri" w:eastAsia="Times New Roman" w:hAnsi="Calibri" w:cs="Times New Roman"/>
                <w:color w:val="000000"/>
                <w:sz w:val="18"/>
                <w:szCs w:val="18"/>
                <w:lang w:eastAsia="en-CA"/>
              </w:rPr>
              <w:br/>
            </w:r>
            <w:r>
              <w:rPr>
                <w:rFonts w:ascii="Calibri" w:eastAsia="Times New Roman" w:hAnsi="Calibri" w:cs="Times New Roman"/>
                <w:b/>
                <w:bCs/>
                <w:i/>
                <w:iCs/>
                <w:color w:val="000000"/>
                <w:sz w:val="18"/>
                <w:szCs w:val="18"/>
                <w:lang w:eastAsia="en-CA"/>
              </w:rPr>
              <w:t>PAD patients</w:t>
            </w:r>
            <w:r w:rsidR="00DE2B7A">
              <w:rPr>
                <w:rFonts w:ascii="Calibri" w:eastAsia="Times New Roman" w:hAnsi="Calibri" w:cs="Times New Roman"/>
                <w:b/>
                <w:bCs/>
                <w:i/>
                <w:iCs/>
                <w:color w:val="000000"/>
                <w:sz w:val="18"/>
                <w:szCs w:val="18"/>
                <w:lang w:eastAsia="en-CA"/>
              </w:rPr>
              <w:t xml:space="preserve">: </w:t>
            </w:r>
            <w:r>
              <w:rPr>
                <w:rFonts w:ascii="Calibri" w:eastAsia="Times New Roman" w:hAnsi="Calibri" w:cs="Times New Roman"/>
                <w:color w:val="000000"/>
                <w:sz w:val="18"/>
                <w:szCs w:val="18"/>
                <w:lang w:eastAsia="en-CA"/>
              </w:rPr>
              <w:t>Unadjusted RR, 0.9 (0.3–2.8),  N PPI 130, no PPI 168;</w:t>
            </w:r>
          </w:p>
        </w:tc>
        <w:tc>
          <w:tcPr>
            <w:tcW w:w="3686" w:type="dxa"/>
            <w:tcBorders>
              <w:top w:val="nil"/>
              <w:left w:val="nil"/>
              <w:bottom w:val="single" w:sz="4" w:space="0" w:color="808080"/>
              <w:right w:val="nil"/>
            </w:tcBorders>
            <w:shd w:val="clear" w:color="auto" w:fill="FFFFFF"/>
            <w:vAlign w:val="center"/>
            <w:hideMark/>
          </w:tcPr>
          <w:p w14:paraId="677A50A0"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xml:space="preserve">Concomitant use of PPIs and clopidogrel is associated with an increased incidence MI and stroke in patients with established arterial disease. </w:t>
            </w:r>
          </w:p>
        </w:tc>
      </w:tr>
      <w:tr w:rsidR="00227061" w14:paraId="6A6177C2" w14:textId="77777777" w:rsidTr="00EC2B27">
        <w:trPr>
          <w:trHeight w:val="720"/>
        </w:trPr>
        <w:tc>
          <w:tcPr>
            <w:tcW w:w="1701" w:type="dxa"/>
            <w:tcBorders>
              <w:top w:val="nil"/>
              <w:left w:val="nil"/>
              <w:bottom w:val="single" w:sz="4" w:space="0" w:color="808080"/>
              <w:right w:val="nil"/>
            </w:tcBorders>
            <w:shd w:val="clear" w:color="auto" w:fill="FFFFFF"/>
            <w:vAlign w:val="center"/>
            <w:hideMark/>
          </w:tcPr>
          <w:p w14:paraId="2F6139D6" w14:textId="194E7AE8"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DOI":"10.1002/clc.20978","author":[{"dropping-particle":"","family":"Ulhaq","given":"Inam","non-dropping-particle":"","parse-names":false,"suffix":""},{"dropping-particle":"","family":"Sood","given":"Ruchit","non-dropping-particle":"","parse-names":false,"suffix":""},{"dropping-particle":"","family":"Hegade","given":"Vinod","non-dropping-particle":"","parse-names":false,"suffix":""},{"dropping-particle":"","family":"Moreea","given":"Sulleman","non-dropping-particle":"","parse-names":false,"suffix":""},{"dropping-particle":"","family":"Bulugahapitiya","given":"Sudantha","non-dropping-particle":"","parse-names":false,"suffix":""}],"container-title":"Clinical cardiology","id":"ITEM-1","issue":"11","issued":{"date-parts":[["2011"]]},"note":"NULL","page":"721","title":"Response to Clopidogrel With Proton Pump Inhibitors: Safe or Not? -Letter to the Editor","type":"article-journal","volume":"34"},"uris":["http://www.mendeley.com/documents/?uuid=6213be15-af23-4dd5-8360-df7368992afa"]}],"mendeley":{"formattedCitation":"(Ulhaq et al. 2011)","plainTextFormattedCitation":"(Ulhaq et al. 2011)","previouslyFormattedCitation":"(Ulhaq et al. 2011)"},"properties":{"noteIndex":0},"schema":"https://github.com/citation-style-language/schema/raw/master/csl-citation.json"}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(Ulhaq et al. 2011)</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3FF4A00F"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MI</w:t>
            </w:r>
          </w:p>
        </w:tc>
        <w:tc>
          <w:tcPr>
            <w:tcW w:w="1418" w:type="dxa"/>
            <w:tcBorders>
              <w:top w:val="nil"/>
              <w:left w:val="nil"/>
              <w:bottom w:val="single" w:sz="4" w:space="0" w:color="808080"/>
              <w:right w:val="nil"/>
            </w:tcBorders>
            <w:shd w:val="clear" w:color="auto" w:fill="FFFFFF"/>
            <w:vAlign w:val="center"/>
            <w:hideMark/>
          </w:tcPr>
          <w:p w14:paraId="26AD26B5"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MI (1 year)</w:t>
            </w:r>
          </w:p>
        </w:tc>
        <w:tc>
          <w:tcPr>
            <w:tcW w:w="4819" w:type="dxa"/>
            <w:tcBorders>
              <w:top w:val="nil"/>
              <w:left w:val="nil"/>
              <w:bottom w:val="single" w:sz="4" w:space="0" w:color="808080"/>
              <w:right w:val="nil"/>
            </w:tcBorders>
            <w:shd w:val="clear" w:color="auto" w:fill="FFFFFF"/>
            <w:vAlign w:val="center"/>
            <w:hideMark/>
          </w:tcPr>
          <w:p w14:paraId="5BB2BDA0" w14:textId="5FCC7620"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Clopidogrel and aspirin users:</w:t>
            </w:r>
            <w:r>
              <w:rPr>
                <w:rFonts w:ascii="Calibri" w:eastAsia="Times New Roman" w:hAnsi="Calibri" w:cs="Times New Roman"/>
                <w:sz w:val="18"/>
                <w:szCs w:val="18"/>
                <w:lang w:eastAsia="en-CA"/>
              </w:rPr>
              <w:br/>
              <w:t xml:space="preserve">PPI: 10.4% (N=96); no PPI: 2.3% (N=88);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xml:space="preserve">: 0.025; </w:t>
            </w:r>
          </w:p>
        </w:tc>
        <w:tc>
          <w:tcPr>
            <w:tcW w:w="3686" w:type="dxa"/>
            <w:tcBorders>
              <w:top w:val="nil"/>
              <w:left w:val="nil"/>
              <w:bottom w:val="single" w:sz="4" w:space="0" w:color="808080"/>
              <w:right w:val="nil"/>
            </w:tcBorders>
            <w:shd w:val="clear" w:color="auto" w:fill="FFFFFF"/>
            <w:vAlign w:val="center"/>
            <w:hideMark/>
          </w:tcPr>
          <w:p w14:paraId="73219517"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xml:space="preserve">Possible association between PPI/clopidogrel treatments. </w:t>
            </w:r>
          </w:p>
        </w:tc>
      </w:tr>
      <w:tr w:rsidR="00D325C7" w14:paraId="314D6DA4" w14:textId="77777777" w:rsidTr="00EC2B27">
        <w:trPr>
          <w:trHeight w:val="720"/>
        </w:trPr>
        <w:tc>
          <w:tcPr>
            <w:tcW w:w="1701" w:type="dxa"/>
            <w:tcBorders>
              <w:top w:val="nil"/>
              <w:left w:val="nil"/>
              <w:bottom w:val="single" w:sz="4" w:space="0" w:color="808080"/>
              <w:right w:val="nil"/>
            </w:tcBorders>
            <w:shd w:val="clear" w:color="auto" w:fill="FFFFFF"/>
            <w:vAlign w:val="center"/>
          </w:tcPr>
          <w:p w14:paraId="7B9C53D0" w14:textId="2DD0AC4C" w:rsidR="00D325C7" w:rsidRDefault="00D325C7"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{"citationItems":[{"id":"ITEM-1","itemData":{"DOI":"https://dx.doi.org/10.1177/1076029616669787","ISBN":"1938-2723","PMID":"27637911","abstract":"OBJECTIVE: Conflicting data exist as to whether proton-pump inhibitors (PPIs) diminish the efficacy of clopidogrel. The aim of this study was to investigate the association between cytochrome P450 ( CYP) genetic variants and clinical adverse outcomes of concomitant use of PPIs and clopidogrel by patients. METHODS: We consecutively enrolled 523 patients with ischemic stroke receiving clopidogrel. Platelet aggregation was measured before and after 7 to 10 days of clopidogrel treatment. Single-nucleotide polymorphisms of CYP3A4, CYP3A5, CYP2C19*2, and CYP2C19*3 were examined using mass spectrometry. The primary outcome was a composite of recurrent ischemic stroke (RIS), myocardial infarction (MI), and vascular death that occurred during the 1-year follow-up period. The safety outcome was hemorrhagic episodes that occurred during the 1-year follow-up period. RESULTS: This study comprised a total of 523 patients with IS, 96.3% (155/161) patients treated with PPIs and 95.9% (347/362) in patients treated without PPIs completed 1-year follow-up. The primary outcome was observed in 69 (13.7%) patients (56 RIS, 7 MI, and 6 died). There was no significant difference in the frequencies of primary outcome and safety outcome between patients treated with or without PPIs. The frequency of primary outcome was significantly higher in patients carrying CYP2C19*2 AG/AA genotype receiving PPIs compared with the same genotype in those not receiving PPIs. The PPIs used in patients carrying CYP2C19*2 AG/AA was independently associated with the primary outcome after adjusting for other risk factors. CONCLUSIONS: The concomitant use of PPIs and clopidogrel may be associated with an increased risk of RIS, MI, or vascular death in patients with IS carrying reduced-function CYP2C19*2.","author":[{"dropping-particle":"","family":"Yi","given":"X","non-dropping-particle":"","parse-names":false,"suffix":""},{"dropping-particle":"","family":"Han","given":"Z","non-dropping-particle":"","parse-names":false,"suffix":""},{"dropping-particle":"","family":"Zhou","given":"Q","non-dropping-particle":"","parse-names":false,"suffix":""},{"dropping-particle":"","family":"Cheng","given":"W","non-dropping-particle":"","parse-names":false,"suffix":""},{"dropping-particle":"","family":"Lin","given":"J","non-dropping-particle":"","parse-names":false,"suffix":""},{"dropping-particle":"","family":"Wang","given":"C","non-dropping-particle":"","parse-names":false,"suffix":""}],"container-title":"Clinical &amp; Applied Thrombosis/Hemostasis","id":"ITEM-1","issue":"1","issued":{"date-parts":[["2018"]]},"language":"English","note":"Yi, Xingyang\nHan, Zhao\nZhou, Qiang\nCheng, Wen\nLin, Jing\nWang, Chun","page":"55-62","title":"Concomitant Use of Proton-Pump Inhibitors and Clopidogrel Increases the Risk of Adverse Outcomes in Patients With Ischemic Stroke Carrying Reduced-Function CYP2C19 2","type":"article-journal","volume":"24"},"uris":["http://www.mendeley.com/documents/?uuid=3667af1d-a133-469b-a417-38d5a5bd15a2"]}],"mendeley":{"formattedCitation":"(Yi et al. 2018)","plainTextFormattedCitation":"(Yi et al. 2018)"},"properties":{"noteIndex":0},"schema":"https://github.com/citation-style-language/schema/raw/master/csl-citation.json"}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sidRPr="00D325C7">
              <w:rPr>
                <w:rFonts w:ascii="Calibri" w:eastAsia="Times New Roman" w:hAnsi="Calibri" w:cs="Times New Roman"/>
                <w:noProof/>
                <w:color w:val="000000"/>
                <w:sz w:val="18"/>
                <w:szCs w:val="18"/>
                <w:lang w:eastAsia="en-CA"/>
              </w:rPr>
              <w:t>(Yi et al. 2018)</w:t>
            </w:r>
            <w:r>
              <w:rPr>
                <w:rFonts w:ascii="Calibri" w:eastAsia="Times New Roman" w:hAnsi="Calibri" w:cs="Times New Roman"/>
                <w:color w:val="000000"/>
                <w:sz w:val="18"/>
                <w:szCs w:val="18"/>
                <w:lang w:eastAsia="en-CA"/>
              </w:rPr>
              <w:fldChar w:fldCharType="end"/>
            </w:r>
          </w:p>
        </w:tc>
        <w:tc>
          <w:tcPr>
            <w:tcW w:w="1276" w:type="dxa"/>
            <w:tcBorders>
              <w:top w:val="nil"/>
              <w:left w:val="nil"/>
              <w:bottom w:val="single" w:sz="4" w:space="0" w:color="808080"/>
              <w:right w:val="nil"/>
            </w:tcBorders>
            <w:shd w:val="clear" w:color="auto" w:fill="FFFFFF"/>
            <w:vAlign w:val="center"/>
          </w:tcPr>
          <w:p w14:paraId="3748437B" w14:textId="3FB4E377" w:rsidR="00D325C7" w:rsidRDefault="00D325C7" w:rsidP="006F61B0">
            <w:pPr>
              <w:spacing w:after="0" w:line="240" w:lineRule="auto"/>
              <w:rPr>
                <w:rFonts w:ascii="Calibri" w:eastAsia="Times New Roman" w:hAnsi="Calibri" w:cs="Times New Roman"/>
                <w:color w:val="000000"/>
                <w:sz w:val="18"/>
                <w:szCs w:val="18"/>
                <w:lang w:eastAsia="en-CA"/>
              </w:rPr>
            </w:pPr>
            <w:r w:rsidRPr="00D325C7">
              <w:rPr>
                <w:rFonts w:ascii="Calibri" w:eastAsia="Times New Roman" w:hAnsi="Calibri" w:cs="Times New Roman"/>
                <w:color w:val="000000"/>
                <w:sz w:val="18"/>
                <w:szCs w:val="18"/>
                <w:lang w:eastAsia="en-CA"/>
              </w:rPr>
              <w:t>Strok</w:t>
            </w:r>
            <w:r>
              <w:rPr>
                <w:rFonts w:ascii="Calibri" w:eastAsia="Times New Roman" w:hAnsi="Calibri" w:cs="Times New Roman"/>
                <w:color w:val="000000"/>
                <w:sz w:val="18"/>
                <w:szCs w:val="18"/>
                <w:lang w:eastAsia="en-CA"/>
              </w:rPr>
              <w:t>e patients</w:t>
            </w:r>
          </w:p>
        </w:tc>
        <w:tc>
          <w:tcPr>
            <w:tcW w:w="1418" w:type="dxa"/>
            <w:tcBorders>
              <w:top w:val="nil"/>
              <w:left w:val="nil"/>
              <w:bottom w:val="single" w:sz="4" w:space="0" w:color="808080"/>
              <w:right w:val="nil"/>
            </w:tcBorders>
            <w:shd w:val="clear" w:color="auto" w:fill="FFFFFF"/>
            <w:vAlign w:val="center"/>
          </w:tcPr>
          <w:p w14:paraId="6A519555" w14:textId="19872FBD" w:rsidR="00D325C7" w:rsidRDefault="00D325C7"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MI (1 year)</w:t>
            </w:r>
          </w:p>
        </w:tc>
        <w:tc>
          <w:tcPr>
            <w:tcW w:w="4819" w:type="dxa"/>
            <w:tcBorders>
              <w:top w:val="nil"/>
              <w:left w:val="nil"/>
              <w:bottom w:val="single" w:sz="4" w:space="0" w:color="808080"/>
              <w:right w:val="nil"/>
            </w:tcBorders>
            <w:shd w:val="clear" w:color="auto" w:fill="FFFFFF"/>
            <w:vAlign w:val="center"/>
          </w:tcPr>
          <w:p w14:paraId="44E70BC1" w14:textId="77777777" w:rsidR="00D325C7" w:rsidRDefault="00D325C7" w:rsidP="006F61B0">
            <w:pPr>
              <w:spacing w:after="0" w:line="240" w:lineRule="auto"/>
              <w:rPr>
                <w:rFonts w:ascii="Calibri" w:eastAsia="Times New Roman" w:hAnsi="Calibri" w:cs="Times New Roman"/>
                <w:i/>
                <w:iCs/>
                <w:sz w:val="18"/>
                <w:szCs w:val="18"/>
                <w:lang w:eastAsia="en-CA"/>
              </w:rPr>
            </w:pPr>
            <w:r w:rsidRPr="005E0B8E">
              <w:rPr>
                <w:rFonts w:ascii="Calibri" w:eastAsia="Times New Roman" w:hAnsi="Calibri" w:cs="Times New Roman"/>
                <w:i/>
                <w:iCs/>
                <w:sz w:val="18"/>
                <w:szCs w:val="18"/>
                <w:lang w:eastAsia="en-CA"/>
              </w:rPr>
              <w:t>Clopidogrel users</w:t>
            </w:r>
          </w:p>
          <w:p w14:paraId="56DABAF0" w14:textId="0D762D95" w:rsidR="00D325C7" w:rsidRPr="00D325C7" w:rsidRDefault="00D325C7" w:rsidP="00D325C7">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 xml:space="preserve">PPI: </w:t>
            </w:r>
            <w:r w:rsidRPr="00D325C7">
              <w:rPr>
                <w:rFonts w:ascii="Calibri" w:eastAsia="Times New Roman" w:hAnsi="Calibri" w:cs="Times New Roman"/>
                <w:sz w:val="18"/>
                <w:szCs w:val="18"/>
                <w:lang w:eastAsia="en-CA"/>
              </w:rPr>
              <w:t xml:space="preserve"> 3/155 (1.9%);</w:t>
            </w:r>
            <w:r>
              <w:rPr>
                <w:rFonts w:ascii="Calibri" w:eastAsia="Times New Roman" w:hAnsi="Calibri" w:cs="Times New Roman"/>
                <w:sz w:val="18"/>
                <w:szCs w:val="18"/>
                <w:lang w:eastAsia="en-CA"/>
              </w:rPr>
              <w:t xml:space="preserve"> </w:t>
            </w:r>
            <w:r w:rsidRPr="00D325C7">
              <w:rPr>
                <w:rFonts w:ascii="Calibri" w:eastAsia="Times New Roman" w:hAnsi="Calibri" w:cs="Times New Roman"/>
                <w:sz w:val="18"/>
                <w:szCs w:val="18"/>
                <w:lang w:eastAsia="en-CA"/>
              </w:rPr>
              <w:t>no PPI: 37/347 (1.2%);</w:t>
            </w:r>
            <w:r>
              <w:rPr>
                <w:rFonts w:ascii="Calibri" w:eastAsia="Times New Roman" w:hAnsi="Calibri" w:cs="Times New Roman"/>
                <w:sz w:val="18"/>
                <w:szCs w:val="18"/>
                <w:lang w:eastAsia="en-CA"/>
              </w:rPr>
              <w:t xml:space="preserve"> </w:t>
            </w:r>
            <w:r w:rsidRPr="00D325C7">
              <w:rPr>
                <w:rFonts w:ascii="Calibri" w:eastAsia="Times New Roman" w:hAnsi="Calibri" w:cs="Times New Roman"/>
                <w:sz w:val="18"/>
                <w:szCs w:val="18"/>
                <w:lang w:eastAsia="en-CA"/>
              </w:rPr>
              <w:t>p-value 0.48;</w:t>
            </w:r>
          </w:p>
        </w:tc>
        <w:tc>
          <w:tcPr>
            <w:tcW w:w="3686" w:type="dxa"/>
            <w:tcBorders>
              <w:top w:val="nil"/>
              <w:left w:val="nil"/>
              <w:bottom w:val="single" w:sz="4" w:space="0" w:color="808080"/>
              <w:right w:val="nil"/>
            </w:tcBorders>
            <w:shd w:val="clear" w:color="auto" w:fill="FFFFFF"/>
            <w:vAlign w:val="center"/>
          </w:tcPr>
          <w:p w14:paraId="204279F5" w14:textId="69DB5C24" w:rsidR="00D325C7" w:rsidRDefault="00D325C7" w:rsidP="00D325C7">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No association between PPI use and MACE</w:t>
            </w:r>
            <w:r w:rsidRPr="00D325C7">
              <w:rPr>
                <w:rFonts w:ascii="Calibri" w:eastAsia="Times New Roman" w:hAnsi="Calibri" w:cs="Times New Roman"/>
                <w:color w:val="000000"/>
                <w:sz w:val="18"/>
                <w:szCs w:val="18"/>
                <w:lang w:eastAsia="en-CA"/>
              </w:rPr>
              <w:t xml:space="preserve"> among patients with a first time stroke.</w:t>
            </w:r>
          </w:p>
        </w:tc>
      </w:tr>
      <w:tr w:rsidR="00227061" w14:paraId="03BD91CD" w14:textId="77777777" w:rsidTr="00EC2B27">
        <w:trPr>
          <w:trHeight w:val="219"/>
        </w:trPr>
        <w:tc>
          <w:tcPr>
            <w:tcW w:w="1701" w:type="dxa"/>
            <w:tcBorders>
              <w:top w:val="nil"/>
              <w:left w:val="nil"/>
              <w:bottom w:val="single" w:sz="4" w:space="0" w:color="808080"/>
              <w:right w:val="nil"/>
            </w:tcBorders>
            <w:shd w:val="clear" w:color="auto" w:fill="DCE6F1"/>
            <w:vAlign w:val="center"/>
            <w:hideMark/>
          </w:tcPr>
          <w:p w14:paraId="383C369A" w14:textId="77777777" w:rsidR="00227061" w:rsidRDefault="00227061" w:rsidP="006F61B0">
            <w:pPr>
              <w:spacing w:after="0" w:line="240" w:lineRule="auto"/>
              <w:rPr>
                <w:rFonts w:ascii="Calibri" w:eastAsia="Times New Roman" w:hAnsi="Calibri" w:cs="Times New Roman"/>
                <w:b/>
                <w:bCs/>
                <w:i/>
                <w:iCs/>
                <w:color w:val="000000"/>
                <w:sz w:val="18"/>
                <w:szCs w:val="18"/>
                <w:lang w:eastAsia="en-CA"/>
              </w:rPr>
            </w:pPr>
            <w:r>
              <w:rPr>
                <w:rFonts w:ascii="Calibri" w:eastAsia="Times New Roman" w:hAnsi="Calibri" w:cs="Times New Roman"/>
                <w:b/>
                <w:bCs/>
                <w:i/>
                <w:iCs/>
                <w:color w:val="000000"/>
                <w:sz w:val="18"/>
                <w:szCs w:val="18"/>
                <w:lang w:eastAsia="en-CA"/>
              </w:rPr>
              <w:t>Stroke</w:t>
            </w:r>
          </w:p>
        </w:tc>
        <w:tc>
          <w:tcPr>
            <w:tcW w:w="1276" w:type="dxa"/>
            <w:tcBorders>
              <w:top w:val="nil"/>
              <w:left w:val="nil"/>
              <w:bottom w:val="single" w:sz="4" w:space="0" w:color="808080"/>
              <w:right w:val="nil"/>
            </w:tcBorders>
            <w:shd w:val="clear" w:color="auto" w:fill="DCE6F1"/>
            <w:vAlign w:val="center"/>
            <w:hideMark/>
          </w:tcPr>
          <w:p w14:paraId="790785B6"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c>
          <w:tcPr>
            <w:tcW w:w="1418" w:type="dxa"/>
            <w:tcBorders>
              <w:top w:val="nil"/>
              <w:left w:val="nil"/>
              <w:bottom w:val="single" w:sz="4" w:space="0" w:color="808080"/>
              <w:right w:val="nil"/>
            </w:tcBorders>
            <w:shd w:val="clear" w:color="auto" w:fill="DCE6F1"/>
            <w:vAlign w:val="center"/>
            <w:hideMark/>
          </w:tcPr>
          <w:p w14:paraId="30A19A2B"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c>
          <w:tcPr>
            <w:tcW w:w="4819" w:type="dxa"/>
            <w:tcBorders>
              <w:top w:val="nil"/>
              <w:left w:val="nil"/>
              <w:bottom w:val="single" w:sz="4" w:space="0" w:color="808080"/>
              <w:right w:val="nil"/>
            </w:tcBorders>
            <w:shd w:val="clear" w:color="auto" w:fill="DCE6F1"/>
            <w:vAlign w:val="center"/>
            <w:hideMark/>
          </w:tcPr>
          <w:p w14:paraId="42A4319F" w14:textId="77777777"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sz w:val="18"/>
                <w:szCs w:val="18"/>
                <w:lang w:eastAsia="en-CA"/>
              </w:rPr>
              <w:t> </w:t>
            </w:r>
          </w:p>
        </w:tc>
        <w:tc>
          <w:tcPr>
            <w:tcW w:w="3686" w:type="dxa"/>
            <w:tcBorders>
              <w:top w:val="nil"/>
              <w:left w:val="nil"/>
              <w:bottom w:val="single" w:sz="4" w:space="0" w:color="808080"/>
              <w:right w:val="nil"/>
            </w:tcBorders>
            <w:shd w:val="clear" w:color="auto" w:fill="DCE6F1"/>
            <w:vAlign w:val="center"/>
            <w:hideMark/>
          </w:tcPr>
          <w:p w14:paraId="30107DF9"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r>
      <w:tr w:rsidR="00227061" w14:paraId="09E12795" w14:textId="77777777" w:rsidTr="00EC2B27">
        <w:trPr>
          <w:trHeight w:val="720"/>
        </w:trPr>
        <w:tc>
          <w:tcPr>
            <w:tcW w:w="1701" w:type="dxa"/>
            <w:tcBorders>
              <w:top w:val="nil"/>
              <w:left w:val="nil"/>
              <w:bottom w:val="single" w:sz="4" w:space="0" w:color="808080"/>
              <w:right w:val="nil"/>
            </w:tcBorders>
            <w:shd w:val="clear" w:color="auto" w:fill="FFFFFF"/>
            <w:vAlign w:val="center"/>
            <w:hideMark/>
          </w:tcPr>
          <w:p w14:paraId="1A8F1EDF" w14:textId="6500DFC7"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lastRenderedPageBreak/>
              <w:fldChar w:fldCharType="begin" w:fldLock="1"/>
            </w:r>
            <w:r w:rsidR="00D325C7">
              <w:rPr>
                <w:rFonts w:ascii="Calibri" w:eastAsia="Times New Roman" w:hAnsi="Calibri" w:cs="Times New Roman"/>
                <w:color w:val="000000"/>
                <w:sz w:val="18"/>
                <w:szCs w:val="18"/>
                <w:lang w:eastAsia="en-CA"/>
              </w:rPr>
              <w:instrText>ADDIN CSL_CITATION {"citationItems":[{"id":"ITEM-1","itemData":{"ISSN":"1347-4820","abstract":"BACKGROUND: The aim of this study was to examine the effect of proton-pump inhibitor (PPI) on clinical outcomes in Japanese patients who undergo coronary stent implantation., METHODS AND RESULTS: A total of 1,270 patients (males 915, 69 years) were enrolled and dual antiplatelet therapy of aspirin and a thienopyridine derivative was prescribed (clopidogrel 630, ticlopidine 640). Patients were divided into 2 groups treated with or without PPI. PPI was administered in 331 cases (26%), and non-PPI in 939 (74%). There were no significant differences in cardiovascular death (PPI vs. non-PPI: 5 vs. 11 cases), nonfatal myocardial infarction (3 vs. 5), and stroke (3 vs. 16) between PPI and non-PPI groups, but the ratio of gastrointestinal events had a higher tendency in non-PPI group compared with PPI group (1 vs. 17, P=0.08). In subgroup analysis of patients taking clopidogrel, or patients with acute coronary syndrome, there was no significant difference in the ratio of cardiovascular events (7 vs. 16, 6 vs. 17, NS). The non-PPI group had a tendency of an increased risk of gastrointestinal events compared with the PPI group (0 vs. 9, P=0.06; 1 vs. 7, P=0.14)., CONCLUSIONS: In contrast to the negative drug interaction of PPI reported elsewhere, in the present study the intake of PPI was not associated with an increased risk for adverse clinical outcomes in patients treated with stents.","author":[{"dropping-particle":"","family":"Chitose","given":"Tadasuke","non-dropping-particle":"","parse-names":false,"suffix":""},{"dropping-particle":"","family":"Hokimoto","given":"Seiji","non-dropping-particle":"","parse-names":false,"suffix":""},{"dropping-particle":"","family":"Oshima","given":"Shuichi","non-dropping-particle":"","parse-names":false,"suffix":""},{"dropping-particle":"","family":"Nakao","given":"Koichi","non-dropping-particle":"","parse-names":false,"suffix":""},{"dropping-particle":"","family":"Fujimoto","given":"Kazuteru","non-dropping-particle":"","parse-names":false,"suffix":""},{"dropping-particle":"","family":"Miyao","given":"Yuji","non-dropping-particle":"","parse-names":false,"suffix":""},{"dropping-particle":"","family":"Shimomura","given":"Hideki","non-dropping-particle":"","parse-names":false,"suffix":""},{"dropping-particle":"","family":"Tsunoda","given":"Ryusuke","non-dropping-particle":"","parse-names":false,"suffix":""},{"dropping-particle":"","family":"Maruyama","given":"Hideki","non-dropping-particle":"","parse-names":false,"suffix":""},{"dropping-particle":"","family":"Hirose","given":"Toyoki","non-dropping-particle":"","parse-names":false,"suffix":""},{"dropping-particle":"","family":"Yamamoto","given":"Koichiro","non-dropping-particle":"","parse-names":false,"suffix":""},{"dropping-particle":"","family":"Mizobe","given":"Michio","non-dropping-particle":"","parse-names":false,"suffix":""},{"dropping-particle":"","family":"Kaikita","given":"Koichi","non-dropping-particle":"","parse-names":false,"suffix":""},{"dropping-particle":"","family":"Nakamura","given":"Sunao","non-dropping-particle":"","parse-names":false,"suffix":""},{"dropping-particle":"","family":"Ogawa","given":"Hisao","non-dropping-particle":"","parse-names":false,"suffix":""}],"container-title":"Circulation journal : official journal of the Japanese Circulation Society","id":"ITEM-1","issue":"1","issued":{"date-parts":[["2012"]]},"note":"495","page":"71-78","publisher":"Chitose,Tadasuke. Department of Cardiovascular Medicine, Graduate School of Medical Sciences, Kumamoto University, Kumamoto, Japan.","publisher-place":"Japan","title":"Clinical outcomes following coronary stenting in Japanese patients treated with and without proton pump inhibitor.","type":"article-journal","volume":"76"},"uris":["http://www.mendeley.com/documents/?uuid=bd780bc7-c9e6-4bf3-97c4-0cd4563f3392"]}],"mendeley":{"formattedCitation":"(Chitose et al. 2012)","plainTextFormattedCitation":"(Chitose et al. 2012)","previouslyFormattedCitation":"(Chitose et al. 2012)"},"properties":{"noteIndex":0},"schema":"https://github.com/citation-style-language/schema/raw/master/csl-citation.json"}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(Chitose et al. 2012)</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7FA009BB"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PCI</w:t>
            </w:r>
          </w:p>
        </w:tc>
        <w:tc>
          <w:tcPr>
            <w:tcW w:w="1418" w:type="dxa"/>
            <w:tcBorders>
              <w:top w:val="nil"/>
              <w:left w:val="nil"/>
              <w:bottom w:val="single" w:sz="4" w:space="0" w:color="808080"/>
              <w:right w:val="nil"/>
            </w:tcBorders>
            <w:shd w:val="clear" w:color="auto" w:fill="FFFFFF"/>
            <w:vAlign w:val="center"/>
            <w:hideMark/>
          </w:tcPr>
          <w:p w14:paraId="39A23808"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Stroke (18 months)</w:t>
            </w:r>
          </w:p>
        </w:tc>
        <w:tc>
          <w:tcPr>
            <w:tcW w:w="4819" w:type="dxa"/>
            <w:tcBorders>
              <w:top w:val="nil"/>
              <w:left w:val="nil"/>
              <w:bottom w:val="single" w:sz="4" w:space="0" w:color="808080"/>
              <w:right w:val="nil"/>
            </w:tcBorders>
            <w:shd w:val="clear" w:color="auto" w:fill="FFFFFF"/>
            <w:vAlign w:val="center"/>
            <w:hideMark/>
          </w:tcPr>
          <w:p w14:paraId="1F4C505E" w14:textId="41DC9EBD"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i/>
                <w:iCs/>
                <w:sz w:val="18"/>
                <w:szCs w:val="18"/>
                <w:lang w:eastAsia="en-CA"/>
              </w:rPr>
              <w:t>Clopidogrel users</w:t>
            </w:r>
            <w:r>
              <w:rPr>
                <w:rFonts w:ascii="Calibri" w:eastAsia="Times New Roman" w:hAnsi="Calibri" w:cs="Times New Roman"/>
                <w:sz w:val="18"/>
                <w:szCs w:val="18"/>
                <w:lang w:eastAsia="en-CA"/>
              </w:rPr>
              <w:br/>
              <w:t xml:space="preserve">PPI: 1% (N=187); no PPI:  2% (N=443);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0.6;</w:t>
            </w:r>
          </w:p>
        </w:tc>
        <w:tc>
          <w:tcPr>
            <w:tcW w:w="3686" w:type="dxa"/>
            <w:tcBorders>
              <w:top w:val="nil"/>
              <w:left w:val="nil"/>
              <w:bottom w:val="single" w:sz="4" w:space="0" w:color="808080"/>
              <w:right w:val="nil"/>
            </w:tcBorders>
            <w:shd w:val="clear" w:color="auto" w:fill="FFFFFF"/>
            <w:vAlign w:val="center"/>
            <w:hideMark/>
          </w:tcPr>
          <w:p w14:paraId="4DB3E83C"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No increased risk of adverse events with PPI after PCI/stent implantation.</w:t>
            </w:r>
          </w:p>
        </w:tc>
      </w:tr>
      <w:tr w:rsidR="00227061" w14:paraId="56CCFF68" w14:textId="77777777" w:rsidTr="00EC2B27">
        <w:trPr>
          <w:trHeight w:val="720"/>
        </w:trPr>
        <w:tc>
          <w:tcPr>
            <w:tcW w:w="1701" w:type="dxa"/>
            <w:tcBorders>
              <w:top w:val="nil"/>
              <w:left w:val="nil"/>
              <w:bottom w:val="single" w:sz="4" w:space="0" w:color="808080"/>
              <w:right w:val="nil"/>
            </w:tcBorders>
            <w:shd w:val="clear" w:color="auto" w:fill="FFFFFF"/>
            <w:vAlign w:val="center"/>
            <w:hideMark/>
          </w:tcPr>
          <w:p w14:paraId="1DB8342E" w14:textId="3CFA6D2E"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{"citationItems":[{"id":"ITEM-1","itemData":{"ISBN":"1470-269X","ISSN":"1473-1150","abstract":"We examined clinical outcomes with proton pump inhibitors (PPI) use within CYP2C19 genotype groups during clopidogrel treatment following acute myocardial infarction (AMI). 2062 patients were genotyped for CYP2C19*2 and*17 variants in TRIUMPH. 12 month clinical outcomes were analyzed among patients discharged on clopidogrel within CYP2C19*2 carrier, CYP2C19*17 carrier, and CYP2C19*1 homozygote genotype groups. PPI use was not associated with a difference in mortality. Among clopidogrel-treated Caucasians following AMI, PPI use was associated with a significantly higher rate of cardiac rehospitalization (HR 1.62, 95% CI 1.19-2.19; P=0.002) compared with no PPI use. PPI users who were carriers of the CYP2C19*17 variant experienced significantly higher rates of cardiac rehospitalization (HR 2.05, 95% CI 1.26-3.33; P=0.003), carriers of the CYP2C19*2 variant had a trend toward increased 1-year cardiac rehospitalization (HR 1.69, 95% CI 0.95-2.99; P=0.07), while no significant differences were observed among CYP2C19*1 homozygotes. These results indicate that the risks associated with PPI use among clopidogrel-treated Caucasian post-MI patients are impacted by CYP2C19 genotype, and suggest knowledge of genotype may be useful for personalizing PPI use among patients following AMI to reduce rehospitalization.","author":[{"dropping-particle":"","family":"Depta","given":"J P","non-dropping-particle":"","parse-names":false,"suffix":""},{"dropping-particle":"","family":"Lenzini","given":"P A","non-dropping-particle":"","parse-names":false,"suffix":""},{"dropping-particle":"","family":"Lanfear","given":"D E","non-dropping-particle":"","parse-names":false,"suffix":""},{"dropping-particle":"","family":"Wang","given":"T Y","non-dropping-particle":"","parse-names":false,"suffix":""},{"dropping-particle":"","family":"Spertus","given":"J A","non-dropping-particle":"","parse-names":false,"suffix":""},{"dropping-particle":"","family":"Bach","given":"R G","non-dropping-particle":"","parse-names":false,"suffix":""},{"dropping-particle":"","family":"Cresci","given":"S","non-dropping-particle":"","parse-names":false,"suffix":""}],"container-title":"Pharmacogenomics Journal","id":"ITEM-1","issue":"1","issued":{"date-parts":[["2015"]]},"note":"63","page":"20-25","publisher":"Depta,J P. Washington University School of Medicine, Department of Medicine, St Louis, MO, USA.","publisher-place":"United States","title":"Clinical outcomes associated with proton pump inhibitor use among clopidogrel-treated patients within CYP2C19 genotype groups following acute myocardial infarction","type":"article-journal","volume":"15"},"uris":["http://www.mendeley.com/documents/?uuid=b6cd58cf-d234-4f50-a963-4f7bfa35cbb6"]}],"mendeley":{"formattedCitation":"(Depta et al. 2015)","plainTextFormattedCitation":"(Depta et al. 2015)","previouslyFormattedCitation":"(Depta et al. 2015)"},"properties":{"noteIndex":0},"schema":"https://github.com/citation-style-language/schema/raw/master/csl-citation.json"}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(Depta et al. 2015)</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3EB69344"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ACS</w:t>
            </w:r>
          </w:p>
        </w:tc>
        <w:tc>
          <w:tcPr>
            <w:tcW w:w="1418" w:type="dxa"/>
            <w:tcBorders>
              <w:top w:val="nil"/>
              <w:left w:val="nil"/>
              <w:bottom w:val="single" w:sz="4" w:space="0" w:color="808080"/>
              <w:right w:val="nil"/>
            </w:tcBorders>
            <w:shd w:val="clear" w:color="auto" w:fill="FFFFFF"/>
            <w:vAlign w:val="center"/>
            <w:hideMark/>
          </w:tcPr>
          <w:p w14:paraId="7D3C6746"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Stroke (1 year)</w:t>
            </w:r>
          </w:p>
        </w:tc>
        <w:tc>
          <w:tcPr>
            <w:tcW w:w="4819" w:type="dxa"/>
            <w:tcBorders>
              <w:top w:val="nil"/>
              <w:left w:val="nil"/>
              <w:bottom w:val="single" w:sz="4" w:space="0" w:color="808080"/>
              <w:right w:val="nil"/>
            </w:tcBorders>
            <w:shd w:val="clear" w:color="auto" w:fill="FFFFFF"/>
            <w:vAlign w:val="center"/>
            <w:hideMark/>
          </w:tcPr>
          <w:p w14:paraId="1152E4E4" w14:textId="47C28ED4"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i/>
                <w:iCs/>
                <w:color w:val="000000"/>
                <w:sz w:val="18"/>
                <w:szCs w:val="18"/>
                <w:lang w:eastAsia="en-CA"/>
              </w:rPr>
              <w:t>Clopidogrel users</w:t>
            </w:r>
            <w:r>
              <w:rPr>
                <w:rFonts w:ascii="Calibri" w:eastAsia="Times New Roman" w:hAnsi="Calibri" w:cs="Times New Roman"/>
                <w:color w:val="000000"/>
                <w:sz w:val="18"/>
                <w:szCs w:val="18"/>
                <w:lang w:eastAsia="en-CA"/>
              </w:rPr>
              <w:br/>
              <w:t xml:space="preserve">Unadjusted rates: PPI: 0% (N=372); no PPI: 0.1% (N=1690); </w:t>
            </w:r>
            <w:r w:rsidR="00EC672E">
              <w:rPr>
                <w:rFonts w:ascii="Calibri" w:eastAsia="Times New Roman" w:hAnsi="Calibri" w:cs="Times New Roman"/>
                <w:color w:val="000000"/>
                <w:sz w:val="18"/>
                <w:szCs w:val="18"/>
                <w:lang w:eastAsia="en-CA"/>
              </w:rPr>
              <w:t>p-value</w:t>
            </w:r>
            <w:r>
              <w:rPr>
                <w:rFonts w:ascii="Calibri" w:eastAsia="Times New Roman" w:hAnsi="Calibri" w:cs="Times New Roman"/>
                <w:color w:val="000000"/>
                <w:sz w:val="18"/>
                <w:szCs w:val="18"/>
                <w:lang w:eastAsia="en-CA"/>
              </w:rPr>
              <w:t xml:space="preserve">: 1; </w:t>
            </w:r>
          </w:p>
        </w:tc>
        <w:tc>
          <w:tcPr>
            <w:tcW w:w="3686" w:type="dxa"/>
            <w:tcBorders>
              <w:top w:val="nil"/>
              <w:left w:val="nil"/>
              <w:bottom w:val="single" w:sz="4" w:space="0" w:color="808080"/>
              <w:right w:val="nil"/>
            </w:tcBorders>
            <w:shd w:val="clear" w:color="auto" w:fill="FFFFFF"/>
            <w:vAlign w:val="center"/>
            <w:hideMark/>
          </w:tcPr>
          <w:p w14:paraId="3423A711"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PPI use was associated increased cardiac rehospitalisation and risk varied by genotype.</w:t>
            </w:r>
          </w:p>
        </w:tc>
      </w:tr>
      <w:tr w:rsidR="00227061" w14:paraId="7134ABD7" w14:textId="77777777" w:rsidTr="00EC2B27">
        <w:trPr>
          <w:trHeight w:val="720"/>
        </w:trPr>
        <w:tc>
          <w:tcPr>
            <w:tcW w:w="1701" w:type="dxa"/>
            <w:tcBorders>
              <w:top w:val="nil"/>
              <w:left w:val="nil"/>
              <w:bottom w:val="single" w:sz="4" w:space="0" w:color="808080"/>
              <w:right w:val="nil"/>
            </w:tcBorders>
            <w:shd w:val="clear" w:color="auto" w:fill="FFFFFF"/>
            <w:vAlign w:val="center"/>
            <w:hideMark/>
          </w:tcPr>
          <w:p w14:paraId="116F1685" w14:textId="1FCC49D3"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DOI":"10.1016/S0016-5085(10)62300-1","ISSN":"0016-5085","author":[{"dropping-particle":"","family":"Hokimoto","given":"Seiji","non-dropping-particle":"","parse-names":false,"suffix":""},{"dropping-particle":"","family":"Ogawa","given":"Hisao","non-dropping-particle":"","parse-names":false,"suffix":""}],"container-title":"Gastroenterology","id":"ITEM-1","issue":"5","issued":{"date-parts":[["2010"]]},"note":"NULL","page":"S-498","publisher":"AGA","title":"Is it Safe to use a Proton Pump Inhibitor With Clopidogrel? A Comparison of Clopidogrel With or Without Rabeprazole in Japan","type":"article-journal","volume":"138"},"uris":["http://www.mendeley.com/documents/?uuid=ccb94450-c0f8-49bf-9596-bf15dfe7e156"]}],"mendeley":{"formattedCitation":"(Hokimoto and Ogawa 2010)","plainTextFormattedCitation":"(Hokimoto and Ogawa 2010)","previouslyFormattedCitation":"(Hokimoto and Ogawa 2010)"},"properties":{"noteIndex":0},"schema":"https://github.com/citation-style-language/schema/raw/master/csl-citation.json"}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sidR="00D325C7" w:rsidRPr="00D325C7">
              <w:rPr>
                <w:rFonts w:ascii="Calibri" w:eastAsia="Times New Roman" w:hAnsi="Calibri" w:cs="Times New Roman"/>
                <w:noProof/>
                <w:color w:val="000000"/>
                <w:sz w:val="18"/>
                <w:szCs w:val="18"/>
                <w:lang w:eastAsia="en-CA"/>
              </w:rPr>
              <w:t>(Hokimoto and Ogawa 2010)</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p w14:paraId="6DBFA8B5" w14:textId="6851FC36" w:rsidR="00227061" w:rsidRDefault="00227061" w:rsidP="00227061">
            <w:pPr>
              <w:spacing w:after="0" w:line="240" w:lineRule="auto"/>
              <w:rPr>
                <w:rFonts w:ascii="Calibri" w:eastAsia="Times New Roman" w:hAnsi="Calibri" w:cs="Times New Roman"/>
                <w:color w:val="000000"/>
                <w:sz w:val="18"/>
                <w:szCs w:val="18"/>
                <w:lang w:eastAsia="en-CA"/>
              </w:rPr>
            </w:pPr>
          </w:p>
        </w:tc>
        <w:tc>
          <w:tcPr>
            <w:tcW w:w="1276" w:type="dxa"/>
            <w:tcBorders>
              <w:top w:val="nil"/>
              <w:left w:val="nil"/>
              <w:bottom w:val="single" w:sz="4" w:space="0" w:color="808080"/>
              <w:right w:val="nil"/>
            </w:tcBorders>
            <w:shd w:val="clear" w:color="auto" w:fill="FFFFFF"/>
            <w:vAlign w:val="center"/>
            <w:hideMark/>
          </w:tcPr>
          <w:p w14:paraId="6CB81107"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On aspirin and clopidogrel</w:t>
            </w:r>
          </w:p>
        </w:tc>
        <w:tc>
          <w:tcPr>
            <w:tcW w:w="1418" w:type="dxa"/>
            <w:tcBorders>
              <w:top w:val="nil"/>
              <w:left w:val="nil"/>
              <w:bottom w:val="single" w:sz="4" w:space="0" w:color="808080"/>
              <w:right w:val="nil"/>
            </w:tcBorders>
            <w:shd w:val="clear" w:color="auto" w:fill="FFFFFF"/>
            <w:vAlign w:val="center"/>
            <w:hideMark/>
          </w:tcPr>
          <w:p w14:paraId="6C721B52"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Stroke (1 year)</w:t>
            </w:r>
          </w:p>
        </w:tc>
        <w:tc>
          <w:tcPr>
            <w:tcW w:w="4819" w:type="dxa"/>
            <w:tcBorders>
              <w:top w:val="nil"/>
              <w:left w:val="nil"/>
              <w:bottom w:val="single" w:sz="4" w:space="0" w:color="808080"/>
              <w:right w:val="nil"/>
            </w:tcBorders>
            <w:shd w:val="clear" w:color="auto" w:fill="FFFFFF"/>
            <w:vAlign w:val="center"/>
            <w:hideMark/>
          </w:tcPr>
          <w:p w14:paraId="708F1AA3" w14:textId="0DEE3083"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i/>
                <w:iCs/>
                <w:sz w:val="18"/>
                <w:szCs w:val="18"/>
                <w:lang w:eastAsia="en-CA"/>
              </w:rPr>
              <w:t>Clopidogrel and aspirin users</w:t>
            </w:r>
            <w:r>
              <w:rPr>
                <w:rFonts w:ascii="Calibri" w:eastAsia="Times New Roman" w:hAnsi="Calibri" w:cs="Times New Roman"/>
                <w:sz w:val="18"/>
                <w:szCs w:val="18"/>
                <w:lang w:eastAsia="en-CA"/>
              </w:rPr>
              <w:br/>
              <w:t xml:space="preserve">PPI (rabep): 3% (N=37); no PPI: 1% (N=133); </w:t>
            </w:r>
            <w:r w:rsidR="00EC672E">
              <w:rPr>
                <w:rFonts w:ascii="Calibri" w:eastAsia="Times New Roman" w:hAnsi="Calibri" w:cs="Times New Roman"/>
                <w:sz w:val="18"/>
                <w:szCs w:val="18"/>
                <w:lang w:eastAsia="en-CA"/>
              </w:rPr>
              <w:t>p-value</w:t>
            </w:r>
            <w:r>
              <w:rPr>
                <w:rFonts w:ascii="Calibri" w:eastAsia="Times New Roman" w:hAnsi="Calibri" w:cs="Times New Roman"/>
                <w:sz w:val="18"/>
                <w:szCs w:val="18"/>
                <w:lang w:eastAsia="en-CA"/>
              </w:rPr>
              <w:t>: 0.37;</w:t>
            </w:r>
          </w:p>
        </w:tc>
        <w:tc>
          <w:tcPr>
            <w:tcW w:w="3686" w:type="dxa"/>
            <w:tcBorders>
              <w:top w:val="nil"/>
              <w:left w:val="nil"/>
              <w:bottom w:val="single" w:sz="4" w:space="0" w:color="808080"/>
              <w:right w:val="nil"/>
            </w:tcBorders>
            <w:shd w:val="clear" w:color="auto" w:fill="FFFFFF"/>
            <w:vAlign w:val="center"/>
            <w:hideMark/>
          </w:tcPr>
          <w:p w14:paraId="3CFDD72D"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No significant difference in clinical outcomes between rabeprazole treated and non-rabeprazole group.</w:t>
            </w:r>
          </w:p>
        </w:tc>
      </w:tr>
      <w:tr w:rsidR="00227061" w14:paraId="458DF8CC" w14:textId="77777777" w:rsidTr="00EC2B27">
        <w:trPr>
          <w:trHeight w:val="720"/>
        </w:trPr>
        <w:tc>
          <w:tcPr>
            <w:tcW w:w="1701" w:type="dxa"/>
            <w:tcBorders>
              <w:top w:val="nil"/>
              <w:left w:val="nil"/>
              <w:bottom w:val="single" w:sz="4" w:space="0" w:color="808080"/>
              <w:right w:val="nil"/>
            </w:tcBorders>
            <w:shd w:val="clear" w:color="auto" w:fill="FFFFFF"/>
            <w:vAlign w:val="center"/>
            <w:hideMark/>
          </w:tcPr>
          <w:p w14:paraId="0CB156C9" w14:textId="7BA6E0E8" w:rsidR="00227061" w:rsidRDefault="00227061"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{"citationItems":[{"id":"ITEM-1","itemData":{"ISSN":"1952-4005","abstract":"BACKGROUND: Dual antiplatelet therapy (aspirin plus clopidogrel) is recommended in patients undergoing percutaneous coronary intervention (PCI). Treatment with proton pump inhibitors (PPIs) decreases bleeding rate. Alarming reports have been made that PPIs may decrease the antiplatelet activity of clopidogrel. We sought to determine whether levels of interleukin-6 (IL-6) and transforming growth factor-beta1 (TGF-beta1) might help distinguish individuals at risk for adverse events., METHODS: Thirty-eight patients on aspirin and clopidogrel were enrolled and divided into two groups: group 1 [patients receiving omeprazole (n = 18)] and group 2 [patients not receiving omeprazole (n = 20)]. Patients underwent PCI and were scheduled for twelve-month clinical follow-up. The major, adverse cardiac and cerebrovascular events (MACCE) include death, re-hospitalization for acute coronary syndromes, and stroke., RESULTS: Median concentrations of IL-6 were higher in group 1 at 4.7 pg/mL, in comparison with group 2, 1.65 pg/mL (p = 0.003). Median concentrations of TGF-beta1 were similar in both groups (p = 0.5). Patients in group 1 had a significantly higher leukocyte count [103/mm3] (median 7.5 vs 6.5; p = 0.04). There were no deaths during follow-up. The incidence of myocardial infarction was higher in group 1 (33.4% vs 5.0%; p = 0.03). MACCE at twelve months were more frequent in group 1 (55.6% vs 20.0%; p = 0.02). The cut-off value to predict MACCEs for IL-6 was &gt; 3.6 pg/mL (sensitivity 64%, specificity 88%, positive predictive value 75%, negative predictive value 81%)., INTERPRETATION: We show here that concomitant omeprazole use is associated with an increased inflammatory reaction. Drug interactions may reduce the anti-inflammatory effect of clopidogrel. This mechanism maybe responsible for an increased risk of non-fatal, cardiovascular events, following stent placement.","author":[{"dropping-particle":"","family":"Hudzik","given":"Bartosz","non-dropping-particle":"","parse-names":false,"suffix":""},{"dropping-particle":"","family":"Szkodzinski","given":"Janusz","non-dropping-particle":"","parse-names":false,"suffix":""},{"dropping-particle":"","family":"Danikiewicz","given":"Aleksander","non-dropping-particle":"","parse-names":false,"suffix":""},{"dropping-particle":"","family":"Wilczek","given":"Krzysztof","non-dropping-particle":"","parse-names":false,"suffix":""},{"dropping-particle":"","family":"Romanowski","given":"Wojciech","non-dropping-particle":"","parse-names":false,"suffix":""},{"dropping-particle":"","family":"Lekston","given":"Andrzej","non-dropping-particle":"","parse-names":false,"suffix":""},{"dropping-particle":"","family":"Polonski","given":"Lech","non-dropping-particle":"","parse-names":false,"suffix":""},{"dropping-particle":"","family":"Zubelewicz-Szkodzinska","given":"Barbara","non-dropping-particle":"","parse-names":false,"suffix":""}],"container-title":"European cytokine network","id":"ITEM-1","issue":"4","issued":{"date-parts":[["2010"]]},"note":"709","page":"257-263","publisher":"Hudzik,Bartosz. 3rd Department of Cardiology, Silesian Center for Heart Disease, Medical University of Silesia, Zabrze, Poland. bartekh@mp.pl","publisher-place":"France","title":"Effect of omeprazole on the concentration of interleukin-6 and transforming growth factor-beta1 in patients receiving dual antiplatelet therapy after percutaneous coronary intervention.","type":"article-journal","volume":"21"},"uris":["http://www.mendeley.com/documents/?uuid=ce45dd8f-bf01-452e-bf64-468df4605515"]}],"mendeley":{"formattedCitation":"(Hudzik et al. 2010)","plainTextFormattedCitation":"(Hudzik et al. 2010)","previouslyFormattedCitation":"(Hudzik et al. 2010)"},"properties":{"noteIndex":0},"schema":"https://github.com/citation-style-language/schema/raw/master/csl-citation.json"}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(Hudzik et al. 2010)</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808080"/>
              <w:right w:val="nil"/>
            </w:tcBorders>
            <w:shd w:val="clear" w:color="auto" w:fill="FFFFFF"/>
            <w:vAlign w:val="center"/>
            <w:hideMark/>
          </w:tcPr>
          <w:p w14:paraId="0A5B2448"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Stent</w:t>
            </w:r>
          </w:p>
        </w:tc>
        <w:tc>
          <w:tcPr>
            <w:tcW w:w="1418" w:type="dxa"/>
            <w:tcBorders>
              <w:top w:val="nil"/>
              <w:left w:val="nil"/>
              <w:bottom w:val="single" w:sz="4" w:space="0" w:color="808080"/>
              <w:right w:val="nil"/>
            </w:tcBorders>
            <w:shd w:val="clear" w:color="auto" w:fill="FFFFFF"/>
            <w:vAlign w:val="center"/>
            <w:hideMark/>
          </w:tcPr>
          <w:p w14:paraId="658B87AA"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Stroke (1 year)</w:t>
            </w:r>
          </w:p>
        </w:tc>
        <w:tc>
          <w:tcPr>
            <w:tcW w:w="4819" w:type="dxa"/>
            <w:tcBorders>
              <w:top w:val="nil"/>
              <w:left w:val="nil"/>
              <w:bottom w:val="single" w:sz="4" w:space="0" w:color="808080"/>
              <w:right w:val="nil"/>
            </w:tcBorders>
            <w:shd w:val="clear" w:color="auto" w:fill="FFFFFF"/>
            <w:vAlign w:val="center"/>
            <w:hideMark/>
          </w:tcPr>
          <w:p w14:paraId="34E076BA" w14:textId="05C7CEBC" w:rsidR="00227061" w:rsidRDefault="00227061" w:rsidP="006F61B0">
            <w:pPr>
              <w:spacing w:after="0" w:line="240" w:lineRule="auto"/>
              <w:rPr>
                <w:rFonts w:ascii="Calibri" w:eastAsia="Times New Roman" w:hAnsi="Calibri" w:cs="Times New Roman"/>
                <w:sz w:val="18"/>
                <w:szCs w:val="18"/>
                <w:lang w:eastAsia="en-CA"/>
              </w:rPr>
            </w:pPr>
            <w:r>
              <w:rPr>
                <w:rFonts w:ascii="Calibri" w:eastAsia="Times New Roman" w:hAnsi="Calibri" w:cs="Times New Roman"/>
                <w:i/>
                <w:iCs/>
                <w:sz w:val="18"/>
                <w:szCs w:val="18"/>
                <w:lang w:eastAsia="en-CA"/>
              </w:rPr>
              <w:t>Clopidogrel and aspirin users</w:t>
            </w:r>
            <w:r>
              <w:rPr>
                <w:rFonts w:ascii="Calibri" w:eastAsia="Times New Roman" w:hAnsi="Calibri" w:cs="Times New Roman"/>
                <w:sz w:val="18"/>
                <w:szCs w:val="18"/>
                <w:lang w:eastAsia="en-CA"/>
              </w:rPr>
              <w:br/>
            </w:r>
            <w:r>
              <w:rPr>
                <w:rFonts w:ascii="Calibri" w:eastAsia="Times New Roman" w:hAnsi="Calibri" w:cs="Times New Roman"/>
                <w:color w:val="000000"/>
                <w:sz w:val="18"/>
                <w:szCs w:val="18"/>
                <w:lang w:eastAsia="en-CA"/>
              </w:rPr>
              <w:t xml:space="preserve">PPI: 11.1% (N=18); no PPI: 5.0% (N=20);  </w:t>
            </w:r>
            <w:r w:rsidR="00EC672E">
              <w:rPr>
                <w:rFonts w:ascii="Calibri" w:eastAsia="Times New Roman" w:hAnsi="Calibri" w:cs="Times New Roman"/>
                <w:color w:val="000000"/>
                <w:sz w:val="18"/>
                <w:szCs w:val="18"/>
                <w:lang w:eastAsia="en-CA"/>
              </w:rPr>
              <w:t>p-value</w:t>
            </w:r>
            <w:r>
              <w:rPr>
                <w:rFonts w:ascii="Calibri" w:eastAsia="Times New Roman" w:hAnsi="Calibri" w:cs="Times New Roman"/>
                <w:color w:val="000000"/>
                <w:sz w:val="18"/>
                <w:szCs w:val="18"/>
                <w:lang w:eastAsia="en-CA"/>
              </w:rPr>
              <w:t>: 0.4;</w:t>
            </w:r>
          </w:p>
        </w:tc>
        <w:tc>
          <w:tcPr>
            <w:tcW w:w="3686" w:type="dxa"/>
            <w:tcBorders>
              <w:top w:val="nil"/>
              <w:left w:val="nil"/>
              <w:bottom w:val="single" w:sz="4" w:space="0" w:color="808080"/>
              <w:right w:val="nil"/>
            </w:tcBorders>
            <w:shd w:val="clear" w:color="auto" w:fill="FFFFFF"/>
            <w:vAlign w:val="center"/>
            <w:hideMark/>
          </w:tcPr>
          <w:p w14:paraId="22377B9D" w14:textId="77777777" w:rsidR="00227061" w:rsidRDefault="00227061"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No association between concomitant clopidogrel/omeprazole treatment and stroke after stent implantation.</w:t>
            </w:r>
          </w:p>
        </w:tc>
      </w:tr>
      <w:tr w:rsidR="00D325C7" w14:paraId="3C8F7D60" w14:textId="77777777" w:rsidTr="008F1453">
        <w:trPr>
          <w:trHeight w:val="720"/>
        </w:trPr>
        <w:tc>
          <w:tcPr>
            <w:tcW w:w="1701" w:type="dxa"/>
            <w:tcBorders>
              <w:top w:val="nil"/>
              <w:left w:val="nil"/>
              <w:bottom w:val="single" w:sz="4" w:space="0" w:color="auto"/>
              <w:right w:val="nil"/>
            </w:tcBorders>
            <w:shd w:val="clear" w:color="auto" w:fill="FFFFFF"/>
            <w:vAlign w:val="center"/>
            <w:hideMark/>
          </w:tcPr>
          <w:p w14:paraId="4096DD4F" w14:textId="77777777" w:rsidR="00D325C7" w:rsidRDefault="00D325C7" w:rsidP="008F1453">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{"citationItems":[{"id":"ITEM-1","itemData":{"ISBN":"0160-2446","ISSN":"1533-4023","abstract":"BACKGROUND: Among patients receiving clopidogrel for coronary artery disease, concomitant therapy with proton pump inhibitors (PPIs) has been associated with an increased risk for recurrent coronary events., PATIENTS AND METHODS: Factores de Riesgo y ENfermedad Arterial (FRENA) is an ongoing, multicenter, observational registry of consecutive outpatients with coronary artery disease, cerebrovascular disease, or peripheral artery disease. We retrospectively examined the influence of concomitant use of PPIs on outcome in patients receiving clopidogrel., RESULTS: As of March 2009, 1222 patients were using clopidogrel: 595 had coronary artery disease, 329 cerebrovascular disease, and 298 had peripheral artery disease. Of these, 519 (42%) were concomitantly using PPIs. Over a mean follow-up of 15 months, 131 patients (11%) had 139 subsequent ischemic events: myocardial infarction 44, ischemic stroke 40, and critical limb ischemia 55. Seventeen of them (13%) died within 15 days of the subsequent event. PPI users had a higher incidence of myocardial infarction (rate ratio, 2.5; 95% confidence interval [CI], 1.3-4.8), ischemic stroke (rate ratio, 1.9; 95% CI, 1.03-3.7), and a nonsignificantly higher rate of critical limb ischemia (rate ratio, 1.6; 95% CI, 0.95-2.8) than nonusers. On multivariate analysis, concomitant use of clopidogrel and PPIs was independently associated with an increased risk for subsequent ischemic events both in the whole series of patients (hazard ratio, 1.8; 95% CI, 1.1-2.7) and in those with cerebrovascular disease or peripheral artery disease (hazard ratio, 1.5; 95% CI, 1.01-2.4)., CONCLUSIONS: In patients with established arterial disease, concomitant use of PPIs and clopidogrel was associated with a nearly doubling of the incidence of subsequent myocardial infarction or ischemic stroke. This higher incidence persisted after multivariate adjustment.","author":[{"dropping-particle":"","family":"Munoz-Torrero","given":"Juan Francisco Sanchez","non-dropping-particle":"","parse-names":false,"suffix":""},{"dropping-particle":"","family":"Escudero","given":"Domingo","non-dropping-particle":"","parse-names":false,"suffix":""},{"dropping-particle":"","family":"Suarez","given":"Carmen","non-dropping-particle":"","parse-names":false,"suffix":""},{"dropping-particle":"","family":"Sanclemente","given":"Carmen","non-dropping-particle":"","parse-names":false,"suffix":""},{"dropping-particle":"","family":"Pascual","given":"Ma Teresa","non-dropping-particle":"","parse-names":false,"suffix":""},{"dropping-particle":"","family":"Zamorano","given":"Jose","non-dropping-particle":"","parse-names":false,"suffix":""},{"dropping-particle":"","family":"Trujillo-Santos","given":"Javier","non-dropping-particle":"","parse-names":false,"suffix":""},{"dropping-particle":"","family":"Monreal","given":"Manuel","non-dropping-particle":"","parse-names":false,"suffix":""}],"container-title":"Journal of Cardiovascular Pharmacology","id":"ITEM-1","issue":"1","issued":{"date-parts":[["2011"]]},"note":"552","page":"13-19","publisher":"Munoz-Torrero,Juan Francisco Sanchez. Department of Internal Medicine, Hospital San Pedro de Alcantara, Caceres, Spain.","publisher-place":"United States","title":"Concomitant use of proton pump inhibitors and clopidogrel in patients with coronary, cerebrovascular, or peripheral artery disease in the factores de Riesgo y ENfermedad Arterial (FRENA) registry.","type":"article-journal","volume":"57"},"uris":["http://www.mendeley.com/documents/?uuid=7ccdd93e-d639-4d86-832e-ce5da21047ba"]}],"mendeley":{"formattedCitation":"(Munoz-Torrero et al. 2011)","plainTextFormattedCitation":"(Munoz-Torrero et al. 2011)","previouslyFormattedCitation":"(Munoz-Torrero et al. 2011)"},"properties":{"noteIndex":0},"schema":"https://github.com/citation-style-language/schema/raw/master/csl-citation.json"}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(Munoz-Torrero et al. 2011)</w:t>
            </w:r>
            <w:r>
              <w:rPr>
                <w:rFonts w:ascii="Calibri" w:eastAsia="Times New Roman" w:hAnsi="Calibri" w:cs="Times New Roman"/>
                <w:color w:val="000000"/>
                <w:sz w:val="18"/>
                <w:szCs w:val="18"/>
                <w:lang w:eastAsia="en-CA"/>
              </w:rPr>
              <w:fldChar w:fldCharType="end"/>
            </w:r>
            <w:r>
              <w:rPr>
                <w:rFonts w:ascii="Calibri" w:eastAsia="Times New Roman" w:hAnsi="Calibri" w:cs="Times New Roman"/>
                <w:color w:val="000000"/>
                <w:sz w:val="18"/>
                <w:szCs w:val="18"/>
                <w:lang w:eastAsia="en-CA"/>
              </w:rPr>
              <w:t xml:space="preserve"> </w:t>
            </w:r>
          </w:p>
        </w:tc>
        <w:tc>
          <w:tcPr>
            <w:tcW w:w="1276" w:type="dxa"/>
            <w:tcBorders>
              <w:top w:val="nil"/>
              <w:left w:val="nil"/>
              <w:bottom w:val="single" w:sz="4" w:space="0" w:color="auto"/>
              <w:right w:val="nil"/>
            </w:tcBorders>
            <w:shd w:val="clear" w:color="auto" w:fill="FFFFFF"/>
            <w:vAlign w:val="center"/>
            <w:hideMark/>
          </w:tcPr>
          <w:p w14:paraId="76B4E6E1" w14:textId="77777777" w:rsidR="00D325C7" w:rsidRDefault="00D325C7" w:rsidP="008F1453">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CAD, cerebrovascular or PAD</w:t>
            </w:r>
          </w:p>
        </w:tc>
        <w:tc>
          <w:tcPr>
            <w:tcW w:w="1418" w:type="dxa"/>
            <w:tcBorders>
              <w:top w:val="nil"/>
              <w:left w:val="nil"/>
              <w:bottom w:val="single" w:sz="4" w:space="0" w:color="auto"/>
              <w:right w:val="nil"/>
            </w:tcBorders>
            <w:shd w:val="clear" w:color="auto" w:fill="FFFFFF"/>
            <w:vAlign w:val="center"/>
            <w:hideMark/>
          </w:tcPr>
          <w:p w14:paraId="150A3502" w14:textId="77777777" w:rsidR="00D325C7" w:rsidRDefault="00D325C7" w:rsidP="008F1453">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Stroke (at least 1 year)</w:t>
            </w:r>
          </w:p>
        </w:tc>
        <w:tc>
          <w:tcPr>
            <w:tcW w:w="4819" w:type="dxa"/>
            <w:tcBorders>
              <w:top w:val="nil"/>
              <w:left w:val="nil"/>
              <w:bottom w:val="single" w:sz="4" w:space="0" w:color="auto"/>
              <w:right w:val="nil"/>
            </w:tcBorders>
            <w:shd w:val="clear" w:color="auto" w:fill="FFFFFF"/>
            <w:vAlign w:val="center"/>
            <w:hideMark/>
          </w:tcPr>
          <w:p w14:paraId="43A05D86" w14:textId="77777777" w:rsidR="00D325C7" w:rsidRDefault="00D325C7" w:rsidP="008F1453">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i/>
                <w:iCs/>
                <w:color w:val="000000"/>
                <w:sz w:val="18"/>
                <w:szCs w:val="18"/>
                <w:lang w:eastAsia="en-CA"/>
              </w:rPr>
              <w:t>Clopidogrel users</w:t>
            </w:r>
            <w:r>
              <w:rPr>
                <w:rFonts w:ascii="Calibri" w:eastAsia="Times New Roman" w:hAnsi="Calibri" w:cs="Times New Roman"/>
                <w:color w:val="000000"/>
                <w:sz w:val="18"/>
                <w:szCs w:val="18"/>
                <w:lang w:eastAsia="en-CA"/>
              </w:rPr>
              <w:br/>
            </w:r>
            <w:r>
              <w:rPr>
                <w:rFonts w:ascii="Calibri" w:eastAsia="Times New Roman" w:hAnsi="Calibri" w:cs="Times New Roman"/>
                <w:b/>
                <w:bCs/>
                <w:i/>
                <w:iCs/>
                <w:color w:val="000000"/>
                <w:sz w:val="18"/>
                <w:szCs w:val="18"/>
                <w:lang w:eastAsia="en-CA"/>
              </w:rPr>
              <w:t xml:space="preserve">All patients: </w:t>
            </w:r>
            <w:r>
              <w:rPr>
                <w:rFonts w:ascii="Calibri" w:eastAsia="Times New Roman" w:hAnsi="Calibri" w:cs="Times New Roman"/>
                <w:color w:val="000000"/>
                <w:sz w:val="18"/>
                <w:szCs w:val="18"/>
                <w:lang w:eastAsia="en-CA"/>
              </w:rPr>
              <w:t>Unadjusted RR,  1.9 (1.03–3.7), PPI: N= 519, no PPI: N= 703</w:t>
            </w:r>
            <w:r>
              <w:rPr>
                <w:rFonts w:ascii="Calibri" w:eastAsia="Times New Roman" w:hAnsi="Calibri" w:cs="Times New Roman"/>
                <w:color w:val="000000"/>
                <w:sz w:val="18"/>
                <w:szCs w:val="18"/>
                <w:lang w:eastAsia="en-CA"/>
              </w:rPr>
              <w:br/>
            </w:r>
            <w:r>
              <w:rPr>
                <w:rFonts w:ascii="Calibri" w:eastAsia="Times New Roman" w:hAnsi="Calibri" w:cs="Times New Roman"/>
                <w:b/>
                <w:bCs/>
                <w:i/>
                <w:iCs/>
                <w:color w:val="000000"/>
                <w:sz w:val="18"/>
                <w:szCs w:val="18"/>
                <w:lang w:eastAsia="en-CA"/>
              </w:rPr>
              <w:t xml:space="preserve">PAD patients: </w:t>
            </w:r>
            <w:r>
              <w:rPr>
                <w:rFonts w:ascii="Calibri" w:eastAsia="Times New Roman" w:hAnsi="Calibri" w:cs="Times New Roman"/>
                <w:color w:val="000000"/>
                <w:sz w:val="18"/>
                <w:szCs w:val="18"/>
                <w:lang w:eastAsia="en-CA"/>
              </w:rPr>
              <w:t>Unadjusted RR 10 (1.6–225), PPI: N=130, no PPI: N=168;</w:t>
            </w:r>
            <w:r>
              <w:rPr>
                <w:rFonts w:ascii="Calibri" w:eastAsia="Times New Roman" w:hAnsi="Calibri" w:cs="Times New Roman"/>
                <w:color w:val="000000"/>
                <w:sz w:val="18"/>
                <w:szCs w:val="18"/>
                <w:lang w:eastAsia="en-CA"/>
              </w:rPr>
              <w:br/>
            </w:r>
            <w:r>
              <w:rPr>
                <w:rFonts w:ascii="Calibri" w:eastAsia="Times New Roman" w:hAnsi="Calibri" w:cs="Times New Roman"/>
                <w:b/>
                <w:bCs/>
                <w:i/>
                <w:iCs/>
                <w:color w:val="000000"/>
                <w:sz w:val="18"/>
                <w:szCs w:val="18"/>
                <w:lang w:eastAsia="en-CA"/>
              </w:rPr>
              <w:t xml:space="preserve">CVD patients: </w:t>
            </w:r>
            <w:r>
              <w:rPr>
                <w:rFonts w:ascii="Calibri" w:eastAsia="Times New Roman" w:hAnsi="Calibri" w:cs="Times New Roman"/>
                <w:color w:val="000000"/>
                <w:sz w:val="18"/>
                <w:szCs w:val="18"/>
                <w:lang w:eastAsia="en-CA"/>
              </w:rPr>
              <w:t>Unadjusted RR 1.5 (0.7–3.3) , N PPI: N=142, no PPI: N=187;</w:t>
            </w:r>
            <w:r>
              <w:rPr>
                <w:rFonts w:ascii="Calibri" w:eastAsia="Times New Roman" w:hAnsi="Calibri" w:cs="Times New Roman"/>
                <w:color w:val="000000"/>
                <w:sz w:val="18"/>
                <w:szCs w:val="18"/>
                <w:lang w:eastAsia="en-CA"/>
              </w:rPr>
              <w:br/>
            </w:r>
            <w:r>
              <w:rPr>
                <w:rFonts w:ascii="Calibri" w:eastAsia="Times New Roman" w:hAnsi="Calibri" w:cs="Times New Roman"/>
                <w:b/>
                <w:bCs/>
                <w:i/>
                <w:iCs/>
                <w:color w:val="000000"/>
                <w:sz w:val="18"/>
                <w:szCs w:val="18"/>
                <w:lang w:eastAsia="en-CA"/>
              </w:rPr>
              <w:t xml:space="preserve">CAD patients: </w:t>
            </w:r>
            <w:r>
              <w:rPr>
                <w:rFonts w:ascii="Calibri" w:eastAsia="Times New Roman" w:hAnsi="Calibri" w:cs="Times New Roman"/>
                <w:color w:val="000000"/>
                <w:sz w:val="18"/>
                <w:szCs w:val="18"/>
                <w:lang w:eastAsia="en-CA"/>
              </w:rPr>
              <w:t>Unadjusted RR 1.3 (0.1–12), PPI: N=247, no PPI: N= 348;</w:t>
            </w:r>
          </w:p>
        </w:tc>
        <w:tc>
          <w:tcPr>
            <w:tcW w:w="3686" w:type="dxa"/>
            <w:tcBorders>
              <w:top w:val="nil"/>
              <w:left w:val="nil"/>
              <w:bottom w:val="single" w:sz="4" w:space="0" w:color="auto"/>
              <w:right w:val="nil"/>
            </w:tcBorders>
            <w:shd w:val="clear" w:color="auto" w:fill="FFFFFF"/>
            <w:vAlign w:val="center"/>
            <w:hideMark/>
          </w:tcPr>
          <w:p w14:paraId="7A30C8AD" w14:textId="77777777" w:rsidR="00D325C7" w:rsidRDefault="00D325C7" w:rsidP="008F1453">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xml:space="preserve">Concomitant use of PPIs and clopidogrel is associated with an increased incidence of MI and stroke in patients with established arterial disease. </w:t>
            </w:r>
          </w:p>
        </w:tc>
      </w:tr>
      <w:tr w:rsidR="00D325C7" w14:paraId="59A1B35B" w14:textId="77777777" w:rsidTr="008F1453">
        <w:trPr>
          <w:trHeight w:val="720"/>
        </w:trPr>
        <w:tc>
          <w:tcPr>
            <w:tcW w:w="1701" w:type="dxa"/>
            <w:tcBorders>
              <w:top w:val="nil"/>
              <w:left w:val="nil"/>
              <w:bottom w:val="single" w:sz="4" w:space="0" w:color="808080"/>
              <w:right w:val="nil"/>
            </w:tcBorders>
            <w:shd w:val="clear" w:color="auto" w:fill="FFFFFF"/>
            <w:vAlign w:val="center"/>
          </w:tcPr>
          <w:p w14:paraId="06FED4B5" w14:textId="77777777" w:rsidR="00D325C7" w:rsidRDefault="00D325C7" w:rsidP="008F1453">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Pr>
                <w:rFonts w:ascii="Calibri" w:eastAsia="Times New Roman" w:hAnsi="Calibri" w:cs="Times New Roman"/>
                <w:color w:val="000000"/>
                <w:sz w:val="18"/>
                <w:szCs w:val="18"/>
                <w:lang w:eastAsia="en-CA"/>
              </w:rPr>
              <w:instrText>ADDIN CSL_CITATION {"citationItems":[{"id":"ITEM-1","itemData":{"DOI":"https://dx.doi.org/10.1177/1076029616669787","ISBN":"1938-2723","PMID":"27637911","abstract":"OBJECTIVE: Conflicting data exist as to whether proton-pump inhibitors (PPIs) diminish the efficacy of clopidogrel. The aim of this study was to investigate the association between cytochrome P450 ( CYP) genetic variants and clinical adverse outcomes of concomitant use of PPIs and clopidogrel by patients. METHODS: We consecutively enrolled 523 patients with ischemic stroke receiving clopidogrel. Platelet aggregation was measured before and after 7 to 10 days of clopidogrel treatment. Single-nucleotide polymorphisms of CYP3A4, CYP3A5, CYP2C19*2, and CYP2C19*3 were examined using mass spectrometry. The primary outcome was a composite of recurrent ischemic stroke (RIS), myocardial infarction (MI), and vascular death that occurred during the 1-year follow-up period. The safety outcome was hemorrhagic episodes that occurred during the 1-year follow-up period. RESULTS: This study comprised a total of 523 patients with IS, 96.3% (155/161) patients treated with PPIs and 95.9% (347/362) in patients treated without PPIs completed 1-year follow-up. The primary outcome was observed in 69 (13.7%) patients (56 RIS, 7 MI, and 6 died). There was no significant difference in the frequencies of primary outcome and safety outcome between patients treated with or without PPIs. The frequency of primary outcome was significantly higher in patients carrying CYP2C19*2 AG/AA genotype receiving PPIs compared with the same genotype in those not receiving PPIs. The PPIs used in patients carrying CYP2C19*2 AG/AA was independently associated with the primary outcome after adjusting for other risk factors. CONCLUSIONS: The concomitant use of PPIs and clopidogrel may be associated with an increased risk of RIS, MI, or vascular death in patients with IS carrying reduced-function CYP2C19*2.","author":[{"dropping-particle":"","family":"Yi","given":"X","non-dropping-particle":"","parse-names":false,"suffix":""},{"dropping-particle":"","family":"Han","given":"Z","non-dropping-particle":"","parse-names":false,"suffix":""},{"dropping-particle":"","family":"Zhou","given":"Q","non-dropping-particle":"","parse-names":false,"suffix":""},{"dropping-particle":"","family":"Cheng","given":"W","non-dropping-particle":"","parse-names":false,"suffix":""},{"dropping-particle":"","family":"Lin","given":"J","non-dropping-particle":"","parse-names":false,"suffix":""},{"dropping-particle":"","family":"Wang","given":"C","non-dropping-particle":"","parse-names":false,"suffix":""}],"container-title":"Clinical &amp; Applied Thrombosis/Hemostasis","id":"ITEM-1","issue":"1","issued":{"date-parts":[["2018"]]},"language":"English","note":"Yi, Xingyang\nHan, Zhao\nZhou, Qiang\nCheng, Wen\nLin, Jing\nWang, Chun","page":"55-62","title":"Concomitant Use of Proton-Pump Inhibitors and Clopidogrel Increases the Risk of Adverse Outcomes in Patients With Ischemic Stroke Carrying Reduced-Function CYP2C19 2","type":"article-journal","volume":"24"},"uris":["http://www.mendeley.com/documents/?uuid=3667af1d-a133-469b-a417-38d5a5bd15a2"]}],"mendeley":{"formattedCitation":"(Yi et al. 2018)","plainTextFormattedCitation":"(Yi et al. 2018)"},"properties":{"noteIndex":0},"schema":"https://github.com/citation-style-language/schema/raw/master/csl-citation.json"}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sidRPr="00D325C7">
              <w:rPr>
                <w:rFonts w:ascii="Calibri" w:eastAsia="Times New Roman" w:hAnsi="Calibri" w:cs="Times New Roman"/>
                <w:noProof/>
                <w:color w:val="000000"/>
                <w:sz w:val="18"/>
                <w:szCs w:val="18"/>
                <w:lang w:eastAsia="en-CA"/>
              </w:rPr>
              <w:t>(Yi et al. 2018)</w:t>
            </w:r>
            <w:r>
              <w:rPr>
                <w:rFonts w:ascii="Calibri" w:eastAsia="Times New Roman" w:hAnsi="Calibri" w:cs="Times New Roman"/>
                <w:color w:val="000000"/>
                <w:sz w:val="18"/>
                <w:szCs w:val="18"/>
                <w:lang w:eastAsia="en-CA"/>
              </w:rPr>
              <w:fldChar w:fldCharType="end"/>
            </w:r>
          </w:p>
        </w:tc>
        <w:tc>
          <w:tcPr>
            <w:tcW w:w="1276" w:type="dxa"/>
            <w:tcBorders>
              <w:top w:val="nil"/>
              <w:left w:val="nil"/>
              <w:bottom w:val="single" w:sz="4" w:space="0" w:color="808080"/>
              <w:right w:val="nil"/>
            </w:tcBorders>
            <w:shd w:val="clear" w:color="auto" w:fill="FFFFFF"/>
            <w:vAlign w:val="center"/>
          </w:tcPr>
          <w:p w14:paraId="7932E0E4" w14:textId="77777777" w:rsidR="00D325C7" w:rsidRDefault="00D325C7" w:rsidP="008F1453">
            <w:pPr>
              <w:spacing w:after="0" w:line="240" w:lineRule="auto"/>
              <w:rPr>
                <w:rFonts w:ascii="Calibri" w:eastAsia="Times New Roman" w:hAnsi="Calibri" w:cs="Times New Roman"/>
                <w:color w:val="000000"/>
                <w:sz w:val="18"/>
                <w:szCs w:val="18"/>
                <w:lang w:eastAsia="en-CA"/>
              </w:rPr>
            </w:pPr>
            <w:r w:rsidRPr="00D325C7">
              <w:rPr>
                <w:rFonts w:ascii="Calibri" w:eastAsia="Times New Roman" w:hAnsi="Calibri" w:cs="Times New Roman"/>
                <w:color w:val="000000"/>
                <w:sz w:val="18"/>
                <w:szCs w:val="18"/>
                <w:lang w:eastAsia="en-CA"/>
              </w:rPr>
              <w:t>Strok</w:t>
            </w:r>
            <w:r>
              <w:rPr>
                <w:rFonts w:ascii="Calibri" w:eastAsia="Times New Roman" w:hAnsi="Calibri" w:cs="Times New Roman"/>
                <w:color w:val="000000"/>
                <w:sz w:val="18"/>
                <w:szCs w:val="18"/>
                <w:lang w:eastAsia="en-CA"/>
              </w:rPr>
              <w:t>e patients</w:t>
            </w:r>
          </w:p>
        </w:tc>
        <w:tc>
          <w:tcPr>
            <w:tcW w:w="1418" w:type="dxa"/>
            <w:tcBorders>
              <w:top w:val="nil"/>
              <w:left w:val="nil"/>
              <w:bottom w:val="single" w:sz="4" w:space="0" w:color="808080"/>
              <w:right w:val="nil"/>
            </w:tcBorders>
            <w:shd w:val="clear" w:color="auto" w:fill="FFFFFF"/>
            <w:vAlign w:val="center"/>
          </w:tcPr>
          <w:p w14:paraId="2FEA936C" w14:textId="77777777" w:rsidR="00D325C7" w:rsidRDefault="00D325C7" w:rsidP="008F1453">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MI (1 year)</w:t>
            </w:r>
          </w:p>
        </w:tc>
        <w:tc>
          <w:tcPr>
            <w:tcW w:w="4819" w:type="dxa"/>
            <w:tcBorders>
              <w:top w:val="nil"/>
              <w:left w:val="nil"/>
              <w:bottom w:val="single" w:sz="4" w:space="0" w:color="808080"/>
              <w:right w:val="nil"/>
            </w:tcBorders>
            <w:shd w:val="clear" w:color="auto" w:fill="FFFFFF"/>
            <w:vAlign w:val="center"/>
          </w:tcPr>
          <w:p w14:paraId="09BF584B" w14:textId="77777777" w:rsidR="00D325C7" w:rsidRPr="00D325C7" w:rsidRDefault="00D325C7" w:rsidP="008F1453">
            <w:pPr>
              <w:spacing w:after="0" w:line="240" w:lineRule="auto"/>
              <w:rPr>
                <w:rFonts w:ascii="Calibri" w:eastAsia="Times New Roman" w:hAnsi="Calibri" w:cs="Times New Roman"/>
                <w:i/>
                <w:iCs/>
                <w:sz w:val="18"/>
                <w:szCs w:val="18"/>
                <w:lang w:eastAsia="en-CA"/>
              </w:rPr>
            </w:pPr>
            <w:r w:rsidRPr="00D325C7">
              <w:rPr>
                <w:rFonts w:ascii="Calibri" w:eastAsia="Times New Roman" w:hAnsi="Calibri" w:cs="Times New Roman"/>
                <w:i/>
                <w:iCs/>
                <w:sz w:val="18"/>
                <w:szCs w:val="18"/>
                <w:lang w:eastAsia="en-CA"/>
              </w:rPr>
              <w:t>Clopidogrel users</w:t>
            </w:r>
          </w:p>
          <w:p w14:paraId="5526752B" w14:textId="4BF979C9" w:rsidR="00D325C7" w:rsidRPr="005E0B8E" w:rsidRDefault="00D325C7" w:rsidP="00D325C7">
            <w:pPr>
              <w:spacing w:after="0" w:line="240" w:lineRule="auto"/>
              <w:rPr>
                <w:rFonts w:ascii="Calibri" w:eastAsia="Times New Roman" w:hAnsi="Calibri" w:cs="Times New Roman"/>
                <w:sz w:val="18"/>
                <w:szCs w:val="18"/>
                <w:lang w:eastAsia="en-CA"/>
              </w:rPr>
            </w:pPr>
            <w:r w:rsidRPr="005E0B8E">
              <w:rPr>
                <w:rFonts w:ascii="Calibri" w:eastAsia="Times New Roman" w:hAnsi="Calibri" w:cs="Times New Roman"/>
                <w:sz w:val="18"/>
                <w:szCs w:val="18"/>
                <w:lang w:eastAsia="en-CA"/>
              </w:rPr>
              <w:t>PPI: 25/155 (12.3%); no PPI: 44/347 (10.7%); p-value 0.63;</w:t>
            </w:r>
          </w:p>
        </w:tc>
        <w:tc>
          <w:tcPr>
            <w:tcW w:w="3686" w:type="dxa"/>
            <w:tcBorders>
              <w:top w:val="nil"/>
              <w:left w:val="nil"/>
              <w:bottom w:val="single" w:sz="4" w:space="0" w:color="808080"/>
              <w:right w:val="nil"/>
            </w:tcBorders>
            <w:shd w:val="clear" w:color="auto" w:fill="FFFFFF"/>
            <w:vAlign w:val="center"/>
          </w:tcPr>
          <w:p w14:paraId="3F69D1C8" w14:textId="77777777" w:rsidR="00D325C7" w:rsidRDefault="00D325C7" w:rsidP="008F1453">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No association between PPI use and MACE</w:t>
            </w:r>
            <w:r w:rsidRPr="00D325C7">
              <w:rPr>
                <w:rFonts w:ascii="Calibri" w:eastAsia="Times New Roman" w:hAnsi="Calibri" w:cs="Times New Roman"/>
                <w:color w:val="000000"/>
                <w:sz w:val="18"/>
                <w:szCs w:val="18"/>
                <w:lang w:eastAsia="en-CA"/>
              </w:rPr>
              <w:t xml:space="preserve"> among patients with a first time stroke.</w:t>
            </w:r>
          </w:p>
        </w:tc>
      </w:tr>
    </w:tbl>
    <w:p w14:paraId="57606C32" w14:textId="77777777" w:rsidR="00227061" w:rsidRDefault="00227061" w:rsidP="00227061">
      <w:pPr>
        <w:rPr>
          <w:rFonts w:eastAsia="Batang"/>
          <w:lang w:eastAsia="en-CA"/>
        </w:rPr>
      </w:pPr>
      <w:r w:rsidRPr="00C0609C">
        <w:rPr>
          <w:sz w:val="16"/>
          <w:szCs w:val="16"/>
          <w:vertAlign w:val="superscript"/>
        </w:rPr>
        <w:t xml:space="preserve">1 </w:t>
      </w:r>
      <w:r w:rsidRPr="00C0609C">
        <w:rPr>
          <w:sz w:val="16"/>
          <w:szCs w:val="16"/>
        </w:rPr>
        <w:t>When the authors’ conclusions regarding the association in question was missing, the reviewers arrived at a conclusion based on whether there was a statistically significant difference in the proportion of events between the treatment groups; these conclusions are bolded in this column.</w:t>
      </w:r>
    </w:p>
    <w:p w14:paraId="47295AD1" w14:textId="23257E0A" w:rsidR="00227061" w:rsidRPr="004D2802" w:rsidRDefault="00227061" w:rsidP="00B842AC">
      <w:pPr>
        <w:pStyle w:val="Heading5"/>
        <w:rPr>
          <w:sz w:val="18"/>
          <w:szCs w:val="18"/>
        </w:rPr>
      </w:pPr>
      <w:r w:rsidRPr="00B842AC">
        <w:rPr>
          <w:sz w:val="18"/>
          <w:szCs w:val="18"/>
        </w:rPr>
        <w:br w:type="page"/>
      </w:r>
      <w:r w:rsidRPr="00B842AC">
        <w:rPr>
          <w:sz w:val="18"/>
          <w:szCs w:val="18"/>
        </w:rPr>
        <w:lastRenderedPageBreak/>
        <w:t>Table</w:t>
      </w:r>
      <w:r w:rsidR="00B842AC" w:rsidRPr="00B842AC">
        <w:rPr>
          <w:sz w:val="18"/>
          <w:szCs w:val="18"/>
        </w:rPr>
        <w:t xml:space="preserve"> </w:t>
      </w:r>
      <w:r w:rsidR="00B842AC">
        <w:rPr>
          <w:sz w:val="18"/>
          <w:szCs w:val="18"/>
        </w:rPr>
        <w:t>S</w:t>
      </w:r>
      <w:r w:rsidR="00B842AC" w:rsidRPr="00B842AC">
        <w:rPr>
          <w:sz w:val="18"/>
          <w:szCs w:val="18"/>
        </w:rPr>
        <w:t>13</w:t>
      </w:r>
      <w:r w:rsidRPr="00B842AC">
        <w:rPr>
          <w:sz w:val="18"/>
          <w:szCs w:val="18"/>
        </w:rPr>
        <w:t xml:space="preserve">. Findings </w:t>
      </w:r>
      <w:r w:rsidR="00000F2D" w:rsidRPr="00B842AC">
        <w:rPr>
          <w:sz w:val="18"/>
          <w:szCs w:val="18"/>
        </w:rPr>
        <w:t xml:space="preserve">from an observational study </w:t>
      </w:r>
      <w:r w:rsidR="00620665" w:rsidRPr="00B842AC">
        <w:rPr>
          <w:sz w:val="18"/>
          <w:szCs w:val="18"/>
        </w:rPr>
        <w:t>t</w:t>
      </w:r>
      <w:r w:rsidRPr="00B842AC">
        <w:rPr>
          <w:sz w:val="18"/>
          <w:szCs w:val="18"/>
        </w:rPr>
        <w:t>hat reported counts/rates of events among PPI/</w:t>
      </w:r>
      <w:r w:rsidR="00620665" w:rsidRPr="00B842AC">
        <w:rPr>
          <w:sz w:val="18"/>
          <w:szCs w:val="18"/>
        </w:rPr>
        <w:t>ticlopidine users and users of ticlopidine</w:t>
      </w:r>
      <w:r w:rsidRPr="00B842AC">
        <w:rPr>
          <w:sz w:val="18"/>
          <w:szCs w:val="18"/>
        </w:rPr>
        <w:t xml:space="preserve"> alone (Group C). These findings were not included in the meta-analysis</w:t>
      </w:r>
      <w:r w:rsidRPr="007C20BA">
        <w:t>.</w:t>
      </w:r>
    </w:p>
    <w:tbl>
      <w:tblPr>
        <w:tblW w:w="12899" w:type="dxa"/>
        <w:tblLayout w:type="fixed"/>
        <w:tblLook w:val="04A0" w:firstRow="1" w:lastRow="0" w:firstColumn="1" w:lastColumn="0" w:noHBand="0" w:noVBand="1"/>
      </w:tblPr>
      <w:tblGrid>
        <w:gridCol w:w="2410"/>
        <w:gridCol w:w="1418"/>
        <w:gridCol w:w="1984"/>
        <w:gridCol w:w="4677"/>
        <w:gridCol w:w="2410"/>
      </w:tblGrid>
      <w:tr w:rsidR="00227061" w14:paraId="10D0997A" w14:textId="77777777" w:rsidTr="00000F2D">
        <w:trPr>
          <w:trHeight w:val="410"/>
          <w:tblHeader/>
        </w:trPr>
        <w:tc>
          <w:tcPr>
            <w:tcW w:w="2410" w:type="dxa"/>
            <w:tcBorders>
              <w:top w:val="single" w:sz="4" w:space="0" w:color="auto"/>
              <w:left w:val="nil"/>
              <w:bottom w:val="single" w:sz="4" w:space="0" w:color="auto"/>
              <w:right w:val="nil"/>
            </w:tcBorders>
            <w:shd w:val="clear" w:color="auto" w:fill="FFFFFF"/>
            <w:vAlign w:val="center"/>
            <w:hideMark/>
          </w:tcPr>
          <w:p w14:paraId="188DD826" w14:textId="2251CC70" w:rsidR="00227061" w:rsidRDefault="00227061" w:rsidP="006F61B0">
            <w:pPr>
              <w:spacing w:after="0" w:line="240" w:lineRule="auto"/>
              <w:rPr>
                <w:rFonts w:ascii="Calibri" w:eastAsia="Times New Roman" w:hAnsi="Calibri" w:cs="Times New Roman"/>
                <w:b/>
                <w:bCs/>
                <w:color w:val="000000"/>
                <w:sz w:val="18"/>
                <w:szCs w:val="18"/>
                <w:lang w:eastAsia="en-CA"/>
              </w:rPr>
            </w:pPr>
            <w:r>
              <w:rPr>
                <w:rFonts w:ascii="Calibri" w:eastAsia="Times New Roman" w:hAnsi="Calibri" w:cs="Times New Roman"/>
                <w:b/>
                <w:bCs/>
                <w:color w:val="000000"/>
                <w:sz w:val="18"/>
                <w:szCs w:val="18"/>
                <w:lang w:eastAsia="en-CA"/>
              </w:rPr>
              <w:t>Citation</w:t>
            </w:r>
            <w:r w:rsidR="00000F2D">
              <w:rPr>
                <w:rFonts w:ascii="Calibri" w:eastAsia="Times New Roman" w:hAnsi="Calibri" w:cs="Times New Roman"/>
                <w:b/>
                <w:bCs/>
                <w:color w:val="000000"/>
                <w:sz w:val="18"/>
                <w:szCs w:val="18"/>
                <w:lang w:eastAsia="en-CA"/>
              </w:rPr>
              <w:t>/Outcome</w:t>
            </w:r>
          </w:p>
        </w:tc>
        <w:tc>
          <w:tcPr>
            <w:tcW w:w="1418" w:type="dxa"/>
            <w:tcBorders>
              <w:top w:val="single" w:sz="4" w:space="0" w:color="auto"/>
              <w:left w:val="nil"/>
              <w:bottom w:val="single" w:sz="4" w:space="0" w:color="auto"/>
              <w:right w:val="nil"/>
            </w:tcBorders>
            <w:shd w:val="clear" w:color="auto" w:fill="FFFFFF"/>
            <w:vAlign w:val="center"/>
            <w:hideMark/>
          </w:tcPr>
          <w:p w14:paraId="14A9E394" w14:textId="77777777" w:rsidR="00227061" w:rsidRDefault="00227061" w:rsidP="00000F2D">
            <w:pPr>
              <w:spacing w:after="0" w:line="240" w:lineRule="auto"/>
              <w:jc w:val="center"/>
              <w:rPr>
                <w:rFonts w:ascii="Calibri" w:eastAsia="Times New Roman" w:hAnsi="Calibri" w:cs="Times New Roman"/>
                <w:b/>
                <w:bCs/>
                <w:color w:val="000000"/>
                <w:sz w:val="18"/>
                <w:szCs w:val="18"/>
                <w:lang w:eastAsia="en-CA"/>
              </w:rPr>
            </w:pPr>
            <w:r>
              <w:rPr>
                <w:rFonts w:ascii="Calibri" w:eastAsia="Times New Roman" w:hAnsi="Calibri" w:cs="Times New Roman"/>
                <w:b/>
                <w:bCs/>
                <w:color w:val="000000"/>
                <w:sz w:val="18"/>
                <w:szCs w:val="18"/>
                <w:lang w:eastAsia="en-CA"/>
              </w:rPr>
              <w:t>Patient population</w:t>
            </w:r>
          </w:p>
        </w:tc>
        <w:tc>
          <w:tcPr>
            <w:tcW w:w="1984" w:type="dxa"/>
            <w:tcBorders>
              <w:top w:val="single" w:sz="4" w:space="0" w:color="auto"/>
              <w:left w:val="nil"/>
              <w:bottom w:val="single" w:sz="4" w:space="0" w:color="auto"/>
              <w:right w:val="nil"/>
            </w:tcBorders>
            <w:shd w:val="clear" w:color="auto" w:fill="FFFFFF"/>
            <w:vAlign w:val="center"/>
            <w:hideMark/>
          </w:tcPr>
          <w:p w14:paraId="548C59F7" w14:textId="06531B58" w:rsidR="00227061" w:rsidRDefault="00227061" w:rsidP="009C4910">
            <w:pPr>
              <w:spacing w:after="0" w:line="240" w:lineRule="auto"/>
              <w:jc w:val="center"/>
              <w:rPr>
                <w:rFonts w:ascii="Calibri" w:eastAsia="Times New Roman" w:hAnsi="Calibri" w:cs="Times New Roman"/>
                <w:b/>
                <w:bCs/>
                <w:color w:val="000000"/>
                <w:sz w:val="18"/>
                <w:szCs w:val="18"/>
                <w:lang w:eastAsia="en-CA"/>
              </w:rPr>
            </w:pPr>
            <w:r>
              <w:rPr>
                <w:rFonts w:ascii="Calibri" w:eastAsia="Times New Roman" w:hAnsi="Calibri" w:cs="Times New Roman"/>
                <w:b/>
                <w:bCs/>
                <w:color w:val="000000"/>
                <w:sz w:val="18"/>
                <w:szCs w:val="18"/>
                <w:lang w:eastAsia="en-CA"/>
              </w:rPr>
              <w:t>Outcome (follow up)</w:t>
            </w:r>
          </w:p>
        </w:tc>
        <w:tc>
          <w:tcPr>
            <w:tcW w:w="4677" w:type="dxa"/>
            <w:tcBorders>
              <w:top w:val="single" w:sz="4" w:space="0" w:color="auto"/>
              <w:left w:val="nil"/>
              <w:bottom w:val="single" w:sz="4" w:space="0" w:color="auto"/>
              <w:right w:val="nil"/>
            </w:tcBorders>
            <w:shd w:val="clear" w:color="auto" w:fill="FFFFFF"/>
            <w:vAlign w:val="center"/>
            <w:hideMark/>
          </w:tcPr>
          <w:p w14:paraId="27643139" w14:textId="77777777" w:rsidR="00227061" w:rsidRDefault="00227061" w:rsidP="006F61B0">
            <w:pPr>
              <w:spacing w:after="0" w:line="240" w:lineRule="auto"/>
              <w:rPr>
                <w:rFonts w:ascii="Calibri" w:eastAsia="Times New Roman" w:hAnsi="Calibri" w:cs="Times New Roman"/>
                <w:b/>
                <w:bCs/>
                <w:sz w:val="18"/>
                <w:szCs w:val="18"/>
                <w:lang w:eastAsia="en-CA"/>
              </w:rPr>
            </w:pPr>
            <w:r>
              <w:rPr>
                <w:rFonts w:ascii="Calibri" w:eastAsia="Times New Roman" w:hAnsi="Calibri" w:cs="Times New Roman"/>
                <w:b/>
                <w:bCs/>
                <w:sz w:val="18"/>
                <w:szCs w:val="18"/>
                <w:lang w:eastAsia="en-CA"/>
              </w:rPr>
              <w:t>Counts/rates of events or unadjusted effect estimates and number of patients (N) in each exposure group</w:t>
            </w:r>
          </w:p>
        </w:tc>
        <w:tc>
          <w:tcPr>
            <w:tcW w:w="2410" w:type="dxa"/>
            <w:tcBorders>
              <w:top w:val="single" w:sz="4" w:space="0" w:color="auto"/>
              <w:left w:val="nil"/>
              <w:bottom w:val="single" w:sz="4" w:space="0" w:color="auto"/>
              <w:right w:val="nil"/>
            </w:tcBorders>
            <w:shd w:val="clear" w:color="auto" w:fill="FFFFFF"/>
            <w:vAlign w:val="center"/>
            <w:hideMark/>
          </w:tcPr>
          <w:p w14:paraId="49C11F0A" w14:textId="77777777" w:rsidR="00227061" w:rsidRDefault="00227061" w:rsidP="006F61B0">
            <w:pPr>
              <w:spacing w:after="0" w:line="240" w:lineRule="auto"/>
              <w:rPr>
                <w:rFonts w:ascii="Calibri" w:eastAsia="Times New Roman" w:hAnsi="Calibri" w:cs="Times New Roman"/>
                <w:b/>
                <w:bCs/>
                <w:color w:val="000000"/>
                <w:sz w:val="18"/>
                <w:szCs w:val="18"/>
                <w:lang w:eastAsia="en-CA"/>
              </w:rPr>
            </w:pPr>
            <w:r>
              <w:rPr>
                <w:rFonts w:ascii="Calibri" w:eastAsia="Times New Roman" w:hAnsi="Calibri" w:cs="Times New Roman"/>
                <w:b/>
                <w:bCs/>
                <w:color w:val="000000"/>
                <w:sz w:val="18"/>
                <w:szCs w:val="18"/>
                <w:lang w:eastAsia="en-CA"/>
              </w:rPr>
              <w:t>Overall author conclusion on the PPI-outcome of interest association</w:t>
            </w:r>
          </w:p>
        </w:tc>
      </w:tr>
      <w:tr w:rsidR="004D2802" w14:paraId="4AF399E2" w14:textId="77777777" w:rsidTr="00000F2D">
        <w:trPr>
          <w:trHeight w:val="433"/>
        </w:trPr>
        <w:tc>
          <w:tcPr>
            <w:tcW w:w="3828" w:type="dxa"/>
            <w:gridSpan w:val="2"/>
            <w:tcBorders>
              <w:top w:val="nil"/>
              <w:left w:val="nil"/>
              <w:bottom w:val="single" w:sz="4" w:space="0" w:color="808080"/>
              <w:right w:val="nil"/>
            </w:tcBorders>
            <w:shd w:val="clear" w:color="auto" w:fill="DCE6F1"/>
            <w:vAlign w:val="center"/>
            <w:hideMark/>
          </w:tcPr>
          <w:p w14:paraId="6D6B3140" w14:textId="090EE86A" w:rsidR="004D2802" w:rsidRDefault="00000F2D" w:rsidP="004D2802">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fldChar w:fldCharType="begin" w:fldLock="1"/>
            </w:r>
            <w:r w:rsidR="00D325C7">
              <w:rPr>
                <w:rFonts w:ascii="Calibri" w:eastAsia="Times New Roman" w:hAnsi="Calibri" w:cs="Times New Roman"/>
                <w:color w:val="000000"/>
                <w:sz w:val="18"/>
                <w:szCs w:val="18"/>
                <w:lang w:eastAsia="en-CA"/>
              </w:rPr>
              <w:instrText>ADDIN CSL_CITATION {"citationItems":[{"id":"ITEM-1","itemData":{"ISBN":"1868-4300","abstract":"Previous studies have shown inconsistent results regarding the effects of concomitant use of clopidogrel and proton pump inhibitors (PPI) on cardiovascular outcomes. We sought to evaluate the clinical impact of PPI-use in patients treated with thienopyridines after percutaneous coronary intervention (PCI) in a large Japanese observational database. Among 12446 patients discharged alive on thienopyridines (ticlopidine 90. 4% and clopidogrel 9. 6%), 3223 patients were treated with PPIs and 9223 patients without PPI at the time of hospital discharge. The PPI group included more patients with co-morbidities than the non-PPI group. The adjusted hazard ratio (HR) of PPI-use for a composite of cardiovascular death, myocardial infarction, and stroke was 1. 26 (95% confidence interval (CI) 1. 09-1. 47, p = 0. 002). The adjusted HR of PPI-use for bleeding was 1. 26 (95% CI 1. 05-1. 52, p = 0. 013). Cardiovascular and bleeding outcomes were not different among the three groups receiving three different types of PPI. The negative effect of PPI on cardiovascular outcome was consistently seen in both drug-eluting stent (DES) [HR 1. 31 (95% CI 1. 07-1. 6, p = 0. 0097)] and non-DES strata [HR 1. 25 (95% CI: 0. 99-1. 57, p = 0. 057)] (Interaction p = 0. 79) despite the fact that the duration of thienopyridine administration was significantly longer in patients receiving DES. In conclusion, cardiovascular outcomes after PCI were significantly worse in patients with PPI than in patients without PPI in the Japanese real clinical practice. However, the observed poorer cardiovascular outcome in patients receiving PPI was most likely to be related to residual confounding and seemed not causally related to attenuation of antiplatelet effect of thienopyridine through interaction with PPI. © 2011 Japanese Association of Cardiovascular Intervention and Therapeutics.","author":[{"dropping-particle":"","family":"Kimura","given":"T","non-dropping-particle":"","parse-names":false,"suffix":""},{"dropping-particle":"","family":"Morimoto","given":"T","non-dropping-particle":"","parse-names":false,"suffix":""},{"dropping-particle":"","family":"Furukawa","given":"Y","non-dropping-particle":"","parse-names":false,"suffix":""},{"dropping-particle":"","family":"Nakagawa","given":"Y","non-dropping-particle":"","parse-names":false,"suffix":""},{"dropping-particle":"","family":"Kadota","given":"K","non-dropping-particle":"","parse-names":false,"suffix":""},{"dropping-particle":"","family":"Iwabuchi","given":"M","non-dropping-particle":"","parse-names":false,"suffix":""},{"dropping-particle":"","family":"Shizuta","given":"S","non-dropping-particle":"","parse-names":false,"suffix":""},{"dropping-particle":"","family":"Shiomi","given":"H","non-dropping-particle":"","parse-names":false,"suffix":""},{"dropping-particle":"","family":"Tada","given":"T","non-dropping-particle":"","parse-names":false,"suffix":""},{"dropping-particle":"","family":"Tazaki","given":"J","non-dropping-particle":"","parse-names":false,"suffix":""},{"dropping-particle":"","family":"Kato","given":"Y","non-dropping-particle":"","parse-names":false,"suffix":""},{"dropping-particle":"","family":"Hayano","given":"M","non-dropping-particle":"","parse-names":false,"suffix":""},{"dropping-particle":"","family":"Abe","given":"M","non-dropping-particle":"","parse-names":false,"suffix":""},{"dropping-particle":"","family":"Tamura","given":"T","non-dropping-particle":"","parse-names":false,"suffix":""},{"dropping-particle":"","family":"Shirotani","given":"M","non-dropping-particle":"","parse-names":false,"suffix":""},{"dropping-particle":"","family":"Miki","given":"S","non-dropping-particle":"","parse-names":false,"suffix":""},{"dropping-particle":"","family":"Matsuda","given":"M","non-dropping-particle":"","parse-names":false,"suffix":""},{"dropping-particle":"","family":"Ishii","given":"K","non-dropping-particle":"","parse-names":false,"suffix":""},{"dropping-particle":"","family":"Tanaka","given":"M","non-dropping-particle":"","parse-names":false,"suffix":""},{"dropping-particle":"","family":"Aoyama","given":"T","non-dropping-particle":"","parse-names":false,"suffix":""},{"dropping-particle":"","family":"Doi","given":"O","non-dropping-particle":"","parse-names":false,"suffix":""},{"dropping-particle":"","family":"Hattori","given":"R","non-dropping-particle":"","parse-names":false,"suffix":""},{"dropping-particle":"","family":"Tatami","given":"R","non-dropping-particle":"","parse-names":false,"suffix":""},{"dropping-particle":"","family":"Suwa","given":"S","non-dropping-particle":"","parse-names":false,"suffix":""},{"dropping-particle":"","family":"Takizawa","given":"A","non-dropping-particle":"","parse-names":false,"suffix":""},{"dropping-particle":"","family":"Takatsu","given":"Y","non-dropping-particle":"","parse-names":false,"suffix":""},{"dropping-particle":"","family":"Takahashi","given":"M","non-dropping-particle":"","parse-names":false,"suffix":""},{"dropping-particle":"","family":"Kato","given":"H","non-dropping-particle":"","parse-names":false,"suffix":""},{"dropping-particle":"","family":"Takeda","given":"T","non-dropping-particle":"","parse-names":false,"suffix":""},{"dropping-particle":"","family":"Lee","given":"JD","non-dropping-particle":"","parse-names":false,"suffix":""},{"dropping-particle":"","family":"Nohara","given":"R","non-dropping-particle":"","parse-names":false,"suffix":""},{"dropping-particle":"","family":"Tei","given":"C","non-dropping-particle":"","parse-names":false,"suffix":""},{"dropping-particle":"","family":"Horie","given":"M","non-dropping-particle":"","parse-names":false,"suffix":""},{"dropping-particle":"","family":"Kambara","given":"H","non-dropping-particle":"","parse-names":false,"suffix":""},{"dropping-particle":"","family":"Fujiwara","given":"H","non-dropping-particle":"","parse-names":false,"suffix":""},{"dropping-particle":"","family":"Mitsudo","given":"K","non-dropping-particle":"","parse-names":false,"suffix":""},{"dropping-particle":"","family":"Nobuyoshi","given":"M","non-dropping-particle":"","parse-names":false,"suffix":""},{"dropping-particle":"","family":"Kita","given":"T","non-dropping-particle":"","parse-names":false,"suffix":""}],"container-title":"Cardiovascular Intervention and Therapeutics","id":"ITEM-1","issue":"3","issued":{"date-parts":[["2011"]]},"note":"587","page":"222-233","publisher":"Springer Japan (1-11-11 Kudan-kita, Chiyoda-ku, No. 2 Funato Bldg., Tokyo 102-0073, Japan)","publisher-place":"T. Kimura, Department of Cardiovascular Medicine, Graduate School of Medicine, Kyoto University, 54 Shogoin Kawahara-cho, Sakyo-ku, Kyoto, 606-8507, Japan. E-mail: taketaka@kuhp.kyoto-u.ac.jp","title":"Association of the use of proton pump inhibitors with adverse cardiovascular and bleeding outcomes after percutaneous coronary intervention in the Japanese real world clinical practice","type":"article","volume":"26"},"uris":["http://www.mendeley.com/documents/?uuid=44631a34-9be1-434c-a691-b151e3954466"]}],"mendeley":{"formattedCitation":"(Kimura et al. 2011)","plainTextFormattedCitation":"(Kimura et al. 2011)","previouslyFormattedCitation":"(Kimura et al. 2011)"},"properties":{"noteIndex":0},"schema":"https://github.com/citation-style-language/schema/raw/master/csl-citation.json"}</w:instrText>
            </w:r>
            <w:r>
              <w:rPr>
                <w:rFonts w:ascii="Calibri" w:eastAsia="Times New Roman" w:hAnsi="Calibri" w:cs="Times New Roman"/>
                <w:color w:val="000000"/>
                <w:sz w:val="18"/>
                <w:szCs w:val="18"/>
                <w:lang w:eastAsia="en-CA"/>
              </w:rPr>
              <w:fldChar w:fldCharType="separate"/>
            </w:r>
            <w:r>
              <w:rPr>
                <w:rFonts w:ascii="Calibri" w:eastAsia="Times New Roman" w:hAnsi="Calibri" w:cs="Times New Roman"/>
                <w:noProof/>
                <w:color w:val="000000"/>
                <w:sz w:val="18"/>
                <w:szCs w:val="18"/>
                <w:lang w:eastAsia="en-CA"/>
              </w:rPr>
              <w:t>(</w:t>
            </w:r>
            <w:r w:rsidRPr="00000F2D">
              <w:rPr>
                <w:rFonts w:ascii="Calibri" w:eastAsia="Times New Roman" w:hAnsi="Calibri" w:cs="Times New Roman"/>
                <w:b/>
                <w:bCs/>
                <w:noProof/>
                <w:color w:val="000000"/>
                <w:sz w:val="18"/>
                <w:szCs w:val="18"/>
                <w:lang w:eastAsia="en-CA"/>
              </w:rPr>
              <w:t>Kimura et al. 2011)</w:t>
            </w:r>
            <w:r>
              <w:rPr>
                <w:rFonts w:ascii="Calibri" w:eastAsia="Times New Roman" w:hAnsi="Calibri" w:cs="Times New Roman"/>
                <w:color w:val="000000"/>
                <w:sz w:val="18"/>
                <w:szCs w:val="18"/>
                <w:lang w:eastAsia="en-CA"/>
              </w:rPr>
              <w:fldChar w:fldCharType="end"/>
            </w:r>
          </w:p>
        </w:tc>
        <w:tc>
          <w:tcPr>
            <w:tcW w:w="1984" w:type="dxa"/>
            <w:tcBorders>
              <w:top w:val="nil"/>
              <w:left w:val="nil"/>
              <w:bottom w:val="single" w:sz="4" w:space="0" w:color="808080"/>
              <w:right w:val="nil"/>
            </w:tcBorders>
            <w:shd w:val="clear" w:color="auto" w:fill="DCE6F1"/>
            <w:noWrap/>
            <w:vAlign w:val="bottom"/>
            <w:hideMark/>
          </w:tcPr>
          <w:p w14:paraId="444D49DA" w14:textId="77777777" w:rsidR="004D2802" w:rsidRDefault="004D2802"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c>
          <w:tcPr>
            <w:tcW w:w="4677" w:type="dxa"/>
            <w:tcBorders>
              <w:top w:val="nil"/>
              <w:left w:val="nil"/>
              <w:bottom w:val="single" w:sz="4" w:space="0" w:color="808080"/>
              <w:right w:val="nil"/>
            </w:tcBorders>
            <w:shd w:val="clear" w:color="auto" w:fill="DCE6F1"/>
            <w:noWrap/>
            <w:vAlign w:val="bottom"/>
            <w:hideMark/>
          </w:tcPr>
          <w:p w14:paraId="641715B9" w14:textId="77777777" w:rsidR="004D2802" w:rsidRDefault="004D2802"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c>
          <w:tcPr>
            <w:tcW w:w="2410" w:type="dxa"/>
            <w:tcBorders>
              <w:top w:val="nil"/>
              <w:left w:val="nil"/>
              <w:bottom w:val="single" w:sz="4" w:space="0" w:color="808080"/>
              <w:right w:val="nil"/>
            </w:tcBorders>
            <w:shd w:val="clear" w:color="auto" w:fill="DCE6F1"/>
            <w:noWrap/>
            <w:vAlign w:val="bottom"/>
            <w:hideMark/>
          </w:tcPr>
          <w:p w14:paraId="64A938C4" w14:textId="77777777" w:rsidR="004D2802" w:rsidRDefault="004D2802"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w:t>
            </w:r>
          </w:p>
        </w:tc>
      </w:tr>
      <w:tr w:rsidR="00000F2D" w14:paraId="1208049B" w14:textId="77777777" w:rsidTr="00000F2D">
        <w:trPr>
          <w:trHeight w:val="579"/>
        </w:trPr>
        <w:tc>
          <w:tcPr>
            <w:tcW w:w="2410" w:type="dxa"/>
            <w:tcBorders>
              <w:top w:val="nil"/>
              <w:left w:val="nil"/>
              <w:bottom w:val="single" w:sz="4" w:space="0" w:color="808080"/>
              <w:right w:val="nil"/>
            </w:tcBorders>
            <w:vAlign w:val="center"/>
            <w:hideMark/>
          </w:tcPr>
          <w:p w14:paraId="7E635567" w14:textId="73A42275" w:rsidR="00000F2D" w:rsidRDefault="00000F2D"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xml:space="preserve">     All-cause mortality</w:t>
            </w:r>
          </w:p>
        </w:tc>
        <w:tc>
          <w:tcPr>
            <w:tcW w:w="1418" w:type="dxa"/>
            <w:tcBorders>
              <w:top w:val="nil"/>
              <w:left w:val="nil"/>
              <w:bottom w:val="single" w:sz="4" w:space="0" w:color="808080"/>
              <w:right w:val="nil"/>
            </w:tcBorders>
            <w:vAlign w:val="center"/>
            <w:hideMark/>
          </w:tcPr>
          <w:p w14:paraId="43D05C9C" w14:textId="77777777" w:rsidR="00000F2D" w:rsidRDefault="00000F2D" w:rsidP="00000F2D">
            <w:pPr>
              <w:spacing w:after="0" w:line="240" w:lineRule="auto"/>
              <w:jc w:val="center"/>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PCI</w:t>
            </w:r>
          </w:p>
        </w:tc>
        <w:tc>
          <w:tcPr>
            <w:tcW w:w="1984" w:type="dxa"/>
            <w:tcBorders>
              <w:top w:val="nil"/>
              <w:left w:val="nil"/>
              <w:bottom w:val="single" w:sz="4" w:space="0" w:color="808080"/>
              <w:right w:val="nil"/>
            </w:tcBorders>
            <w:vAlign w:val="center"/>
            <w:hideMark/>
          </w:tcPr>
          <w:p w14:paraId="2B7DA0D1" w14:textId="494C0271" w:rsidR="00000F2D" w:rsidRDefault="00000F2D" w:rsidP="00000F2D">
            <w:pPr>
              <w:spacing w:after="0" w:line="240" w:lineRule="auto"/>
              <w:jc w:val="center"/>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3 years</w:t>
            </w:r>
          </w:p>
        </w:tc>
        <w:tc>
          <w:tcPr>
            <w:tcW w:w="4677" w:type="dxa"/>
            <w:tcBorders>
              <w:top w:val="nil"/>
              <w:left w:val="nil"/>
              <w:bottom w:val="single" w:sz="4" w:space="0" w:color="808080"/>
              <w:right w:val="nil"/>
            </w:tcBorders>
            <w:vAlign w:val="center"/>
            <w:hideMark/>
          </w:tcPr>
          <w:p w14:paraId="0D8F4B18" w14:textId="77777777" w:rsidR="00000F2D" w:rsidRDefault="00000F2D"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i/>
                <w:iCs/>
                <w:color w:val="000000"/>
                <w:sz w:val="18"/>
                <w:szCs w:val="18"/>
                <w:lang w:eastAsia="en-CA"/>
              </w:rPr>
              <w:t>Ticlopidine</w:t>
            </w:r>
            <w:r>
              <w:rPr>
                <w:rFonts w:ascii="Calibri" w:eastAsia="Times New Roman" w:hAnsi="Calibri" w:cs="Times New Roman"/>
                <w:color w:val="000000"/>
                <w:sz w:val="18"/>
                <w:szCs w:val="18"/>
                <w:lang w:eastAsia="en-CA"/>
              </w:rPr>
              <w:t xml:space="preserve"> </w:t>
            </w:r>
            <w:r>
              <w:rPr>
                <w:rFonts w:ascii="Calibri" w:eastAsia="Times New Roman" w:hAnsi="Calibri" w:cs="Times New Roman"/>
                <w:i/>
                <w:iCs/>
                <w:color w:val="000000"/>
                <w:sz w:val="18"/>
                <w:szCs w:val="18"/>
                <w:lang w:eastAsia="en-CA"/>
              </w:rPr>
              <w:t>and</w:t>
            </w:r>
            <w:r>
              <w:rPr>
                <w:rFonts w:ascii="Calibri" w:eastAsia="Times New Roman" w:hAnsi="Calibri" w:cs="Times New Roman"/>
                <w:color w:val="000000"/>
                <w:sz w:val="18"/>
                <w:szCs w:val="18"/>
                <w:lang w:eastAsia="en-CA"/>
              </w:rPr>
              <w:t xml:space="preserve"> </w:t>
            </w:r>
            <w:r>
              <w:rPr>
                <w:rFonts w:ascii="Calibri" w:eastAsia="Times New Roman" w:hAnsi="Calibri" w:cs="Times New Roman"/>
                <w:i/>
                <w:iCs/>
                <w:color w:val="000000"/>
                <w:sz w:val="18"/>
                <w:szCs w:val="18"/>
                <w:lang w:eastAsia="en-CA"/>
              </w:rPr>
              <w:t>aspirin users</w:t>
            </w:r>
          </w:p>
          <w:p w14:paraId="707F5CEA" w14:textId="77777777" w:rsidR="00000F2D" w:rsidRDefault="00000F2D"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xml:space="preserve">PPI: 11.9%;  no PPI: 6.4%; </w:t>
            </w:r>
          </w:p>
          <w:p w14:paraId="4D40910A" w14:textId="5D52BE2A" w:rsidR="00000F2D" w:rsidRDefault="00EC672E"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p-value</w:t>
            </w:r>
            <w:r w:rsidR="00000F2D">
              <w:rPr>
                <w:rFonts w:ascii="Calibri" w:eastAsia="Times New Roman" w:hAnsi="Calibri" w:cs="Times New Roman"/>
                <w:color w:val="000000"/>
                <w:sz w:val="18"/>
                <w:szCs w:val="18"/>
                <w:lang w:eastAsia="en-CA"/>
              </w:rPr>
              <w:t>: &lt;0.0001</w:t>
            </w:r>
          </w:p>
        </w:tc>
        <w:tc>
          <w:tcPr>
            <w:tcW w:w="2410" w:type="dxa"/>
            <w:vMerge w:val="restart"/>
            <w:tcBorders>
              <w:top w:val="nil"/>
              <w:left w:val="nil"/>
              <w:right w:val="nil"/>
            </w:tcBorders>
            <w:vAlign w:val="center"/>
            <w:hideMark/>
          </w:tcPr>
          <w:p w14:paraId="410904C0" w14:textId="77777777" w:rsidR="00000F2D" w:rsidRDefault="00000F2D"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Possible association between PPI and MACE in the Japanese practice (antiplatelet therapy is ticlopidine and aspirin).</w:t>
            </w:r>
          </w:p>
        </w:tc>
      </w:tr>
      <w:tr w:rsidR="00000F2D" w14:paraId="1B70D43D" w14:textId="77777777" w:rsidTr="00000F2D">
        <w:trPr>
          <w:trHeight w:val="379"/>
        </w:trPr>
        <w:tc>
          <w:tcPr>
            <w:tcW w:w="2410" w:type="dxa"/>
            <w:tcBorders>
              <w:top w:val="nil"/>
              <w:left w:val="nil"/>
              <w:bottom w:val="single" w:sz="4" w:space="0" w:color="808080"/>
              <w:right w:val="nil"/>
            </w:tcBorders>
            <w:vAlign w:val="center"/>
            <w:hideMark/>
          </w:tcPr>
          <w:p w14:paraId="28E6492C" w14:textId="7ACAD9DD" w:rsidR="00000F2D" w:rsidRPr="00000F2D" w:rsidRDefault="00000F2D" w:rsidP="00000F2D">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i/>
                <w:iCs/>
                <w:color w:val="000000"/>
                <w:sz w:val="18"/>
                <w:szCs w:val="18"/>
                <w:lang w:eastAsia="en-CA"/>
              </w:rPr>
              <w:t xml:space="preserve">     </w:t>
            </w:r>
            <w:r w:rsidRPr="00000F2D">
              <w:rPr>
                <w:rFonts w:ascii="Calibri" w:eastAsia="Times New Roman" w:hAnsi="Calibri" w:cs="Times New Roman"/>
                <w:i/>
                <w:iCs/>
                <w:color w:val="000000"/>
                <w:sz w:val="18"/>
                <w:szCs w:val="18"/>
                <w:lang w:eastAsia="en-CA"/>
              </w:rPr>
              <w:t>Cardiovascular mortality</w:t>
            </w:r>
            <w:r w:rsidRPr="00000F2D">
              <w:rPr>
                <w:rFonts w:ascii="Calibri" w:eastAsia="Times New Roman" w:hAnsi="Calibri" w:cs="Times New Roman"/>
                <w:color w:val="000000"/>
                <w:sz w:val="18"/>
                <w:szCs w:val="18"/>
                <w:lang w:eastAsia="en-CA"/>
              </w:rPr>
              <w:t> </w:t>
            </w:r>
          </w:p>
        </w:tc>
        <w:tc>
          <w:tcPr>
            <w:tcW w:w="1418" w:type="dxa"/>
            <w:tcBorders>
              <w:top w:val="nil"/>
              <w:left w:val="nil"/>
              <w:bottom w:val="single" w:sz="4" w:space="0" w:color="808080"/>
              <w:right w:val="nil"/>
            </w:tcBorders>
            <w:vAlign w:val="center"/>
            <w:hideMark/>
          </w:tcPr>
          <w:p w14:paraId="2591F6D3" w14:textId="77777777" w:rsidR="00000F2D" w:rsidRDefault="00000F2D" w:rsidP="00000F2D">
            <w:pPr>
              <w:spacing w:after="0" w:line="240" w:lineRule="auto"/>
              <w:jc w:val="center"/>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PCI</w:t>
            </w:r>
          </w:p>
        </w:tc>
        <w:tc>
          <w:tcPr>
            <w:tcW w:w="1984" w:type="dxa"/>
            <w:tcBorders>
              <w:top w:val="nil"/>
              <w:left w:val="nil"/>
              <w:bottom w:val="single" w:sz="4" w:space="0" w:color="808080"/>
              <w:right w:val="nil"/>
            </w:tcBorders>
            <w:vAlign w:val="center"/>
            <w:hideMark/>
          </w:tcPr>
          <w:p w14:paraId="6BB6CE52" w14:textId="72F1AC2C" w:rsidR="00000F2D" w:rsidRDefault="00000F2D" w:rsidP="00000F2D">
            <w:pPr>
              <w:spacing w:after="0" w:line="240" w:lineRule="auto"/>
              <w:jc w:val="center"/>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3 years</w:t>
            </w:r>
          </w:p>
        </w:tc>
        <w:tc>
          <w:tcPr>
            <w:tcW w:w="4677" w:type="dxa"/>
            <w:tcBorders>
              <w:top w:val="nil"/>
              <w:left w:val="nil"/>
              <w:bottom w:val="single" w:sz="4" w:space="0" w:color="808080"/>
              <w:right w:val="nil"/>
            </w:tcBorders>
            <w:vAlign w:val="center"/>
            <w:hideMark/>
          </w:tcPr>
          <w:p w14:paraId="5F161F8A" w14:textId="77777777" w:rsidR="00000F2D" w:rsidRDefault="00000F2D"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i/>
                <w:iCs/>
                <w:color w:val="000000"/>
                <w:sz w:val="18"/>
                <w:szCs w:val="18"/>
                <w:lang w:eastAsia="en-CA"/>
              </w:rPr>
              <w:t>Ticlopidine</w:t>
            </w:r>
            <w:r>
              <w:rPr>
                <w:rFonts w:ascii="Calibri" w:eastAsia="Times New Roman" w:hAnsi="Calibri" w:cs="Times New Roman"/>
                <w:color w:val="000000"/>
                <w:sz w:val="18"/>
                <w:szCs w:val="18"/>
                <w:lang w:eastAsia="en-CA"/>
              </w:rPr>
              <w:t xml:space="preserve"> </w:t>
            </w:r>
            <w:r>
              <w:rPr>
                <w:rFonts w:ascii="Calibri" w:eastAsia="Times New Roman" w:hAnsi="Calibri" w:cs="Times New Roman"/>
                <w:i/>
                <w:iCs/>
                <w:color w:val="000000"/>
                <w:sz w:val="18"/>
                <w:szCs w:val="18"/>
                <w:lang w:eastAsia="en-CA"/>
              </w:rPr>
              <w:t>and</w:t>
            </w:r>
            <w:r>
              <w:rPr>
                <w:rFonts w:ascii="Calibri" w:eastAsia="Times New Roman" w:hAnsi="Calibri" w:cs="Times New Roman"/>
                <w:color w:val="000000"/>
                <w:sz w:val="18"/>
                <w:szCs w:val="18"/>
                <w:lang w:eastAsia="en-CA"/>
              </w:rPr>
              <w:t xml:space="preserve"> </w:t>
            </w:r>
            <w:r>
              <w:rPr>
                <w:rFonts w:ascii="Calibri" w:eastAsia="Times New Roman" w:hAnsi="Calibri" w:cs="Times New Roman"/>
                <w:i/>
                <w:iCs/>
                <w:color w:val="000000"/>
                <w:sz w:val="18"/>
                <w:szCs w:val="18"/>
                <w:lang w:eastAsia="en-CA"/>
              </w:rPr>
              <w:t>aspirin users</w:t>
            </w:r>
          </w:p>
          <w:p w14:paraId="6EC4E5CB" w14:textId="4A56301E" w:rsidR="00000F2D" w:rsidRDefault="00000F2D"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xml:space="preserve">PPI: 5% (N=3,223); no PPI: 3% (N=9,223); </w:t>
            </w:r>
            <w:r>
              <w:rPr>
                <w:rFonts w:ascii="Calibri" w:eastAsia="Times New Roman" w:hAnsi="Calibri" w:cs="Times New Roman"/>
                <w:color w:val="000000"/>
                <w:sz w:val="18"/>
                <w:szCs w:val="18"/>
                <w:lang w:eastAsia="en-CA"/>
              </w:rPr>
              <w:br/>
            </w:r>
            <w:r w:rsidR="00EC672E">
              <w:rPr>
                <w:rFonts w:ascii="Calibri" w:eastAsia="Times New Roman" w:hAnsi="Calibri" w:cs="Times New Roman"/>
                <w:color w:val="000000"/>
                <w:sz w:val="18"/>
                <w:szCs w:val="18"/>
                <w:lang w:eastAsia="en-CA"/>
              </w:rPr>
              <w:t>p-value</w:t>
            </w:r>
            <w:r>
              <w:rPr>
                <w:rFonts w:ascii="Calibri" w:eastAsia="Times New Roman" w:hAnsi="Calibri" w:cs="Times New Roman"/>
                <w:color w:val="000000"/>
                <w:sz w:val="18"/>
                <w:szCs w:val="18"/>
                <w:lang w:eastAsia="en-CA"/>
              </w:rPr>
              <w:t xml:space="preserve"> &lt;0.0001;</w:t>
            </w:r>
            <w:r>
              <w:rPr>
                <w:rFonts w:ascii="Calibri" w:eastAsia="Times New Roman" w:hAnsi="Calibri" w:cs="Times New Roman"/>
                <w:i/>
                <w:iCs/>
                <w:color w:val="000000"/>
                <w:sz w:val="18"/>
                <w:szCs w:val="18"/>
                <w:lang w:eastAsia="en-CA"/>
              </w:rPr>
              <w:t xml:space="preserve"> (cardiac death)</w:t>
            </w:r>
          </w:p>
        </w:tc>
        <w:tc>
          <w:tcPr>
            <w:tcW w:w="2410" w:type="dxa"/>
            <w:vMerge/>
            <w:tcBorders>
              <w:left w:val="nil"/>
              <w:right w:val="nil"/>
            </w:tcBorders>
            <w:vAlign w:val="center"/>
          </w:tcPr>
          <w:p w14:paraId="12B095D5" w14:textId="6B4D1BA4" w:rsidR="00000F2D" w:rsidRDefault="00000F2D" w:rsidP="006F61B0">
            <w:pPr>
              <w:spacing w:after="0" w:line="240" w:lineRule="auto"/>
              <w:rPr>
                <w:rFonts w:ascii="Calibri" w:eastAsia="Times New Roman" w:hAnsi="Calibri" w:cs="Times New Roman"/>
                <w:color w:val="000000"/>
                <w:sz w:val="18"/>
                <w:szCs w:val="18"/>
                <w:lang w:eastAsia="en-CA"/>
              </w:rPr>
            </w:pPr>
          </w:p>
        </w:tc>
      </w:tr>
      <w:tr w:rsidR="00000F2D" w14:paraId="76530818" w14:textId="77777777" w:rsidTr="00000F2D">
        <w:trPr>
          <w:trHeight w:val="477"/>
        </w:trPr>
        <w:tc>
          <w:tcPr>
            <w:tcW w:w="2410" w:type="dxa"/>
            <w:tcBorders>
              <w:top w:val="nil"/>
              <w:left w:val="nil"/>
              <w:bottom w:val="single" w:sz="4" w:space="0" w:color="808080"/>
              <w:right w:val="nil"/>
            </w:tcBorders>
            <w:vAlign w:val="center"/>
            <w:hideMark/>
          </w:tcPr>
          <w:p w14:paraId="6C8ADEA4" w14:textId="5314DAC3" w:rsidR="00000F2D" w:rsidRDefault="00000F2D"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xml:space="preserve">     Myocardial infarction</w:t>
            </w:r>
          </w:p>
        </w:tc>
        <w:tc>
          <w:tcPr>
            <w:tcW w:w="1418" w:type="dxa"/>
            <w:tcBorders>
              <w:top w:val="nil"/>
              <w:left w:val="nil"/>
              <w:bottom w:val="single" w:sz="4" w:space="0" w:color="808080"/>
              <w:right w:val="nil"/>
            </w:tcBorders>
            <w:vAlign w:val="center"/>
            <w:hideMark/>
          </w:tcPr>
          <w:p w14:paraId="268C3A75" w14:textId="77777777" w:rsidR="00000F2D" w:rsidRDefault="00000F2D" w:rsidP="00000F2D">
            <w:pPr>
              <w:spacing w:after="0" w:line="240" w:lineRule="auto"/>
              <w:jc w:val="center"/>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PCI</w:t>
            </w:r>
          </w:p>
        </w:tc>
        <w:tc>
          <w:tcPr>
            <w:tcW w:w="1984" w:type="dxa"/>
            <w:tcBorders>
              <w:top w:val="nil"/>
              <w:left w:val="nil"/>
              <w:bottom w:val="single" w:sz="4" w:space="0" w:color="808080"/>
              <w:right w:val="nil"/>
            </w:tcBorders>
            <w:vAlign w:val="center"/>
            <w:hideMark/>
          </w:tcPr>
          <w:p w14:paraId="6CAB6C8C" w14:textId="13E0CA89" w:rsidR="00000F2D" w:rsidRDefault="00000F2D" w:rsidP="00000F2D">
            <w:pPr>
              <w:spacing w:after="0" w:line="240" w:lineRule="auto"/>
              <w:jc w:val="center"/>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3 years</w:t>
            </w:r>
          </w:p>
        </w:tc>
        <w:tc>
          <w:tcPr>
            <w:tcW w:w="4677" w:type="dxa"/>
            <w:tcBorders>
              <w:top w:val="nil"/>
              <w:left w:val="nil"/>
              <w:bottom w:val="single" w:sz="4" w:space="0" w:color="808080"/>
              <w:right w:val="nil"/>
            </w:tcBorders>
            <w:vAlign w:val="center"/>
            <w:hideMark/>
          </w:tcPr>
          <w:p w14:paraId="07703318" w14:textId="77777777" w:rsidR="00000F2D" w:rsidRDefault="00000F2D"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i/>
                <w:iCs/>
                <w:color w:val="000000"/>
                <w:sz w:val="18"/>
                <w:szCs w:val="18"/>
                <w:lang w:eastAsia="en-CA"/>
              </w:rPr>
              <w:t>Ticlopidine</w:t>
            </w:r>
            <w:r>
              <w:rPr>
                <w:rFonts w:ascii="Calibri" w:eastAsia="Times New Roman" w:hAnsi="Calibri" w:cs="Times New Roman"/>
                <w:color w:val="000000"/>
                <w:sz w:val="18"/>
                <w:szCs w:val="18"/>
                <w:lang w:eastAsia="en-CA"/>
              </w:rPr>
              <w:t xml:space="preserve"> </w:t>
            </w:r>
            <w:r>
              <w:rPr>
                <w:rFonts w:ascii="Calibri" w:eastAsia="Times New Roman" w:hAnsi="Calibri" w:cs="Times New Roman"/>
                <w:i/>
                <w:iCs/>
                <w:color w:val="000000"/>
                <w:sz w:val="18"/>
                <w:szCs w:val="18"/>
                <w:lang w:eastAsia="en-CA"/>
              </w:rPr>
              <w:t>and</w:t>
            </w:r>
            <w:r>
              <w:rPr>
                <w:rFonts w:ascii="Calibri" w:eastAsia="Times New Roman" w:hAnsi="Calibri" w:cs="Times New Roman"/>
                <w:color w:val="000000"/>
                <w:sz w:val="18"/>
                <w:szCs w:val="18"/>
                <w:lang w:eastAsia="en-CA"/>
              </w:rPr>
              <w:t xml:space="preserve"> </w:t>
            </w:r>
            <w:r>
              <w:rPr>
                <w:rFonts w:ascii="Calibri" w:eastAsia="Times New Roman" w:hAnsi="Calibri" w:cs="Times New Roman"/>
                <w:i/>
                <w:iCs/>
                <w:color w:val="000000"/>
                <w:sz w:val="18"/>
                <w:szCs w:val="18"/>
                <w:lang w:eastAsia="en-CA"/>
              </w:rPr>
              <w:t>aspirin users</w:t>
            </w:r>
          </w:p>
          <w:p w14:paraId="7664D97C" w14:textId="6780C716" w:rsidR="00000F2D" w:rsidRDefault="00000F2D"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xml:space="preserve">PPI: 4.4% (N=3,223);  no PPI: 3% (N=9,223);  </w:t>
            </w:r>
            <w:r>
              <w:rPr>
                <w:rFonts w:ascii="Calibri" w:eastAsia="Times New Roman" w:hAnsi="Calibri" w:cs="Times New Roman"/>
                <w:color w:val="000000"/>
                <w:sz w:val="18"/>
                <w:szCs w:val="18"/>
                <w:lang w:eastAsia="en-CA"/>
              </w:rPr>
              <w:br/>
            </w:r>
            <w:r w:rsidR="00EC672E">
              <w:rPr>
                <w:rFonts w:ascii="Calibri" w:eastAsia="Times New Roman" w:hAnsi="Calibri" w:cs="Times New Roman"/>
                <w:color w:val="000000"/>
                <w:sz w:val="18"/>
                <w:szCs w:val="18"/>
                <w:lang w:eastAsia="en-CA"/>
              </w:rPr>
              <w:t>p-value</w:t>
            </w:r>
            <w:r>
              <w:rPr>
                <w:rFonts w:ascii="Calibri" w:eastAsia="Times New Roman" w:hAnsi="Calibri" w:cs="Times New Roman"/>
                <w:color w:val="000000"/>
                <w:sz w:val="18"/>
                <w:szCs w:val="18"/>
                <w:lang w:eastAsia="en-CA"/>
              </w:rPr>
              <w:t>: 0.0004;</w:t>
            </w:r>
          </w:p>
        </w:tc>
        <w:tc>
          <w:tcPr>
            <w:tcW w:w="2410" w:type="dxa"/>
            <w:vMerge/>
            <w:tcBorders>
              <w:left w:val="nil"/>
              <w:right w:val="nil"/>
            </w:tcBorders>
            <w:vAlign w:val="center"/>
          </w:tcPr>
          <w:p w14:paraId="15F86BFA" w14:textId="082A4BB5" w:rsidR="00000F2D" w:rsidRDefault="00000F2D" w:rsidP="006F61B0">
            <w:pPr>
              <w:spacing w:after="0" w:line="240" w:lineRule="auto"/>
              <w:rPr>
                <w:rFonts w:ascii="Calibri" w:eastAsia="Times New Roman" w:hAnsi="Calibri" w:cs="Times New Roman"/>
                <w:color w:val="000000"/>
                <w:sz w:val="18"/>
                <w:szCs w:val="18"/>
                <w:lang w:eastAsia="en-CA"/>
              </w:rPr>
            </w:pPr>
          </w:p>
        </w:tc>
      </w:tr>
      <w:tr w:rsidR="00000F2D" w14:paraId="2B73E8CA" w14:textId="77777777" w:rsidTr="00000F2D">
        <w:trPr>
          <w:trHeight w:val="433"/>
        </w:trPr>
        <w:tc>
          <w:tcPr>
            <w:tcW w:w="2410" w:type="dxa"/>
            <w:tcBorders>
              <w:top w:val="nil"/>
              <w:left w:val="nil"/>
              <w:bottom w:val="single" w:sz="4" w:space="0" w:color="808080"/>
              <w:right w:val="nil"/>
            </w:tcBorders>
            <w:vAlign w:val="center"/>
            <w:hideMark/>
          </w:tcPr>
          <w:p w14:paraId="60701BAF" w14:textId="62193ED5" w:rsidR="00000F2D" w:rsidRDefault="00000F2D" w:rsidP="00227061">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xml:space="preserve">     Stroke</w:t>
            </w:r>
          </w:p>
        </w:tc>
        <w:tc>
          <w:tcPr>
            <w:tcW w:w="1418" w:type="dxa"/>
            <w:tcBorders>
              <w:top w:val="nil"/>
              <w:left w:val="nil"/>
              <w:bottom w:val="single" w:sz="4" w:space="0" w:color="808080"/>
              <w:right w:val="nil"/>
            </w:tcBorders>
            <w:vAlign w:val="center"/>
            <w:hideMark/>
          </w:tcPr>
          <w:p w14:paraId="47E2EC4E" w14:textId="77777777" w:rsidR="00000F2D" w:rsidRDefault="00000F2D" w:rsidP="00000F2D">
            <w:pPr>
              <w:spacing w:after="0" w:line="240" w:lineRule="auto"/>
              <w:jc w:val="center"/>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PCI</w:t>
            </w:r>
          </w:p>
        </w:tc>
        <w:tc>
          <w:tcPr>
            <w:tcW w:w="1984" w:type="dxa"/>
            <w:tcBorders>
              <w:top w:val="nil"/>
              <w:left w:val="nil"/>
              <w:bottom w:val="single" w:sz="4" w:space="0" w:color="808080"/>
              <w:right w:val="nil"/>
            </w:tcBorders>
            <w:vAlign w:val="center"/>
            <w:hideMark/>
          </w:tcPr>
          <w:p w14:paraId="67903D1B" w14:textId="5BC3DC9A" w:rsidR="00000F2D" w:rsidRDefault="00000F2D" w:rsidP="00000F2D">
            <w:pPr>
              <w:spacing w:after="0" w:line="240" w:lineRule="auto"/>
              <w:jc w:val="center"/>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3 years</w:t>
            </w:r>
          </w:p>
        </w:tc>
        <w:tc>
          <w:tcPr>
            <w:tcW w:w="4677" w:type="dxa"/>
            <w:tcBorders>
              <w:top w:val="nil"/>
              <w:left w:val="nil"/>
              <w:bottom w:val="single" w:sz="4" w:space="0" w:color="808080"/>
              <w:right w:val="nil"/>
            </w:tcBorders>
            <w:vAlign w:val="center"/>
            <w:hideMark/>
          </w:tcPr>
          <w:p w14:paraId="23852DAC" w14:textId="77777777" w:rsidR="00000F2D" w:rsidRDefault="00000F2D"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i/>
                <w:iCs/>
                <w:color w:val="000000"/>
                <w:sz w:val="18"/>
                <w:szCs w:val="18"/>
                <w:lang w:eastAsia="en-CA"/>
              </w:rPr>
              <w:t>Ticlopidine</w:t>
            </w:r>
            <w:r>
              <w:rPr>
                <w:rFonts w:ascii="Calibri" w:eastAsia="Times New Roman" w:hAnsi="Calibri" w:cs="Times New Roman"/>
                <w:color w:val="000000"/>
                <w:sz w:val="18"/>
                <w:szCs w:val="18"/>
                <w:lang w:eastAsia="en-CA"/>
              </w:rPr>
              <w:t xml:space="preserve"> </w:t>
            </w:r>
            <w:r>
              <w:rPr>
                <w:rFonts w:ascii="Calibri" w:eastAsia="Times New Roman" w:hAnsi="Calibri" w:cs="Times New Roman"/>
                <w:i/>
                <w:iCs/>
                <w:color w:val="000000"/>
                <w:sz w:val="18"/>
                <w:szCs w:val="18"/>
                <w:lang w:eastAsia="en-CA"/>
              </w:rPr>
              <w:t>and</w:t>
            </w:r>
            <w:r>
              <w:rPr>
                <w:rFonts w:ascii="Calibri" w:eastAsia="Times New Roman" w:hAnsi="Calibri" w:cs="Times New Roman"/>
                <w:color w:val="000000"/>
                <w:sz w:val="18"/>
                <w:szCs w:val="18"/>
                <w:lang w:eastAsia="en-CA"/>
              </w:rPr>
              <w:t xml:space="preserve"> </w:t>
            </w:r>
            <w:r>
              <w:rPr>
                <w:rFonts w:ascii="Calibri" w:eastAsia="Times New Roman" w:hAnsi="Calibri" w:cs="Times New Roman"/>
                <w:i/>
                <w:iCs/>
                <w:color w:val="000000"/>
                <w:sz w:val="18"/>
                <w:szCs w:val="18"/>
                <w:lang w:eastAsia="en-CA"/>
              </w:rPr>
              <w:t>aspirin users</w:t>
            </w:r>
          </w:p>
          <w:p w14:paraId="4632E5CB" w14:textId="77777777" w:rsidR="00000F2D" w:rsidRDefault="00000F2D"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 xml:space="preserve">PPI: 4.5% (N=3,223); no PPI: 4.3% (N=9,223); </w:t>
            </w:r>
          </w:p>
          <w:p w14:paraId="4735D26F" w14:textId="52628F2D" w:rsidR="00000F2D" w:rsidRDefault="00EC672E" w:rsidP="006F61B0">
            <w:pPr>
              <w:spacing w:after="0" w:line="240" w:lineRule="auto"/>
              <w:rPr>
                <w:rFonts w:ascii="Calibri" w:eastAsia="Times New Roman" w:hAnsi="Calibri" w:cs="Times New Roman"/>
                <w:color w:val="000000"/>
                <w:sz w:val="18"/>
                <w:szCs w:val="18"/>
                <w:lang w:eastAsia="en-CA"/>
              </w:rPr>
            </w:pPr>
            <w:r>
              <w:rPr>
                <w:rFonts w:ascii="Calibri" w:eastAsia="Times New Roman" w:hAnsi="Calibri" w:cs="Times New Roman"/>
                <w:color w:val="000000"/>
                <w:sz w:val="18"/>
                <w:szCs w:val="18"/>
                <w:lang w:eastAsia="en-CA"/>
              </w:rPr>
              <w:t>p-value</w:t>
            </w:r>
            <w:r w:rsidR="00000F2D">
              <w:rPr>
                <w:rFonts w:ascii="Calibri" w:eastAsia="Times New Roman" w:hAnsi="Calibri" w:cs="Times New Roman"/>
                <w:color w:val="000000"/>
                <w:sz w:val="18"/>
                <w:szCs w:val="18"/>
                <w:lang w:eastAsia="en-CA"/>
              </w:rPr>
              <w:t>: 0.52</w:t>
            </w:r>
          </w:p>
        </w:tc>
        <w:tc>
          <w:tcPr>
            <w:tcW w:w="2410" w:type="dxa"/>
            <w:vMerge/>
            <w:tcBorders>
              <w:left w:val="nil"/>
              <w:bottom w:val="single" w:sz="4" w:space="0" w:color="808080"/>
              <w:right w:val="nil"/>
            </w:tcBorders>
            <w:vAlign w:val="center"/>
          </w:tcPr>
          <w:p w14:paraId="76D6D9F1" w14:textId="59A70C3C" w:rsidR="00000F2D" w:rsidRDefault="00000F2D" w:rsidP="006F61B0">
            <w:pPr>
              <w:spacing w:after="0" w:line="240" w:lineRule="auto"/>
              <w:rPr>
                <w:rFonts w:ascii="Calibri" w:eastAsia="Times New Roman" w:hAnsi="Calibri" w:cs="Times New Roman"/>
                <w:color w:val="000000"/>
                <w:sz w:val="18"/>
                <w:szCs w:val="18"/>
                <w:lang w:eastAsia="en-CA"/>
              </w:rPr>
            </w:pPr>
          </w:p>
        </w:tc>
      </w:tr>
    </w:tbl>
    <w:p w14:paraId="4F409B7B" w14:textId="045282E9" w:rsidR="00000522" w:rsidRDefault="00000522" w:rsidP="004D2802"/>
    <w:p w14:paraId="6C74E528" w14:textId="77777777" w:rsidR="00000522" w:rsidRDefault="00000522">
      <w:r>
        <w:br w:type="page"/>
      </w:r>
    </w:p>
    <w:p w14:paraId="3E5DC9B7" w14:textId="77777777" w:rsidR="00000522" w:rsidRDefault="00000522" w:rsidP="00000522">
      <w:pPr>
        <w:pStyle w:val="Heading2"/>
        <w:sectPr w:rsidR="00000522" w:rsidSect="00000522">
          <w:pgSz w:w="15840" w:h="12240" w:orient="landscape"/>
          <w:pgMar w:top="1440" w:right="1440" w:bottom="1440" w:left="1440" w:header="708" w:footer="708" w:gutter="0"/>
          <w:cols w:space="708"/>
          <w:docGrid w:linePitch="360"/>
        </w:sectPr>
      </w:pPr>
    </w:p>
    <w:p w14:paraId="2FCDE44A" w14:textId="442B4422" w:rsidR="001B416C" w:rsidRDefault="00000522" w:rsidP="001B416C">
      <w:pPr>
        <w:pStyle w:val="Heading2"/>
      </w:pPr>
      <w:bookmarkStart w:id="35" w:name="_Toc536713790"/>
      <w:r>
        <w:lastRenderedPageBreak/>
        <w:t xml:space="preserve">Supplemental Material </w:t>
      </w:r>
      <w:r w:rsidR="009A0644">
        <w:t>IX</w:t>
      </w:r>
      <w:r>
        <w:t xml:space="preserve"> – Funnel plots</w:t>
      </w:r>
      <w:bookmarkEnd w:id="35"/>
      <w:r>
        <w:t xml:space="preserve"> </w:t>
      </w:r>
    </w:p>
    <w:p w14:paraId="26150347" w14:textId="77777777" w:rsidR="001B416C" w:rsidRDefault="001B416C" w:rsidP="009A0644">
      <w:pPr>
        <w:pStyle w:val="Heading2"/>
      </w:pPr>
    </w:p>
    <w:p w14:paraId="0A6245AD" w14:textId="379EC899" w:rsidR="00000522" w:rsidRDefault="00A31763" w:rsidP="00A31763">
      <w:r>
        <w:t>The following f</w:t>
      </w:r>
      <w:r w:rsidR="001B416C">
        <w:t xml:space="preserve">unnel plots </w:t>
      </w:r>
      <w:r>
        <w:t>correspond to</w:t>
      </w:r>
      <w:r w:rsidR="001B416C">
        <w:t xml:space="preserve"> meta-analyses that </w:t>
      </w:r>
      <w:r w:rsidR="00000522">
        <w:t>included ten or more studies</w:t>
      </w:r>
      <w:r w:rsidR="001B416C">
        <w:t xml:space="preserve"> are presented below. These plots were visually evaluated for publication bias.</w:t>
      </w:r>
    </w:p>
    <w:p w14:paraId="7717B8D0" w14:textId="51811893" w:rsidR="00000522" w:rsidRDefault="00000522" w:rsidP="00000522"/>
    <w:p w14:paraId="29662F8F" w14:textId="77777777" w:rsidR="009A0644" w:rsidRDefault="009A0644" w:rsidP="009A0644">
      <w:r w:rsidRPr="00027842">
        <w:rPr>
          <w:noProof/>
          <w:lang w:eastAsia="en-CA"/>
        </w:rPr>
        <w:drawing>
          <wp:inline distT="0" distB="0" distL="0" distR="0" wp14:anchorId="0C50F483" wp14:editId="09848A14">
            <wp:extent cx="3805311" cy="271445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15507" cy="2721728"/>
                    </a:xfrm>
                    <a:prstGeom prst="rect">
                      <a:avLst/>
                    </a:prstGeom>
                  </pic:spPr>
                </pic:pic>
              </a:graphicData>
            </a:graphic>
          </wp:inline>
        </w:drawing>
      </w:r>
    </w:p>
    <w:p w14:paraId="503B419D" w14:textId="5DF06F99" w:rsidR="009A0644" w:rsidRPr="00A31763" w:rsidRDefault="009A0644" w:rsidP="009E7752">
      <w:pPr>
        <w:rPr>
          <w:sz w:val="20"/>
          <w:szCs w:val="20"/>
        </w:rPr>
      </w:pPr>
      <w:r w:rsidRPr="00A31763">
        <w:rPr>
          <w:sz w:val="20"/>
          <w:szCs w:val="20"/>
        </w:rPr>
        <w:t>Figure S</w:t>
      </w:r>
      <w:r w:rsidR="009E7752" w:rsidRPr="00A31763">
        <w:rPr>
          <w:sz w:val="20"/>
          <w:szCs w:val="20"/>
        </w:rPr>
        <w:t>8</w:t>
      </w:r>
      <w:r w:rsidRPr="00A31763">
        <w:rPr>
          <w:sz w:val="20"/>
          <w:szCs w:val="20"/>
        </w:rPr>
        <w:t>. Funnel plot for the meta-analysis of ACM among Group A RCTs.</w:t>
      </w:r>
    </w:p>
    <w:p w14:paraId="21D7154F" w14:textId="77777777" w:rsidR="00A31763" w:rsidRDefault="00A31763" w:rsidP="009E7752"/>
    <w:p w14:paraId="54C76B42" w14:textId="77777777" w:rsidR="00000522" w:rsidRDefault="00000522" w:rsidP="00000522">
      <w:r w:rsidRPr="00027842">
        <w:rPr>
          <w:noProof/>
          <w:lang w:eastAsia="en-CA"/>
        </w:rPr>
        <w:drawing>
          <wp:inline distT="0" distB="0" distL="0" distR="0" wp14:anchorId="1BB32295" wp14:editId="2FC72616">
            <wp:extent cx="3780000" cy="269640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80000" cy="2696400"/>
                    </a:xfrm>
                    <a:prstGeom prst="rect">
                      <a:avLst/>
                    </a:prstGeom>
                  </pic:spPr>
                </pic:pic>
              </a:graphicData>
            </a:graphic>
          </wp:inline>
        </w:drawing>
      </w:r>
    </w:p>
    <w:p w14:paraId="016A9E3E" w14:textId="5ACAF9A1" w:rsidR="00000522" w:rsidRPr="00A31763" w:rsidRDefault="009A0644" w:rsidP="009E7752">
      <w:pPr>
        <w:rPr>
          <w:sz w:val="20"/>
          <w:szCs w:val="20"/>
        </w:rPr>
      </w:pPr>
      <w:r w:rsidRPr="00A31763">
        <w:rPr>
          <w:sz w:val="20"/>
          <w:szCs w:val="20"/>
        </w:rPr>
        <w:t>Figure S</w:t>
      </w:r>
      <w:r w:rsidR="009E7752" w:rsidRPr="00A31763">
        <w:rPr>
          <w:sz w:val="20"/>
          <w:szCs w:val="20"/>
        </w:rPr>
        <w:t>9</w:t>
      </w:r>
      <w:r w:rsidRPr="00A31763">
        <w:rPr>
          <w:sz w:val="20"/>
          <w:szCs w:val="20"/>
        </w:rPr>
        <w:t xml:space="preserve">. Funnel plot for the meta-analysis of ACM outcome among Group B observational studies. </w:t>
      </w:r>
    </w:p>
    <w:p w14:paraId="72456D23" w14:textId="77777777" w:rsidR="00000522" w:rsidRDefault="00000522" w:rsidP="00000522"/>
    <w:p w14:paraId="6C78D5E5" w14:textId="77777777" w:rsidR="00000522" w:rsidRDefault="00000522" w:rsidP="00000522">
      <w:r w:rsidRPr="00027842">
        <w:rPr>
          <w:noProof/>
          <w:lang w:eastAsia="en-CA"/>
        </w:rPr>
        <w:lastRenderedPageBreak/>
        <w:drawing>
          <wp:inline distT="0" distB="0" distL="0" distR="0" wp14:anchorId="0BF71753" wp14:editId="6806423F">
            <wp:extent cx="3816000" cy="28238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16000" cy="2823840"/>
                    </a:xfrm>
                    <a:prstGeom prst="rect">
                      <a:avLst/>
                    </a:prstGeom>
                  </pic:spPr>
                </pic:pic>
              </a:graphicData>
            </a:graphic>
          </wp:inline>
        </w:drawing>
      </w:r>
    </w:p>
    <w:p w14:paraId="3D2D5108" w14:textId="622994E8" w:rsidR="009A0644" w:rsidRPr="00A31763" w:rsidRDefault="009A0644" w:rsidP="009E7752">
      <w:pPr>
        <w:rPr>
          <w:sz w:val="20"/>
          <w:szCs w:val="20"/>
        </w:rPr>
      </w:pPr>
      <w:r w:rsidRPr="00A31763">
        <w:rPr>
          <w:sz w:val="20"/>
          <w:szCs w:val="20"/>
        </w:rPr>
        <w:t>Figure S</w:t>
      </w:r>
      <w:r w:rsidR="009E7752" w:rsidRPr="00A31763">
        <w:rPr>
          <w:sz w:val="20"/>
          <w:szCs w:val="20"/>
        </w:rPr>
        <w:t>10</w:t>
      </w:r>
      <w:r w:rsidRPr="00A31763">
        <w:rPr>
          <w:sz w:val="20"/>
          <w:szCs w:val="20"/>
        </w:rPr>
        <w:t xml:space="preserve">. Funnel plot for the meta-analysis of MI outcome among Group B observational studies. </w:t>
      </w:r>
    </w:p>
    <w:p w14:paraId="47C1147F" w14:textId="77777777" w:rsidR="00000522" w:rsidRDefault="00000522" w:rsidP="00000522"/>
    <w:p w14:paraId="76A16A4E" w14:textId="77777777" w:rsidR="00A31763" w:rsidRDefault="00A31763" w:rsidP="00000522"/>
    <w:p w14:paraId="553C28D2" w14:textId="77777777" w:rsidR="00000522" w:rsidRDefault="00000522" w:rsidP="00000522"/>
    <w:p w14:paraId="7FF6F493" w14:textId="77777777" w:rsidR="00000522" w:rsidRDefault="00000522" w:rsidP="00000522">
      <w:r w:rsidRPr="00027842">
        <w:rPr>
          <w:noProof/>
          <w:lang w:eastAsia="en-CA"/>
        </w:rPr>
        <w:drawing>
          <wp:inline distT="0" distB="0" distL="0" distR="0" wp14:anchorId="26F3897E" wp14:editId="119EA50B">
            <wp:extent cx="3816000" cy="2722080"/>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16000" cy="2722080"/>
                    </a:xfrm>
                    <a:prstGeom prst="rect">
                      <a:avLst/>
                    </a:prstGeom>
                  </pic:spPr>
                </pic:pic>
              </a:graphicData>
            </a:graphic>
          </wp:inline>
        </w:drawing>
      </w:r>
    </w:p>
    <w:p w14:paraId="35687B64" w14:textId="470046C0" w:rsidR="00B977C4" w:rsidRPr="00A31763" w:rsidRDefault="009A0644" w:rsidP="0066697F">
      <w:pPr>
        <w:rPr>
          <w:sz w:val="20"/>
          <w:szCs w:val="20"/>
        </w:rPr>
      </w:pPr>
      <w:r w:rsidRPr="00A31763">
        <w:rPr>
          <w:sz w:val="20"/>
          <w:szCs w:val="20"/>
        </w:rPr>
        <w:t>Figure S</w:t>
      </w:r>
      <w:r w:rsidR="009E7752" w:rsidRPr="00A31763">
        <w:rPr>
          <w:sz w:val="20"/>
          <w:szCs w:val="20"/>
        </w:rPr>
        <w:t>11</w:t>
      </w:r>
      <w:r w:rsidRPr="00A31763">
        <w:rPr>
          <w:sz w:val="20"/>
          <w:szCs w:val="20"/>
        </w:rPr>
        <w:t>. Funnel plot for the meta-analysis of cardiovascular mortality among</w:t>
      </w:r>
      <w:r w:rsidR="0066697F" w:rsidRPr="00A31763">
        <w:rPr>
          <w:sz w:val="20"/>
          <w:szCs w:val="20"/>
        </w:rPr>
        <w:t xml:space="preserve"> Group B observational studies.</w:t>
      </w:r>
    </w:p>
    <w:sectPr w:rsidR="00B977C4" w:rsidRPr="00A31763" w:rsidSect="0066697F">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D774CF" w14:textId="77777777" w:rsidR="00496930" w:rsidRDefault="00496930" w:rsidP="007564ED">
      <w:pPr>
        <w:spacing w:after="0" w:line="240" w:lineRule="auto"/>
      </w:pPr>
      <w:r>
        <w:separator/>
      </w:r>
    </w:p>
  </w:endnote>
  <w:endnote w:type="continuationSeparator" w:id="0">
    <w:p w14:paraId="0175CAD3" w14:textId="77777777" w:rsidR="00496930" w:rsidRDefault="00496930" w:rsidP="00756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1617677"/>
      <w:docPartObj>
        <w:docPartGallery w:val="Page Numbers (Bottom of Page)"/>
        <w:docPartUnique/>
      </w:docPartObj>
    </w:sdtPr>
    <w:sdtEndPr>
      <w:rPr>
        <w:noProof/>
      </w:rPr>
    </w:sdtEndPr>
    <w:sdtContent>
      <w:p w14:paraId="5E91EDE9" w14:textId="6511ADB4" w:rsidR="00F6643C" w:rsidRDefault="00F6643C">
        <w:pPr>
          <w:pStyle w:val="Footer"/>
          <w:jc w:val="right"/>
        </w:pPr>
        <w:r>
          <w:fldChar w:fldCharType="begin"/>
        </w:r>
        <w:r>
          <w:instrText xml:space="preserve"> PAGE   \* MERGEFORMAT </w:instrText>
        </w:r>
        <w:r>
          <w:fldChar w:fldCharType="separate"/>
        </w:r>
        <w:r w:rsidR="00F0557E">
          <w:rPr>
            <w:noProof/>
          </w:rPr>
          <w:t>21</w:t>
        </w:r>
        <w:r>
          <w:rPr>
            <w:noProof/>
          </w:rPr>
          <w:fldChar w:fldCharType="end"/>
        </w:r>
      </w:p>
    </w:sdtContent>
  </w:sdt>
  <w:p w14:paraId="5AC2D775" w14:textId="77777777" w:rsidR="00F6643C" w:rsidRDefault="00F664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CE545A" w14:textId="77777777" w:rsidR="00496930" w:rsidRDefault="00496930" w:rsidP="007564ED">
      <w:pPr>
        <w:spacing w:after="0" w:line="240" w:lineRule="auto"/>
      </w:pPr>
      <w:r>
        <w:separator/>
      </w:r>
    </w:p>
  </w:footnote>
  <w:footnote w:type="continuationSeparator" w:id="0">
    <w:p w14:paraId="526697DB" w14:textId="77777777" w:rsidR="00496930" w:rsidRDefault="00496930" w:rsidP="007564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44C18"/>
    <w:multiLevelType w:val="hybridMultilevel"/>
    <w:tmpl w:val="AB705A34"/>
    <w:lvl w:ilvl="0" w:tplc="B9987428">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C112A9D"/>
    <w:multiLevelType w:val="multilevel"/>
    <w:tmpl w:val="88BAE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numFmt w:val="bullet"/>
      <w:lvlText w:val="-"/>
      <w:lvlJc w:val="left"/>
      <w:pPr>
        <w:ind w:left="2160" w:hanging="360"/>
      </w:pPr>
      <w:rPr>
        <w:rFonts w:ascii="Calibri" w:eastAsiaTheme="minorHAnsi" w:hAnsi="Calibri" w:cstheme="minorBidi" w:hint="default"/>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7101EA"/>
    <w:multiLevelType w:val="hybridMultilevel"/>
    <w:tmpl w:val="C884EB94"/>
    <w:lvl w:ilvl="0" w:tplc="ABF2FF2C">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482775B"/>
    <w:multiLevelType w:val="multilevel"/>
    <w:tmpl w:val="F4A6272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7B9"/>
    <w:rsid w:val="00000522"/>
    <w:rsid w:val="00000F2D"/>
    <w:rsid w:val="000111AF"/>
    <w:rsid w:val="00027842"/>
    <w:rsid w:val="000707B8"/>
    <w:rsid w:val="0007535D"/>
    <w:rsid w:val="00083A48"/>
    <w:rsid w:val="00085F3B"/>
    <w:rsid w:val="00094DBD"/>
    <w:rsid w:val="000A2F77"/>
    <w:rsid w:val="000B70BB"/>
    <w:rsid w:val="000C0125"/>
    <w:rsid w:val="000C1758"/>
    <w:rsid w:val="00102A69"/>
    <w:rsid w:val="00123F22"/>
    <w:rsid w:val="00147BB6"/>
    <w:rsid w:val="00181CD0"/>
    <w:rsid w:val="0019070D"/>
    <w:rsid w:val="001A71B9"/>
    <w:rsid w:val="001A7BA2"/>
    <w:rsid w:val="001B1380"/>
    <w:rsid w:val="001B416C"/>
    <w:rsid w:val="001C1FF6"/>
    <w:rsid w:val="001C3A64"/>
    <w:rsid w:val="001E416A"/>
    <w:rsid w:val="00200EC7"/>
    <w:rsid w:val="002066DB"/>
    <w:rsid w:val="00227061"/>
    <w:rsid w:val="00240E99"/>
    <w:rsid w:val="0026106B"/>
    <w:rsid w:val="00261E74"/>
    <w:rsid w:val="00292850"/>
    <w:rsid w:val="0029794F"/>
    <w:rsid w:val="002B686E"/>
    <w:rsid w:val="002F0260"/>
    <w:rsid w:val="002F2A9F"/>
    <w:rsid w:val="00320E90"/>
    <w:rsid w:val="00323052"/>
    <w:rsid w:val="00342532"/>
    <w:rsid w:val="003556A7"/>
    <w:rsid w:val="0036674A"/>
    <w:rsid w:val="00377405"/>
    <w:rsid w:val="003865D3"/>
    <w:rsid w:val="003D3397"/>
    <w:rsid w:val="003F0262"/>
    <w:rsid w:val="00496930"/>
    <w:rsid w:val="004D127B"/>
    <w:rsid w:val="004D2802"/>
    <w:rsid w:val="00541986"/>
    <w:rsid w:val="005506E9"/>
    <w:rsid w:val="00563510"/>
    <w:rsid w:val="005726B5"/>
    <w:rsid w:val="005938C3"/>
    <w:rsid w:val="005C4B89"/>
    <w:rsid w:val="005E0B8E"/>
    <w:rsid w:val="00601C68"/>
    <w:rsid w:val="00605603"/>
    <w:rsid w:val="00620665"/>
    <w:rsid w:val="00646369"/>
    <w:rsid w:val="0066697F"/>
    <w:rsid w:val="006757A9"/>
    <w:rsid w:val="006827C8"/>
    <w:rsid w:val="00694663"/>
    <w:rsid w:val="006A0354"/>
    <w:rsid w:val="006B6CE1"/>
    <w:rsid w:val="006D13D4"/>
    <w:rsid w:val="006E432F"/>
    <w:rsid w:val="006E7CD6"/>
    <w:rsid w:val="006F0E82"/>
    <w:rsid w:val="006F38AE"/>
    <w:rsid w:val="006F4448"/>
    <w:rsid w:val="006F61B0"/>
    <w:rsid w:val="00732B59"/>
    <w:rsid w:val="00754F69"/>
    <w:rsid w:val="007564ED"/>
    <w:rsid w:val="00760B64"/>
    <w:rsid w:val="00780C44"/>
    <w:rsid w:val="007C20BA"/>
    <w:rsid w:val="007D344D"/>
    <w:rsid w:val="00830509"/>
    <w:rsid w:val="00835CBC"/>
    <w:rsid w:val="00841021"/>
    <w:rsid w:val="00841D82"/>
    <w:rsid w:val="008422F4"/>
    <w:rsid w:val="008558D2"/>
    <w:rsid w:val="00883C77"/>
    <w:rsid w:val="008B4BC8"/>
    <w:rsid w:val="008E2969"/>
    <w:rsid w:val="008F1453"/>
    <w:rsid w:val="00923437"/>
    <w:rsid w:val="009462F4"/>
    <w:rsid w:val="009823AB"/>
    <w:rsid w:val="00984B42"/>
    <w:rsid w:val="00987005"/>
    <w:rsid w:val="0099009B"/>
    <w:rsid w:val="009900BC"/>
    <w:rsid w:val="00994062"/>
    <w:rsid w:val="009A0644"/>
    <w:rsid w:val="009A2AF2"/>
    <w:rsid w:val="009B29CD"/>
    <w:rsid w:val="009C4910"/>
    <w:rsid w:val="009E7752"/>
    <w:rsid w:val="00A31763"/>
    <w:rsid w:val="00A52839"/>
    <w:rsid w:val="00A72290"/>
    <w:rsid w:val="00A8713D"/>
    <w:rsid w:val="00A90613"/>
    <w:rsid w:val="00AE77B9"/>
    <w:rsid w:val="00B30898"/>
    <w:rsid w:val="00B32A79"/>
    <w:rsid w:val="00B37F35"/>
    <w:rsid w:val="00B435F3"/>
    <w:rsid w:val="00B842AC"/>
    <w:rsid w:val="00B977C4"/>
    <w:rsid w:val="00BA50D2"/>
    <w:rsid w:val="00BC17F1"/>
    <w:rsid w:val="00C27C31"/>
    <w:rsid w:val="00C36585"/>
    <w:rsid w:val="00C65608"/>
    <w:rsid w:val="00C91E2E"/>
    <w:rsid w:val="00C91F71"/>
    <w:rsid w:val="00CA74E1"/>
    <w:rsid w:val="00CA7674"/>
    <w:rsid w:val="00CA7D02"/>
    <w:rsid w:val="00CD077A"/>
    <w:rsid w:val="00D04405"/>
    <w:rsid w:val="00D20245"/>
    <w:rsid w:val="00D23BEA"/>
    <w:rsid w:val="00D325C7"/>
    <w:rsid w:val="00D446D6"/>
    <w:rsid w:val="00D5065A"/>
    <w:rsid w:val="00D5525B"/>
    <w:rsid w:val="00D8270D"/>
    <w:rsid w:val="00D8429A"/>
    <w:rsid w:val="00D87E93"/>
    <w:rsid w:val="00D93E19"/>
    <w:rsid w:val="00DB04AD"/>
    <w:rsid w:val="00DE19B3"/>
    <w:rsid w:val="00DE2B7A"/>
    <w:rsid w:val="00DF06B0"/>
    <w:rsid w:val="00E02A63"/>
    <w:rsid w:val="00E0699B"/>
    <w:rsid w:val="00E26119"/>
    <w:rsid w:val="00E30D6F"/>
    <w:rsid w:val="00E3102A"/>
    <w:rsid w:val="00E36AEE"/>
    <w:rsid w:val="00E5015F"/>
    <w:rsid w:val="00E52A3D"/>
    <w:rsid w:val="00E63313"/>
    <w:rsid w:val="00E64BC9"/>
    <w:rsid w:val="00E73B88"/>
    <w:rsid w:val="00E808BB"/>
    <w:rsid w:val="00EA17D5"/>
    <w:rsid w:val="00EA3392"/>
    <w:rsid w:val="00EC2B27"/>
    <w:rsid w:val="00EC672E"/>
    <w:rsid w:val="00ED2863"/>
    <w:rsid w:val="00ED5C5B"/>
    <w:rsid w:val="00EF2DE1"/>
    <w:rsid w:val="00F0557E"/>
    <w:rsid w:val="00F24E66"/>
    <w:rsid w:val="00F26BE9"/>
    <w:rsid w:val="00F319CE"/>
    <w:rsid w:val="00F329F8"/>
    <w:rsid w:val="00F345E4"/>
    <w:rsid w:val="00F418C4"/>
    <w:rsid w:val="00F6643C"/>
    <w:rsid w:val="00F8459C"/>
    <w:rsid w:val="00FA11C4"/>
    <w:rsid w:val="00FC0843"/>
    <w:rsid w:val="00FD2D8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B26C7"/>
  <w15:chartTrackingRefBased/>
  <w15:docId w15:val="{8F0B1FF8-4323-45A6-8624-359F8402D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061"/>
  </w:style>
  <w:style w:type="paragraph" w:styleId="Heading1">
    <w:name w:val="heading 1"/>
    <w:basedOn w:val="Normal"/>
    <w:next w:val="Normal"/>
    <w:link w:val="Heading1Char"/>
    <w:uiPriority w:val="9"/>
    <w:qFormat/>
    <w:rsid w:val="00D04405"/>
    <w:pPr>
      <w:keepNext/>
      <w:keepLines/>
      <w:pBdr>
        <w:bottom w:val="single" w:sz="4" w:space="1" w:color="595959" w:themeColor="text1" w:themeTint="A6"/>
      </w:pBdr>
      <w:spacing w:before="360"/>
      <w:ind w:left="432" w:hanging="432"/>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D0440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04405"/>
    <w:pPr>
      <w:keepNext/>
      <w:keepLines/>
      <w:tabs>
        <w:tab w:val="left" w:pos="993"/>
      </w:tabs>
      <w:spacing w:before="200" w:after="240"/>
      <w:ind w:left="720" w:hanging="720"/>
      <w:outlineLvl w:val="2"/>
    </w:pPr>
    <w:rPr>
      <w:rFonts w:asciiTheme="majorHAnsi" w:eastAsiaTheme="majorEastAsia" w:hAnsiTheme="majorHAnsi" w:cstheme="majorBidi"/>
      <w:b/>
      <w:bCs/>
      <w:color w:val="C45911" w:themeColor="accent2" w:themeShade="BF"/>
      <w:sz w:val="24"/>
      <w:szCs w:val="24"/>
      <w:lang w:eastAsia="en-CA"/>
    </w:rPr>
  </w:style>
  <w:style w:type="paragraph" w:styleId="Heading4">
    <w:name w:val="heading 4"/>
    <w:basedOn w:val="Normal"/>
    <w:next w:val="Normal"/>
    <w:link w:val="Heading4Char"/>
    <w:uiPriority w:val="9"/>
    <w:unhideWhenUsed/>
    <w:qFormat/>
    <w:rsid w:val="00D04405"/>
    <w:pPr>
      <w:keepNext/>
      <w:keepLines/>
      <w:spacing w:before="200" w:after="0"/>
      <w:ind w:left="864" w:hanging="864"/>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7C20BA"/>
    <w:pPr>
      <w:spacing w:line="256" w:lineRule="auto"/>
      <w:outlineLvl w:val="4"/>
    </w:pPr>
    <w:rPr>
      <w:i/>
      <w:iCs/>
      <w:color w:val="44546A" w:themeColor="text2"/>
      <w:sz w:val="16"/>
      <w:szCs w:val="16"/>
    </w:rPr>
  </w:style>
  <w:style w:type="paragraph" w:styleId="Heading6">
    <w:name w:val="heading 6"/>
    <w:basedOn w:val="Normal"/>
    <w:next w:val="Normal"/>
    <w:link w:val="Heading6Char"/>
    <w:uiPriority w:val="9"/>
    <w:unhideWhenUsed/>
    <w:qFormat/>
    <w:rsid w:val="00D04405"/>
    <w:pPr>
      <w:keepNext/>
      <w:keepLines/>
      <w:spacing w:before="200" w:after="0"/>
      <w:ind w:left="1152" w:hanging="1152"/>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D04405"/>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04405"/>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D04405"/>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04405"/>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D04405"/>
    <w:pPr>
      <w:ind w:left="720"/>
      <w:contextualSpacing/>
    </w:pPr>
  </w:style>
  <w:style w:type="paragraph" w:styleId="NormalWeb">
    <w:name w:val="Normal (Web)"/>
    <w:basedOn w:val="Normal"/>
    <w:uiPriority w:val="99"/>
    <w:rsid w:val="00D04405"/>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D04405"/>
    <w:rPr>
      <w:color w:val="0000FF"/>
      <w:u w:val="single"/>
    </w:rPr>
  </w:style>
  <w:style w:type="paragraph" w:styleId="BalloonText">
    <w:name w:val="Balloon Text"/>
    <w:basedOn w:val="Normal"/>
    <w:link w:val="BalloonTextChar"/>
    <w:uiPriority w:val="99"/>
    <w:semiHidden/>
    <w:unhideWhenUsed/>
    <w:rsid w:val="00D044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4405"/>
    <w:rPr>
      <w:rFonts w:ascii="Segoe UI" w:hAnsi="Segoe UI" w:cs="Segoe UI"/>
      <w:sz w:val="18"/>
      <w:szCs w:val="18"/>
    </w:rPr>
  </w:style>
  <w:style w:type="table" w:styleId="PlainTable2">
    <w:name w:val="Plain Table 2"/>
    <w:basedOn w:val="TableNormal"/>
    <w:uiPriority w:val="42"/>
    <w:rsid w:val="00D044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D04405"/>
    <w:rPr>
      <w:rFonts w:asciiTheme="majorHAnsi" w:eastAsiaTheme="majorEastAsia" w:hAnsiTheme="majorHAnsi" w:cstheme="majorBidi"/>
      <w:b/>
      <w:bCs/>
      <w:smallCaps/>
      <w:color w:val="000000" w:themeColor="text1"/>
      <w:sz w:val="36"/>
      <w:szCs w:val="36"/>
    </w:rPr>
  </w:style>
  <w:style w:type="character" w:customStyle="1" w:styleId="Heading3Char">
    <w:name w:val="Heading 3 Char"/>
    <w:basedOn w:val="DefaultParagraphFont"/>
    <w:link w:val="Heading3"/>
    <w:uiPriority w:val="9"/>
    <w:rsid w:val="00D04405"/>
    <w:rPr>
      <w:rFonts w:asciiTheme="majorHAnsi" w:eastAsiaTheme="majorEastAsia" w:hAnsiTheme="majorHAnsi" w:cstheme="majorBidi"/>
      <w:b/>
      <w:bCs/>
      <w:color w:val="C45911" w:themeColor="accent2" w:themeShade="BF"/>
      <w:sz w:val="24"/>
      <w:szCs w:val="24"/>
      <w:lang w:eastAsia="en-CA"/>
    </w:rPr>
  </w:style>
  <w:style w:type="character" w:customStyle="1" w:styleId="Heading4Char">
    <w:name w:val="Heading 4 Char"/>
    <w:basedOn w:val="DefaultParagraphFont"/>
    <w:link w:val="Heading4"/>
    <w:uiPriority w:val="9"/>
    <w:rsid w:val="00D04405"/>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7C20BA"/>
    <w:rPr>
      <w:i/>
      <w:iCs/>
      <w:color w:val="44546A" w:themeColor="text2"/>
      <w:sz w:val="16"/>
      <w:szCs w:val="16"/>
    </w:rPr>
  </w:style>
  <w:style w:type="character" w:customStyle="1" w:styleId="Heading6Char">
    <w:name w:val="Heading 6 Char"/>
    <w:basedOn w:val="DefaultParagraphFont"/>
    <w:link w:val="Heading6"/>
    <w:uiPriority w:val="9"/>
    <w:rsid w:val="00D04405"/>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D0440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0440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04405"/>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083A48"/>
    <w:rPr>
      <w:sz w:val="16"/>
      <w:szCs w:val="16"/>
    </w:rPr>
  </w:style>
  <w:style w:type="paragraph" w:styleId="CommentText">
    <w:name w:val="annotation text"/>
    <w:basedOn w:val="Normal"/>
    <w:link w:val="CommentTextChar"/>
    <w:uiPriority w:val="99"/>
    <w:semiHidden/>
    <w:unhideWhenUsed/>
    <w:rsid w:val="00083A48"/>
    <w:pPr>
      <w:spacing w:line="240" w:lineRule="auto"/>
    </w:pPr>
    <w:rPr>
      <w:sz w:val="20"/>
      <w:szCs w:val="20"/>
    </w:rPr>
  </w:style>
  <w:style w:type="character" w:customStyle="1" w:styleId="CommentTextChar">
    <w:name w:val="Comment Text Char"/>
    <w:basedOn w:val="DefaultParagraphFont"/>
    <w:link w:val="CommentText"/>
    <w:uiPriority w:val="99"/>
    <w:semiHidden/>
    <w:rsid w:val="00083A48"/>
    <w:rPr>
      <w:sz w:val="20"/>
      <w:szCs w:val="20"/>
    </w:rPr>
  </w:style>
  <w:style w:type="paragraph" w:styleId="CommentSubject">
    <w:name w:val="annotation subject"/>
    <w:basedOn w:val="CommentText"/>
    <w:next w:val="CommentText"/>
    <w:link w:val="CommentSubjectChar"/>
    <w:uiPriority w:val="99"/>
    <w:semiHidden/>
    <w:unhideWhenUsed/>
    <w:rsid w:val="00083A48"/>
    <w:rPr>
      <w:b/>
      <w:bCs/>
    </w:rPr>
  </w:style>
  <w:style w:type="character" w:customStyle="1" w:styleId="CommentSubjectChar">
    <w:name w:val="Comment Subject Char"/>
    <w:basedOn w:val="CommentTextChar"/>
    <w:link w:val="CommentSubject"/>
    <w:uiPriority w:val="99"/>
    <w:semiHidden/>
    <w:rsid w:val="00083A48"/>
    <w:rPr>
      <w:b/>
      <w:bCs/>
      <w:sz w:val="20"/>
      <w:szCs w:val="20"/>
    </w:rPr>
  </w:style>
  <w:style w:type="paragraph" w:styleId="TOCHeading">
    <w:name w:val="TOC Heading"/>
    <w:basedOn w:val="Heading1"/>
    <w:next w:val="Normal"/>
    <w:uiPriority w:val="39"/>
    <w:unhideWhenUsed/>
    <w:qFormat/>
    <w:rsid w:val="00B32A79"/>
    <w:pPr>
      <w:pBdr>
        <w:bottom w:val="none" w:sz="0" w:space="0" w:color="auto"/>
      </w:pBdr>
      <w:spacing w:before="240" w:after="0"/>
      <w:ind w:left="0" w:firstLine="0"/>
      <w:outlineLvl w:val="9"/>
    </w:pPr>
    <w:rPr>
      <w:b w:val="0"/>
      <w:bCs w:val="0"/>
      <w:smallCaps w:val="0"/>
      <w:color w:val="2E74B5" w:themeColor="accent1" w:themeShade="BF"/>
      <w:sz w:val="32"/>
      <w:szCs w:val="32"/>
      <w:lang w:val="en-US"/>
    </w:rPr>
  </w:style>
  <w:style w:type="paragraph" w:styleId="TOC2">
    <w:name w:val="toc 2"/>
    <w:basedOn w:val="Normal"/>
    <w:next w:val="Normal"/>
    <w:autoRedefine/>
    <w:uiPriority w:val="39"/>
    <w:unhideWhenUsed/>
    <w:rsid w:val="00B32A79"/>
    <w:pPr>
      <w:spacing w:after="100"/>
      <w:ind w:left="220"/>
    </w:pPr>
  </w:style>
  <w:style w:type="paragraph" w:styleId="TOC3">
    <w:name w:val="toc 3"/>
    <w:basedOn w:val="Normal"/>
    <w:next w:val="Normal"/>
    <w:autoRedefine/>
    <w:uiPriority w:val="39"/>
    <w:unhideWhenUsed/>
    <w:rsid w:val="00B32A79"/>
    <w:pPr>
      <w:spacing w:after="100"/>
      <w:ind w:left="440"/>
    </w:pPr>
  </w:style>
  <w:style w:type="paragraph" w:styleId="Caption">
    <w:name w:val="caption"/>
    <w:basedOn w:val="Normal"/>
    <w:next w:val="Normal"/>
    <w:uiPriority w:val="35"/>
    <w:unhideWhenUsed/>
    <w:qFormat/>
    <w:rsid w:val="00E64BC9"/>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9462F4"/>
    <w:rPr>
      <w:color w:val="954F72" w:themeColor="followedHyperlink"/>
      <w:u w:val="single"/>
    </w:rPr>
  </w:style>
  <w:style w:type="paragraph" w:styleId="TOC4">
    <w:name w:val="toc 4"/>
    <w:basedOn w:val="Normal"/>
    <w:next w:val="Normal"/>
    <w:autoRedefine/>
    <w:uiPriority w:val="39"/>
    <w:unhideWhenUsed/>
    <w:rsid w:val="009462F4"/>
    <w:pPr>
      <w:spacing w:after="100" w:line="256" w:lineRule="auto"/>
      <w:ind w:left="660"/>
    </w:pPr>
    <w:rPr>
      <w:rFonts w:eastAsia="Batang"/>
    </w:rPr>
  </w:style>
  <w:style w:type="paragraph" w:styleId="Header">
    <w:name w:val="header"/>
    <w:basedOn w:val="Normal"/>
    <w:link w:val="HeaderChar"/>
    <w:uiPriority w:val="99"/>
    <w:unhideWhenUsed/>
    <w:rsid w:val="009462F4"/>
    <w:pPr>
      <w:tabs>
        <w:tab w:val="center" w:pos="4680"/>
        <w:tab w:val="right" w:pos="9360"/>
      </w:tabs>
      <w:spacing w:after="0" w:line="240" w:lineRule="auto"/>
    </w:pPr>
    <w:rPr>
      <w:rFonts w:eastAsia="Batang"/>
    </w:rPr>
  </w:style>
  <w:style w:type="character" w:customStyle="1" w:styleId="HeaderChar">
    <w:name w:val="Header Char"/>
    <w:basedOn w:val="DefaultParagraphFont"/>
    <w:link w:val="Header"/>
    <w:uiPriority w:val="99"/>
    <w:rsid w:val="009462F4"/>
    <w:rPr>
      <w:rFonts w:eastAsia="Batang"/>
    </w:rPr>
  </w:style>
  <w:style w:type="paragraph" w:styleId="Footer">
    <w:name w:val="footer"/>
    <w:basedOn w:val="Normal"/>
    <w:link w:val="FooterChar"/>
    <w:uiPriority w:val="99"/>
    <w:unhideWhenUsed/>
    <w:rsid w:val="009462F4"/>
    <w:pPr>
      <w:tabs>
        <w:tab w:val="center" w:pos="4680"/>
        <w:tab w:val="right" w:pos="9360"/>
      </w:tabs>
      <w:spacing w:after="0" w:line="240" w:lineRule="auto"/>
    </w:pPr>
    <w:rPr>
      <w:rFonts w:eastAsia="Batang"/>
    </w:rPr>
  </w:style>
  <w:style w:type="character" w:customStyle="1" w:styleId="FooterChar">
    <w:name w:val="Footer Char"/>
    <w:basedOn w:val="DefaultParagraphFont"/>
    <w:link w:val="Footer"/>
    <w:uiPriority w:val="99"/>
    <w:rsid w:val="009462F4"/>
    <w:rPr>
      <w:rFonts w:eastAsia="Batang"/>
    </w:rPr>
  </w:style>
  <w:style w:type="paragraph" w:styleId="TableofFigures">
    <w:name w:val="table of figures"/>
    <w:basedOn w:val="Normal"/>
    <w:next w:val="Normal"/>
    <w:uiPriority w:val="99"/>
    <w:semiHidden/>
    <w:unhideWhenUsed/>
    <w:rsid w:val="009462F4"/>
    <w:pPr>
      <w:spacing w:after="0" w:line="256" w:lineRule="auto"/>
    </w:pPr>
    <w:rPr>
      <w:rFonts w:eastAsia="Batang"/>
    </w:rPr>
  </w:style>
  <w:style w:type="paragraph" w:styleId="TOC1">
    <w:name w:val="toc 1"/>
    <w:basedOn w:val="Normal"/>
    <w:next w:val="Normal"/>
    <w:autoRedefine/>
    <w:uiPriority w:val="39"/>
    <w:unhideWhenUsed/>
    <w:rsid w:val="00B435F3"/>
    <w:pPr>
      <w:spacing w:after="100"/>
    </w:pPr>
  </w:style>
  <w:style w:type="paragraph" w:styleId="Revision">
    <w:name w:val="Revision"/>
    <w:hidden/>
    <w:uiPriority w:val="99"/>
    <w:semiHidden/>
    <w:rsid w:val="00B435F3"/>
    <w:pPr>
      <w:spacing w:after="0" w:line="240" w:lineRule="auto"/>
    </w:pPr>
  </w:style>
  <w:style w:type="paragraph" w:styleId="NoSpacing">
    <w:name w:val="No Spacing"/>
    <w:uiPriority w:val="1"/>
    <w:qFormat/>
    <w:rsid w:val="000C012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100770">
      <w:bodyDiv w:val="1"/>
      <w:marLeft w:val="0"/>
      <w:marRight w:val="0"/>
      <w:marTop w:val="0"/>
      <w:marBottom w:val="0"/>
      <w:divBdr>
        <w:top w:val="none" w:sz="0" w:space="0" w:color="auto"/>
        <w:left w:val="none" w:sz="0" w:space="0" w:color="auto"/>
        <w:bottom w:val="none" w:sz="0" w:space="0" w:color="auto"/>
        <w:right w:val="none" w:sz="0" w:space="0" w:color="auto"/>
      </w:divBdr>
    </w:div>
    <w:div w:id="182523198">
      <w:bodyDiv w:val="1"/>
      <w:marLeft w:val="0"/>
      <w:marRight w:val="0"/>
      <w:marTop w:val="0"/>
      <w:marBottom w:val="0"/>
      <w:divBdr>
        <w:top w:val="none" w:sz="0" w:space="0" w:color="auto"/>
        <w:left w:val="none" w:sz="0" w:space="0" w:color="auto"/>
        <w:bottom w:val="none" w:sz="0" w:space="0" w:color="auto"/>
        <w:right w:val="none" w:sz="0" w:space="0" w:color="auto"/>
      </w:divBdr>
    </w:div>
    <w:div w:id="683291432">
      <w:bodyDiv w:val="1"/>
      <w:marLeft w:val="0"/>
      <w:marRight w:val="0"/>
      <w:marTop w:val="0"/>
      <w:marBottom w:val="0"/>
      <w:divBdr>
        <w:top w:val="none" w:sz="0" w:space="0" w:color="auto"/>
        <w:left w:val="none" w:sz="0" w:space="0" w:color="auto"/>
        <w:bottom w:val="none" w:sz="0" w:space="0" w:color="auto"/>
        <w:right w:val="none" w:sz="0" w:space="0" w:color="auto"/>
      </w:divBdr>
    </w:div>
    <w:div w:id="796679193">
      <w:bodyDiv w:val="1"/>
      <w:marLeft w:val="0"/>
      <w:marRight w:val="0"/>
      <w:marTop w:val="0"/>
      <w:marBottom w:val="0"/>
      <w:divBdr>
        <w:top w:val="none" w:sz="0" w:space="0" w:color="auto"/>
        <w:left w:val="none" w:sz="0" w:space="0" w:color="auto"/>
        <w:bottom w:val="none" w:sz="0" w:space="0" w:color="auto"/>
        <w:right w:val="none" w:sz="0" w:space="0" w:color="auto"/>
      </w:divBdr>
    </w:div>
    <w:div w:id="1013193437">
      <w:bodyDiv w:val="1"/>
      <w:marLeft w:val="0"/>
      <w:marRight w:val="0"/>
      <w:marTop w:val="0"/>
      <w:marBottom w:val="0"/>
      <w:divBdr>
        <w:top w:val="none" w:sz="0" w:space="0" w:color="auto"/>
        <w:left w:val="none" w:sz="0" w:space="0" w:color="auto"/>
        <w:bottom w:val="none" w:sz="0" w:space="0" w:color="auto"/>
        <w:right w:val="none" w:sz="0" w:space="0" w:color="auto"/>
      </w:divBdr>
    </w:div>
    <w:div w:id="1201240597">
      <w:bodyDiv w:val="1"/>
      <w:marLeft w:val="0"/>
      <w:marRight w:val="0"/>
      <w:marTop w:val="0"/>
      <w:marBottom w:val="0"/>
      <w:divBdr>
        <w:top w:val="none" w:sz="0" w:space="0" w:color="auto"/>
        <w:left w:val="none" w:sz="0" w:space="0" w:color="auto"/>
        <w:bottom w:val="none" w:sz="0" w:space="0" w:color="auto"/>
        <w:right w:val="none" w:sz="0" w:space="0" w:color="auto"/>
      </w:divBdr>
      <w:divsChild>
        <w:div w:id="571620238">
          <w:marLeft w:val="0"/>
          <w:marRight w:val="0"/>
          <w:marTop w:val="0"/>
          <w:marBottom w:val="0"/>
          <w:divBdr>
            <w:top w:val="none" w:sz="0" w:space="0" w:color="auto"/>
            <w:left w:val="none" w:sz="0" w:space="0" w:color="auto"/>
            <w:bottom w:val="none" w:sz="0" w:space="0" w:color="auto"/>
            <w:right w:val="none" w:sz="0" w:space="0" w:color="auto"/>
          </w:divBdr>
        </w:div>
      </w:divsChild>
    </w:div>
    <w:div w:id="1234779062">
      <w:bodyDiv w:val="1"/>
      <w:marLeft w:val="0"/>
      <w:marRight w:val="0"/>
      <w:marTop w:val="0"/>
      <w:marBottom w:val="0"/>
      <w:divBdr>
        <w:top w:val="none" w:sz="0" w:space="0" w:color="auto"/>
        <w:left w:val="none" w:sz="0" w:space="0" w:color="auto"/>
        <w:bottom w:val="none" w:sz="0" w:space="0" w:color="auto"/>
        <w:right w:val="none" w:sz="0" w:space="0" w:color="auto"/>
      </w:divBdr>
    </w:div>
    <w:div w:id="1492987859">
      <w:bodyDiv w:val="1"/>
      <w:marLeft w:val="0"/>
      <w:marRight w:val="0"/>
      <w:marTop w:val="0"/>
      <w:marBottom w:val="0"/>
      <w:divBdr>
        <w:top w:val="none" w:sz="0" w:space="0" w:color="auto"/>
        <w:left w:val="none" w:sz="0" w:space="0" w:color="auto"/>
        <w:bottom w:val="none" w:sz="0" w:space="0" w:color="auto"/>
        <w:right w:val="none" w:sz="0" w:space="0" w:color="auto"/>
      </w:divBdr>
    </w:div>
    <w:div w:id="1672370997">
      <w:bodyDiv w:val="1"/>
      <w:marLeft w:val="0"/>
      <w:marRight w:val="0"/>
      <w:marTop w:val="0"/>
      <w:marBottom w:val="0"/>
      <w:divBdr>
        <w:top w:val="none" w:sz="0" w:space="0" w:color="auto"/>
        <w:left w:val="none" w:sz="0" w:space="0" w:color="auto"/>
        <w:bottom w:val="none" w:sz="0" w:space="0" w:color="auto"/>
        <w:right w:val="none" w:sz="0" w:space="0" w:color="auto"/>
      </w:divBdr>
    </w:div>
    <w:div w:id="1728069712">
      <w:bodyDiv w:val="1"/>
      <w:marLeft w:val="0"/>
      <w:marRight w:val="0"/>
      <w:marTop w:val="0"/>
      <w:marBottom w:val="0"/>
      <w:divBdr>
        <w:top w:val="none" w:sz="0" w:space="0" w:color="auto"/>
        <w:left w:val="none" w:sz="0" w:space="0" w:color="auto"/>
        <w:bottom w:val="none" w:sz="0" w:space="0" w:color="auto"/>
        <w:right w:val="none" w:sz="0" w:space="0" w:color="auto"/>
      </w:divBdr>
      <w:divsChild>
        <w:div w:id="910507392">
          <w:marLeft w:val="0"/>
          <w:marRight w:val="0"/>
          <w:marTop w:val="0"/>
          <w:marBottom w:val="0"/>
          <w:divBdr>
            <w:top w:val="none" w:sz="0" w:space="0" w:color="auto"/>
            <w:left w:val="none" w:sz="0" w:space="0" w:color="auto"/>
            <w:bottom w:val="none" w:sz="0" w:space="0" w:color="auto"/>
            <w:right w:val="none" w:sz="0" w:space="0" w:color="auto"/>
          </w:divBdr>
          <w:divsChild>
            <w:div w:id="188582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64751">
      <w:bodyDiv w:val="1"/>
      <w:marLeft w:val="0"/>
      <w:marRight w:val="0"/>
      <w:marTop w:val="0"/>
      <w:marBottom w:val="0"/>
      <w:divBdr>
        <w:top w:val="none" w:sz="0" w:space="0" w:color="auto"/>
        <w:left w:val="none" w:sz="0" w:space="0" w:color="auto"/>
        <w:bottom w:val="none" w:sz="0" w:space="0" w:color="auto"/>
        <w:right w:val="none" w:sz="0" w:space="0" w:color="auto"/>
      </w:divBdr>
    </w:div>
    <w:div w:id="1948001865">
      <w:bodyDiv w:val="1"/>
      <w:marLeft w:val="0"/>
      <w:marRight w:val="0"/>
      <w:marTop w:val="0"/>
      <w:marBottom w:val="0"/>
      <w:divBdr>
        <w:top w:val="none" w:sz="0" w:space="0" w:color="auto"/>
        <w:left w:val="none" w:sz="0" w:space="0" w:color="auto"/>
        <w:bottom w:val="none" w:sz="0" w:space="0" w:color="auto"/>
        <w:right w:val="none" w:sz="0" w:space="0" w:color="auto"/>
      </w:divBdr>
    </w:div>
    <w:div w:id="2060854494">
      <w:bodyDiv w:val="1"/>
      <w:marLeft w:val="0"/>
      <w:marRight w:val="0"/>
      <w:marTop w:val="0"/>
      <w:marBottom w:val="0"/>
      <w:divBdr>
        <w:top w:val="none" w:sz="0" w:space="0" w:color="auto"/>
        <w:left w:val="none" w:sz="0" w:space="0" w:color="auto"/>
        <w:bottom w:val="none" w:sz="0" w:space="0" w:color="auto"/>
        <w:right w:val="none" w:sz="0" w:space="0" w:color="auto"/>
      </w:divBdr>
      <w:divsChild>
        <w:div w:id="1717116576">
          <w:marLeft w:val="0"/>
          <w:marRight w:val="0"/>
          <w:marTop w:val="0"/>
          <w:marBottom w:val="0"/>
          <w:divBdr>
            <w:top w:val="none" w:sz="0" w:space="0" w:color="auto"/>
            <w:left w:val="none" w:sz="0" w:space="0" w:color="auto"/>
            <w:bottom w:val="none" w:sz="0" w:space="0" w:color="auto"/>
            <w:right w:val="none" w:sz="0" w:space="0" w:color="auto"/>
          </w:divBdr>
        </w:div>
      </w:divsChild>
    </w:div>
    <w:div w:id="209913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A37C3-E8BD-42F2-8747-71AC9A134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Pages>
  <Words>175759</Words>
  <Characters>1001829</Characters>
  <Application>Microsoft Office Word</Application>
  <DocSecurity>0</DocSecurity>
  <Lines>8348</Lines>
  <Paragraphs>2350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Nawal Farhat</dc:creator>
  <cp:keywords/>
  <dc:description/>
  <cp:lastModifiedBy>Nawal Farhat</cp:lastModifiedBy>
  <cp:revision>7</cp:revision>
  <cp:lastPrinted>2019-01-09T10:55:00Z</cp:lastPrinted>
  <dcterms:created xsi:type="dcterms:W3CDTF">2018-04-12T22:22:00Z</dcterms:created>
  <dcterms:modified xsi:type="dcterms:W3CDTF">2019-01-31T23:33:00Z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e2bf7c24-6e70-3798-af2a-8862ce5db775</vt:lpwstr>
  </property>
  <property fmtid="{D5CDD505-2E9C-101B-9397-08002B2CF9AE}" pid="4" name="Mendeley Citation Style_1">
    <vt:lpwstr>http://www.zotero.org/styles/council-of-science-editors-author-date</vt:lpwstr>
  </property>
</Properties>
</file>