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69" w:rsidRDefault="00892069" w:rsidP="00892069">
      <w:pPr>
        <w:pStyle w:val="Figurecaption"/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Supplemental online material</w:t>
      </w:r>
    </w:p>
    <w:p w:rsidR="00892069" w:rsidRDefault="00892069" w:rsidP="008920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9E3">
        <w:rPr>
          <w:rFonts w:ascii="Times New Roman" w:hAnsi="Times New Roman" w:cs="Times New Roman"/>
          <w:b/>
          <w:sz w:val="24"/>
          <w:szCs w:val="24"/>
        </w:rPr>
        <w:t>Main inclusion criteria:</w:t>
      </w:r>
      <w:r>
        <w:rPr>
          <w:rFonts w:ascii="Times New Roman" w:hAnsi="Times New Roman" w:cs="Times New Roman"/>
          <w:sz w:val="24"/>
          <w:szCs w:val="24"/>
        </w:rPr>
        <w:t xml:space="preserve"> provided written informed consent; Caucasian (defined as white European) males aged 30 to 65 years at screening; body weight of ≥60 kg; body mass index ranging from 18.0 to 32.0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screening and Day −1; normal ECG measurements defined as a heart rate between 50 and 100 beats per minute at screening, Day −1 and pre-dose; vital signs within the following ranges at screening and Day −1: body temperature: 35.0–37.5°C; systolic blood pressure: 90–140 mmHg, diastolic blood pressure: 50–90 mmHg; Holter recording with no clinically significant abnormalities; ectopic beat rate of &lt;0.5% of total beats and no second degree or higher atrioventricular block-related findings (occasional nocturnal Mobitz type 1 atrioventricular block was acceptable) at screening; and regular daily bowel movements.</w:t>
      </w:r>
    </w:p>
    <w:p w:rsidR="00892069" w:rsidRDefault="00892069" w:rsidP="008920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2069" w:rsidRDefault="00892069" w:rsidP="00892069">
      <w:pPr>
        <w:spacing w:line="480" w:lineRule="auto"/>
      </w:pPr>
      <w:bookmarkStart w:id="0" w:name="_GoBack"/>
      <w:r w:rsidRPr="006649E3">
        <w:rPr>
          <w:rFonts w:ascii="Times New Roman" w:hAnsi="Times New Roman" w:cs="Times New Roman"/>
          <w:b/>
          <w:sz w:val="24"/>
          <w:szCs w:val="24"/>
        </w:rPr>
        <w:t>Main exclusion criteria: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presence or history of severe adverse reaction or allergy to any medicinal product of clinical significance; participated in more than three clinical studies of a new chemical entity in the previous year; radiation exposure exceeding 5 mSv in the last 12 months or 10 mSv in the last 5 years; any prescribed systemic or topical medication within 14 days of dose administration; any non-prescribed systemic or topical medication (including herbal remedies and vitamin/mineral supplements) within 7 days of dose administration; clinically significant endocrine, thyroid, hepatic, respiratory, gastrointestinal or renal disease, diabetes mellitus, coronary heart disease, hypertension, eye disorders, or history (in the last 2 years) of any psychiatric/psychotic disorder; clinically relevant abnormal medical history, physical findings, or laboratory values at screening and/or Day −1 that could interfere with the objectives of the study; positive hepatitis B surface antigen, hepatitis C virus antibody, or HIV, or a </w:t>
      </w:r>
      <w:r>
        <w:rPr>
          <w:rFonts w:ascii="Times New Roman" w:hAnsi="Times New Roman" w:cs="Times New Roman"/>
          <w:sz w:val="24"/>
          <w:szCs w:val="24"/>
        </w:rPr>
        <w:lastRenderedPageBreak/>
        <w:t>negative Herpes Zoster/Varicella immunoglobulin-G test result at screening; clinically significant 12-lead ECG abnormalities (except occasional nocturnal Mobitz type 1 atrioventricular block); any surgical or medical condition that might have significantly altered the absorption, distribution, metabolism or excretion of drugs; use of tobacco/nicotine-containing products within 3 months before administration of the study drug through to the final study visit; or previous exposure to MT-1303.</w:t>
      </w:r>
    </w:p>
    <w:sectPr w:rsidR="0089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69"/>
    <w:rsid w:val="006649E3"/>
    <w:rsid w:val="008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01A1A-F489-4F92-845F-E74B91D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0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892069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2017</Characters>
  <Application>Microsoft Office Word</Application>
  <DocSecurity>0</DocSecurity>
  <Lines>65</Lines>
  <Paragraphs>35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Richardson</dc:creator>
  <cp:keywords/>
  <dc:description/>
  <cp:lastModifiedBy>Mary Richardson</cp:lastModifiedBy>
  <cp:revision>2</cp:revision>
  <dcterms:created xsi:type="dcterms:W3CDTF">2018-09-05T03:32:00Z</dcterms:created>
  <dcterms:modified xsi:type="dcterms:W3CDTF">2018-09-05T03:36:00Z</dcterms:modified>
</cp:coreProperties>
</file>