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AE" w:rsidRPr="0047347B" w:rsidRDefault="00730FAE" w:rsidP="00730FAE">
      <w:pPr>
        <w:pStyle w:val="Caption"/>
        <w:keepNext/>
        <w:spacing w:before="240" w:after="120"/>
        <w:jc w:val="both"/>
        <w:rPr>
          <w:b/>
        </w:rPr>
      </w:pPr>
      <w:bookmarkStart w:id="0" w:name="_Ref11322311"/>
      <w:r w:rsidRPr="0047347B">
        <w:rPr>
          <w:b/>
          <w:i w:val="0"/>
          <w:color w:val="auto"/>
          <w:sz w:val="22"/>
        </w:rPr>
        <w:t xml:space="preserve">Supplementary table </w:t>
      </w:r>
      <w:r w:rsidRPr="0047347B">
        <w:rPr>
          <w:b/>
          <w:i w:val="0"/>
          <w:color w:val="auto"/>
          <w:sz w:val="22"/>
        </w:rPr>
        <w:fldChar w:fldCharType="begin"/>
      </w:r>
      <w:r w:rsidRPr="0047347B">
        <w:rPr>
          <w:b/>
          <w:i w:val="0"/>
          <w:color w:val="auto"/>
          <w:sz w:val="22"/>
        </w:rPr>
        <w:instrText xml:space="preserve"> SEQ Supplementary_table \* ARABIC </w:instrText>
      </w:r>
      <w:r w:rsidRPr="0047347B">
        <w:rPr>
          <w:b/>
          <w:i w:val="0"/>
          <w:color w:val="auto"/>
          <w:sz w:val="22"/>
        </w:rPr>
        <w:fldChar w:fldCharType="separate"/>
      </w:r>
      <w:r>
        <w:rPr>
          <w:b/>
          <w:i w:val="0"/>
          <w:noProof/>
          <w:color w:val="auto"/>
          <w:sz w:val="22"/>
        </w:rPr>
        <w:t>1</w:t>
      </w:r>
      <w:r w:rsidRPr="0047347B">
        <w:rPr>
          <w:b/>
          <w:i w:val="0"/>
          <w:color w:val="auto"/>
          <w:sz w:val="22"/>
        </w:rPr>
        <w:fldChar w:fldCharType="end"/>
      </w:r>
      <w:bookmarkEnd w:id="0"/>
      <w:r>
        <w:rPr>
          <w:b/>
          <w:i w:val="0"/>
          <w:color w:val="auto"/>
          <w:sz w:val="22"/>
        </w:rPr>
        <w:t>: Type and properties of distributions used in the probabilistic sensitivity analysis</w:t>
      </w:r>
    </w:p>
    <w:tbl>
      <w:tblPr>
        <w:tblW w:w="8931" w:type="dxa"/>
        <w:tblInd w:w="108" w:type="dxa"/>
        <w:shd w:val="clear" w:color="auto" w:fill="FFFFFF" w:themeFill="background1"/>
        <w:tblLook w:val="04A0" w:firstRow="1" w:lastRow="0" w:firstColumn="1" w:lastColumn="0" w:noHBand="0" w:noVBand="1"/>
      </w:tblPr>
      <w:tblGrid>
        <w:gridCol w:w="3828"/>
        <w:gridCol w:w="1701"/>
        <w:gridCol w:w="3402"/>
      </w:tblGrid>
      <w:tr w:rsidR="00730FAE" w:rsidRPr="00B41623" w:rsidTr="00FD6516">
        <w:trPr>
          <w:trHeight w:val="397"/>
        </w:trPr>
        <w:tc>
          <w:tcPr>
            <w:tcW w:w="3828" w:type="dxa"/>
            <w:tcBorders>
              <w:top w:val="single" w:sz="4" w:space="0" w:color="808080" w:themeColor="background1" w:themeShade="80"/>
              <w:bottom w:val="single" w:sz="4" w:space="0" w:color="808080" w:themeColor="background1" w:themeShade="80"/>
              <w:right w:val="single" w:sz="4" w:space="0" w:color="808080"/>
            </w:tcBorders>
            <w:shd w:val="clear" w:color="auto" w:fill="auto"/>
            <w:noWrap/>
            <w:vAlign w:val="center"/>
            <w:hideMark/>
          </w:tcPr>
          <w:p w:rsidR="00730FAE" w:rsidRPr="0047347B" w:rsidRDefault="00730FAE" w:rsidP="00FD6516">
            <w:pPr>
              <w:spacing w:after="0" w:line="240" w:lineRule="auto"/>
              <w:jc w:val="center"/>
              <w:rPr>
                <w:b/>
                <w:sz w:val="18"/>
                <w:szCs w:val="16"/>
              </w:rPr>
            </w:pPr>
            <w:r w:rsidRPr="0047347B">
              <w:rPr>
                <w:b/>
                <w:sz w:val="18"/>
                <w:szCs w:val="16"/>
              </w:rPr>
              <w:t>Parameter</w:t>
            </w:r>
          </w:p>
        </w:tc>
        <w:tc>
          <w:tcPr>
            <w:tcW w:w="1701"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vAlign w:val="center"/>
            <w:hideMark/>
          </w:tcPr>
          <w:p w:rsidR="00730FAE" w:rsidRPr="0047347B" w:rsidRDefault="00730FAE" w:rsidP="00FD6516">
            <w:pPr>
              <w:spacing w:after="0" w:line="240" w:lineRule="auto"/>
              <w:jc w:val="center"/>
              <w:rPr>
                <w:b/>
                <w:bCs/>
                <w:sz w:val="18"/>
                <w:szCs w:val="16"/>
              </w:rPr>
            </w:pPr>
            <w:r w:rsidRPr="0047347B">
              <w:rPr>
                <w:b/>
                <w:bCs/>
                <w:sz w:val="18"/>
                <w:szCs w:val="16"/>
              </w:rPr>
              <w:t>Type of distribution</w:t>
            </w:r>
          </w:p>
        </w:tc>
        <w:tc>
          <w:tcPr>
            <w:tcW w:w="3402" w:type="dxa"/>
            <w:tcBorders>
              <w:top w:val="single" w:sz="4" w:space="0" w:color="808080" w:themeColor="background1" w:themeShade="80"/>
              <w:left w:val="single" w:sz="4" w:space="0" w:color="808080"/>
              <w:bottom w:val="single" w:sz="4" w:space="0" w:color="808080" w:themeColor="background1" w:themeShade="80"/>
            </w:tcBorders>
            <w:shd w:val="clear" w:color="auto" w:fill="auto"/>
            <w:vAlign w:val="center"/>
          </w:tcPr>
          <w:p w:rsidR="00730FAE" w:rsidRPr="0047347B" w:rsidRDefault="00730FAE" w:rsidP="00FD6516">
            <w:pPr>
              <w:spacing w:after="0" w:line="240" w:lineRule="auto"/>
              <w:jc w:val="center"/>
              <w:rPr>
                <w:b/>
                <w:bCs/>
                <w:sz w:val="18"/>
                <w:szCs w:val="16"/>
              </w:rPr>
            </w:pPr>
            <w:r w:rsidRPr="0047347B">
              <w:rPr>
                <w:b/>
                <w:bCs/>
                <w:sz w:val="18"/>
                <w:szCs w:val="16"/>
              </w:rPr>
              <w:t>Properties of distribution</w:t>
            </w:r>
          </w:p>
        </w:tc>
      </w:tr>
      <w:tr w:rsidR="00730FAE" w:rsidRPr="00B41623" w:rsidTr="00FD6516">
        <w:trPr>
          <w:trHeight w:val="1273"/>
        </w:trPr>
        <w:tc>
          <w:tcPr>
            <w:tcW w:w="3828" w:type="dxa"/>
            <w:tcBorders>
              <w:top w:val="single" w:sz="4" w:space="0" w:color="808080" w:themeColor="background1" w:themeShade="80"/>
              <w:bottom w:val="single" w:sz="4" w:space="0" w:color="808080" w:themeColor="background1" w:themeShade="80"/>
              <w:right w:val="single" w:sz="4" w:space="0" w:color="808080"/>
            </w:tcBorders>
            <w:shd w:val="clear" w:color="auto" w:fill="FFFFFF" w:themeFill="background1"/>
            <w:noWrap/>
            <w:vAlign w:val="center"/>
          </w:tcPr>
          <w:p w:rsidR="00730FAE" w:rsidRPr="005F25D6" w:rsidRDefault="00730FAE" w:rsidP="00730FAE">
            <w:pPr>
              <w:pStyle w:val="ListParagraph"/>
              <w:numPr>
                <w:ilvl w:val="0"/>
                <w:numId w:val="2"/>
              </w:numPr>
              <w:spacing w:after="0" w:line="240" w:lineRule="auto"/>
              <w:ind w:hanging="326"/>
              <w:rPr>
                <w:color w:val="000000"/>
                <w:sz w:val="18"/>
                <w:szCs w:val="16"/>
              </w:rPr>
            </w:pPr>
            <w:r w:rsidRPr="005F25D6">
              <w:rPr>
                <w:color w:val="000000"/>
                <w:sz w:val="18"/>
                <w:szCs w:val="16"/>
              </w:rPr>
              <w:t>Costs (drug, hospitalization, AE, laboratory analysis)</w:t>
            </w:r>
          </w:p>
          <w:p w:rsidR="00730FAE" w:rsidRPr="000E7BB7" w:rsidRDefault="00730FAE" w:rsidP="00730FAE">
            <w:pPr>
              <w:pStyle w:val="ListParagraph"/>
              <w:numPr>
                <w:ilvl w:val="0"/>
                <w:numId w:val="2"/>
              </w:numPr>
              <w:spacing w:after="0" w:line="240" w:lineRule="auto"/>
              <w:ind w:hanging="326"/>
              <w:rPr>
                <w:color w:val="000000"/>
                <w:sz w:val="18"/>
                <w:szCs w:val="16"/>
              </w:rPr>
            </w:pPr>
            <w:r w:rsidRPr="00C8392B">
              <w:rPr>
                <w:color w:val="000000"/>
                <w:sz w:val="18"/>
                <w:szCs w:val="16"/>
              </w:rPr>
              <w:t xml:space="preserve">Number of tests, hospital and treatment days </w:t>
            </w:r>
          </w:p>
        </w:tc>
        <w:tc>
          <w:tcPr>
            <w:tcW w:w="1701"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FFFFFF" w:themeFill="background1"/>
            <w:noWrap/>
            <w:vAlign w:val="center"/>
          </w:tcPr>
          <w:p w:rsidR="00730FAE" w:rsidRPr="000E7BB7" w:rsidRDefault="00730FAE" w:rsidP="00FD6516">
            <w:pPr>
              <w:spacing w:after="0" w:line="240" w:lineRule="auto"/>
              <w:jc w:val="center"/>
              <w:rPr>
                <w:color w:val="000000"/>
                <w:sz w:val="18"/>
                <w:szCs w:val="16"/>
              </w:rPr>
            </w:pPr>
            <w:r w:rsidRPr="000E7BB7">
              <w:rPr>
                <w:color w:val="000000"/>
                <w:sz w:val="18"/>
                <w:szCs w:val="16"/>
              </w:rPr>
              <w:t>Gamma</w:t>
            </w:r>
          </w:p>
        </w:tc>
        <w:tc>
          <w:tcPr>
            <w:tcW w:w="3402" w:type="dxa"/>
            <w:tcBorders>
              <w:top w:val="single" w:sz="4" w:space="0" w:color="808080" w:themeColor="background1" w:themeShade="80"/>
              <w:left w:val="single" w:sz="4" w:space="0" w:color="808080"/>
              <w:bottom w:val="single" w:sz="4" w:space="0" w:color="808080" w:themeColor="background1" w:themeShade="80"/>
            </w:tcBorders>
            <w:shd w:val="clear" w:color="auto" w:fill="FFFFFF" w:themeFill="background1"/>
            <w:vAlign w:val="center"/>
          </w:tcPr>
          <w:p w:rsidR="00730FAE" w:rsidRPr="003B27A7" w:rsidRDefault="00730FAE" w:rsidP="00FD6516">
            <w:pPr>
              <w:spacing w:after="0" w:line="240" w:lineRule="auto"/>
              <w:rPr>
                <w:color w:val="000000"/>
                <w:sz w:val="18"/>
                <w:szCs w:val="16"/>
              </w:rPr>
            </w:pPr>
            <w:r w:rsidRPr="00D570CD">
              <w:rPr>
                <w:color w:val="000000"/>
                <w:sz w:val="18"/>
                <w:szCs w:val="16"/>
              </w:rPr>
              <w:t>Bounded at 0, positively skewed. Derived from mean and its standard error (SE). SE was set at deterministic cost/4. Alpha and Beta values were calculated as follows: Alpha = (mean/SE)</w:t>
            </w:r>
            <w:r w:rsidRPr="003B27A7">
              <w:rPr>
                <w:color w:val="000000"/>
                <w:sz w:val="18"/>
                <w:szCs w:val="16"/>
                <w:vertAlign w:val="superscript"/>
              </w:rPr>
              <w:t>2</w:t>
            </w:r>
            <w:r w:rsidRPr="003B27A7">
              <w:rPr>
                <w:color w:val="000000"/>
                <w:sz w:val="18"/>
                <w:szCs w:val="16"/>
              </w:rPr>
              <w:t xml:space="preserve"> Beta = SE</w:t>
            </w:r>
            <w:r w:rsidRPr="003B27A7">
              <w:rPr>
                <w:color w:val="000000"/>
                <w:sz w:val="18"/>
                <w:szCs w:val="16"/>
                <w:vertAlign w:val="superscript"/>
              </w:rPr>
              <w:t>2</w:t>
            </w:r>
            <w:r w:rsidRPr="003B27A7">
              <w:rPr>
                <w:color w:val="000000"/>
                <w:sz w:val="18"/>
                <w:szCs w:val="16"/>
              </w:rPr>
              <w:t>/Mean</w:t>
            </w:r>
          </w:p>
        </w:tc>
      </w:tr>
      <w:tr w:rsidR="00730FAE" w:rsidRPr="00B41623" w:rsidTr="00FD6516">
        <w:trPr>
          <w:trHeight w:val="1740"/>
        </w:trPr>
        <w:tc>
          <w:tcPr>
            <w:tcW w:w="3828" w:type="dxa"/>
            <w:tcBorders>
              <w:top w:val="single" w:sz="4" w:space="0" w:color="808080" w:themeColor="background1" w:themeShade="80"/>
              <w:bottom w:val="single" w:sz="4" w:space="0" w:color="808080" w:themeColor="background1" w:themeShade="80"/>
              <w:right w:val="single" w:sz="4" w:space="0" w:color="808080"/>
            </w:tcBorders>
            <w:shd w:val="clear" w:color="auto" w:fill="FFFFFF" w:themeFill="background1"/>
            <w:noWrap/>
            <w:vAlign w:val="center"/>
          </w:tcPr>
          <w:p w:rsidR="00730FAE" w:rsidRPr="005F25D6" w:rsidRDefault="00730FAE" w:rsidP="00730FAE">
            <w:pPr>
              <w:pStyle w:val="ListParagraph"/>
              <w:numPr>
                <w:ilvl w:val="0"/>
                <w:numId w:val="1"/>
              </w:numPr>
              <w:spacing w:after="0" w:line="240" w:lineRule="auto"/>
              <w:ind w:hanging="326"/>
              <w:rPr>
                <w:color w:val="000000"/>
                <w:sz w:val="18"/>
                <w:szCs w:val="16"/>
              </w:rPr>
            </w:pPr>
            <w:r w:rsidRPr="005F25D6">
              <w:rPr>
                <w:color w:val="000000"/>
                <w:sz w:val="18"/>
                <w:szCs w:val="16"/>
              </w:rPr>
              <w:t>Percentage requiring second-line treatment</w:t>
            </w:r>
          </w:p>
          <w:p w:rsidR="00730FAE" w:rsidRPr="000E7BB7" w:rsidRDefault="00730FAE" w:rsidP="00730FAE">
            <w:pPr>
              <w:pStyle w:val="ListParagraph"/>
              <w:numPr>
                <w:ilvl w:val="0"/>
                <w:numId w:val="1"/>
              </w:numPr>
              <w:spacing w:after="0" w:line="240" w:lineRule="auto"/>
              <w:ind w:hanging="326"/>
              <w:rPr>
                <w:color w:val="000000"/>
                <w:sz w:val="18"/>
                <w:szCs w:val="16"/>
              </w:rPr>
            </w:pPr>
            <w:r w:rsidRPr="00C8392B">
              <w:rPr>
                <w:color w:val="000000"/>
                <w:sz w:val="18"/>
                <w:szCs w:val="16"/>
              </w:rPr>
              <w:t xml:space="preserve">Percentage receiving </w:t>
            </w:r>
            <w:r w:rsidRPr="000E7BB7">
              <w:rPr>
                <w:color w:val="000000"/>
                <w:sz w:val="18"/>
                <w:szCs w:val="16"/>
              </w:rPr>
              <w:t>oral or IV therapy</w:t>
            </w:r>
          </w:p>
          <w:p w:rsidR="00730FAE" w:rsidRPr="000E7BB7" w:rsidRDefault="00730FAE" w:rsidP="00730FAE">
            <w:pPr>
              <w:pStyle w:val="ListParagraph"/>
              <w:numPr>
                <w:ilvl w:val="0"/>
                <w:numId w:val="1"/>
              </w:numPr>
              <w:spacing w:after="0" w:line="240" w:lineRule="auto"/>
              <w:ind w:hanging="326"/>
              <w:rPr>
                <w:color w:val="000000"/>
                <w:sz w:val="18"/>
                <w:szCs w:val="16"/>
              </w:rPr>
            </w:pPr>
            <w:r w:rsidRPr="000E7BB7">
              <w:rPr>
                <w:color w:val="000000"/>
                <w:sz w:val="18"/>
                <w:szCs w:val="16"/>
              </w:rPr>
              <w:t>Percentage with pathogen information</w:t>
            </w:r>
          </w:p>
          <w:p w:rsidR="00730FAE" w:rsidRPr="00D570CD" w:rsidRDefault="00730FAE" w:rsidP="00730FAE">
            <w:pPr>
              <w:pStyle w:val="ListParagraph"/>
              <w:numPr>
                <w:ilvl w:val="0"/>
                <w:numId w:val="1"/>
              </w:numPr>
              <w:spacing w:after="0" w:line="240" w:lineRule="auto"/>
              <w:ind w:hanging="326"/>
              <w:rPr>
                <w:color w:val="000000"/>
                <w:sz w:val="18"/>
                <w:szCs w:val="16"/>
              </w:rPr>
            </w:pPr>
            <w:r w:rsidRPr="00D570CD">
              <w:rPr>
                <w:color w:val="000000"/>
                <w:sz w:val="18"/>
                <w:szCs w:val="16"/>
              </w:rPr>
              <w:t>Incidence of AEs</w:t>
            </w:r>
          </w:p>
          <w:p w:rsidR="00730FAE" w:rsidRPr="003B27A7" w:rsidRDefault="00730FAE" w:rsidP="00730FAE">
            <w:pPr>
              <w:pStyle w:val="ListParagraph"/>
              <w:numPr>
                <w:ilvl w:val="0"/>
                <w:numId w:val="1"/>
              </w:numPr>
              <w:spacing w:after="0" w:line="240" w:lineRule="auto"/>
              <w:ind w:hanging="326"/>
              <w:rPr>
                <w:color w:val="000000"/>
                <w:sz w:val="18"/>
                <w:szCs w:val="16"/>
              </w:rPr>
            </w:pPr>
            <w:r w:rsidRPr="003B27A7">
              <w:rPr>
                <w:color w:val="000000"/>
                <w:sz w:val="18"/>
                <w:szCs w:val="16"/>
              </w:rPr>
              <w:t>Prevalence of mucormycosis</w:t>
            </w:r>
          </w:p>
          <w:p w:rsidR="00730FAE" w:rsidRPr="003B27A7" w:rsidRDefault="00730FAE" w:rsidP="00730FAE">
            <w:pPr>
              <w:pStyle w:val="ListParagraph"/>
              <w:numPr>
                <w:ilvl w:val="0"/>
                <w:numId w:val="1"/>
              </w:numPr>
              <w:spacing w:after="0" w:line="240" w:lineRule="auto"/>
              <w:ind w:hanging="326"/>
              <w:rPr>
                <w:color w:val="000000"/>
                <w:sz w:val="18"/>
                <w:szCs w:val="16"/>
              </w:rPr>
            </w:pPr>
            <w:r w:rsidRPr="003B27A7">
              <w:rPr>
                <w:color w:val="000000"/>
                <w:sz w:val="18"/>
                <w:szCs w:val="16"/>
              </w:rPr>
              <w:t>Mortality</w:t>
            </w:r>
          </w:p>
          <w:p w:rsidR="00730FAE" w:rsidRPr="003B27A7" w:rsidRDefault="00730FAE" w:rsidP="00730FAE">
            <w:pPr>
              <w:pStyle w:val="ListParagraph"/>
              <w:numPr>
                <w:ilvl w:val="0"/>
                <w:numId w:val="1"/>
              </w:numPr>
              <w:spacing w:after="0" w:line="240" w:lineRule="auto"/>
              <w:ind w:hanging="326"/>
              <w:rPr>
                <w:color w:val="000000"/>
                <w:sz w:val="18"/>
                <w:szCs w:val="16"/>
              </w:rPr>
            </w:pPr>
            <w:r w:rsidRPr="003B27A7">
              <w:rPr>
                <w:color w:val="000000"/>
                <w:sz w:val="18"/>
                <w:szCs w:val="16"/>
              </w:rPr>
              <w:t>Quality of life</w:t>
            </w:r>
          </w:p>
        </w:tc>
        <w:tc>
          <w:tcPr>
            <w:tcW w:w="1701"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FFFFFF" w:themeFill="background1"/>
            <w:noWrap/>
            <w:vAlign w:val="center"/>
          </w:tcPr>
          <w:p w:rsidR="00730FAE" w:rsidRPr="008A1CF8" w:rsidRDefault="00730FAE" w:rsidP="00FD6516">
            <w:pPr>
              <w:spacing w:after="0" w:line="240" w:lineRule="auto"/>
              <w:jc w:val="center"/>
              <w:rPr>
                <w:color w:val="000000"/>
                <w:sz w:val="18"/>
                <w:szCs w:val="16"/>
              </w:rPr>
            </w:pPr>
            <w:r w:rsidRPr="008A1CF8">
              <w:rPr>
                <w:color w:val="000000"/>
                <w:sz w:val="18"/>
                <w:szCs w:val="16"/>
              </w:rPr>
              <w:t>Beta</w:t>
            </w:r>
          </w:p>
        </w:tc>
        <w:tc>
          <w:tcPr>
            <w:tcW w:w="3402" w:type="dxa"/>
            <w:tcBorders>
              <w:top w:val="single" w:sz="4" w:space="0" w:color="808080" w:themeColor="background1" w:themeShade="80"/>
              <w:left w:val="single" w:sz="4" w:space="0" w:color="808080"/>
              <w:bottom w:val="single" w:sz="4" w:space="0" w:color="808080" w:themeColor="background1" w:themeShade="80"/>
            </w:tcBorders>
            <w:shd w:val="clear" w:color="auto" w:fill="FFFFFF" w:themeFill="background1"/>
            <w:vAlign w:val="center"/>
          </w:tcPr>
          <w:p w:rsidR="00730FAE" w:rsidRPr="00373B4A" w:rsidRDefault="00730FAE" w:rsidP="00FD6516">
            <w:pPr>
              <w:spacing w:after="0" w:line="240" w:lineRule="auto"/>
              <w:rPr>
                <w:color w:val="000000"/>
                <w:sz w:val="18"/>
                <w:szCs w:val="16"/>
              </w:rPr>
            </w:pPr>
            <w:r w:rsidRPr="00373B4A">
              <w:rPr>
                <w:color w:val="000000"/>
                <w:sz w:val="18"/>
                <w:szCs w:val="16"/>
              </w:rPr>
              <w:t>Bounded between 0 and 1. As the sample size and the number of events were specified alpha and beta values were calculated accordingly</w:t>
            </w:r>
          </w:p>
        </w:tc>
      </w:tr>
    </w:tbl>
    <w:p w:rsidR="00730FAE" w:rsidRDefault="00730FAE" w:rsidP="00730FAE">
      <w:pPr>
        <w:pStyle w:val="Caption"/>
        <w:keepNext/>
        <w:jc w:val="both"/>
        <w:rPr>
          <w:b/>
        </w:rPr>
      </w:pPr>
    </w:p>
    <w:p w:rsidR="00730FAE" w:rsidRDefault="00730FAE" w:rsidP="00730FAE">
      <w:pPr>
        <w:rPr>
          <w:b/>
          <w:iCs/>
          <w:szCs w:val="18"/>
          <w:lang w:val="en-GB"/>
        </w:rPr>
      </w:pPr>
      <w:bookmarkStart w:id="1" w:name="_Ref11320034"/>
      <w:r>
        <w:rPr>
          <w:b/>
          <w:i/>
        </w:rPr>
        <w:br w:type="page"/>
      </w:r>
    </w:p>
    <w:p w:rsidR="00730FAE" w:rsidRPr="0047347B" w:rsidRDefault="00730FAE" w:rsidP="00730FAE">
      <w:pPr>
        <w:pStyle w:val="Caption"/>
        <w:keepNext/>
        <w:spacing w:before="240" w:after="120"/>
        <w:jc w:val="both"/>
      </w:pPr>
      <w:bookmarkStart w:id="2" w:name="_Ref11400226"/>
      <w:r w:rsidRPr="0047347B">
        <w:rPr>
          <w:b/>
          <w:i w:val="0"/>
          <w:color w:val="auto"/>
          <w:sz w:val="22"/>
        </w:rPr>
        <w:lastRenderedPageBreak/>
        <w:t xml:space="preserve">Supplementary table </w:t>
      </w:r>
      <w:r w:rsidRPr="0047347B">
        <w:rPr>
          <w:b/>
          <w:i w:val="0"/>
          <w:color w:val="auto"/>
          <w:sz w:val="22"/>
        </w:rPr>
        <w:fldChar w:fldCharType="begin"/>
      </w:r>
      <w:r w:rsidRPr="0047347B">
        <w:rPr>
          <w:b/>
          <w:i w:val="0"/>
          <w:color w:val="auto"/>
          <w:sz w:val="22"/>
        </w:rPr>
        <w:instrText xml:space="preserve"> SEQ Supplementary_table \* ARABIC </w:instrText>
      </w:r>
      <w:r w:rsidRPr="0047347B">
        <w:rPr>
          <w:b/>
          <w:i w:val="0"/>
          <w:color w:val="auto"/>
          <w:sz w:val="22"/>
        </w:rPr>
        <w:fldChar w:fldCharType="separate"/>
      </w:r>
      <w:r>
        <w:rPr>
          <w:b/>
          <w:i w:val="0"/>
          <w:noProof/>
          <w:color w:val="auto"/>
          <w:sz w:val="22"/>
        </w:rPr>
        <w:t>2</w:t>
      </w:r>
      <w:r w:rsidRPr="0047347B">
        <w:rPr>
          <w:b/>
          <w:i w:val="0"/>
          <w:color w:val="auto"/>
          <w:sz w:val="22"/>
        </w:rPr>
        <w:fldChar w:fldCharType="end"/>
      </w:r>
      <w:bookmarkEnd w:id="2"/>
      <w:r w:rsidRPr="00424D6E">
        <w:rPr>
          <w:b/>
          <w:i w:val="0"/>
          <w:color w:val="auto"/>
          <w:sz w:val="22"/>
        </w:rPr>
        <w:t>: Parameters tested in scenario analysis</w:t>
      </w:r>
      <w:r w:rsidRPr="00424D6E">
        <w:rPr>
          <w:rFonts w:cstheme="minorHAnsi"/>
          <w:b/>
          <w:bCs/>
          <w:color w:val="auto"/>
          <w:lang w:eastAsia="en-GB"/>
        </w:rPr>
        <w:t xml:space="preserve"> </w:t>
      </w:r>
    </w:p>
    <w:tbl>
      <w:tblPr>
        <w:tblStyle w:val="PlainTable21"/>
        <w:tblW w:w="9134" w:type="dxa"/>
        <w:tblLook w:val="04A0" w:firstRow="1" w:lastRow="0" w:firstColumn="1" w:lastColumn="0" w:noHBand="0" w:noVBand="1"/>
      </w:tblPr>
      <w:tblGrid>
        <w:gridCol w:w="3261"/>
        <w:gridCol w:w="1984"/>
        <w:gridCol w:w="1930"/>
        <w:gridCol w:w="1959"/>
      </w:tblGrid>
      <w:tr w:rsidR="00730FAE" w:rsidRPr="00BC4765" w:rsidTr="00FD651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vMerge w:val="restart"/>
            <w:noWrap/>
          </w:tcPr>
          <w:p w:rsidR="00730FAE" w:rsidRPr="00424D6E" w:rsidRDefault="00730FAE" w:rsidP="00FD6516">
            <w:pPr>
              <w:rPr>
                <w:rFonts w:cstheme="minorHAnsi"/>
                <w:b w:val="0"/>
                <w:sz w:val="18"/>
                <w:szCs w:val="18"/>
              </w:rPr>
            </w:pPr>
            <w:r w:rsidRPr="00424D6E">
              <w:rPr>
                <w:rFonts w:cstheme="minorHAnsi"/>
                <w:sz w:val="18"/>
                <w:szCs w:val="18"/>
              </w:rPr>
              <w:t>Scenario and Parameter</w:t>
            </w:r>
          </w:p>
        </w:tc>
        <w:tc>
          <w:tcPr>
            <w:tcW w:w="3914" w:type="dxa"/>
            <w:gridSpan w:val="2"/>
          </w:tcPr>
          <w:p w:rsidR="00730FAE" w:rsidRPr="00424D6E" w:rsidRDefault="00730FAE" w:rsidP="00FD651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424D6E">
              <w:rPr>
                <w:rFonts w:cstheme="minorHAnsi"/>
                <w:sz w:val="18"/>
                <w:szCs w:val="18"/>
              </w:rPr>
              <w:t>Tested value</w:t>
            </w:r>
          </w:p>
        </w:tc>
        <w:tc>
          <w:tcPr>
            <w:tcW w:w="1959" w:type="dxa"/>
            <w:vMerge w:val="restart"/>
          </w:tcPr>
          <w:p w:rsidR="00730FAE" w:rsidRPr="00424D6E" w:rsidRDefault="00730FAE" w:rsidP="00FD651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424D6E">
              <w:rPr>
                <w:rFonts w:cstheme="minorHAnsi"/>
                <w:sz w:val="18"/>
                <w:szCs w:val="18"/>
              </w:rPr>
              <w:t>Source</w:t>
            </w:r>
          </w:p>
        </w:tc>
      </w:tr>
      <w:tr w:rsidR="00730FAE" w:rsidRPr="00BC4765" w:rsidTr="00FD65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vMerge/>
            <w:noWrap/>
            <w:hideMark/>
          </w:tcPr>
          <w:p w:rsidR="00730FAE" w:rsidRPr="00424D6E" w:rsidRDefault="00730FAE" w:rsidP="00FD6516">
            <w:pPr>
              <w:rPr>
                <w:rFonts w:cstheme="minorHAnsi"/>
                <w:b w:val="0"/>
                <w:sz w:val="18"/>
                <w:szCs w:val="18"/>
              </w:rPr>
            </w:pPr>
          </w:p>
        </w:tc>
        <w:tc>
          <w:tcPr>
            <w:tcW w:w="1984" w:type="dxa"/>
            <w:hideMark/>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Isavuconazole</w:t>
            </w:r>
          </w:p>
        </w:tc>
        <w:tc>
          <w:tcPr>
            <w:tcW w:w="1930"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24D6E">
              <w:rPr>
                <w:rFonts w:cstheme="minorHAnsi"/>
                <w:b/>
                <w:bCs/>
                <w:sz w:val="18"/>
                <w:szCs w:val="18"/>
              </w:rPr>
              <w:t>Voriconazole</w:t>
            </w:r>
          </w:p>
        </w:tc>
        <w:tc>
          <w:tcPr>
            <w:tcW w:w="1959" w:type="dxa"/>
            <w:vMerge/>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r>
      <w:tr w:rsidR="00730FAE" w:rsidRPr="00BC4765" w:rsidTr="00FD6516">
        <w:trPr>
          <w:trHeight w:val="340"/>
        </w:trPr>
        <w:tc>
          <w:tcPr>
            <w:cnfStyle w:val="001000000000" w:firstRow="0" w:lastRow="0" w:firstColumn="1" w:lastColumn="0" w:oddVBand="0" w:evenVBand="0" w:oddHBand="0" w:evenHBand="0" w:firstRowFirstColumn="0" w:firstRowLastColumn="0" w:lastRowFirstColumn="0" w:lastRowLastColumn="0"/>
            <w:tcW w:w="9134" w:type="dxa"/>
            <w:gridSpan w:val="4"/>
            <w:noWrap/>
          </w:tcPr>
          <w:p w:rsidR="00730FAE" w:rsidRPr="00424D6E" w:rsidRDefault="00730FAE" w:rsidP="00730FAE">
            <w:pPr>
              <w:pStyle w:val="ListParagraph"/>
              <w:numPr>
                <w:ilvl w:val="0"/>
                <w:numId w:val="3"/>
              </w:numPr>
              <w:ind w:left="318" w:hanging="241"/>
              <w:rPr>
                <w:rFonts w:cstheme="minorHAnsi"/>
                <w:b w:val="0"/>
                <w:sz w:val="18"/>
                <w:szCs w:val="18"/>
              </w:rPr>
            </w:pPr>
            <w:r w:rsidRPr="00424D6E">
              <w:rPr>
                <w:rFonts w:cstheme="minorHAnsi"/>
                <w:sz w:val="18"/>
                <w:szCs w:val="18"/>
              </w:rPr>
              <w:t>Patients with renal impairment</w:t>
            </w:r>
          </w:p>
        </w:tc>
      </w:tr>
      <w:tr w:rsidR="00730FAE" w:rsidRPr="00BC4765" w:rsidTr="00FD65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noWrap/>
          </w:tcPr>
          <w:p w:rsidR="00730FAE" w:rsidRPr="00424D6E" w:rsidRDefault="00730FAE" w:rsidP="00FD6516">
            <w:pPr>
              <w:rPr>
                <w:rFonts w:cstheme="minorHAnsi"/>
                <w:b w:val="0"/>
                <w:sz w:val="18"/>
                <w:szCs w:val="18"/>
              </w:rPr>
            </w:pPr>
            <w:r w:rsidRPr="00424D6E">
              <w:rPr>
                <w:rFonts w:cstheme="minorHAnsi"/>
                <w:sz w:val="18"/>
                <w:szCs w:val="18"/>
              </w:rPr>
              <w:t>Number of serum creatinine tests per course of treatment</w:t>
            </w:r>
          </w:p>
        </w:tc>
        <w:tc>
          <w:tcPr>
            <w:tcW w:w="1984"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2</w:t>
            </w:r>
          </w:p>
        </w:tc>
        <w:tc>
          <w:tcPr>
            <w:tcW w:w="1930"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3</w:t>
            </w:r>
          </w:p>
        </w:tc>
        <w:tc>
          <w:tcPr>
            <w:tcW w:w="1959"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Assumption</w:t>
            </w:r>
          </w:p>
        </w:tc>
      </w:tr>
      <w:tr w:rsidR="00730FAE" w:rsidRPr="00BC4765" w:rsidTr="00FD6516">
        <w:trPr>
          <w:trHeight w:val="340"/>
        </w:trPr>
        <w:tc>
          <w:tcPr>
            <w:cnfStyle w:val="001000000000" w:firstRow="0" w:lastRow="0" w:firstColumn="1" w:lastColumn="0" w:oddVBand="0" w:evenVBand="0" w:oddHBand="0" w:evenHBand="0" w:firstRowFirstColumn="0" w:firstRowLastColumn="0" w:lastRowFirstColumn="0" w:lastRowLastColumn="0"/>
            <w:tcW w:w="3261" w:type="dxa"/>
            <w:noWrap/>
          </w:tcPr>
          <w:p w:rsidR="00730FAE" w:rsidRPr="00424D6E" w:rsidRDefault="00730FAE" w:rsidP="00FD6516">
            <w:pPr>
              <w:rPr>
                <w:rFonts w:cstheme="minorHAnsi"/>
                <w:b w:val="0"/>
                <w:sz w:val="18"/>
                <w:szCs w:val="18"/>
              </w:rPr>
            </w:pPr>
            <w:r w:rsidRPr="00424D6E">
              <w:rPr>
                <w:rFonts w:cstheme="minorHAnsi"/>
                <w:sz w:val="18"/>
                <w:szCs w:val="18"/>
              </w:rPr>
              <w:t>Number of urinalysis tests per course of  treatment</w:t>
            </w:r>
          </w:p>
        </w:tc>
        <w:tc>
          <w:tcPr>
            <w:tcW w:w="1984" w:type="dxa"/>
          </w:tcPr>
          <w:p w:rsidR="00730FAE" w:rsidRPr="00424D6E" w:rsidRDefault="00730FAE" w:rsidP="00FD6516">
            <w:pPr>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24D6E">
              <w:rPr>
                <w:rFonts w:cstheme="minorHAnsi"/>
                <w:bCs/>
                <w:sz w:val="18"/>
                <w:szCs w:val="18"/>
              </w:rPr>
              <w:t>2</w:t>
            </w:r>
          </w:p>
        </w:tc>
        <w:tc>
          <w:tcPr>
            <w:tcW w:w="1930" w:type="dxa"/>
          </w:tcPr>
          <w:p w:rsidR="00730FAE" w:rsidRPr="00424D6E" w:rsidRDefault="00730FAE" w:rsidP="00FD6516">
            <w:pPr>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24D6E">
              <w:rPr>
                <w:rFonts w:cstheme="minorHAnsi"/>
                <w:bCs/>
                <w:sz w:val="18"/>
                <w:szCs w:val="18"/>
              </w:rPr>
              <w:t>3</w:t>
            </w:r>
          </w:p>
        </w:tc>
        <w:tc>
          <w:tcPr>
            <w:tcW w:w="1959" w:type="dxa"/>
          </w:tcPr>
          <w:p w:rsidR="00730FAE" w:rsidRPr="00424D6E" w:rsidRDefault="00730FAE" w:rsidP="00FD6516">
            <w:pPr>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24D6E">
              <w:rPr>
                <w:rFonts w:cstheme="minorHAnsi"/>
                <w:bCs/>
                <w:sz w:val="18"/>
                <w:szCs w:val="18"/>
              </w:rPr>
              <w:t>Assumption</w:t>
            </w:r>
          </w:p>
        </w:tc>
      </w:tr>
      <w:tr w:rsidR="00730FAE" w:rsidRPr="00BC4765" w:rsidTr="00FD65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noWrap/>
          </w:tcPr>
          <w:p w:rsidR="00730FAE" w:rsidRPr="00424D6E" w:rsidRDefault="00730FAE" w:rsidP="00FD6516">
            <w:pPr>
              <w:rPr>
                <w:rFonts w:cstheme="minorHAnsi"/>
                <w:b w:val="0"/>
                <w:sz w:val="18"/>
                <w:szCs w:val="18"/>
              </w:rPr>
            </w:pPr>
            <w:r w:rsidRPr="00424D6E">
              <w:rPr>
                <w:rFonts w:cstheme="minorHAnsi"/>
                <w:sz w:val="18"/>
                <w:szCs w:val="18"/>
              </w:rPr>
              <w:t>Number of hospital days</w:t>
            </w:r>
          </w:p>
        </w:tc>
        <w:tc>
          <w:tcPr>
            <w:tcW w:w="1984"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 xml:space="preserve">9 (IA), </w:t>
            </w:r>
          </w:p>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9.7 (mucormycosis)</w:t>
            </w:r>
          </w:p>
        </w:tc>
        <w:tc>
          <w:tcPr>
            <w:tcW w:w="1930"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 xml:space="preserve">19 (IA), </w:t>
            </w:r>
          </w:p>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19.7 (mucormycosis)</w:t>
            </w:r>
          </w:p>
        </w:tc>
        <w:tc>
          <w:tcPr>
            <w:tcW w:w="1959"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SECURE trial</w:t>
            </w:r>
          </w:p>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Assumption</w:t>
            </w:r>
          </w:p>
        </w:tc>
      </w:tr>
      <w:tr w:rsidR="00730FAE" w:rsidRPr="00BC4765" w:rsidTr="00FD6516">
        <w:trPr>
          <w:trHeight w:val="340"/>
        </w:trPr>
        <w:tc>
          <w:tcPr>
            <w:cnfStyle w:val="001000000000" w:firstRow="0" w:lastRow="0" w:firstColumn="1" w:lastColumn="0" w:oddVBand="0" w:evenVBand="0" w:oddHBand="0" w:evenHBand="0" w:firstRowFirstColumn="0" w:firstRowLastColumn="0" w:lastRowFirstColumn="0" w:lastRowLastColumn="0"/>
            <w:tcW w:w="3261" w:type="dxa"/>
            <w:noWrap/>
          </w:tcPr>
          <w:p w:rsidR="00730FAE" w:rsidRPr="00424D6E" w:rsidRDefault="00730FAE" w:rsidP="00FD6516">
            <w:pPr>
              <w:rPr>
                <w:rFonts w:cstheme="minorHAnsi"/>
                <w:b w:val="0"/>
                <w:sz w:val="18"/>
                <w:szCs w:val="18"/>
              </w:rPr>
            </w:pPr>
            <w:r w:rsidRPr="00424D6E">
              <w:rPr>
                <w:rFonts w:cstheme="minorHAnsi"/>
                <w:sz w:val="18"/>
                <w:szCs w:val="18"/>
              </w:rPr>
              <w:t>Percentage of patients receiving voriconazole starting on IV therapy</w:t>
            </w:r>
          </w:p>
        </w:tc>
        <w:tc>
          <w:tcPr>
            <w:tcW w:w="1984" w:type="dxa"/>
          </w:tcPr>
          <w:p w:rsidR="00730FAE" w:rsidRPr="00424D6E" w:rsidRDefault="00730FAE" w:rsidP="00FD6516">
            <w:pPr>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24D6E">
              <w:rPr>
                <w:rFonts w:cstheme="minorHAnsi"/>
                <w:bCs/>
                <w:sz w:val="18"/>
                <w:szCs w:val="18"/>
              </w:rPr>
              <w:t>-</w:t>
            </w:r>
          </w:p>
        </w:tc>
        <w:tc>
          <w:tcPr>
            <w:tcW w:w="1930" w:type="dxa"/>
          </w:tcPr>
          <w:p w:rsidR="00730FAE" w:rsidRPr="00424D6E" w:rsidRDefault="00730FAE" w:rsidP="00FD6516">
            <w:pPr>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24D6E">
              <w:rPr>
                <w:rFonts w:cstheme="minorHAnsi"/>
                <w:bCs/>
                <w:sz w:val="18"/>
                <w:szCs w:val="18"/>
              </w:rPr>
              <w:t>0%</w:t>
            </w:r>
          </w:p>
        </w:tc>
        <w:tc>
          <w:tcPr>
            <w:tcW w:w="1959" w:type="dxa"/>
          </w:tcPr>
          <w:p w:rsidR="00730FAE" w:rsidRPr="00424D6E" w:rsidRDefault="00730FAE" w:rsidP="00FD6516">
            <w:pPr>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proofErr w:type="spellStart"/>
            <w:r w:rsidRPr="00424D6E">
              <w:rPr>
                <w:rFonts w:cstheme="minorHAnsi"/>
                <w:bCs/>
                <w:sz w:val="18"/>
                <w:szCs w:val="18"/>
              </w:rPr>
              <w:t>SmPC</w:t>
            </w:r>
            <w:proofErr w:type="spellEnd"/>
          </w:p>
        </w:tc>
      </w:tr>
      <w:tr w:rsidR="00730FAE" w:rsidRPr="00BC4765" w:rsidTr="00FD65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34" w:type="dxa"/>
            <w:gridSpan w:val="4"/>
            <w:noWrap/>
          </w:tcPr>
          <w:p w:rsidR="00730FAE" w:rsidRPr="00424D6E" w:rsidRDefault="00730FAE" w:rsidP="00730FAE">
            <w:pPr>
              <w:pStyle w:val="ListParagraph"/>
              <w:numPr>
                <w:ilvl w:val="0"/>
                <w:numId w:val="3"/>
              </w:numPr>
              <w:ind w:left="318" w:hanging="241"/>
              <w:rPr>
                <w:rFonts w:cstheme="minorHAnsi"/>
                <w:b w:val="0"/>
                <w:sz w:val="18"/>
                <w:szCs w:val="18"/>
              </w:rPr>
            </w:pPr>
            <w:r w:rsidRPr="00424D6E">
              <w:rPr>
                <w:rFonts w:cstheme="minorHAnsi"/>
                <w:sz w:val="18"/>
                <w:szCs w:val="18"/>
              </w:rPr>
              <w:t>Patients with hepatic impairment</w:t>
            </w:r>
          </w:p>
        </w:tc>
      </w:tr>
      <w:tr w:rsidR="00730FAE" w:rsidRPr="00BC4765" w:rsidTr="00FD6516">
        <w:trPr>
          <w:trHeight w:val="340"/>
        </w:trPr>
        <w:tc>
          <w:tcPr>
            <w:cnfStyle w:val="001000000000" w:firstRow="0" w:lastRow="0" w:firstColumn="1" w:lastColumn="0" w:oddVBand="0" w:evenVBand="0" w:oddHBand="0" w:evenHBand="0" w:firstRowFirstColumn="0" w:firstRowLastColumn="0" w:lastRowFirstColumn="0" w:lastRowLastColumn="0"/>
            <w:tcW w:w="3261" w:type="dxa"/>
            <w:noWrap/>
          </w:tcPr>
          <w:p w:rsidR="00730FAE" w:rsidRPr="00424D6E" w:rsidRDefault="00730FAE" w:rsidP="00FD6516">
            <w:pPr>
              <w:rPr>
                <w:rFonts w:cstheme="minorHAnsi"/>
                <w:b w:val="0"/>
                <w:sz w:val="18"/>
                <w:szCs w:val="18"/>
              </w:rPr>
            </w:pPr>
            <w:r w:rsidRPr="00424D6E">
              <w:rPr>
                <w:rFonts w:cstheme="minorHAnsi"/>
                <w:sz w:val="18"/>
                <w:szCs w:val="18"/>
              </w:rPr>
              <w:t>Number of liver function tests per course of treatment</w:t>
            </w:r>
          </w:p>
        </w:tc>
        <w:tc>
          <w:tcPr>
            <w:tcW w:w="1984" w:type="dxa"/>
          </w:tcPr>
          <w:p w:rsidR="00730FAE" w:rsidRPr="00424D6E" w:rsidRDefault="00730FAE" w:rsidP="00FD6516">
            <w:pPr>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24D6E">
              <w:rPr>
                <w:rFonts w:cstheme="minorHAnsi"/>
                <w:bCs/>
                <w:sz w:val="18"/>
                <w:szCs w:val="18"/>
              </w:rPr>
              <w:t>10% increase in base case value:</w:t>
            </w:r>
          </w:p>
          <w:p w:rsidR="00730FAE" w:rsidRPr="00424D6E" w:rsidRDefault="00730FAE" w:rsidP="00FD6516">
            <w:pPr>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24D6E">
              <w:rPr>
                <w:rFonts w:cstheme="minorHAnsi"/>
                <w:bCs/>
                <w:sz w:val="18"/>
                <w:szCs w:val="18"/>
              </w:rPr>
              <w:t xml:space="preserve"> 4.09 (IA), </w:t>
            </w:r>
          </w:p>
          <w:p w:rsidR="00730FAE" w:rsidRPr="00424D6E" w:rsidRDefault="00730FAE" w:rsidP="00FD6516">
            <w:pPr>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24D6E">
              <w:rPr>
                <w:rFonts w:cstheme="minorHAnsi"/>
                <w:bCs/>
                <w:sz w:val="18"/>
                <w:szCs w:val="18"/>
              </w:rPr>
              <w:t xml:space="preserve">15.22 (mucormycosis) </w:t>
            </w:r>
          </w:p>
        </w:tc>
        <w:tc>
          <w:tcPr>
            <w:tcW w:w="1930" w:type="dxa"/>
          </w:tcPr>
          <w:p w:rsidR="00730FAE" w:rsidRPr="00424D6E" w:rsidRDefault="00730FAE" w:rsidP="00FD6516">
            <w:pPr>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24D6E">
              <w:rPr>
                <w:rFonts w:cstheme="minorHAnsi"/>
                <w:bCs/>
                <w:sz w:val="18"/>
                <w:szCs w:val="18"/>
              </w:rPr>
              <w:t>30% increase in base case value: 9.67 (IA)</w:t>
            </w:r>
          </w:p>
        </w:tc>
        <w:tc>
          <w:tcPr>
            <w:tcW w:w="1959" w:type="dxa"/>
          </w:tcPr>
          <w:p w:rsidR="00730FAE" w:rsidRPr="00424D6E" w:rsidRDefault="00730FAE" w:rsidP="00FD6516">
            <w:pPr>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24D6E">
              <w:rPr>
                <w:rFonts w:cstheme="minorHAnsi"/>
                <w:bCs/>
                <w:sz w:val="18"/>
                <w:szCs w:val="18"/>
              </w:rPr>
              <w:t>Assumption</w:t>
            </w:r>
          </w:p>
        </w:tc>
      </w:tr>
      <w:tr w:rsidR="00730FAE" w:rsidRPr="00BC4765" w:rsidTr="00FD65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noWrap/>
          </w:tcPr>
          <w:p w:rsidR="00730FAE" w:rsidRPr="00424D6E" w:rsidRDefault="00730FAE" w:rsidP="00FD6516">
            <w:pPr>
              <w:rPr>
                <w:rFonts w:cstheme="minorHAnsi"/>
                <w:b w:val="0"/>
                <w:sz w:val="18"/>
                <w:szCs w:val="18"/>
              </w:rPr>
            </w:pPr>
            <w:r w:rsidRPr="00424D6E">
              <w:rPr>
                <w:rFonts w:cstheme="minorHAnsi"/>
                <w:sz w:val="18"/>
                <w:szCs w:val="18"/>
              </w:rPr>
              <w:t>Maintenance dose of voriconazole</w:t>
            </w:r>
          </w:p>
        </w:tc>
        <w:tc>
          <w:tcPr>
            <w:tcW w:w="1984"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w:t>
            </w:r>
          </w:p>
        </w:tc>
        <w:tc>
          <w:tcPr>
            <w:tcW w:w="1930"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50% decrease in doses for day 2 and after:</w:t>
            </w:r>
          </w:p>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 xml:space="preserve"> IV: 2mg/kg</w:t>
            </w:r>
          </w:p>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Oral: 100mg</w:t>
            </w:r>
          </w:p>
        </w:tc>
        <w:tc>
          <w:tcPr>
            <w:tcW w:w="1959"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proofErr w:type="spellStart"/>
            <w:r w:rsidRPr="00424D6E">
              <w:rPr>
                <w:rFonts w:cstheme="minorHAnsi"/>
                <w:bCs/>
                <w:sz w:val="18"/>
                <w:szCs w:val="18"/>
              </w:rPr>
              <w:t>SmPC</w:t>
            </w:r>
            <w:proofErr w:type="spellEnd"/>
          </w:p>
        </w:tc>
      </w:tr>
      <w:tr w:rsidR="00730FAE" w:rsidRPr="00BC4765" w:rsidTr="00FD6516">
        <w:trPr>
          <w:trHeight w:val="340"/>
        </w:trPr>
        <w:tc>
          <w:tcPr>
            <w:cnfStyle w:val="001000000000" w:firstRow="0" w:lastRow="0" w:firstColumn="1" w:lastColumn="0" w:oddVBand="0" w:evenVBand="0" w:oddHBand="0" w:evenHBand="0" w:firstRowFirstColumn="0" w:firstRowLastColumn="0" w:lastRowFirstColumn="0" w:lastRowLastColumn="0"/>
            <w:tcW w:w="9134" w:type="dxa"/>
            <w:gridSpan w:val="4"/>
            <w:noWrap/>
          </w:tcPr>
          <w:p w:rsidR="00730FAE" w:rsidRPr="00424D6E" w:rsidRDefault="00730FAE" w:rsidP="00730FAE">
            <w:pPr>
              <w:pStyle w:val="ListParagraph"/>
              <w:numPr>
                <w:ilvl w:val="0"/>
                <w:numId w:val="3"/>
              </w:numPr>
              <w:ind w:left="318" w:hanging="241"/>
              <w:rPr>
                <w:rFonts w:cstheme="minorHAnsi"/>
                <w:b w:val="0"/>
                <w:sz w:val="18"/>
                <w:szCs w:val="18"/>
              </w:rPr>
            </w:pPr>
            <w:r w:rsidRPr="00424D6E">
              <w:rPr>
                <w:rFonts w:cstheme="minorHAnsi"/>
                <w:sz w:val="18"/>
                <w:szCs w:val="18"/>
              </w:rPr>
              <w:t>Immunosuppressed patients*</w:t>
            </w:r>
          </w:p>
        </w:tc>
      </w:tr>
      <w:tr w:rsidR="00730FAE" w:rsidRPr="00BC4765" w:rsidTr="00FD65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noWrap/>
          </w:tcPr>
          <w:p w:rsidR="00730FAE" w:rsidRPr="00424D6E" w:rsidRDefault="00730FAE" w:rsidP="00FD6516">
            <w:pPr>
              <w:rPr>
                <w:rFonts w:cstheme="minorHAnsi"/>
                <w:b w:val="0"/>
                <w:sz w:val="18"/>
                <w:szCs w:val="18"/>
              </w:rPr>
            </w:pPr>
            <w:r w:rsidRPr="00424D6E">
              <w:rPr>
                <w:rFonts w:cstheme="minorHAnsi"/>
                <w:sz w:val="18"/>
                <w:szCs w:val="18"/>
              </w:rPr>
              <w:t xml:space="preserve">Number of therapeutic drug monitoring tests of </w:t>
            </w:r>
            <w:proofErr w:type="spellStart"/>
            <w:r w:rsidRPr="00424D6E">
              <w:rPr>
                <w:rFonts w:cstheme="minorHAnsi"/>
                <w:sz w:val="18"/>
                <w:szCs w:val="18"/>
              </w:rPr>
              <w:t>immunosuppressants</w:t>
            </w:r>
            <w:proofErr w:type="spellEnd"/>
            <w:r w:rsidRPr="00424D6E">
              <w:rPr>
                <w:rFonts w:cstheme="minorHAnsi"/>
                <w:sz w:val="18"/>
                <w:szCs w:val="18"/>
              </w:rPr>
              <w:t xml:space="preserve"> per course of treatment</w:t>
            </w:r>
          </w:p>
        </w:tc>
        <w:tc>
          <w:tcPr>
            <w:tcW w:w="1984"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0</w:t>
            </w:r>
          </w:p>
        </w:tc>
        <w:tc>
          <w:tcPr>
            <w:tcW w:w="1930"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0</w:t>
            </w:r>
          </w:p>
        </w:tc>
        <w:tc>
          <w:tcPr>
            <w:tcW w:w="1959" w:type="dxa"/>
          </w:tcPr>
          <w:p w:rsidR="00730FAE" w:rsidRPr="00424D6E" w:rsidRDefault="00730FAE" w:rsidP="00FD6516">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24D6E">
              <w:rPr>
                <w:rFonts w:cstheme="minorHAnsi"/>
                <w:bCs/>
                <w:sz w:val="18"/>
                <w:szCs w:val="18"/>
              </w:rPr>
              <w:t>Information not available</w:t>
            </w:r>
          </w:p>
        </w:tc>
      </w:tr>
      <w:tr w:rsidR="00730FAE" w:rsidRPr="00BC4765" w:rsidTr="00FD6516">
        <w:trPr>
          <w:trHeight w:val="340"/>
        </w:trPr>
        <w:tc>
          <w:tcPr>
            <w:cnfStyle w:val="001000000000" w:firstRow="0" w:lastRow="0" w:firstColumn="1" w:lastColumn="0" w:oddVBand="0" w:evenVBand="0" w:oddHBand="0" w:evenHBand="0" w:firstRowFirstColumn="0" w:firstRowLastColumn="0" w:lastRowFirstColumn="0" w:lastRowLastColumn="0"/>
            <w:tcW w:w="9134" w:type="dxa"/>
            <w:gridSpan w:val="4"/>
            <w:noWrap/>
          </w:tcPr>
          <w:p w:rsidR="00730FAE" w:rsidRPr="00424D6E" w:rsidRDefault="00730FAE" w:rsidP="00730FAE">
            <w:pPr>
              <w:pStyle w:val="ListParagraph"/>
              <w:numPr>
                <w:ilvl w:val="0"/>
                <w:numId w:val="3"/>
              </w:numPr>
              <w:ind w:left="318" w:hanging="241"/>
              <w:rPr>
                <w:rFonts w:cstheme="minorHAnsi"/>
                <w:b w:val="0"/>
                <w:sz w:val="18"/>
                <w:szCs w:val="18"/>
              </w:rPr>
            </w:pPr>
            <w:r w:rsidRPr="00424D6E">
              <w:rPr>
                <w:rFonts w:cstheme="minorHAnsi"/>
                <w:sz w:val="18"/>
                <w:szCs w:val="18"/>
              </w:rPr>
              <w:t>Patients with renal and hepatic impairment</w:t>
            </w:r>
          </w:p>
        </w:tc>
      </w:tr>
      <w:tr w:rsidR="00730FAE" w:rsidRPr="00BC4765" w:rsidTr="00FD65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34" w:type="dxa"/>
            <w:gridSpan w:val="4"/>
            <w:noWrap/>
          </w:tcPr>
          <w:p w:rsidR="00730FAE" w:rsidRPr="00424D6E" w:rsidRDefault="00730FAE" w:rsidP="00FD6516">
            <w:pPr>
              <w:rPr>
                <w:rFonts w:cstheme="minorHAnsi"/>
                <w:b w:val="0"/>
                <w:bCs w:val="0"/>
                <w:sz w:val="18"/>
                <w:szCs w:val="18"/>
              </w:rPr>
            </w:pPr>
            <w:r w:rsidRPr="00424D6E">
              <w:rPr>
                <w:rFonts w:cstheme="minorHAnsi"/>
                <w:sz w:val="18"/>
                <w:szCs w:val="18"/>
              </w:rPr>
              <w:t>All parameters and values included in scenarios 1 and 2</w:t>
            </w:r>
          </w:p>
        </w:tc>
      </w:tr>
      <w:tr w:rsidR="00730FAE" w:rsidRPr="00BC4765" w:rsidTr="00FD6516">
        <w:trPr>
          <w:trHeight w:val="340"/>
        </w:trPr>
        <w:tc>
          <w:tcPr>
            <w:cnfStyle w:val="001000000000" w:firstRow="0" w:lastRow="0" w:firstColumn="1" w:lastColumn="0" w:oddVBand="0" w:evenVBand="0" w:oddHBand="0" w:evenHBand="0" w:firstRowFirstColumn="0" w:firstRowLastColumn="0" w:lastRowFirstColumn="0" w:lastRowLastColumn="0"/>
            <w:tcW w:w="9134" w:type="dxa"/>
            <w:gridSpan w:val="4"/>
            <w:noWrap/>
          </w:tcPr>
          <w:p w:rsidR="00730FAE" w:rsidRPr="00424D6E" w:rsidRDefault="00730FAE" w:rsidP="00730FAE">
            <w:pPr>
              <w:pStyle w:val="ListParagraph"/>
              <w:numPr>
                <w:ilvl w:val="0"/>
                <w:numId w:val="3"/>
              </w:numPr>
              <w:ind w:left="318" w:hanging="241"/>
              <w:rPr>
                <w:rFonts w:cstheme="minorHAnsi"/>
                <w:b w:val="0"/>
                <w:sz w:val="18"/>
                <w:szCs w:val="18"/>
              </w:rPr>
            </w:pPr>
            <w:r w:rsidRPr="00424D6E">
              <w:rPr>
                <w:rFonts w:cstheme="minorHAnsi"/>
                <w:sz w:val="18"/>
                <w:szCs w:val="18"/>
              </w:rPr>
              <w:t>Patients with renal impairment who are immunosuppressed*</w:t>
            </w:r>
          </w:p>
        </w:tc>
      </w:tr>
      <w:tr w:rsidR="00730FAE" w:rsidRPr="00BC4765" w:rsidTr="00FD65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34" w:type="dxa"/>
            <w:gridSpan w:val="4"/>
            <w:noWrap/>
          </w:tcPr>
          <w:p w:rsidR="00730FAE" w:rsidRPr="00424D6E" w:rsidRDefault="00730FAE" w:rsidP="00FD6516">
            <w:pPr>
              <w:rPr>
                <w:rFonts w:cstheme="minorHAnsi"/>
                <w:b w:val="0"/>
                <w:bCs w:val="0"/>
                <w:sz w:val="18"/>
                <w:szCs w:val="18"/>
              </w:rPr>
            </w:pPr>
            <w:r w:rsidRPr="00424D6E">
              <w:rPr>
                <w:rFonts w:cstheme="minorHAnsi"/>
                <w:sz w:val="18"/>
                <w:szCs w:val="18"/>
              </w:rPr>
              <w:t>All parameters and values included in scenarios 1 and 3</w:t>
            </w:r>
          </w:p>
        </w:tc>
      </w:tr>
      <w:tr w:rsidR="00730FAE" w:rsidRPr="00BC4765" w:rsidTr="00FD6516">
        <w:trPr>
          <w:trHeight w:val="340"/>
        </w:trPr>
        <w:tc>
          <w:tcPr>
            <w:cnfStyle w:val="001000000000" w:firstRow="0" w:lastRow="0" w:firstColumn="1" w:lastColumn="0" w:oddVBand="0" w:evenVBand="0" w:oddHBand="0" w:evenHBand="0" w:firstRowFirstColumn="0" w:firstRowLastColumn="0" w:lastRowFirstColumn="0" w:lastRowLastColumn="0"/>
            <w:tcW w:w="9134" w:type="dxa"/>
            <w:gridSpan w:val="4"/>
            <w:noWrap/>
          </w:tcPr>
          <w:p w:rsidR="00730FAE" w:rsidRPr="00424D6E" w:rsidRDefault="00730FAE" w:rsidP="00730FAE">
            <w:pPr>
              <w:pStyle w:val="ListParagraph"/>
              <w:numPr>
                <w:ilvl w:val="0"/>
                <w:numId w:val="3"/>
              </w:numPr>
              <w:ind w:left="318" w:hanging="241"/>
              <w:rPr>
                <w:rFonts w:cstheme="minorHAnsi"/>
                <w:b w:val="0"/>
                <w:sz w:val="18"/>
                <w:szCs w:val="18"/>
              </w:rPr>
            </w:pPr>
            <w:r w:rsidRPr="00424D6E">
              <w:rPr>
                <w:rFonts w:cstheme="minorHAnsi"/>
                <w:sz w:val="18"/>
                <w:szCs w:val="18"/>
              </w:rPr>
              <w:t>Patients with hepatic impairment who are immunosuppressed*</w:t>
            </w:r>
          </w:p>
        </w:tc>
      </w:tr>
      <w:tr w:rsidR="00730FAE" w:rsidRPr="00BC4765" w:rsidTr="00FD65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34" w:type="dxa"/>
            <w:gridSpan w:val="4"/>
            <w:noWrap/>
          </w:tcPr>
          <w:p w:rsidR="00730FAE" w:rsidRPr="00424D6E" w:rsidRDefault="00730FAE" w:rsidP="00FD6516">
            <w:pPr>
              <w:rPr>
                <w:rFonts w:cstheme="minorHAnsi"/>
                <w:bCs w:val="0"/>
                <w:sz w:val="18"/>
                <w:szCs w:val="18"/>
              </w:rPr>
            </w:pPr>
            <w:r w:rsidRPr="00424D6E">
              <w:rPr>
                <w:rFonts w:cstheme="minorHAnsi"/>
                <w:sz w:val="18"/>
                <w:szCs w:val="18"/>
              </w:rPr>
              <w:t>All parameters and values included in scenarios 2 and 3</w:t>
            </w:r>
          </w:p>
        </w:tc>
      </w:tr>
      <w:tr w:rsidR="00730FAE" w:rsidRPr="00BC4765" w:rsidTr="00FD6516">
        <w:trPr>
          <w:trHeight w:val="340"/>
        </w:trPr>
        <w:tc>
          <w:tcPr>
            <w:cnfStyle w:val="001000000000" w:firstRow="0" w:lastRow="0" w:firstColumn="1" w:lastColumn="0" w:oddVBand="0" w:evenVBand="0" w:oddHBand="0" w:evenHBand="0" w:firstRowFirstColumn="0" w:firstRowLastColumn="0" w:lastRowFirstColumn="0" w:lastRowLastColumn="0"/>
            <w:tcW w:w="9134" w:type="dxa"/>
            <w:gridSpan w:val="4"/>
            <w:noWrap/>
          </w:tcPr>
          <w:p w:rsidR="00730FAE" w:rsidRPr="00424D6E" w:rsidRDefault="00730FAE" w:rsidP="00730FAE">
            <w:pPr>
              <w:pStyle w:val="ListParagraph"/>
              <w:numPr>
                <w:ilvl w:val="0"/>
                <w:numId w:val="3"/>
              </w:numPr>
              <w:ind w:left="318" w:hanging="241"/>
              <w:rPr>
                <w:rFonts w:cstheme="minorHAnsi"/>
                <w:b w:val="0"/>
                <w:sz w:val="18"/>
                <w:szCs w:val="18"/>
              </w:rPr>
            </w:pPr>
            <w:r w:rsidRPr="00424D6E">
              <w:rPr>
                <w:rFonts w:cstheme="minorHAnsi"/>
                <w:sz w:val="18"/>
                <w:szCs w:val="18"/>
              </w:rPr>
              <w:t>Patients with renal and hepatic impairment who are immunosuppressed*</w:t>
            </w:r>
          </w:p>
        </w:tc>
      </w:tr>
      <w:tr w:rsidR="00730FAE" w:rsidRPr="00BC4765" w:rsidTr="00FD65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34" w:type="dxa"/>
            <w:gridSpan w:val="4"/>
            <w:noWrap/>
          </w:tcPr>
          <w:p w:rsidR="00730FAE" w:rsidRPr="00424D6E" w:rsidRDefault="00730FAE" w:rsidP="00FD6516">
            <w:pPr>
              <w:rPr>
                <w:rFonts w:cstheme="minorHAnsi"/>
                <w:b w:val="0"/>
                <w:bCs w:val="0"/>
                <w:sz w:val="18"/>
                <w:szCs w:val="18"/>
              </w:rPr>
            </w:pPr>
            <w:r w:rsidRPr="00424D6E">
              <w:rPr>
                <w:rFonts w:cstheme="minorHAnsi"/>
                <w:sz w:val="18"/>
                <w:szCs w:val="18"/>
              </w:rPr>
              <w:t>All parameters and values included in scenarios 1, 2 and 3</w:t>
            </w:r>
          </w:p>
        </w:tc>
      </w:tr>
      <w:tr w:rsidR="00730FAE" w:rsidRPr="00BC4765" w:rsidTr="00FD6516">
        <w:trPr>
          <w:trHeight w:val="1070"/>
        </w:trPr>
        <w:tc>
          <w:tcPr>
            <w:cnfStyle w:val="001000000000" w:firstRow="0" w:lastRow="0" w:firstColumn="1" w:lastColumn="0" w:oddVBand="0" w:evenVBand="0" w:oddHBand="0" w:evenHBand="0" w:firstRowFirstColumn="0" w:firstRowLastColumn="0" w:lastRowFirstColumn="0" w:lastRowLastColumn="0"/>
            <w:tcW w:w="9134" w:type="dxa"/>
            <w:gridSpan w:val="4"/>
            <w:noWrap/>
          </w:tcPr>
          <w:p w:rsidR="00730FAE" w:rsidRPr="00424D6E" w:rsidRDefault="00730FAE" w:rsidP="00FD6516">
            <w:pPr>
              <w:rPr>
                <w:rFonts w:cstheme="minorHAnsi"/>
                <w:b w:val="0"/>
                <w:bCs w:val="0"/>
                <w:sz w:val="18"/>
                <w:szCs w:val="18"/>
              </w:rPr>
            </w:pPr>
            <w:r>
              <w:rPr>
                <w:rFonts w:cstheme="minorHAnsi"/>
                <w:sz w:val="18"/>
                <w:szCs w:val="18"/>
              </w:rPr>
              <w:t>*</w:t>
            </w:r>
            <w:r w:rsidRPr="00424D6E">
              <w:rPr>
                <w:rFonts w:cstheme="minorHAnsi"/>
                <w:sz w:val="18"/>
                <w:szCs w:val="18"/>
              </w:rPr>
              <w:t>At the time of model development no information was available on the data for the number of therapeutic drug monitoring tests of immunosuppressant medication. Therefore, currently these analyses provide identical results to the scenarios excluding patients who are immunosuppressed.</w:t>
            </w:r>
          </w:p>
          <w:p w:rsidR="00730FAE" w:rsidRPr="00424D6E" w:rsidRDefault="00730FAE" w:rsidP="00FD6516">
            <w:pPr>
              <w:rPr>
                <w:rFonts w:cstheme="minorHAnsi"/>
                <w:b w:val="0"/>
                <w:bCs w:val="0"/>
                <w:sz w:val="18"/>
                <w:szCs w:val="18"/>
              </w:rPr>
            </w:pPr>
            <w:r w:rsidRPr="00424D6E">
              <w:rPr>
                <w:rFonts w:cstheme="minorHAnsi"/>
                <w:sz w:val="18"/>
                <w:szCs w:val="18"/>
              </w:rPr>
              <w:t xml:space="preserve">IA: Invasive aspergillosis; IV: Intravenous; </w:t>
            </w:r>
            <w:proofErr w:type="spellStart"/>
            <w:r w:rsidRPr="00424D6E">
              <w:rPr>
                <w:rFonts w:cstheme="minorHAnsi"/>
                <w:sz w:val="18"/>
                <w:szCs w:val="18"/>
              </w:rPr>
              <w:t>SmPC</w:t>
            </w:r>
            <w:proofErr w:type="spellEnd"/>
            <w:r w:rsidRPr="00424D6E">
              <w:rPr>
                <w:rFonts w:cstheme="minorHAnsi"/>
                <w:sz w:val="18"/>
                <w:szCs w:val="18"/>
              </w:rPr>
              <w:t xml:space="preserve">: </w:t>
            </w:r>
            <w:r w:rsidRPr="00424D6E">
              <w:rPr>
                <w:rFonts w:cstheme="minorHAnsi"/>
                <w:sz w:val="18"/>
                <w:szCs w:val="18"/>
                <w:lang w:eastAsia="en-GB"/>
              </w:rPr>
              <w:t>Summary of product characteristics</w:t>
            </w:r>
          </w:p>
          <w:p w:rsidR="00730FAE" w:rsidRPr="00424D6E" w:rsidRDefault="00730FAE" w:rsidP="00FD6516">
            <w:pPr>
              <w:rPr>
                <w:rFonts w:cstheme="minorHAnsi"/>
                <w:bCs w:val="0"/>
                <w:sz w:val="18"/>
                <w:szCs w:val="18"/>
              </w:rPr>
            </w:pPr>
            <w:r w:rsidRPr="00424D6E">
              <w:rPr>
                <w:rFonts w:cstheme="minorHAnsi"/>
                <w:sz w:val="18"/>
                <w:szCs w:val="18"/>
              </w:rPr>
              <w:t>Source: adapted from</w:t>
            </w:r>
            <w:r w:rsidRPr="00424D6E">
              <w:rPr>
                <w:rFonts w:cstheme="minorHAnsi"/>
                <w:sz w:val="18"/>
                <w:szCs w:val="18"/>
                <w:vertAlign w:val="superscript"/>
              </w:rPr>
              <w:fldChar w:fldCharType="begin"/>
            </w:r>
            <w:r>
              <w:rPr>
                <w:rFonts w:cstheme="minorHAnsi"/>
                <w:b w:val="0"/>
                <w:bCs w:val="0"/>
                <w:sz w:val="18"/>
                <w:szCs w:val="18"/>
                <w:vertAlign w:val="superscript"/>
              </w:rPr>
              <w:instrText xml:space="preserve"> ADDIN EN.CITE &lt;EndNote&gt;&lt;Cite&gt;&lt;Author&gt;ema.europa.eu&lt;/Author&gt;&lt;RecNum&gt;26&lt;/RecNum&gt;&lt;DisplayText&gt;[33,59]&lt;/DisplayText&gt;&lt;record&gt;&lt;rec-number&gt;26&lt;/rec-number&gt;&lt;foreign-keys&gt;&lt;key app="EN" db-id="pxd2t5rdqap9plev9v0x0erlfted0fseaerr" timestamp="1547043560"&gt;26&lt;/key&gt;&lt;/foreign-keys&gt;&lt;ref-type name="Web Page"&gt;12&lt;/ref-type&gt;&lt;contributors&gt;&lt;authors&gt;&lt;author&gt;ema.europa.eu,&lt;/author&gt;&lt;/authors&gt;&lt;/contributors&gt;&lt;titles&gt;&lt;title&gt;Cresemba summary of product characteristics&lt;/title&gt;&lt;/titles&gt;&lt;volume&gt;Oct 2015&lt;/volume&gt;&lt;number&gt;Mar 2018&lt;/number&gt;&lt;dates&gt;&lt;/dates&gt;&lt;pub-location&gt;London&lt;/pub-location&gt;&lt;publisher&gt;European Medicines Agency&lt;/publisher&gt;&lt;work-type&gt;Internet&lt;/work-type&gt;&lt;urls&gt;&lt;related-urls&gt;&lt;url&gt;&lt;style face="underline" font="default" size="100%"&gt;http://www.ema.europa.eu/docs/en_GB/document_library/EPAR_-_Product_Information/human/002734/WC500196128.pdf&lt;/style&gt;&lt;/url&gt;&lt;/related-urls&gt;&lt;/urls&gt;&lt;/record&gt;&lt;/Cite&gt;&lt;Cite&gt;&lt;Author&gt;Horn&lt;/Author&gt;&lt;Year&gt;2016;doi:10.3111/13696998.2016.1164175&lt;/Year&gt;&lt;RecNum&gt;60&lt;/RecNum&gt;&lt;record&gt;&lt;rec-number&gt;60&lt;/rec-number&gt;&lt;foreign-keys&gt;&lt;key app="EN" db-id="pxd2t5rdqap9plev9v0x0erlfted0fseaerr" timestamp="1547143047"&gt;60&lt;/key&gt;&lt;/foreign-keys&gt;&lt;ref-type name="Journal Article"&gt;17&lt;/ref-type&gt;&lt;contributors&gt;&lt;authors&gt;&lt;author&gt;Horn, D.&lt;/author&gt;&lt;author&gt;Goff, D.&lt;/author&gt;&lt;author&gt;Khandelwal, N.&lt;/author&gt;&lt;author&gt;Spalding, J&lt;/author&gt;&lt;/authors&gt;&lt;/contributors&gt;&lt;titles&gt;&lt;title&gt;Hospital resource use of patients receiving isavuconazole versus voriconazole for invasive mold infections in the phase III SECURE trial&lt;/title&gt;&lt;secondary-title&gt;J Med Econ&lt;/secondary-title&gt;&lt;/titles&gt;&lt;periodical&gt;&lt;full-title&gt;J Med Econ&lt;/full-title&gt;&lt;/periodical&gt;&lt;pages&gt;728–34&lt;/pages&gt;&lt;volume&gt;19&lt;/volume&gt;&lt;number&gt;7&lt;/number&gt;&lt;dates&gt;&lt;year&gt;2016&lt;/year&gt;&lt;/dates&gt;&lt;urls&gt;&lt;/urls&gt;&lt;/record&gt;&lt;/Cite&gt;&lt;/EndNote&gt;</w:instrText>
            </w:r>
            <w:r w:rsidRPr="00424D6E">
              <w:rPr>
                <w:rFonts w:cstheme="minorHAnsi"/>
                <w:sz w:val="18"/>
                <w:szCs w:val="18"/>
                <w:vertAlign w:val="superscript"/>
              </w:rPr>
              <w:fldChar w:fldCharType="separate"/>
            </w:r>
            <w:r w:rsidRPr="00974862">
              <w:rPr>
                <w:rFonts w:cstheme="minorHAnsi"/>
                <w:noProof/>
                <w:sz w:val="18"/>
                <w:szCs w:val="18"/>
                <w:vertAlign w:val="superscript"/>
              </w:rPr>
              <w:t>[33,59]</w:t>
            </w:r>
            <w:r w:rsidRPr="00424D6E">
              <w:rPr>
                <w:rFonts w:cstheme="minorHAnsi"/>
                <w:sz w:val="18"/>
                <w:szCs w:val="18"/>
                <w:vertAlign w:val="superscript"/>
              </w:rPr>
              <w:fldChar w:fldCharType="end"/>
            </w:r>
          </w:p>
        </w:tc>
      </w:tr>
    </w:tbl>
    <w:p w:rsidR="00730FAE" w:rsidRDefault="00730FAE" w:rsidP="00730FAE">
      <w:pPr>
        <w:keepNext/>
      </w:pPr>
      <w:r>
        <w:rPr>
          <w:rFonts w:cstheme="minorHAnsi"/>
          <w:b/>
          <w:bCs/>
          <w:lang w:eastAsia="en-GB"/>
        </w:rPr>
        <w:br w:type="page"/>
      </w:r>
      <w:bookmarkEnd w:id="1"/>
    </w:p>
    <w:p w:rsidR="00730FAE" w:rsidRPr="0047347B" w:rsidRDefault="00730FAE" w:rsidP="00730FAE">
      <w:pPr>
        <w:keepNext/>
        <w:rPr>
          <w:b/>
        </w:rPr>
      </w:pPr>
      <w:bookmarkStart w:id="3" w:name="_Ref11400217"/>
      <w:r w:rsidRPr="0047347B">
        <w:rPr>
          <w:b/>
        </w:rPr>
        <w:t xml:space="preserve">Supplementary table </w:t>
      </w:r>
      <w:r w:rsidRPr="0047347B">
        <w:rPr>
          <w:b/>
        </w:rPr>
        <w:fldChar w:fldCharType="begin"/>
      </w:r>
      <w:r w:rsidRPr="0047347B">
        <w:rPr>
          <w:b/>
        </w:rPr>
        <w:instrText xml:space="preserve"> SEQ Supplementary_table \* ARABIC </w:instrText>
      </w:r>
      <w:r w:rsidRPr="0047347B">
        <w:rPr>
          <w:b/>
        </w:rPr>
        <w:fldChar w:fldCharType="separate"/>
      </w:r>
      <w:r>
        <w:rPr>
          <w:b/>
          <w:noProof/>
        </w:rPr>
        <w:t>3</w:t>
      </w:r>
      <w:r w:rsidRPr="0047347B">
        <w:rPr>
          <w:b/>
        </w:rPr>
        <w:fldChar w:fldCharType="end"/>
      </w:r>
      <w:bookmarkEnd w:id="3"/>
      <w:r>
        <w:rPr>
          <w:b/>
        </w:rPr>
        <w:t>: Deterministic sensitivity analysis inputs</w:t>
      </w:r>
    </w:p>
    <w:tbl>
      <w:tblPr>
        <w:tblW w:w="9355" w:type="dxa"/>
        <w:tblLayout w:type="fixed"/>
        <w:tblLook w:val="04A0" w:firstRow="1" w:lastRow="0" w:firstColumn="1" w:lastColumn="0" w:noHBand="0" w:noVBand="1"/>
      </w:tblPr>
      <w:tblGrid>
        <w:gridCol w:w="709"/>
        <w:gridCol w:w="6095"/>
        <w:gridCol w:w="1275"/>
        <w:gridCol w:w="1276"/>
      </w:tblGrid>
      <w:tr w:rsidR="00730FAE" w:rsidRPr="004D3887" w:rsidTr="00FD6516">
        <w:trPr>
          <w:trHeight w:val="300"/>
        </w:trPr>
        <w:tc>
          <w:tcPr>
            <w:tcW w:w="709" w:type="dxa"/>
            <w:vMerge w:val="restart"/>
            <w:tcBorders>
              <w:top w:val="single" w:sz="4" w:space="0" w:color="808080"/>
              <w:left w:val="nil"/>
              <w:bottom w:val="single" w:sz="4" w:space="0" w:color="808080"/>
              <w:right w:val="single" w:sz="4" w:space="0" w:color="808080"/>
            </w:tcBorders>
            <w:shd w:val="clear" w:color="000000" w:fill="FFFFFF"/>
          </w:tcPr>
          <w:p w:rsidR="00730FAE" w:rsidRPr="0047347B" w:rsidDel="004D3887" w:rsidRDefault="00730FAE" w:rsidP="00FD6516">
            <w:pPr>
              <w:spacing w:after="0" w:line="240" w:lineRule="auto"/>
              <w:rPr>
                <w:rFonts w:eastAsia="Times New Roman" w:cstheme="minorHAnsi"/>
                <w:b/>
                <w:sz w:val="18"/>
                <w:szCs w:val="18"/>
                <w:lang w:val="en-GB" w:eastAsia="en-GB"/>
              </w:rPr>
            </w:pPr>
          </w:p>
          <w:p w:rsidR="00730FAE" w:rsidRPr="0047347B" w:rsidDel="004D3887" w:rsidRDefault="00730FAE" w:rsidP="00FD6516">
            <w:pPr>
              <w:spacing w:after="0" w:line="240" w:lineRule="auto"/>
              <w:rPr>
                <w:rFonts w:eastAsia="Times New Roman" w:cstheme="minorHAnsi"/>
                <w:b/>
                <w:sz w:val="18"/>
                <w:szCs w:val="18"/>
                <w:lang w:val="en-GB" w:eastAsia="en-GB"/>
              </w:rPr>
            </w:pPr>
            <w:r w:rsidRPr="0047347B">
              <w:rPr>
                <w:rFonts w:eastAsia="Times New Roman" w:cstheme="minorHAnsi"/>
                <w:b/>
                <w:sz w:val="18"/>
                <w:szCs w:val="18"/>
                <w:lang w:val="en-GB" w:eastAsia="en-GB"/>
              </w:rPr>
              <w:t>Rank</w:t>
            </w:r>
          </w:p>
        </w:tc>
        <w:tc>
          <w:tcPr>
            <w:tcW w:w="6095" w:type="dxa"/>
            <w:vMerge w:val="restart"/>
            <w:tcBorders>
              <w:top w:val="single" w:sz="4" w:space="0" w:color="808080"/>
              <w:left w:val="single" w:sz="4" w:space="0" w:color="808080"/>
              <w:bottom w:val="single" w:sz="4" w:space="0" w:color="808080"/>
              <w:right w:val="single" w:sz="4" w:space="0" w:color="808080"/>
            </w:tcBorders>
            <w:shd w:val="clear" w:color="000000" w:fill="FFFFFF"/>
            <w:noWrap/>
            <w:vAlign w:val="center"/>
          </w:tcPr>
          <w:p w:rsidR="00730FAE" w:rsidRPr="0047347B" w:rsidRDefault="00730FAE" w:rsidP="00FD6516">
            <w:pPr>
              <w:spacing w:after="0" w:line="240" w:lineRule="auto"/>
              <w:jc w:val="center"/>
              <w:rPr>
                <w:rFonts w:eastAsia="Times New Roman" w:cstheme="minorHAnsi"/>
                <w:b/>
                <w:sz w:val="18"/>
                <w:szCs w:val="18"/>
                <w:lang w:val="en-GB" w:eastAsia="en-GB"/>
              </w:rPr>
            </w:pPr>
            <w:r w:rsidRPr="0047347B">
              <w:rPr>
                <w:rFonts w:eastAsia="Times New Roman" w:cstheme="minorHAnsi"/>
                <w:b/>
                <w:sz w:val="18"/>
                <w:szCs w:val="18"/>
                <w:lang w:val="en-GB" w:eastAsia="en-GB"/>
              </w:rPr>
              <w:t>Input</w:t>
            </w:r>
          </w:p>
        </w:tc>
        <w:tc>
          <w:tcPr>
            <w:tcW w:w="2551" w:type="dxa"/>
            <w:gridSpan w:val="2"/>
            <w:tcBorders>
              <w:top w:val="single" w:sz="4" w:space="0" w:color="808080"/>
              <w:left w:val="single" w:sz="4" w:space="0" w:color="808080"/>
              <w:bottom w:val="single" w:sz="4" w:space="0" w:color="808080"/>
            </w:tcBorders>
            <w:shd w:val="clear" w:color="auto" w:fill="auto"/>
            <w:noWrap/>
            <w:vAlign w:val="center"/>
          </w:tcPr>
          <w:p w:rsidR="00730FAE" w:rsidRPr="0047347B" w:rsidRDefault="00730FAE" w:rsidP="00FD6516">
            <w:pPr>
              <w:spacing w:after="0" w:line="240" w:lineRule="auto"/>
              <w:jc w:val="center"/>
              <w:rPr>
                <w:rFonts w:eastAsia="Times New Roman" w:cstheme="minorHAnsi"/>
                <w:b/>
                <w:color w:val="000000"/>
                <w:sz w:val="18"/>
                <w:szCs w:val="18"/>
                <w:lang w:val="en-GB" w:eastAsia="en-GB"/>
              </w:rPr>
            </w:pPr>
            <w:r w:rsidRPr="0047347B">
              <w:rPr>
                <w:rFonts w:eastAsia="Times New Roman" w:cstheme="minorHAnsi"/>
                <w:b/>
                <w:color w:val="000000"/>
                <w:sz w:val="18"/>
                <w:szCs w:val="18"/>
                <w:lang w:val="en-GB" w:eastAsia="en-GB"/>
              </w:rPr>
              <w:t>ICER</w:t>
            </w:r>
            <w:r>
              <w:rPr>
                <w:rFonts w:eastAsia="Times New Roman" w:cstheme="minorHAnsi"/>
                <w:b/>
                <w:color w:val="000000"/>
                <w:sz w:val="18"/>
                <w:szCs w:val="18"/>
                <w:lang w:val="en-GB" w:eastAsia="en-GB"/>
              </w:rPr>
              <w:t xml:space="preserve"> (£)</w:t>
            </w:r>
          </w:p>
        </w:tc>
      </w:tr>
      <w:tr w:rsidR="00730FAE" w:rsidRPr="004D3887" w:rsidTr="00FD6516">
        <w:trPr>
          <w:trHeight w:val="300"/>
        </w:trPr>
        <w:tc>
          <w:tcPr>
            <w:tcW w:w="709" w:type="dxa"/>
            <w:vMerge/>
            <w:tcBorders>
              <w:left w:val="nil"/>
              <w:bottom w:val="single" w:sz="4" w:space="0" w:color="808080"/>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b/>
                <w:sz w:val="18"/>
                <w:szCs w:val="18"/>
                <w:lang w:val="en-GB" w:eastAsia="en-GB"/>
              </w:rPr>
            </w:pPr>
          </w:p>
        </w:tc>
        <w:tc>
          <w:tcPr>
            <w:tcW w:w="6095" w:type="dxa"/>
            <w:vMerge/>
            <w:tcBorders>
              <w:left w:val="single" w:sz="4" w:space="0" w:color="808080"/>
              <w:bottom w:val="single" w:sz="4" w:space="0" w:color="808080"/>
              <w:right w:val="single" w:sz="4" w:space="0" w:color="808080"/>
            </w:tcBorders>
            <w:shd w:val="clear" w:color="auto" w:fill="auto"/>
            <w:noWrap/>
            <w:vAlign w:val="center"/>
          </w:tcPr>
          <w:p w:rsidR="00730FAE" w:rsidRPr="0047347B" w:rsidRDefault="00730FAE" w:rsidP="00FD6516">
            <w:pPr>
              <w:spacing w:after="0" w:line="240" w:lineRule="auto"/>
              <w:jc w:val="center"/>
              <w:rPr>
                <w:rFonts w:eastAsia="Times New Roman" w:cstheme="minorHAnsi"/>
                <w:b/>
                <w:sz w:val="18"/>
                <w:szCs w:val="18"/>
                <w:lang w:val="en-GB" w:eastAsia="en-GB"/>
              </w:rPr>
            </w:pPr>
          </w:p>
        </w:tc>
        <w:tc>
          <w:tcPr>
            <w:tcW w:w="127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30FAE" w:rsidRPr="0047347B" w:rsidRDefault="00730FAE" w:rsidP="00FD6516">
            <w:pPr>
              <w:spacing w:after="0" w:line="240" w:lineRule="auto"/>
              <w:jc w:val="center"/>
              <w:rPr>
                <w:rFonts w:eastAsia="Times New Roman" w:cstheme="minorHAnsi"/>
                <w:b/>
                <w:color w:val="000000"/>
                <w:sz w:val="18"/>
                <w:szCs w:val="18"/>
                <w:lang w:val="en-GB" w:eastAsia="en-GB"/>
              </w:rPr>
            </w:pPr>
            <w:r w:rsidRPr="0047347B">
              <w:rPr>
                <w:rFonts w:eastAsia="Times New Roman" w:cstheme="minorHAnsi"/>
                <w:b/>
                <w:color w:val="000000"/>
                <w:sz w:val="18"/>
                <w:szCs w:val="18"/>
                <w:lang w:val="en-GB" w:eastAsia="en-GB"/>
              </w:rPr>
              <w:t>Lower bound</w:t>
            </w:r>
          </w:p>
        </w:tc>
        <w:tc>
          <w:tcPr>
            <w:tcW w:w="1276" w:type="dxa"/>
            <w:tcBorders>
              <w:top w:val="single" w:sz="4" w:space="0" w:color="808080"/>
              <w:left w:val="single" w:sz="4" w:space="0" w:color="808080"/>
              <w:bottom w:val="single" w:sz="4" w:space="0" w:color="808080"/>
            </w:tcBorders>
            <w:shd w:val="clear" w:color="auto" w:fill="auto"/>
            <w:noWrap/>
            <w:vAlign w:val="center"/>
          </w:tcPr>
          <w:p w:rsidR="00730FAE" w:rsidRPr="0047347B" w:rsidRDefault="00730FAE" w:rsidP="00FD6516">
            <w:pPr>
              <w:spacing w:after="0" w:line="240" w:lineRule="auto"/>
              <w:jc w:val="center"/>
              <w:rPr>
                <w:rFonts w:eastAsia="Times New Roman" w:cstheme="minorHAnsi"/>
                <w:b/>
                <w:color w:val="000000"/>
                <w:sz w:val="18"/>
                <w:szCs w:val="18"/>
                <w:lang w:val="en-GB" w:eastAsia="en-GB"/>
              </w:rPr>
            </w:pPr>
            <w:r w:rsidRPr="0047347B">
              <w:rPr>
                <w:rFonts w:eastAsia="Times New Roman" w:cstheme="minorHAnsi"/>
                <w:b/>
                <w:color w:val="000000"/>
                <w:sz w:val="18"/>
                <w:szCs w:val="18"/>
                <w:lang w:val="en-GB" w:eastAsia="en-GB"/>
              </w:rPr>
              <w:t>Upper bound</w:t>
            </w:r>
          </w:p>
        </w:tc>
      </w:tr>
      <w:tr w:rsidR="00730FAE" w:rsidRPr="004D3887" w:rsidTr="00FD6516">
        <w:trPr>
          <w:trHeight w:val="300"/>
        </w:trPr>
        <w:tc>
          <w:tcPr>
            <w:tcW w:w="709" w:type="dxa"/>
            <w:tcBorders>
              <w:top w:val="single" w:sz="4" w:space="0" w:color="808080"/>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1</w:t>
            </w:r>
          </w:p>
        </w:tc>
        <w:tc>
          <w:tcPr>
            <w:tcW w:w="6095" w:type="dxa"/>
            <w:tcBorders>
              <w:top w:val="single" w:sz="4" w:space="0" w:color="808080"/>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Mortality - isavuconazole-IA</w:t>
            </w:r>
          </w:p>
        </w:tc>
        <w:tc>
          <w:tcPr>
            <w:tcW w:w="1275" w:type="dxa"/>
            <w:tcBorders>
              <w:top w:val="single" w:sz="4" w:space="0" w:color="808080"/>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3,529.71</w:t>
            </w:r>
          </w:p>
        </w:tc>
        <w:tc>
          <w:tcPr>
            <w:tcW w:w="1276" w:type="dxa"/>
            <w:tcBorders>
              <w:top w:val="single" w:sz="4" w:space="0" w:color="808080"/>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-24,314.31</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Mortality - voriconazole-IA</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-24,278.40</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3,534.90</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3</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Isavuconazole-IA - treatment duration (responders)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-2,117.18</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18,601.16</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4</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 - treatment duration (responders)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17,636.73</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-1,152.75</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5</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 - mean treatment duration</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-3,324.60</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15,181.94</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6</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Isavuconazole-IA - mean treatment duration</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19,738.99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1,343.79</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7</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Isavuconazole-IA - hospital days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-361.98</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16,845.96</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8</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 - hospital days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16,845.96</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-361.98</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9</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 xml:space="preserve">Isavuconazole - oral price </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5,416.90</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11,067.08</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 second line - voriconazole-IA</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10,771.72</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5,712.26</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11</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 second line - isavuconazole-IA</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5,953.62</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10,530.36</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Mucormycosis prevalence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10,856.45</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6,673.31</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13</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Mortality - isavuconazole-mucormycosis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6,706.68</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10,692.27</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14</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Mortality - delayed therapy (</w:t>
            </w:r>
            <w:proofErr w:type="spellStart"/>
            <w:r w:rsidRPr="0047347B">
              <w:rPr>
                <w:rFonts w:eastAsia="Times New Roman" w:cstheme="minorHAnsi"/>
                <w:sz w:val="18"/>
                <w:szCs w:val="18"/>
                <w:lang w:val="en-GB" w:eastAsia="en-GB"/>
              </w:rPr>
              <w:t>L-AMB+posa</w:t>
            </w:r>
            <w:proofErr w:type="spellEnd"/>
            <w:r w:rsidRPr="0047347B">
              <w:rPr>
                <w:rFonts w:eastAsia="Times New Roman" w:cstheme="minorHAnsi"/>
                <w:sz w:val="18"/>
                <w:szCs w:val="18"/>
                <w:lang w:val="en-GB" w:eastAsia="en-GB"/>
              </w:rPr>
              <w: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10,585.95</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6,966.83</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15</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 - IV price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6,434.08</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10,049.90</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16</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Quality of life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10,302.49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6,868.32</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17</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Life expectancy</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10,278.23</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7,037.43</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18</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Mortality - Untreated</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11,096.30</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7,920.29</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19</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Isavuconazole-mucormycosis - duration of 1st line treatment response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6,698.80</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9,785.18</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20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Isavuconazole-IA - duration prior to switching</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7,096.23</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9,387.75</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21</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 - duration prior to switching</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9,281.08</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7,202.90</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22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Isavuconazole-mucormycosis - mean treatment duration</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9,276.67</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7,621.18</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23</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 - IV price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9,053.51</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7,430.47</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24</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Isavuconazole-mucormycosis - hospital days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7,467.61</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9,016.37</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25</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w:t>
            </w:r>
            <w:r w:rsidRPr="0047347B" w:rsidDel="00C84D66">
              <w:rPr>
                <w:rFonts w:eastAsia="Times New Roman" w:cstheme="minorHAnsi"/>
                <w:sz w:val="18"/>
                <w:szCs w:val="18"/>
                <w:lang w:val="en-GB" w:eastAsia="en-GB"/>
              </w:rPr>
              <w:t xml:space="preserve"> </w:t>
            </w:r>
            <w:r w:rsidRPr="0047347B">
              <w:rPr>
                <w:rFonts w:eastAsia="Times New Roman" w:cstheme="minorHAnsi"/>
                <w:sz w:val="18"/>
                <w:szCs w:val="18"/>
                <w:lang w:val="en-GB" w:eastAsia="en-GB"/>
              </w:rPr>
              <w:t>- IV days before switching to oral</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7,483.27</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9,000.71</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26</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 with pathogen information</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8,966.04</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7,464.28</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27</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 starting on IV therapy - IA</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7,513.86</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8,970.12</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28</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 - IV days before switching to oral</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8,770.15</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7,713.83</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29</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 - oral price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8,707.25</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7,776.73</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30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w:t>
            </w:r>
            <w:proofErr w:type="spellEnd"/>
            <w:r w:rsidRPr="0047347B">
              <w:rPr>
                <w:rFonts w:eastAsia="Times New Roman" w:cstheme="minorHAnsi"/>
                <w:sz w:val="18"/>
                <w:szCs w:val="18"/>
                <w:lang w:val="en-GB" w:eastAsia="en-GB"/>
              </w:rPr>
              <w:t>/voriconazole-mucormycosis - hospital days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8,554.92</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7,929.06</w:t>
            </w:r>
          </w:p>
        </w:tc>
      </w:tr>
      <w:tr w:rsidR="00730FAE" w:rsidRPr="004D3887" w:rsidTr="00FD6516">
        <w:trPr>
          <w:trHeight w:val="300"/>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31</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Voriconazole-mucormycosis - hospital days (full course)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8,552.89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7,931.09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32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L-AMB - IV price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8,547.65</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7,936.33</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33</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w:t>
            </w:r>
            <w:proofErr w:type="spellEnd"/>
            <w:r w:rsidRPr="0047347B">
              <w:rPr>
                <w:rFonts w:eastAsia="Times New Roman" w:cstheme="minorHAnsi"/>
                <w:sz w:val="18"/>
                <w:szCs w:val="18"/>
                <w:lang w:val="en-GB" w:eastAsia="en-GB"/>
              </w:rPr>
              <w:t>/voriconazole-mucormycosis - mean treatment duration</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8,525.15</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7,958.83</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34</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Voriconazole-mucormycosis - hospital days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8,419.19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8,064.79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35</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Isavuconazole-mucormycosis - IV days before switching to oral</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8,118.91</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8,365.07</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36</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 second line - Isavuconazole-mucormycosis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8,124.74</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8,359.24</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37</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Voriconazole-mucormycosis - treatment duration</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8,304.97</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8,178.71</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38</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 - therapeutic drug monitoring of antifungal agents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8,279.81</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8,204.17</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39</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Hospitali</w:t>
            </w:r>
            <w:r>
              <w:rPr>
                <w:rFonts w:eastAsia="Times New Roman" w:cstheme="minorHAnsi"/>
                <w:sz w:val="18"/>
                <w:szCs w:val="18"/>
                <w:lang w:val="en-GB" w:eastAsia="en-GB"/>
              </w:rPr>
              <w:t>z</w:t>
            </w:r>
            <w:r w:rsidRPr="0047347B">
              <w:rPr>
                <w:rFonts w:eastAsia="Times New Roman" w:cstheme="minorHAnsi"/>
                <w:sz w:val="18"/>
                <w:szCs w:val="18"/>
                <w:lang w:val="en-GB" w:eastAsia="en-GB"/>
              </w:rPr>
              <w:t>ation cost per day (</w:t>
            </w:r>
            <w:proofErr w:type="spellStart"/>
            <w:r w:rsidRPr="0047347B">
              <w:rPr>
                <w:rFonts w:eastAsia="Times New Roman" w:cstheme="minorHAnsi"/>
                <w:sz w:val="18"/>
                <w:szCs w:val="18"/>
                <w:lang w:val="en-GB" w:eastAsia="en-GB"/>
              </w:rPr>
              <w:t>hema</w:t>
            </w:r>
            <w:proofErr w:type="spellEnd"/>
            <w:r w:rsidRPr="0047347B">
              <w:rPr>
                <w:rFonts w:eastAsia="Times New Roman" w:cstheme="minorHAnsi"/>
                <w:sz w:val="18"/>
                <w:szCs w:val="18"/>
                <w:lang w:val="en-GB" w:eastAsia="en-GB"/>
              </w:rPr>
              <w: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8,268.64</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8,215.34</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40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Isavuconazole-mucormycosis - duration prior to switching</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8,217.87</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8,266.11</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41</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Voriconazole-mucormycosis - IV days before switching to oral</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8,264.38</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8,219.60</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42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 - liver function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8,263.66</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8,220.32</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43</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 starting on IV therapy – mucormycosis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8,261.02</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8,222.96</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44</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Isavuconazole-IA - therapeutic drug monitoring of antifungal agents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8,223.14</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8,260.84</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45</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Test costs - therapeutic drug monitoring</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8,259.44</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8,224.54</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46</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Voriconazole-mucormycosis - duration prior to switching</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8,256.90</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8,227.08</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47</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Isavuconazole-IA - liver function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8,231.19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8,252.79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48</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Hospital stay with nephrotoxicity</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8,250.73</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8,233.25</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49</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Hospitali</w:t>
            </w:r>
            <w:r>
              <w:rPr>
                <w:rFonts w:eastAsia="Times New Roman" w:cstheme="minorHAnsi"/>
                <w:sz w:val="18"/>
                <w:szCs w:val="18"/>
                <w:lang w:val="en-GB" w:eastAsia="en-GB"/>
              </w:rPr>
              <w:t>z</w:t>
            </w:r>
            <w:r w:rsidRPr="0047347B">
              <w:rPr>
                <w:rFonts w:eastAsia="Times New Roman" w:cstheme="minorHAnsi"/>
                <w:sz w:val="18"/>
                <w:szCs w:val="18"/>
                <w:lang w:val="en-GB" w:eastAsia="en-GB"/>
              </w:rPr>
              <w:t>ation cost per day (</w:t>
            </w:r>
            <w:proofErr w:type="spellStart"/>
            <w:r w:rsidRPr="0047347B">
              <w:rPr>
                <w:rFonts w:eastAsia="Times New Roman" w:cstheme="minorHAnsi"/>
                <w:sz w:val="18"/>
                <w:szCs w:val="18"/>
                <w:lang w:val="en-GB" w:eastAsia="en-GB"/>
              </w:rPr>
              <w:t>nephro</w:t>
            </w:r>
            <w:proofErr w:type="spellEnd"/>
            <w:r w:rsidRPr="0047347B">
              <w:rPr>
                <w:rFonts w:eastAsia="Times New Roman" w:cstheme="minorHAnsi"/>
                <w:sz w:val="18"/>
                <w:szCs w:val="18"/>
                <w:lang w:val="en-GB" w:eastAsia="en-GB"/>
              </w:rPr>
              <w: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8,250.73</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8,233.25</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50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Hallucination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8,249.84</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8,234.14</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51</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Test costs - liver function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8,249.68</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8,234.30</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52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Visual hallucination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8,249.25</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8,234.73</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53</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Abnormal hepatic function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8,247.28</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8,236.70</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54</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Increased GGT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8,246.47</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8,237.50</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55</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L-AMB+posa-IA</w:t>
            </w:r>
            <w:proofErr w:type="spellEnd"/>
            <w:r w:rsidRPr="0047347B">
              <w:rPr>
                <w:rFonts w:eastAsia="Times New Roman" w:cstheme="minorHAnsi"/>
                <w:sz w:val="18"/>
                <w:szCs w:val="18"/>
                <w:lang w:val="en-GB" w:eastAsia="en-GB"/>
              </w:rPr>
              <w:t xml:space="preserve"> - liver function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8,246.01</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8,237.97</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56</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L-AMB+voriconazole-IA</w:t>
            </w:r>
            <w:proofErr w:type="spellEnd"/>
            <w:r w:rsidRPr="0047347B">
              <w:rPr>
                <w:rFonts w:eastAsia="Times New Roman" w:cstheme="minorHAnsi"/>
                <w:sz w:val="18"/>
                <w:szCs w:val="18"/>
                <w:lang w:val="en-GB" w:eastAsia="en-GB"/>
              </w:rPr>
              <w:t xml:space="preserve"> - liver function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8,237.97</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8,246.01</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57</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QT prolonged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8,246.00</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8,237.98</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58</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Visual impairment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8,245.80</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8,238.18</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59</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Increased ALT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8,245.77</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8,238.21</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60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Hyperbilirubinemia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8,245.72</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8,238.26</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60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Increased ALP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8,245.31</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8,238.67</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62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Increased AST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8,245.31</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8,238.67</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63</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Isavuconazole-mucormycosis - liver function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8,238.76</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8,245.22</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64</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Dyspnoea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8,238.85</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8,245.13</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65</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Posaconazole - oral price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8,244.65</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8,239.33</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66</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Hepatic failure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8,244.37</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8,239.61</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67</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Cholestasis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8,244.37</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8,239.61</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68</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Jaundice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8,243.58</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8,240.40</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69</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Isavuconazole-mucormycosis - therapeutic drug monitoring of antifungal agents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8,240.48</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8,243.50</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70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Reduced visual acuity - cost per event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8,243.05</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8,240.93</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71</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L-AMB+posa-mucormycosis</w:t>
            </w:r>
            <w:proofErr w:type="spellEnd"/>
            <w:r w:rsidRPr="0047347B">
              <w:rPr>
                <w:rFonts w:eastAsia="Times New Roman" w:cstheme="minorHAnsi"/>
                <w:sz w:val="18"/>
                <w:szCs w:val="18"/>
                <w:lang w:val="en-GB" w:eastAsia="en-GB"/>
              </w:rPr>
              <w:t xml:space="preserve"> - liver function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8,242.04</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8,241.94</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72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 xml:space="preserve">Mortality – </w:t>
            </w:r>
            <w:proofErr w:type="spellStart"/>
            <w:r w:rsidRPr="0047347B">
              <w:rPr>
                <w:rFonts w:eastAsia="Times New Roman" w:cstheme="minorHAnsi"/>
                <w:sz w:val="18"/>
                <w:szCs w:val="18"/>
                <w:lang w:val="en-GB" w:eastAsia="en-GB"/>
              </w:rPr>
              <w:t>L-AMB+posa</w:t>
            </w:r>
            <w:proofErr w:type="spellEnd"/>
            <w:r w:rsidRPr="0047347B">
              <w:rPr>
                <w:rFonts w:eastAsia="Times New Roman" w:cstheme="minorHAnsi"/>
                <w:sz w:val="18"/>
                <w:szCs w:val="18"/>
                <w:lang w:val="en-GB" w:eastAsia="en-GB"/>
              </w:rPr>
              <w:t>/voriconazole-IA</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73</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w:t>
            </w:r>
            <w:proofErr w:type="spellEnd"/>
            <w:r w:rsidRPr="0047347B">
              <w:rPr>
                <w:rFonts w:eastAsia="Times New Roman" w:cstheme="minorHAnsi"/>
                <w:sz w:val="18"/>
                <w:szCs w:val="18"/>
                <w:lang w:val="en-GB" w:eastAsia="en-GB"/>
              </w:rPr>
              <w:t>/voriconazole-IA - mean treatment duration</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74</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w:t>
            </w:r>
            <w:proofErr w:type="spellEnd"/>
            <w:r w:rsidRPr="0047347B">
              <w:rPr>
                <w:rFonts w:eastAsia="Times New Roman" w:cstheme="minorHAnsi"/>
                <w:sz w:val="18"/>
                <w:szCs w:val="18"/>
                <w:lang w:val="en-GB" w:eastAsia="en-GB"/>
              </w:rPr>
              <w:t>/voriconazole-IA - mean treatment duration (response)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75</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Test costs - serum creatinine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76</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Test costs - urinalysis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77</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Test costs - Test1</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78</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Test costs - Test2</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79</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Isavuconazole-IA - laboratory analysis days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80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Isavuconazole-IA - serum creatinine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81</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Isavuconazole-IA - urinalysis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82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Isavuconazole-IA - Test1</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83</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Isavuconazole-IA - Test2</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84</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 - laboratory analysis days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85</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 - serum creatinine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86</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 - urinalysis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87</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 - Test1</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88</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Voriconazole-IA - Test2</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89</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L-AMB+posa-IA</w:t>
            </w:r>
            <w:proofErr w:type="spellEnd"/>
            <w:r w:rsidRPr="0047347B">
              <w:rPr>
                <w:rFonts w:eastAsia="Times New Roman" w:cstheme="minorHAnsi"/>
                <w:sz w:val="18"/>
                <w:szCs w:val="18"/>
                <w:lang w:val="en-GB" w:eastAsia="en-GB"/>
              </w:rPr>
              <w:t xml:space="preserve"> - laboratory analysis days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90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L-AMB+posa-IA</w:t>
            </w:r>
            <w:proofErr w:type="spellEnd"/>
            <w:r w:rsidRPr="0047347B">
              <w:rPr>
                <w:rFonts w:eastAsia="Times New Roman" w:cstheme="minorHAnsi"/>
                <w:sz w:val="18"/>
                <w:szCs w:val="18"/>
                <w:lang w:val="en-GB" w:eastAsia="en-GB"/>
              </w:rPr>
              <w:t xml:space="preserve"> - serum creatinine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91</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L-AMB+posa-IA</w:t>
            </w:r>
            <w:proofErr w:type="spellEnd"/>
            <w:r w:rsidRPr="0047347B">
              <w:rPr>
                <w:rFonts w:eastAsia="Times New Roman" w:cstheme="minorHAnsi"/>
                <w:sz w:val="18"/>
                <w:szCs w:val="18"/>
                <w:lang w:val="en-GB" w:eastAsia="en-GB"/>
              </w:rPr>
              <w:t xml:space="preserve"> - urinalysis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92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L-AMB+posa-IA</w:t>
            </w:r>
            <w:proofErr w:type="spellEnd"/>
            <w:r w:rsidRPr="0047347B">
              <w:rPr>
                <w:rFonts w:eastAsia="Times New Roman" w:cstheme="minorHAnsi"/>
                <w:sz w:val="18"/>
                <w:szCs w:val="18"/>
                <w:lang w:val="en-GB" w:eastAsia="en-GB"/>
              </w:rPr>
              <w:t xml:space="preserve"> - therapeutic drug monitoring of antifungal agents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93</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L-AMB+posa-IA</w:t>
            </w:r>
            <w:proofErr w:type="spellEnd"/>
            <w:r w:rsidRPr="0047347B">
              <w:rPr>
                <w:rFonts w:eastAsia="Times New Roman" w:cstheme="minorHAnsi"/>
                <w:sz w:val="18"/>
                <w:szCs w:val="18"/>
                <w:lang w:val="en-GB" w:eastAsia="en-GB"/>
              </w:rPr>
              <w:t xml:space="preserve"> - Test1</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94</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L-AMB+posa-IA</w:t>
            </w:r>
            <w:proofErr w:type="spellEnd"/>
            <w:r w:rsidRPr="0047347B">
              <w:rPr>
                <w:rFonts w:eastAsia="Times New Roman" w:cstheme="minorHAnsi"/>
                <w:sz w:val="18"/>
                <w:szCs w:val="18"/>
                <w:lang w:val="en-GB" w:eastAsia="en-GB"/>
              </w:rPr>
              <w:t xml:space="preserve"> - Test1</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95</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L-AMB+vori-IA</w:t>
            </w:r>
            <w:proofErr w:type="spellEnd"/>
            <w:r w:rsidRPr="0047347B">
              <w:rPr>
                <w:rFonts w:eastAsia="Times New Roman" w:cstheme="minorHAnsi"/>
                <w:sz w:val="18"/>
                <w:szCs w:val="18"/>
                <w:lang w:val="en-GB" w:eastAsia="en-GB"/>
              </w:rPr>
              <w:t xml:space="preserve"> - laboratory analysis days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96</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L-AMB+vori-IA</w:t>
            </w:r>
            <w:proofErr w:type="spellEnd"/>
            <w:r w:rsidRPr="0047347B">
              <w:rPr>
                <w:rFonts w:eastAsia="Times New Roman" w:cstheme="minorHAnsi"/>
                <w:sz w:val="18"/>
                <w:szCs w:val="18"/>
                <w:lang w:val="en-GB" w:eastAsia="en-GB"/>
              </w:rPr>
              <w:t xml:space="preserve"> - serum creatinine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97</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L-AMB+vori-IA</w:t>
            </w:r>
            <w:proofErr w:type="spellEnd"/>
            <w:r w:rsidRPr="0047347B">
              <w:rPr>
                <w:rFonts w:eastAsia="Times New Roman" w:cstheme="minorHAnsi"/>
                <w:sz w:val="18"/>
                <w:szCs w:val="18"/>
                <w:lang w:val="en-GB" w:eastAsia="en-GB"/>
              </w:rPr>
              <w:t xml:space="preserve"> - urinalysis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98</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L-AMB+vori-IA</w:t>
            </w:r>
            <w:proofErr w:type="spellEnd"/>
            <w:r w:rsidRPr="0047347B">
              <w:rPr>
                <w:rFonts w:eastAsia="Times New Roman" w:cstheme="minorHAnsi"/>
                <w:sz w:val="18"/>
                <w:szCs w:val="18"/>
                <w:lang w:val="en-GB" w:eastAsia="en-GB"/>
              </w:rPr>
              <w:t xml:space="preserve"> - therapeutic drug monitoring of antifungal agents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99</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L-AMB+vori-IA</w:t>
            </w:r>
            <w:proofErr w:type="spellEnd"/>
            <w:r w:rsidRPr="0047347B">
              <w:rPr>
                <w:rFonts w:eastAsia="Times New Roman" w:cstheme="minorHAnsi"/>
                <w:sz w:val="18"/>
                <w:szCs w:val="18"/>
                <w:lang w:val="en-GB" w:eastAsia="en-GB"/>
              </w:rPr>
              <w:t xml:space="preserve"> - Test1</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100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L-AMB+vori-IA</w:t>
            </w:r>
            <w:proofErr w:type="spellEnd"/>
            <w:r w:rsidRPr="0047347B">
              <w:rPr>
                <w:rFonts w:eastAsia="Times New Roman" w:cstheme="minorHAnsi"/>
                <w:sz w:val="18"/>
                <w:szCs w:val="18"/>
                <w:lang w:val="en-GB" w:eastAsia="en-GB"/>
              </w:rPr>
              <w:t xml:space="preserve"> - Test1</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101</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Isavuconazole-mucormycosis - laboratory analysis days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102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Isavuconazole-mucormycosis - serum creatinine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103</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Isavuconazole-mucormycosis - urinalysis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104</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Isavuconazole-mucormycosis - Test1</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105</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Isavuconazole-mucormycosis - Test2</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106</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L-AMB+posa-mucormycosis</w:t>
            </w:r>
            <w:proofErr w:type="spellEnd"/>
            <w:r w:rsidRPr="0047347B">
              <w:rPr>
                <w:rFonts w:eastAsia="Times New Roman" w:cstheme="minorHAnsi"/>
                <w:sz w:val="18"/>
                <w:szCs w:val="18"/>
                <w:lang w:val="en-GB" w:eastAsia="en-GB"/>
              </w:rPr>
              <w:t xml:space="preserve"> - laboratory analysis days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107</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L-AMB+posa-mucormycosis</w:t>
            </w:r>
            <w:proofErr w:type="spellEnd"/>
            <w:r w:rsidRPr="0047347B">
              <w:rPr>
                <w:rFonts w:eastAsia="Times New Roman" w:cstheme="minorHAnsi"/>
                <w:sz w:val="18"/>
                <w:szCs w:val="18"/>
                <w:lang w:val="en-GB" w:eastAsia="en-GB"/>
              </w:rPr>
              <w:t xml:space="preserve"> - serum creatinine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108</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L-AMB+posa-mucormycosis</w:t>
            </w:r>
            <w:proofErr w:type="spellEnd"/>
            <w:r w:rsidRPr="0047347B">
              <w:rPr>
                <w:rFonts w:eastAsia="Times New Roman" w:cstheme="minorHAnsi"/>
                <w:sz w:val="18"/>
                <w:szCs w:val="18"/>
                <w:lang w:val="en-GB" w:eastAsia="en-GB"/>
              </w:rPr>
              <w:t xml:space="preserve"> - urinalysis tests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109</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L-AMB+posa-mucormycosis</w:t>
            </w:r>
            <w:proofErr w:type="spellEnd"/>
            <w:r w:rsidRPr="0047347B">
              <w:rPr>
                <w:rFonts w:eastAsia="Times New Roman" w:cstheme="minorHAnsi"/>
                <w:sz w:val="18"/>
                <w:szCs w:val="18"/>
                <w:lang w:val="en-GB" w:eastAsia="en-GB"/>
              </w:rPr>
              <w:t xml:space="preserve"> - therapeutic drug monitoring of antifungal agents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110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L-AMB+posa-mucormycosis</w:t>
            </w:r>
            <w:proofErr w:type="spellEnd"/>
            <w:r w:rsidRPr="0047347B">
              <w:rPr>
                <w:rFonts w:eastAsia="Times New Roman" w:cstheme="minorHAnsi"/>
                <w:sz w:val="18"/>
                <w:szCs w:val="18"/>
                <w:lang w:val="en-GB" w:eastAsia="en-GB"/>
              </w:rPr>
              <w:t xml:space="preserve"> - Test1</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111</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L-AMB+posa-mucormycosis</w:t>
            </w:r>
            <w:proofErr w:type="spellEnd"/>
            <w:r w:rsidRPr="0047347B">
              <w:rPr>
                <w:rFonts w:eastAsia="Times New Roman" w:cstheme="minorHAnsi"/>
                <w:sz w:val="18"/>
                <w:szCs w:val="18"/>
                <w:lang w:val="en-GB" w:eastAsia="en-GB"/>
              </w:rPr>
              <w:t xml:space="preserve"> - Test1</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112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proofErr w:type="spellStart"/>
            <w:r w:rsidRPr="0047347B">
              <w:rPr>
                <w:rFonts w:eastAsia="Times New Roman" w:cstheme="minorHAnsi"/>
                <w:sz w:val="18"/>
                <w:szCs w:val="18"/>
                <w:lang w:val="en-GB" w:eastAsia="en-GB"/>
              </w:rPr>
              <w:t>L-AMB+posa</w:t>
            </w:r>
            <w:proofErr w:type="spellEnd"/>
            <w:r w:rsidRPr="0047347B">
              <w:rPr>
                <w:rFonts w:eastAsia="Times New Roman" w:cstheme="minorHAnsi"/>
                <w:sz w:val="18"/>
                <w:szCs w:val="18"/>
                <w:lang w:val="en-GB" w:eastAsia="en-GB"/>
              </w:rPr>
              <w:t>/voriconazole-IA - hospital days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113</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AE1 - cost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114</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AE2 - cost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115</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 AE1 - incidence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116</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Isavuconazole - AE2 - incidence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117</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 - AE1 - incidence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118</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Voriconazole - AE2 - incidence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119</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L-AMB - Adverse event 1 (incidence) - cost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120</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L-AMB - Adverse event 2 (incidence) - cost</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121</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 second line - Voriconazole-mucormycosis</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r w:rsidR="00730FAE" w:rsidRPr="004D3887" w:rsidTr="00FD6516">
        <w:trPr>
          <w:trHeight w:val="255"/>
        </w:trPr>
        <w:tc>
          <w:tcPr>
            <w:tcW w:w="709" w:type="dxa"/>
            <w:tcBorders>
              <w:top w:val="nil"/>
              <w:left w:val="nil"/>
              <w:right w:val="single" w:sz="4" w:space="0" w:color="808080"/>
            </w:tcBorders>
            <w:shd w:val="clear" w:color="auto" w:fill="auto"/>
            <w:vAlign w:val="center"/>
          </w:tcPr>
          <w:p w:rsidR="00730FAE" w:rsidRPr="0047347B" w:rsidRDefault="00730FAE" w:rsidP="00FD6516">
            <w:pPr>
              <w:spacing w:after="0" w:line="240" w:lineRule="auto"/>
              <w:rPr>
                <w:rFonts w:eastAsia="Times New Roman" w:cstheme="minorHAnsi"/>
                <w:sz w:val="18"/>
                <w:szCs w:val="18"/>
                <w:lang w:val="en-GB" w:eastAsia="en-GB"/>
              </w:rPr>
            </w:pPr>
            <w:r>
              <w:rPr>
                <w:rFonts w:eastAsia="Times New Roman" w:cstheme="minorHAnsi"/>
                <w:sz w:val="18"/>
                <w:szCs w:val="18"/>
                <w:lang w:val="en-GB" w:eastAsia="en-GB"/>
              </w:rPr>
              <w:t>122</w:t>
            </w:r>
          </w:p>
        </w:tc>
        <w:tc>
          <w:tcPr>
            <w:tcW w:w="6095" w:type="dxa"/>
            <w:tcBorders>
              <w:top w:val="nil"/>
              <w:left w:val="single" w:sz="4" w:space="0" w:color="808080"/>
              <w:right w:val="single" w:sz="4" w:space="0" w:color="808080"/>
            </w:tcBorders>
            <w:shd w:val="clear" w:color="auto" w:fill="auto"/>
            <w:noWrap/>
            <w:vAlign w:val="center"/>
            <w:hideMark/>
          </w:tcPr>
          <w:p w:rsidR="00730FAE" w:rsidRPr="0047347B" w:rsidRDefault="00730FAE" w:rsidP="00FD6516">
            <w:pPr>
              <w:spacing w:after="0" w:line="240" w:lineRule="auto"/>
              <w:rPr>
                <w:rFonts w:eastAsia="Times New Roman" w:cstheme="minorHAnsi"/>
                <w:sz w:val="18"/>
                <w:szCs w:val="18"/>
                <w:lang w:val="en-GB" w:eastAsia="en-GB"/>
              </w:rPr>
            </w:pPr>
            <w:r w:rsidRPr="0047347B">
              <w:rPr>
                <w:rFonts w:eastAsia="Times New Roman" w:cstheme="minorHAnsi"/>
                <w:sz w:val="18"/>
                <w:szCs w:val="18"/>
                <w:lang w:val="en-GB" w:eastAsia="en-GB"/>
              </w:rPr>
              <w:t xml:space="preserve">% L-AMB patients receiving oral </w:t>
            </w:r>
            <w:proofErr w:type="spellStart"/>
            <w:r w:rsidRPr="0047347B">
              <w:rPr>
                <w:rFonts w:eastAsia="Times New Roman" w:cstheme="minorHAnsi"/>
                <w:sz w:val="18"/>
                <w:szCs w:val="18"/>
                <w:lang w:val="en-GB" w:eastAsia="en-GB"/>
              </w:rPr>
              <w:t>posa</w:t>
            </w:r>
            <w:proofErr w:type="spellEnd"/>
            <w:r w:rsidRPr="0047347B">
              <w:rPr>
                <w:rFonts w:eastAsia="Times New Roman" w:cstheme="minorHAnsi"/>
                <w:sz w:val="18"/>
                <w:szCs w:val="18"/>
                <w:lang w:val="en-GB" w:eastAsia="en-GB"/>
              </w:rPr>
              <w:t xml:space="preserve"> (vs voriconazole)</w:t>
            </w:r>
          </w:p>
        </w:tc>
        <w:tc>
          <w:tcPr>
            <w:tcW w:w="1275" w:type="dxa"/>
            <w:tcBorders>
              <w:top w:val="nil"/>
              <w:left w:val="single" w:sz="4" w:space="0" w:color="808080"/>
              <w:righ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c>
          <w:tcPr>
            <w:tcW w:w="1276" w:type="dxa"/>
            <w:tcBorders>
              <w:top w:val="nil"/>
              <w:left w:val="single" w:sz="4" w:space="0" w:color="808080"/>
            </w:tcBorders>
            <w:shd w:val="clear" w:color="auto" w:fill="auto"/>
            <w:noWrap/>
            <w:vAlign w:val="bottom"/>
            <w:hideMark/>
          </w:tcPr>
          <w:p w:rsidR="00730FAE" w:rsidRPr="0047347B" w:rsidRDefault="00730FAE" w:rsidP="00FD6516">
            <w:pPr>
              <w:spacing w:after="0" w:line="240" w:lineRule="auto"/>
              <w:jc w:val="center"/>
              <w:rPr>
                <w:rFonts w:eastAsia="Times New Roman" w:cstheme="minorHAnsi"/>
                <w:color w:val="000000"/>
                <w:sz w:val="18"/>
                <w:szCs w:val="18"/>
                <w:lang w:val="en-GB" w:eastAsia="en-GB"/>
              </w:rPr>
            </w:pPr>
            <w:r w:rsidRPr="0047347B">
              <w:rPr>
                <w:rFonts w:cstheme="minorHAnsi"/>
                <w:color w:val="000000"/>
                <w:sz w:val="18"/>
                <w:szCs w:val="18"/>
              </w:rPr>
              <w:t>8,241.99</w:t>
            </w:r>
          </w:p>
        </w:tc>
      </w:tr>
    </w:tbl>
    <w:p w:rsidR="00930700" w:rsidRDefault="00930700" w:rsidP="00730FAE">
      <w:pPr>
        <w:pStyle w:val="Caption"/>
        <w:keepNext/>
        <w:spacing w:before="240" w:after="120"/>
        <w:jc w:val="both"/>
      </w:pPr>
      <w:bookmarkStart w:id="4" w:name="_GoBack"/>
      <w:bookmarkEnd w:id="4"/>
    </w:p>
    <w:sectPr w:rsidR="009307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9FF"/>
    <w:multiLevelType w:val="hybridMultilevel"/>
    <w:tmpl w:val="5E1E3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785DE1"/>
    <w:multiLevelType w:val="hybridMultilevel"/>
    <w:tmpl w:val="3E6C1FCE"/>
    <w:lvl w:ilvl="0" w:tplc="2580E16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15:restartNumberingAfterBreak="0">
    <w:nsid w:val="708E38BF"/>
    <w:multiLevelType w:val="hybridMultilevel"/>
    <w:tmpl w:val="8306F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AE"/>
    <w:rsid w:val="00037E86"/>
    <w:rsid w:val="000E452E"/>
    <w:rsid w:val="001842A5"/>
    <w:rsid w:val="001B7561"/>
    <w:rsid w:val="001E101C"/>
    <w:rsid w:val="003000C4"/>
    <w:rsid w:val="00350A9A"/>
    <w:rsid w:val="00386A92"/>
    <w:rsid w:val="00544BC5"/>
    <w:rsid w:val="0055683B"/>
    <w:rsid w:val="00626316"/>
    <w:rsid w:val="006D67BD"/>
    <w:rsid w:val="00730FAE"/>
    <w:rsid w:val="008E6B69"/>
    <w:rsid w:val="009008D2"/>
    <w:rsid w:val="00926BD4"/>
    <w:rsid w:val="00930700"/>
    <w:rsid w:val="00A47379"/>
    <w:rsid w:val="00A619EA"/>
    <w:rsid w:val="00BB7F14"/>
    <w:rsid w:val="00BF3A88"/>
    <w:rsid w:val="00CC3987"/>
    <w:rsid w:val="00D43574"/>
    <w:rsid w:val="00D7611A"/>
    <w:rsid w:val="00E31E5F"/>
    <w:rsid w:val="00EC7477"/>
    <w:rsid w:val="00EF12B9"/>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3B08"/>
  <w15:chartTrackingRefBased/>
  <w15:docId w15:val="{B00060A2-4100-4189-A14B-60C6819C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Legend"/>
    <w:basedOn w:val="Normal"/>
    <w:link w:val="ListParagraphChar"/>
    <w:uiPriority w:val="72"/>
    <w:qFormat/>
    <w:rsid w:val="00730FAE"/>
    <w:pPr>
      <w:ind w:left="720"/>
      <w:contextualSpacing/>
    </w:pPr>
  </w:style>
  <w:style w:type="paragraph" w:styleId="Caption">
    <w:name w:val="caption"/>
    <w:aliases w:val="Caption for Figures and Tables,Caption PHMR,TabFig title/caption"/>
    <w:basedOn w:val="Normal"/>
    <w:next w:val="Normal"/>
    <w:link w:val="CaptionChar"/>
    <w:uiPriority w:val="35"/>
    <w:unhideWhenUsed/>
    <w:qFormat/>
    <w:rsid w:val="00730FAE"/>
    <w:pPr>
      <w:spacing w:line="240" w:lineRule="auto"/>
    </w:pPr>
    <w:rPr>
      <w:i/>
      <w:iCs/>
      <w:color w:val="1F497D" w:themeColor="text2"/>
      <w:sz w:val="18"/>
      <w:szCs w:val="18"/>
      <w:lang w:val="en-GB"/>
    </w:rPr>
  </w:style>
  <w:style w:type="character" w:customStyle="1" w:styleId="CaptionChar">
    <w:name w:val="Caption Char"/>
    <w:aliases w:val="Caption for Figures and Tables Char,Caption PHMR Char,TabFig title/caption Char"/>
    <w:basedOn w:val="DefaultParagraphFont"/>
    <w:link w:val="Caption"/>
    <w:uiPriority w:val="35"/>
    <w:rsid w:val="00730FAE"/>
    <w:rPr>
      <w:i/>
      <w:iCs/>
      <w:color w:val="1F497D" w:themeColor="text2"/>
      <w:sz w:val="18"/>
      <w:szCs w:val="18"/>
      <w:lang w:val="en-GB"/>
    </w:rPr>
  </w:style>
  <w:style w:type="table" w:customStyle="1" w:styleId="PlainTable21">
    <w:name w:val="Plain Table 21"/>
    <w:basedOn w:val="TableNormal"/>
    <w:uiPriority w:val="42"/>
    <w:rsid w:val="00730F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Table Legend Char"/>
    <w:basedOn w:val="DefaultParagraphFont"/>
    <w:link w:val="ListParagraph"/>
    <w:uiPriority w:val="72"/>
    <w:rsid w:val="0073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LH</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Georgallis, Mihalina</dc:creator>
  <cp:keywords/>
  <dc:description/>
  <cp:lastModifiedBy>Georgallis, Mihalina</cp:lastModifiedBy>
  <cp:revision>1</cp:revision>
  <dcterms:created xsi:type="dcterms:W3CDTF">2019-06-19T16:12:00Z</dcterms:created>
  <dcterms:modified xsi:type="dcterms:W3CDTF">2019-06-19T16:12:00Z</dcterms:modified>
</cp:coreProperties>
</file>