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39052</wp:posOffset>
            </wp:positionH>
            <wp:positionV relativeFrom="paragraph">
              <wp:posOffset>635</wp:posOffset>
            </wp:positionV>
            <wp:extent cx="5862320" cy="238823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62320" cy="238823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rPr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Figure 1S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RMSD values of TEM type β-lactamases during MD simulations at 400K. TEM-1 – black, TEM-1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238,240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green, TEM-1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238,240,182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red, TEM-1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238,240,182,39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blue.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Table 1S. The list of residues with altered values of RMSF (Å) in TEM variants in compare to TEM-1.</w:t>
      </w:r>
    </w:p>
    <w:p w:rsidR="00000000" w:rsidDel="00000000" w:rsidP="00000000" w:rsidRDefault="00000000" w:rsidRPr="00000000" w14:paraId="00000009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4.0" w:type="dxa"/>
        <w:jc w:val="left"/>
        <w:tblInd w:w="0.0" w:type="dxa"/>
        <w:tblBorders>
          <w:top w:color="000001" w:space="0" w:sz="4" w:val="single"/>
          <w:left w:color="000001" w:space="0" w:sz="4" w:val="single"/>
          <w:bottom w:color="000001" w:space="0" w:sz="4" w:val="single"/>
          <w:insideH w:color="000001" w:space="0" w:sz="4" w:val="single"/>
        </w:tblBorders>
        <w:tblLayout w:type="fixed"/>
        <w:tblLook w:val="0000"/>
      </w:tblPr>
      <w:tblGrid>
        <w:gridCol w:w="1559"/>
        <w:gridCol w:w="1559"/>
        <w:gridCol w:w="1557"/>
        <w:gridCol w:w="1559"/>
        <w:gridCol w:w="2"/>
        <w:gridCol w:w="1556"/>
        <w:gridCol w:w="1562"/>
        <w:tblGridChange w:id="0">
          <w:tblGrid>
            <w:gridCol w:w="1559"/>
            <w:gridCol w:w="1559"/>
            <w:gridCol w:w="1557"/>
            <w:gridCol w:w="1559"/>
            <w:gridCol w:w="2"/>
            <w:gridCol w:w="1556"/>
            <w:gridCol w:w="1562"/>
          </w:tblGrid>
        </w:tblGridChange>
      </w:tblGrid>
      <w:tr>
        <w:trPr>
          <w:trHeight w:val="340" w:hRule="atLeast"/>
        </w:trPr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0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TEM-1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8"/>
                <w:szCs w:val="18"/>
                <w:u w:val="none"/>
                <w:vertAlign w:val="subscript"/>
                <w:rtl w:val="0"/>
              </w:rPr>
              <w:t xml:space="preserve">238,240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 vs TEM1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0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TEM-1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8"/>
                <w:szCs w:val="18"/>
                <w:u w:val="none"/>
                <w:vertAlign w:val="subscript"/>
                <w:rtl w:val="0"/>
              </w:rPr>
              <w:t xml:space="preserve">238,240,182 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8"/>
                <w:szCs w:val="18"/>
                <w:u w:val="none"/>
                <w:vertAlign w:val="baseline"/>
                <w:rtl w:val="0"/>
              </w:rPr>
              <w:t xml:space="preserve">vs TEM1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1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TEM-1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8"/>
                <w:szCs w:val="18"/>
                <w:u w:val="none"/>
                <w:vertAlign w:val="subscript"/>
                <w:rtl w:val="0"/>
              </w:rPr>
              <w:t xml:space="preserve">238,240,182,39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8"/>
                <w:szCs w:val="18"/>
                <w:u w:val="none"/>
                <w:vertAlign w:val="baseline"/>
                <w:rtl w:val="0"/>
              </w:rPr>
              <w:t xml:space="preserve">vs TEM1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12">
            <w:pPr>
              <w:jc w:val="left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RMSF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RMSF Down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14">
            <w:pPr>
              <w:jc w:val="left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RMSF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15">
            <w:pPr>
              <w:jc w:val="left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RMSF Down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16">
            <w:pPr>
              <w:jc w:val="left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RMSF 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18">
            <w:pPr>
              <w:jc w:val="left"/>
              <w:rPr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RMSF Down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19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158 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1A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32 LYS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1B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26 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1C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32 LYS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1D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158 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1F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32 LYS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20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161 ARG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21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104 GLU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22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72 PHE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23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35 ASP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24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161 ARG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26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35 ASP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27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215 LYS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28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105 TYR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29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156 GLY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2A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63 GLU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2B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177 GLU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2D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63 GLU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2E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219 PRO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2F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196 GLY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30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157 ASP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31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104 GLU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32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178 ARG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34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104 GLU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35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220 LEU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36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197 GLU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37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158 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38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105 TYR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39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288 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3B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172 ALA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3C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254 GLY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3D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204 ARG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3E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161 ARG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3F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172 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42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173 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288 HIS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44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224 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45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163 ASP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46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173 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49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174 PRO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4B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225 LEU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4C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164 ARG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4D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174 PRO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50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175 ASN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52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226 PRO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53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170 ASN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54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175 ASN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57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182 THR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5A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178 ARG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5B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182 THR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5E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204 ARG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61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215 LYS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62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196 GLY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65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217 ALA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68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219 PRO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69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197 GLU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6C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218 GLY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6F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220 LEU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70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204 ARG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73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220 LEU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76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230 PHE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77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217 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7A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221 LEU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7D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238 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7E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218 GLY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81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222 ARG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84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241 ARG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85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219 PRO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88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223 SER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8B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254 GLY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8C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221 LEU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8F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224 ALA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92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256 PRO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93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222 ARG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96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226 PRO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9A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223 SER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9D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227 ALA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A1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224 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A4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231 ILE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A8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225 LEU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AB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232 ALA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AF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226 PRO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B2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266 GLY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B6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227 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B9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277 GLN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BD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231 ILE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C4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232 ALA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CB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266 GLY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D2">
            <w:pPr>
              <w:jc w:val="left"/>
              <w:rPr/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trike w:val="0"/>
                <w:sz w:val="18"/>
                <w:szCs w:val="18"/>
                <w:u w:val="none"/>
                <w:rtl w:val="0"/>
              </w:rPr>
              <w:t xml:space="preserve">277 GLN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auto" w:val="clear"/>
            <w:tcMar>
              <w:left w:w="51.0" w:type="dxa"/>
            </w:tcMar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Liberation Serif" w:cs="Liberation Serif" w:eastAsia="Liberation Serif" w:hAnsi="Liberation Serif"/>
                <w:b w:val="0"/>
                <w:i w:val="0"/>
                <w:smallCaps w:val="0"/>
                <w:strike w:val="0"/>
                <w:color w:val="00000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6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111125</wp:posOffset>
            </wp:positionH>
            <wp:positionV relativeFrom="paragraph">
              <wp:posOffset>635</wp:posOffset>
            </wp:positionV>
            <wp:extent cx="5718175" cy="4385945"/>
            <wp:effectExtent b="0" l="0" r="0" t="0"/>
            <wp:wrapSquare wrapText="bothSides" distB="0" distT="0" distL="0" distR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18175" cy="43859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D8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widowControl w:val="1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Figure 2S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Differences in amino acid fluctuations (RMSF) during molecular dynamics.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widowControl w:val="1"/>
        <w:rPr>
          <w:rFonts w:ascii="Times New Roman" w:cs="Times New Roman" w:eastAsia="Times New Roman" w:hAnsi="Times New Roman"/>
          <w:highlight w:val="yellow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Differences of values between TEM-1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238,240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TEM-1 (black),  TEM-1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238,240,182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TEM-1 (red),  TEM-1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238,240,182,39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and TEM-1(green). See Table 1S.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widowControl w:val="1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Residues with significantly changed fluctuation values (difference of more than |0.5A|) are represented at PDBsum schemes: B) TEM-1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238,240,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C) TEM-1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238,240,182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and D) TEM-1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238,240,182,39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widowControl w:val="1"/>
        <w:rPr>
          <w:rFonts w:ascii="Times New Roman" w:cs="Times New Roman" w:eastAsia="Times New Roman" w:hAnsi="Times New Roman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Residues with the increased RMSF values compared to the TEM-1 are represented in red, with the decreased values- blue.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E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widowControl w:val="1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widowControl w:val="1"/>
        <w:rPr/>
      </w:pPr>
      <w:r w:rsidDel="00000000" w:rsidR="00000000" w:rsidRPr="00000000">
        <w:rPr/>
        <w:drawing>
          <wp:inline distB="0" distT="0" distL="0" distR="0">
            <wp:extent cx="5399405" cy="2531110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99405" cy="253111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Figure 3S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Distance between residues R65 and N175 during MD simulation of TEM type β-lactamases. TEM-1 – black, TEM-1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238,240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red, TEM-1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238,240,182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green, TEM-1</w:t>
      </w:r>
      <w:r w:rsidDel="00000000" w:rsidR="00000000" w:rsidRPr="00000000">
        <w:rPr>
          <w:rFonts w:ascii="Times New Roman" w:cs="Times New Roman" w:eastAsia="Times New Roman" w:hAnsi="Times New Roman"/>
          <w:vertAlign w:val="subscript"/>
          <w:rtl w:val="0"/>
        </w:rPr>
        <w:t xml:space="preserve">238,240,182,39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– blue.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widowControl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  <w:font w:name="Liberation Serif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7">
    <w:pPr>
      <w:tabs>
        <w:tab w:val="center" w:pos="4677"/>
        <w:tab w:val="right" w:pos="9355"/>
      </w:tabs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8">
    <w:pPr>
      <w:tabs>
        <w:tab w:val="center" w:pos="4677"/>
        <w:tab w:val="right" w:pos="9355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6">
    <w:pPr>
      <w:tabs>
        <w:tab w:val="center" w:pos="4677"/>
        <w:tab w:val="right" w:pos="9355"/>
      </w:tabs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color w:val="00000a"/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1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