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5" w:rsidRDefault="00587EA5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Supplementary Table S1. Summary of the clinical and hematological parameters of the patients and mutation carriers.</w:t>
      </w:r>
    </w:p>
    <w:p w:rsidR="00587EA5" w:rsidRDefault="00587EA5">
      <w:pPr>
        <w:widowControl w:val="0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6" w:type="dxa"/>
          <w:right w:w="106" w:type="dxa"/>
        </w:tblCellMar>
        <w:tblLook w:val="0000"/>
      </w:tblPr>
      <w:tblGrid>
        <w:gridCol w:w="2070"/>
        <w:gridCol w:w="1260"/>
        <w:gridCol w:w="1260"/>
        <w:gridCol w:w="1260"/>
        <w:gridCol w:w="1170"/>
        <w:gridCol w:w="1260"/>
        <w:gridCol w:w="1170"/>
        <w:gridCol w:w="1170"/>
        <w:gridCol w:w="1170"/>
        <w:gridCol w:w="1170"/>
      </w:tblGrid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Parameters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II-3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II-5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II-7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II-11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II-15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III-9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III-15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III-14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IV-5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Sex-age (at diagnosis)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F-60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F-57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F-55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F-51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M-43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M-29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F-18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M-14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M-5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Year of presentation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WBC (10</w:t>
            </w:r>
            <w:r>
              <w:rPr>
                <w:sz w:val="20"/>
                <w:vertAlign w:val="superscript"/>
              </w:rPr>
              <w:t>9</w:t>
            </w:r>
            <w:r>
              <w:rPr>
                <w:sz w:val="20"/>
              </w:rPr>
              <w:t>/L)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5.06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5.31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5.02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6.34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5.26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3.77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5.53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5.49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9.16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Hb (g/dL)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14.8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14.6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16.9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14.2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22.5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19.8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16.5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18.9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16.0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PCV (L/L)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0.45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0.44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0.51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0.43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0.64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0.53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0.48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0.56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0.48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RBC (10</w:t>
            </w:r>
            <w:r>
              <w:rPr>
                <w:sz w:val="20"/>
                <w:vertAlign w:val="superscript"/>
              </w:rPr>
              <w:t>12</w:t>
            </w:r>
            <w:r>
              <w:rPr>
                <w:sz w:val="20"/>
              </w:rPr>
              <w:t>/L)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4.89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4.73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5.52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4.49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7.00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5.01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5.48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6.12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5.87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MCV (fL)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93.2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92.2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92.6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94.9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91.3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106.0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87.3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90.7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81.9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MCH (pg)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30.4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30.9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30.6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31.7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32.1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39.5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30.1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30.8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27.2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Platelets (10</w:t>
            </w:r>
            <w:r>
              <w:rPr>
                <w:sz w:val="20"/>
                <w:vertAlign w:val="superscript"/>
              </w:rPr>
              <w:t>9</w:t>
            </w:r>
            <w:r>
              <w:rPr>
                <w:sz w:val="20"/>
              </w:rPr>
              <w:t>/L)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215.0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183.0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210.0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154.0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180.0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154.0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289.0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170.0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293.0</w:t>
            </w:r>
          </w:p>
        </w:tc>
      </w:tr>
      <w:tr w:rsidR="0058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 xml:space="preserve"> Genotype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codon 109</w:t>
            </w:r>
            <w:r>
              <w:rPr>
                <w:sz w:val="20"/>
              </w:rPr>
              <w:t>/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codon 109</w:t>
            </w:r>
            <w:r>
              <w:rPr>
                <w:sz w:val="20"/>
              </w:rPr>
              <w:t>/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codon 109</w:t>
            </w:r>
            <w:r>
              <w:rPr>
                <w:sz w:val="20"/>
              </w:rPr>
              <w:t>/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codon 109</w:t>
            </w:r>
            <w:r>
              <w:rPr>
                <w:sz w:val="20"/>
              </w:rPr>
              <w:t>/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codon 109</w:t>
            </w:r>
            <w:r>
              <w:rPr>
                <w:sz w:val="20"/>
              </w:rPr>
              <w:t>/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codon 109</w:t>
            </w:r>
            <w:r>
              <w:rPr>
                <w:sz w:val="20"/>
              </w:rPr>
              <w:t>/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codon 109</w:t>
            </w:r>
            <w:r>
              <w:rPr>
                <w:sz w:val="20"/>
              </w:rPr>
              <w:t>/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codon 109</w:t>
            </w:r>
            <w:r>
              <w:rPr>
                <w:sz w:val="20"/>
              </w:rPr>
              <w:t>/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87EA5" w:rsidRDefault="00587EA5">
            <w:pPr>
              <w:widowControl w:val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codon 109</w:t>
            </w:r>
            <w:r>
              <w:rPr>
                <w:sz w:val="20"/>
              </w:rPr>
              <w:t>/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  <w:vertAlign w:val="superscript"/>
              </w:rPr>
              <w:t>A</w:t>
            </w:r>
          </w:p>
        </w:tc>
      </w:tr>
    </w:tbl>
    <w:p w:rsidR="00587EA5" w:rsidRDefault="00587EA5">
      <w:pPr>
        <w:widowControl w:val="0"/>
      </w:pPr>
    </w:p>
    <w:p w:rsidR="00587EA5" w:rsidRDefault="00587EA5">
      <w:pPr>
        <w:widowControl w:val="0"/>
      </w:pPr>
      <w:r>
        <w:t xml:space="preserve">WBC: white blood cell count; Hb: hemoglobin; PCV: packed cell volume; RBC: red blood cell count; MCV: mean corpuscular volume; MCH: mean corpuscular Hb; </w:t>
      </w:r>
      <w:r>
        <w:rPr>
          <w:rFonts w:ascii="Symbol" w:hAnsi="Symbol"/>
        </w:rPr>
        <w:t></w:t>
      </w:r>
      <w:r>
        <w:rPr>
          <w:vertAlign w:val="superscript"/>
        </w:rPr>
        <w:t>codon 109</w:t>
      </w:r>
      <w:r>
        <w:t>/</w:t>
      </w:r>
      <w:r>
        <w:rPr>
          <w:rFonts w:ascii="Symbol" w:hAnsi="Symbol"/>
        </w:rPr>
        <w:t></w:t>
      </w:r>
      <w:r>
        <w:rPr>
          <w:vertAlign w:val="superscript"/>
        </w:rPr>
        <w:t>A</w:t>
      </w:r>
      <w:r>
        <w:t>: Hb San Diego [</w:t>
      </w:r>
      <w:r>
        <w:rPr>
          <w:rFonts w:ascii="Symbol" w:hAnsi="Symbol"/>
        </w:rPr>
        <w:t></w:t>
      </w:r>
      <w:r>
        <w:t>109(G11)Val</w:t>
      </w:r>
      <w:r>
        <w:rPr>
          <w:rFonts w:ascii="Symbol" w:hAnsi="Symbol"/>
        </w:rPr>
        <w:t></w:t>
      </w:r>
      <w:r>
        <w:t xml:space="preserve">Met or </w:t>
      </w:r>
      <w:r>
        <w:rPr>
          <w:i/>
        </w:rPr>
        <w:t>HBB</w:t>
      </w:r>
      <w:r>
        <w:t>: c.328G&gt;A].</w:t>
      </w:r>
    </w:p>
    <w:p w:rsidR="00587EA5" w:rsidRDefault="00587EA5">
      <w:pPr>
        <w:widowControl w:val="0"/>
      </w:pPr>
    </w:p>
    <w:p w:rsidR="00587EA5" w:rsidRDefault="00587EA5">
      <w:pPr>
        <w:widowControl w:val="0"/>
      </w:pPr>
      <w:r>
        <w:rPr>
          <w:vertAlign w:val="superscript"/>
        </w:rPr>
        <w:t>a</w:t>
      </w:r>
      <w:r>
        <w:t xml:space="preserve"> Proband.</w:t>
      </w:r>
    </w:p>
    <w:p w:rsidR="00587EA5" w:rsidRDefault="00587EA5">
      <w:pPr>
        <w:widowControl w:val="0"/>
      </w:pPr>
    </w:p>
    <w:sectPr w:rsidR="00587EA5" w:rsidSect="00587EA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A5"/>
    <w:rsid w:val="0058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