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BA50" w14:textId="78005977" w:rsidR="000C4CF3" w:rsidRPr="009079C5" w:rsidRDefault="000C4CF3" w:rsidP="000C4CF3">
      <w:pPr>
        <w:pStyle w:val="ManuTitle"/>
        <w:rPr>
          <w:rFonts w:ascii="Times New Roman" w:hAnsi="Times New Roman"/>
          <w:sz w:val="28"/>
        </w:rPr>
      </w:pPr>
      <w:r w:rsidRPr="009079C5">
        <w:rPr>
          <w:rFonts w:ascii="Times New Roman" w:hAnsi="Times New Roman"/>
          <w:sz w:val="28"/>
        </w:rPr>
        <w:t>SUPPLEMENTARY MaTERIAL:</w:t>
      </w:r>
    </w:p>
    <w:p w14:paraId="4474DF95" w14:textId="77777777" w:rsidR="00C87729" w:rsidRPr="009079C5" w:rsidRDefault="00C87729" w:rsidP="00C37786">
      <w:pPr>
        <w:pStyle w:val="ManuTitle"/>
        <w:rPr>
          <w:rFonts w:ascii="Times New Roman" w:hAnsi="Times New Roman"/>
          <w:sz w:val="28"/>
        </w:rPr>
      </w:pPr>
      <w:r w:rsidRPr="009079C5">
        <w:rPr>
          <w:rFonts w:ascii="Times New Roman" w:hAnsi="Times New Roman"/>
          <w:sz w:val="28"/>
        </w:rPr>
        <w:t>EVALUATING THE BURDEN OF POOR GLYCAEMIC CONTROL IN PATIENTS WITH TYPE 2 DIABETES: A MODELLING ANALYSIS FOR THE UK SETTING</w:t>
      </w:r>
    </w:p>
    <w:p w14:paraId="1AB118E3" w14:textId="77777777" w:rsidR="00C37786" w:rsidRPr="009079C5" w:rsidRDefault="00C37786" w:rsidP="00C37786">
      <w:pPr>
        <w:pStyle w:val="Text"/>
        <w:rPr>
          <w:rFonts w:ascii="Times New Roman" w:hAnsi="Times New Roman"/>
          <w:sz w:val="22"/>
        </w:rPr>
      </w:pPr>
    </w:p>
    <w:p w14:paraId="17147BA2" w14:textId="77777777" w:rsidR="00C37786" w:rsidRPr="009079C5" w:rsidRDefault="00C37786" w:rsidP="00C37786">
      <w:pPr>
        <w:keepNext/>
        <w:keepLines/>
        <w:spacing w:after="120"/>
        <w:ind w:left="1418" w:hanging="1418"/>
        <w:rPr>
          <w:rFonts w:ascii="Times New Roman" w:hAnsi="Times New Roman"/>
          <w:b/>
          <w:szCs w:val="20"/>
          <w:lang w:val="en-US"/>
        </w:rPr>
      </w:pPr>
      <w:bookmarkStart w:id="0" w:name="_Ref519759723"/>
      <w:bookmarkStart w:id="1" w:name="_Toc519792031"/>
      <w:r w:rsidRPr="009079C5">
        <w:rPr>
          <w:rFonts w:ascii="Times New Roman" w:hAnsi="Times New Roman"/>
          <w:b/>
          <w:szCs w:val="20"/>
          <w:lang w:val="en-US"/>
        </w:rPr>
        <w:t xml:space="preserve">Table </w:t>
      </w:r>
      <w:r w:rsidR="00C4100B" w:rsidRPr="009079C5">
        <w:rPr>
          <w:rFonts w:ascii="Times New Roman" w:hAnsi="Times New Roman"/>
          <w:b/>
          <w:szCs w:val="20"/>
          <w:lang w:val="en-US"/>
        </w:rPr>
        <w:fldChar w:fldCharType="begin"/>
      </w:r>
      <w:r w:rsidR="00C4100B" w:rsidRPr="009079C5">
        <w:rPr>
          <w:rFonts w:ascii="Times New Roman" w:hAnsi="Times New Roman"/>
          <w:b/>
          <w:szCs w:val="20"/>
          <w:lang w:val="en-US"/>
        </w:rPr>
        <w:instrText xml:space="preserve"> SEQ Table \* ARABIC </w:instrText>
      </w:r>
      <w:r w:rsidR="00C4100B" w:rsidRPr="009079C5">
        <w:rPr>
          <w:rFonts w:ascii="Times New Roman" w:hAnsi="Times New Roman"/>
          <w:b/>
          <w:szCs w:val="20"/>
          <w:lang w:val="en-US"/>
        </w:rPr>
        <w:fldChar w:fldCharType="separate"/>
      </w:r>
      <w:r w:rsidR="008B43E4" w:rsidRPr="009079C5">
        <w:rPr>
          <w:rFonts w:ascii="Times New Roman" w:hAnsi="Times New Roman"/>
          <w:b/>
          <w:noProof/>
          <w:szCs w:val="20"/>
          <w:lang w:val="en-US"/>
        </w:rPr>
        <w:t>1</w:t>
      </w:r>
      <w:r w:rsidR="00C4100B" w:rsidRPr="009079C5">
        <w:rPr>
          <w:rFonts w:ascii="Times New Roman" w:hAnsi="Times New Roman"/>
          <w:b/>
          <w:szCs w:val="20"/>
          <w:lang w:val="en-US"/>
        </w:rPr>
        <w:fldChar w:fldCharType="end"/>
      </w:r>
      <w:bookmarkEnd w:id="0"/>
      <w:r w:rsidRPr="009079C5">
        <w:rPr>
          <w:rFonts w:ascii="Times New Roman" w:hAnsi="Times New Roman"/>
          <w:b/>
          <w:szCs w:val="20"/>
          <w:lang w:val="en-US"/>
        </w:rPr>
        <w:tab/>
        <w:t>Baseline cohort characteristics</w:t>
      </w:r>
      <w:bookmarkEnd w:id="1"/>
    </w:p>
    <w:tbl>
      <w:tblPr>
        <w:tblStyle w:val="OssianReportTable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2142"/>
        <w:gridCol w:w="3386"/>
      </w:tblGrid>
      <w:tr w:rsidR="009079C5" w:rsidRPr="009079C5" w14:paraId="49B0E704" w14:textId="77777777" w:rsidTr="00C55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7D7AE0D" w14:textId="77777777" w:rsidR="00C37786" w:rsidRPr="009079C5" w:rsidRDefault="00C37786" w:rsidP="00065338">
            <w:pPr>
              <w:spacing w:before="80" w:after="80" w:line="240" w:lineRule="auto"/>
              <w:jc w:val="left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Characteristic</w:t>
            </w:r>
          </w:p>
        </w:tc>
        <w:tc>
          <w:tcPr>
            <w:tcW w:w="2142" w:type="dxa"/>
          </w:tcPr>
          <w:p w14:paraId="783CE509" w14:textId="597353A7" w:rsidR="00C37786" w:rsidRPr="009079C5" w:rsidRDefault="00DB3D98" w:rsidP="00C3778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Mean (SD)</w:t>
            </w:r>
          </w:p>
        </w:tc>
        <w:tc>
          <w:tcPr>
            <w:tcW w:w="3386" w:type="dxa"/>
          </w:tcPr>
          <w:p w14:paraId="532B92F0" w14:textId="77777777" w:rsidR="00C37786" w:rsidRPr="009079C5" w:rsidRDefault="00C37786" w:rsidP="00C3778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Reference / Comment</w:t>
            </w:r>
          </w:p>
        </w:tc>
      </w:tr>
      <w:tr w:rsidR="009079C5" w:rsidRPr="009079C5" w14:paraId="3C9FDEE0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229B5886" w14:textId="77777777" w:rsidR="00C37786" w:rsidRPr="009079C5" w:rsidRDefault="00C37786" w:rsidP="00C37786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Demographic data and baseline risk factors</w:t>
            </w:r>
          </w:p>
        </w:tc>
      </w:tr>
      <w:tr w:rsidR="009079C5" w:rsidRPr="009079C5" w14:paraId="5BA934A4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C361B2E" w14:textId="77777777" w:rsidR="00C37786" w:rsidRPr="009079C5" w:rsidRDefault="00C37786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Baseline age (years)</w:t>
            </w:r>
          </w:p>
        </w:tc>
        <w:tc>
          <w:tcPr>
            <w:tcW w:w="2142" w:type="dxa"/>
          </w:tcPr>
          <w:p w14:paraId="22BD8B74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59.8 (12.6)</w:t>
            </w:r>
          </w:p>
        </w:tc>
        <w:tc>
          <w:tcPr>
            <w:tcW w:w="3386" w:type="dxa"/>
          </w:tcPr>
          <w:p w14:paraId="5C9BAF84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bookmarkStart w:id="2" w:name="_Ref519757894"/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endnoteReference w:id="1"/>
            </w:r>
            <w:bookmarkEnd w:id="2"/>
          </w:p>
        </w:tc>
      </w:tr>
      <w:tr w:rsidR="009079C5" w:rsidRPr="009079C5" w14:paraId="035466B2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55561AE" w14:textId="77777777" w:rsidR="00C37786" w:rsidRPr="009079C5" w:rsidRDefault="00C37786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Duration of diabetes (years)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2142" w:type="dxa"/>
          </w:tcPr>
          <w:p w14:paraId="37910B7B" w14:textId="362F956D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2.0</w:t>
            </w:r>
          </w:p>
        </w:tc>
        <w:tc>
          <w:tcPr>
            <w:tcW w:w="3386" w:type="dxa"/>
          </w:tcPr>
          <w:p w14:paraId="52723B29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="008B43E4"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1A4BECCC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7F46320" w14:textId="77777777" w:rsidR="00C37786" w:rsidRPr="009079C5" w:rsidRDefault="00C37786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Percentage male (%)</w:t>
            </w:r>
          </w:p>
        </w:tc>
        <w:tc>
          <w:tcPr>
            <w:tcW w:w="2142" w:type="dxa"/>
          </w:tcPr>
          <w:p w14:paraId="558B9FC3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57.1</w:t>
            </w:r>
          </w:p>
        </w:tc>
        <w:tc>
          <w:tcPr>
            <w:tcW w:w="3386" w:type="dxa"/>
          </w:tcPr>
          <w:p w14:paraId="687CE436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="008B43E4"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0DA202AF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DC80747" w14:textId="77777777" w:rsidR="00C37786" w:rsidRPr="009079C5" w:rsidRDefault="00C37786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HbA1c (%)</w:t>
            </w:r>
          </w:p>
        </w:tc>
        <w:tc>
          <w:tcPr>
            <w:tcW w:w="2142" w:type="dxa"/>
          </w:tcPr>
          <w:p w14:paraId="2DCC1F56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8.2 (2.0)</w:t>
            </w:r>
          </w:p>
        </w:tc>
        <w:tc>
          <w:tcPr>
            <w:tcW w:w="3386" w:type="dxa"/>
          </w:tcPr>
          <w:p w14:paraId="0ADAF97E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="008B43E4"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3E4974AE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B4DB7FC" w14:textId="77777777" w:rsidR="00C37786" w:rsidRPr="009079C5" w:rsidRDefault="00C37786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Systolic blood pressure (mmHg)</w:t>
            </w:r>
          </w:p>
        </w:tc>
        <w:tc>
          <w:tcPr>
            <w:tcW w:w="2142" w:type="dxa"/>
          </w:tcPr>
          <w:p w14:paraId="0F98122C" w14:textId="77777777" w:rsidR="00C37786" w:rsidRPr="009079C5" w:rsidRDefault="00C37786" w:rsidP="000B020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13</w:t>
            </w:r>
            <w:r w:rsidR="000B0205" w:rsidRPr="009079C5">
              <w:rPr>
                <w:rFonts w:ascii="Times New Roman" w:eastAsia="Times New Roman" w:hAnsi="Times New Roman"/>
                <w:szCs w:val="18"/>
                <w:lang w:val="en-US"/>
              </w:rPr>
              <w:t>9.6</w:t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(</w:t>
            </w:r>
            <w:r w:rsidR="000B0205" w:rsidRPr="009079C5">
              <w:rPr>
                <w:rFonts w:ascii="Times New Roman" w:eastAsia="Times New Roman" w:hAnsi="Times New Roman"/>
                <w:szCs w:val="18"/>
                <w:lang w:val="en-US"/>
              </w:rPr>
              <w:t>17.1</w:t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)</w:t>
            </w:r>
          </w:p>
        </w:tc>
        <w:tc>
          <w:tcPr>
            <w:tcW w:w="3386" w:type="dxa"/>
          </w:tcPr>
          <w:p w14:paraId="57FDCA5F" w14:textId="77777777" w:rsidR="00C37786" w:rsidRPr="009079C5" w:rsidRDefault="00C37786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="008B43E4"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1ADFC03C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5DD2D7C" w14:textId="0A648E9E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Diastolic blood pressure (mmHg)</w:t>
            </w:r>
          </w:p>
        </w:tc>
        <w:tc>
          <w:tcPr>
            <w:tcW w:w="2142" w:type="dxa"/>
          </w:tcPr>
          <w:p w14:paraId="3126B12F" w14:textId="38EAEB38" w:rsidR="00393AC1" w:rsidRPr="009079C5" w:rsidRDefault="00393AC1" w:rsidP="000B020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80.0 (8.0)</w:t>
            </w:r>
          </w:p>
        </w:tc>
        <w:tc>
          <w:tcPr>
            <w:tcW w:w="3386" w:type="dxa"/>
            <w:vAlign w:val="top"/>
          </w:tcPr>
          <w:p w14:paraId="34682853" w14:textId="274E8582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CORE Diabetes Model default</w:t>
            </w:r>
          </w:p>
        </w:tc>
      </w:tr>
      <w:tr w:rsidR="009079C5" w:rsidRPr="009079C5" w14:paraId="13D6221F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EFBC186" w14:textId="18E7C0D4" w:rsidR="00382693" w:rsidRPr="009079C5" w:rsidRDefault="00382693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Total cholesterol (mg/dL)</w:t>
            </w:r>
          </w:p>
        </w:tc>
        <w:tc>
          <w:tcPr>
            <w:tcW w:w="2142" w:type="dxa"/>
          </w:tcPr>
          <w:p w14:paraId="1B3C20CD" w14:textId="70294769" w:rsidR="00382693" w:rsidRPr="009079C5" w:rsidRDefault="00382693" w:rsidP="000B020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191.8 (44.5)</w:t>
            </w:r>
          </w:p>
        </w:tc>
        <w:tc>
          <w:tcPr>
            <w:tcW w:w="3386" w:type="dxa"/>
          </w:tcPr>
          <w:p w14:paraId="6CC31A55" w14:textId="16667138" w:rsidR="00382693" w:rsidRPr="009079C5" w:rsidRDefault="00382693" w:rsidP="00393AC1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09506F1E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1E6EF63" w14:textId="4EBFF453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High density lipoprotein cholesterol (mg/dL)</w:t>
            </w:r>
          </w:p>
        </w:tc>
        <w:tc>
          <w:tcPr>
            <w:tcW w:w="2142" w:type="dxa"/>
          </w:tcPr>
          <w:p w14:paraId="737A869F" w14:textId="18690AB3" w:rsidR="00393AC1" w:rsidRPr="009079C5" w:rsidRDefault="00382693" w:rsidP="000B0205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45.63 (11.60)</w:t>
            </w:r>
          </w:p>
        </w:tc>
        <w:tc>
          <w:tcPr>
            <w:tcW w:w="3386" w:type="dxa"/>
          </w:tcPr>
          <w:p w14:paraId="3E8B83EA" w14:textId="7312215F" w:rsidR="00393AC1" w:rsidRPr="009079C5" w:rsidRDefault="00382693" w:rsidP="00393AC1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0A6FF91D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74EDD5C" w14:textId="0AA8BF3E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Low density lipoprotein cholesterol (mg/dL)</w:t>
            </w:r>
          </w:p>
        </w:tc>
        <w:tc>
          <w:tcPr>
            <w:tcW w:w="2142" w:type="dxa"/>
          </w:tcPr>
          <w:p w14:paraId="778EC84B" w14:textId="7CAD9C07" w:rsidR="00393AC1" w:rsidRPr="009079C5" w:rsidRDefault="00382693" w:rsidP="00393AC1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102.3 (31.60)</w:t>
            </w:r>
          </w:p>
        </w:tc>
        <w:tc>
          <w:tcPr>
            <w:tcW w:w="3386" w:type="dxa"/>
          </w:tcPr>
          <w:p w14:paraId="3BA6D617" w14:textId="25F418AB" w:rsidR="00393AC1" w:rsidRPr="009079C5" w:rsidRDefault="00C55D49" w:rsidP="00C55D49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highlight w:val="yellow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bookmarkStart w:id="3" w:name="_Ref12369103"/>
            <w:r w:rsidRPr="009079C5">
              <w:rPr>
                <w:rStyle w:val="EndnoteReference"/>
                <w:rFonts w:ascii="Times New Roman" w:eastAsia="Times New Roman" w:hAnsi="Times New Roman"/>
                <w:szCs w:val="18"/>
                <w:lang w:val="en-US"/>
              </w:rPr>
              <w:endnoteReference w:id="2"/>
            </w:r>
            <w:bookmarkEnd w:id="3"/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49FE5E11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622328D" w14:textId="06BD5743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Triglycerides (mg/dL)</w:t>
            </w:r>
          </w:p>
        </w:tc>
        <w:tc>
          <w:tcPr>
            <w:tcW w:w="2142" w:type="dxa"/>
          </w:tcPr>
          <w:p w14:paraId="08FA10C3" w14:textId="54049CAB" w:rsidR="00393AC1" w:rsidRPr="009079C5" w:rsidRDefault="00382693" w:rsidP="00393AC1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210.5 (196.3)</w:t>
            </w:r>
          </w:p>
        </w:tc>
        <w:tc>
          <w:tcPr>
            <w:tcW w:w="3386" w:type="dxa"/>
            <w:vAlign w:val="top"/>
          </w:tcPr>
          <w:p w14:paraId="7C61AB87" w14:textId="08844249" w:rsidR="00393AC1" w:rsidRPr="009079C5" w:rsidRDefault="00C55D49" w:rsidP="00C55D49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highlight w:val="yellow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7381C9A3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C617E85" w14:textId="2D63D29F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Body mass index (kg/m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)</w:t>
            </w:r>
          </w:p>
        </w:tc>
        <w:tc>
          <w:tcPr>
            <w:tcW w:w="2142" w:type="dxa"/>
          </w:tcPr>
          <w:p w14:paraId="633F732E" w14:textId="6993EA7C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31.85 (3.19)</w:t>
            </w:r>
          </w:p>
        </w:tc>
        <w:tc>
          <w:tcPr>
            <w:tcW w:w="3386" w:type="dxa"/>
            <w:vAlign w:val="top"/>
          </w:tcPr>
          <w:p w14:paraId="143294C3" w14:textId="6A97973F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2F99BB54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67F59BE" w14:textId="77777777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Percentage smokers (%)</w:t>
            </w:r>
          </w:p>
        </w:tc>
        <w:tc>
          <w:tcPr>
            <w:tcW w:w="2142" w:type="dxa"/>
          </w:tcPr>
          <w:p w14:paraId="3EA2C143" w14:textId="77777777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19.1</w:t>
            </w:r>
          </w:p>
        </w:tc>
        <w:tc>
          <w:tcPr>
            <w:tcW w:w="3386" w:type="dxa"/>
          </w:tcPr>
          <w:p w14:paraId="04DD0F1F" w14:textId="77777777" w:rsidR="00393AC1" w:rsidRPr="009079C5" w:rsidRDefault="00393AC1" w:rsidP="00393AC1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4B246DFC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DBB75B4" w14:textId="1FEA5490" w:rsidR="006B79F0" w:rsidRPr="009079C5" w:rsidRDefault="006B79F0" w:rsidP="006B79F0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Mean cigarettes per day (n)</w:t>
            </w:r>
          </w:p>
        </w:tc>
        <w:tc>
          <w:tcPr>
            <w:tcW w:w="2142" w:type="dxa"/>
          </w:tcPr>
          <w:p w14:paraId="5B9F3D13" w14:textId="7BBADA9F" w:rsidR="006B79F0" w:rsidRPr="009079C5" w:rsidRDefault="006B79F0" w:rsidP="006B79F0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12</w:t>
            </w:r>
          </w:p>
        </w:tc>
        <w:tc>
          <w:tcPr>
            <w:tcW w:w="3386" w:type="dxa"/>
          </w:tcPr>
          <w:p w14:paraId="06F6F512" w14:textId="2C1E96D4" w:rsidR="006B79F0" w:rsidRPr="009079C5" w:rsidRDefault="006B79F0" w:rsidP="006B79F0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Office for National Statistics</w:t>
            </w:r>
            <w:r w:rsidRPr="009079C5">
              <w:rPr>
                <w:rStyle w:val="EndnoteReference"/>
                <w:rFonts w:ascii="Times New Roman" w:eastAsia="Times New Roman" w:hAnsi="Times New Roman"/>
                <w:szCs w:val="18"/>
                <w:lang w:val="en-US"/>
              </w:rPr>
              <w:endnoteReference w:id="3"/>
            </w:r>
          </w:p>
        </w:tc>
      </w:tr>
      <w:tr w:rsidR="009079C5" w:rsidRPr="009079C5" w14:paraId="2A68AEBC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96D4248" w14:textId="74DA97BF" w:rsidR="006B79F0" w:rsidRPr="009079C5" w:rsidRDefault="006B79F0" w:rsidP="006B79F0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Mean alcohol consumption (oz/week)</w:t>
            </w:r>
          </w:p>
        </w:tc>
        <w:tc>
          <w:tcPr>
            <w:tcW w:w="2142" w:type="dxa"/>
          </w:tcPr>
          <w:p w14:paraId="7F949201" w14:textId="00FC8083" w:rsidR="006B79F0" w:rsidRPr="009079C5" w:rsidRDefault="006B79F0" w:rsidP="006B79F0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7.52</w:t>
            </w:r>
          </w:p>
        </w:tc>
        <w:tc>
          <w:tcPr>
            <w:tcW w:w="3386" w:type="dxa"/>
          </w:tcPr>
          <w:p w14:paraId="01B22601" w14:textId="5E1CE7B0" w:rsidR="006B79F0" w:rsidRPr="009079C5" w:rsidRDefault="006B79F0" w:rsidP="006B79F0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World Health Organization</w:t>
            </w:r>
            <w:r w:rsidRPr="009079C5">
              <w:rPr>
                <w:rStyle w:val="EndnoteReference"/>
                <w:rFonts w:ascii="Times New Roman" w:eastAsia="Times New Roman" w:hAnsi="Times New Roman"/>
                <w:szCs w:val="18"/>
                <w:lang w:val="en-US"/>
              </w:rPr>
              <w:endnoteReference w:id="4"/>
            </w:r>
          </w:p>
        </w:tc>
      </w:tr>
      <w:tr w:rsidR="009079C5" w:rsidRPr="009079C5" w14:paraId="57AD87E7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408FBB8" w14:textId="77777777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Ethnic group</w:t>
            </w:r>
          </w:p>
        </w:tc>
      </w:tr>
      <w:tr w:rsidR="009079C5" w:rsidRPr="009079C5" w14:paraId="62B9E667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7439364" w14:textId="77777777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White </w:t>
            </w:r>
          </w:p>
        </w:tc>
        <w:tc>
          <w:tcPr>
            <w:tcW w:w="2142" w:type="dxa"/>
          </w:tcPr>
          <w:p w14:paraId="367A4170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94.6</w:t>
            </w:r>
          </w:p>
        </w:tc>
        <w:tc>
          <w:tcPr>
            <w:tcW w:w="3386" w:type="dxa"/>
          </w:tcPr>
          <w:p w14:paraId="0B2D44ED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426BBA40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0C8E100" w14:textId="77777777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Black</w:t>
            </w:r>
          </w:p>
        </w:tc>
        <w:tc>
          <w:tcPr>
            <w:tcW w:w="2142" w:type="dxa"/>
          </w:tcPr>
          <w:p w14:paraId="056C7FD7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2.7</w:t>
            </w:r>
          </w:p>
        </w:tc>
        <w:tc>
          <w:tcPr>
            <w:tcW w:w="3386" w:type="dxa"/>
          </w:tcPr>
          <w:p w14:paraId="2E710F7B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05CD03D4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9D4F78D" w14:textId="77777777" w:rsidR="00393AC1" w:rsidRPr="009079C5" w:rsidRDefault="00393AC1" w:rsidP="00065338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Asian/Pacific Islander</w:t>
            </w:r>
          </w:p>
        </w:tc>
        <w:tc>
          <w:tcPr>
            <w:tcW w:w="2142" w:type="dxa"/>
          </w:tcPr>
          <w:p w14:paraId="3A29AEF2" w14:textId="77777777" w:rsidR="00393AC1" w:rsidRPr="009079C5" w:rsidRDefault="00393AC1" w:rsidP="0006533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2.7</w:t>
            </w:r>
          </w:p>
        </w:tc>
        <w:tc>
          <w:tcPr>
            <w:tcW w:w="3386" w:type="dxa"/>
          </w:tcPr>
          <w:p w14:paraId="6C2941C5" w14:textId="77777777" w:rsidR="00393AC1" w:rsidRPr="009079C5" w:rsidRDefault="00393AC1" w:rsidP="0006533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38F83573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251886CD" w14:textId="77777777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lastRenderedPageBreak/>
              <w:t>Baseline complications</w:t>
            </w:r>
          </w:p>
        </w:tc>
      </w:tr>
      <w:tr w:rsidR="009079C5" w:rsidRPr="009079C5" w14:paraId="75C70394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527417D" w14:textId="13447892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Myocardial infarction (%)</w:t>
            </w:r>
          </w:p>
        </w:tc>
        <w:tc>
          <w:tcPr>
            <w:tcW w:w="2142" w:type="dxa"/>
          </w:tcPr>
          <w:p w14:paraId="6E08218A" w14:textId="523A368C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highlight w:val="red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0.8</w:t>
            </w:r>
          </w:p>
        </w:tc>
        <w:tc>
          <w:tcPr>
            <w:tcW w:w="3386" w:type="dxa"/>
          </w:tcPr>
          <w:p w14:paraId="48FB8FC3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5E211036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6D386E8" w14:textId="302334BA" w:rsidR="00382693" w:rsidRPr="009079C5" w:rsidRDefault="00C55D49" w:rsidP="00DB436B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Unstable angina (%)</w:t>
            </w:r>
          </w:p>
        </w:tc>
        <w:tc>
          <w:tcPr>
            <w:tcW w:w="2142" w:type="dxa"/>
          </w:tcPr>
          <w:p w14:paraId="6BEB4D8B" w14:textId="51AA8416" w:rsidR="00382693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2.7</w:t>
            </w:r>
          </w:p>
        </w:tc>
        <w:tc>
          <w:tcPr>
            <w:tcW w:w="3386" w:type="dxa"/>
          </w:tcPr>
          <w:p w14:paraId="3D0AB07A" w14:textId="6E5697E0" w:rsidR="00382693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6328D97E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7BEA3DF" w14:textId="159A0E08" w:rsidR="00382693" w:rsidRPr="009079C5" w:rsidRDefault="00C55D49" w:rsidP="00DB436B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Peripheral vascular disease (%)</w:t>
            </w:r>
          </w:p>
        </w:tc>
        <w:tc>
          <w:tcPr>
            <w:tcW w:w="2142" w:type="dxa"/>
          </w:tcPr>
          <w:p w14:paraId="07A161B5" w14:textId="52191662" w:rsidR="00382693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0.5</w:t>
            </w:r>
          </w:p>
        </w:tc>
        <w:tc>
          <w:tcPr>
            <w:tcW w:w="3386" w:type="dxa"/>
          </w:tcPr>
          <w:p w14:paraId="552E1001" w14:textId="0B0D6FE1" w:rsidR="00382693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601F5823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FCF2754" w14:textId="303214D5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Stroke (%)</w:t>
            </w:r>
          </w:p>
        </w:tc>
        <w:tc>
          <w:tcPr>
            <w:tcW w:w="2142" w:type="dxa"/>
          </w:tcPr>
          <w:p w14:paraId="0924858E" w14:textId="25A45178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0.5</w:t>
            </w:r>
          </w:p>
        </w:tc>
        <w:tc>
          <w:tcPr>
            <w:tcW w:w="3386" w:type="dxa"/>
          </w:tcPr>
          <w:p w14:paraId="5924495D" w14:textId="77777777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2050B730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D853160" w14:textId="297E296B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Congestive heart failure</w:t>
            </w:r>
            <w:r w:rsidR="00382693"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</w:t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(%)</w:t>
            </w:r>
          </w:p>
        </w:tc>
        <w:tc>
          <w:tcPr>
            <w:tcW w:w="2142" w:type="dxa"/>
          </w:tcPr>
          <w:p w14:paraId="69C3F09C" w14:textId="501983E3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0.5</w:t>
            </w:r>
          </w:p>
        </w:tc>
        <w:tc>
          <w:tcPr>
            <w:tcW w:w="3386" w:type="dxa"/>
          </w:tcPr>
          <w:p w14:paraId="1CF28E7B" w14:textId="77777777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4A74081C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880C6E8" w14:textId="15DC2D8E" w:rsidR="00382693" w:rsidRPr="009079C5" w:rsidRDefault="00C55D49" w:rsidP="00DB436B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Atrial fibrillation (%)</w:t>
            </w:r>
          </w:p>
        </w:tc>
        <w:tc>
          <w:tcPr>
            <w:tcW w:w="2142" w:type="dxa"/>
          </w:tcPr>
          <w:p w14:paraId="6F5B7FE8" w14:textId="3ACC709C" w:rsidR="00382693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0.8</w:t>
            </w:r>
          </w:p>
        </w:tc>
        <w:tc>
          <w:tcPr>
            <w:tcW w:w="3386" w:type="dxa"/>
          </w:tcPr>
          <w:p w14:paraId="2446C804" w14:textId="4D5326AC" w:rsidR="00382693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1335EBA3" w14:textId="77777777" w:rsidTr="000B581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57A2C08" w14:textId="2CB06F88" w:rsidR="00C55D49" w:rsidRPr="009079C5" w:rsidRDefault="00C55D49" w:rsidP="00DB436B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Microalbuminuria (%)</w:t>
            </w:r>
          </w:p>
        </w:tc>
        <w:tc>
          <w:tcPr>
            <w:tcW w:w="2142" w:type="dxa"/>
          </w:tcPr>
          <w:p w14:paraId="3AF7E3E2" w14:textId="07B37CDE" w:rsidR="00C55D49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1.1</w:t>
            </w:r>
          </w:p>
        </w:tc>
        <w:tc>
          <w:tcPr>
            <w:tcW w:w="3386" w:type="dxa"/>
            <w:vAlign w:val="top"/>
          </w:tcPr>
          <w:p w14:paraId="52EE18B0" w14:textId="664ECB9E" w:rsidR="00C55D49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4D29C1C5" w14:textId="77777777" w:rsidTr="00A9544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CECC193" w14:textId="28324C93" w:rsidR="00C55D49" w:rsidRPr="009079C5" w:rsidRDefault="00C55D49" w:rsidP="00DB436B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Gross proteinuria (%)</w:t>
            </w:r>
          </w:p>
        </w:tc>
        <w:tc>
          <w:tcPr>
            <w:tcW w:w="2142" w:type="dxa"/>
          </w:tcPr>
          <w:p w14:paraId="31CB1565" w14:textId="0BC9F691" w:rsidR="00C55D49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0.2</w:t>
            </w:r>
          </w:p>
        </w:tc>
        <w:tc>
          <w:tcPr>
            <w:tcW w:w="3386" w:type="dxa"/>
            <w:vAlign w:val="top"/>
          </w:tcPr>
          <w:p w14:paraId="57009A3C" w14:textId="5940D6E6" w:rsidR="00C55D49" w:rsidRPr="009079C5" w:rsidRDefault="00C55D49" w:rsidP="00DB436B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1CBA82D8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701292D" w14:textId="145C3C30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End-stage renal disease (%)</w:t>
            </w:r>
          </w:p>
        </w:tc>
        <w:tc>
          <w:tcPr>
            <w:tcW w:w="2142" w:type="dxa"/>
          </w:tcPr>
          <w:p w14:paraId="0295923F" w14:textId="455C8684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0.2</w:t>
            </w:r>
          </w:p>
        </w:tc>
        <w:tc>
          <w:tcPr>
            <w:tcW w:w="3386" w:type="dxa"/>
          </w:tcPr>
          <w:p w14:paraId="3F1827C5" w14:textId="77777777" w:rsidR="00393AC1" w:rsidRPr="009079C5" w:rsidRDefault="00393AC1" w:rsidP="00DB436B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2DD0A229" w14:textId="77777777" w:rsidTr="00F13C6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D2F14CA" w14:textId="0B931E84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Background diabetic retinopathy (%)</w:t>
            </w:r>
          </w:p>
        </w:tc>
        <w:tc>
          <w:tcPr>
            <w:tcW w:w="2142" w:type="dxa"/>
          </w:tcPr>
          <w:p w14:paraId="323D4613" w14:textId="69B5B1A3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2.7</w:t>
            </w:r>
          </w:p>
        </w:tc>
        <w:tc>
          <w:tcPr>
            <w:tcW w:w="3386" w:type="dxa"/>
            <w:vAlign w:val="top"/>
          </w:tcPr>
          <w:p w14:paraId="73B625AF" w14:textId="7D148887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1FE643D5" w14:textId="77777777" w:rsidTr="0013573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1798FA0" w14:textId="0948485E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Proliferative diabetic retinopathy (%)</w:t>
            </w:r>
          </w:p>
        </w:tc>
        <w:tc>
          <w:tcPr>
            <w:tcW w:w="2142" w:type="dxa"/>
          </w:tcPr>
          <w:p w14:paraId="0F87D607" w14:textId="7A6CA848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</w:t>
            </w:r>
          </w:p>
        </w:tc>
        <w:tc>
          <w:tcPr>
            <w:tcW w:w="3386" w:type="dxa"/>
            <w:vAlign w:val="top"/>
          </w:tcPr>
          <w:p w14:paraId="692A8968" w14:textId="38972F0C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0B36EA94" w14:textId="77777777" w:rsidTr="0013573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6850CBA" w14:textId="1EF53E41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Macular edema (%)</w:t>
            </w:r>
          </w:p>
        </w:tc>
        <w:tc>
          <w:tcPr>
            <w:tcW w:w="2142" w:type="dxa"/>
          </w:tcPr>
          <w:p w14:paraId="194624FF" w14:textId="2918D059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1.1</w:t>
            </w:r>
          </w:p>
        </w:tc>
        <w:tc>
          <w:tcPr>
            <w:tcW w:w="3386" w:type="dxa"/>
            <w:vAlign w:val="top"/>
          </w:tcPr>
          <w:p w14:paraId="330613EB" w14:textId="39E1C628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62B5A33E" w14:textId="77777777" w:rsidTr="0013573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6226578" w14:textId="4D285297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Cataract (%)</w:t>
            </w:r>
          </w:p>
        </w:tc>
        <w:tc>
          <w:tcPr>
            <w:tcW w:w="2142" w:type="dxa"/>
          </w:tcPr>
          <w:p w14:paraId="409B6564" w14:textId="18EDF5C2" w:rsidR="00C55D49" w:rsidRPr="009079C5" w:rsidRDefault="00C55D49" w:rsidP="00C55D49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1.7</w:t>
            </w:r>
          </w:p>
        </w:tc>
        <w:tc>
          <w:tcPr>
            <w:tcW w:w="3386" w:type="dxa"/>
            <w:vAlign w:val="top"/>
          </w:tcPr>
          <w:p w14:paraId="248D7B08" w14:textId="174DE982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3A5E5B96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A3A4D85" w14:textId="56F33099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Severe vision loss (%)</w:t>
            </w:r>
          </w:p>
        </w:tc>
        <w:tc>
          <w:tcPr>
            <w:tcW w:w="2142" w:type="dxa"/>
          </w:tcPr>
          <w:p w14:paraId="69BCB1DE" w14:textId="067BA3B1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0.4</w:t>
            </w:r>
          </w:p>
        </w:tc>
        <w:tc>
          <w:tcPr>
            <w:tcW w:w="3386" w:type="dxa"/>
          </w:tcPr>
          <w:p w14:paraId="07008797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  <w:tr w:rsidR="009079C5" w:rsidRPr="009079C5" w14:paraId="40AF2FF5" w14:textId="77777777" w:rsidTr="00905B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17DE9B4" w14:textId="5E9DED7C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Uninfected ulcer (%)</w:t>
            </w:r>
          </w:p>
        </w:tc>
        <w:tc>
          <w:tcPr>
            <w:tcW w:w="2142" w:type="dxa"/>
          </w:tcPr>
          <w:p w14:paraId="167B7247" w14:textId="645D540C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0.6</w:t>
            </w:r>
          </w:p>
        </w:tc>
        <w:tc>
          <w:tcPr>
            <w:tcW w:w="3386" w:type="dxa"/>
            <w:vAlign w:val="top"/>
          </w:tcPr>
          <w:p w14:paraId="18DBBB5A" w14:textId="09C1A833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09B1B36C" w14:textId="77777777" w:rsidTr="00905B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F26FDDF" w14:textId="7DDDE693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Infected ulcer (%)</w:t>
            </w:r>
          </w:p>
        </w:tc>
        <w:tc>
          <w:tcPr>
            <w:tcW w:w="2142" w:type="dxa"/>
          </w:tcPr>
          <w:p w14:paraId="75E63F75" w14:textId="651B2997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0.3</w:t>
            </w:r>
          </w:p>
        </w:tc>
        <w:tc>
          <w:tcPr>
            <w:tcW w:w="3386" w:type="dxa"/>
            <w:vAlign w:val="top"/>
          </w:tcPr>
          <w:p w14:paraId="1D1D577A" w14:textId="6F486709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4DFDAED7" w14:textId="77777777" w:rsidTr="00905BBF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75C0569" w14:textId="1BCF8FB1" w:rsidR="00C55D49" w:rsidRPr="009079C5" w:rsidRDefault="00C55D49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Neuropathy (%)</w:t>
            </w:r>
          </w:p>
        </w:tc>
        <w:tc>
          <w:tcPr>
            <w:tcW w:w="2142" w:type="dxa"/>
          </w:tcPr>
          <w:p w14:paraId="00487E37" w14:textId="04C829EF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11.6</w:t>
            </w:r>
          </w:p>
        </w:tc>
        <w:tc>
          <w:tcPr>
            <w:tcW w:w="3386" w:type="dxa"/>
            <w:vAlign w:val="top"/>
          </w:tcPr>
          <w:p w14:paraId="781EBB20" w14:textId="3A448C2D" w:rsidR="00C55D49" w:rsidRPr="009079C5" w:rsidRDefault="00C55D49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Pratley et al.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_Ref12369103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2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/ data on file*</w:t>
            </w:r>
          </w:p>
        </w:tc>
      </w:tr>
      <w:tr w:rsidR="009079C5" w:rsidRPr="009079C5" w14:paraId="72FA1AF1" w14:textId="77777777" w:rsidTr="00C55D4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189915F" w14:textId="6A1D4CD4" w:rsidR="00393AC1" w:rsidRPr="009079C5" w:rsidRDefault="00393AC1" w:rsidP="00C37786">
            <w:pPr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Amputation (%)</w:t>
            </w:r>
          </w:p>
        </w:tc>
        <w:tc>
          <w:tcPr>
            <w:tcW w:w="2142" w:type="dxa"/>
          </w:tcPr>
          <w:p w14:paraId="459ADFD3" w14:textId="0B35F62F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0.1</w:t>
            </w:r>
          </w:p>
        </w:tc>
        <w:tc>
          <w:tcPr>
            <w:tcW w:w="3386" w:type="dxa"/>
          </w:tcPr>
          <w:p w14:paraId="61897FD6" w14:textId="77777777" w:rsidR="00393AC1" w:rsidRPr="009079C5" w:rsidRDefault="00393AC1" w:rsidP="00C37786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NICE THIN Cohort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begin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instrText xml:space="preserve"> NOTEREF _Ref519757894 \h  \* MERGEFORMAT </w:instrTex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separate"/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t>1</w:t>
            </w:r>
            <w:r w:rsidRPr="009079C5">
              <w:rPr>
                <w:rFonts w:ascii="Times New Roman" w:eastAsia="Times New Roman" w:hAnsi="Times New Roman"/>
                <w:szCs w:val="18"/>
                <w:vertAlign w:val="superscript"/>
                <w:lang w:val="en-US"/>
              </w:rPr>
              <w:fldChar w:fldCharType="end"/>
            </w:r>
          </w:p>
        </w:tc>
      </w:tr>
    </w:tbl>
    <w:p w14:paraId="7FE88675" w14:textId="77777777" w:rsidR="00C37786" w:rsidRPr="009079C5" w:rsidRDefault="00C37786" w:rsidP="00C37786">
      <w:pPr>
        <w:spacing w:before="60" w:after="0"/>
        <w:rPr>
          <w:rFonts w:ascii="Times New Roman" w:hAnsi="Times New Roman"/>
          <w:sz w:val="20"/>
          <w:szCs w:val="20"/>
        </w:rPr>
      </w:pPr>
      <w:r w:rsidRPr="009079C5">
        <w:rPr>
          <w:rFonts w:ascii="Times New Roman" w:hAnsi="Times New Roman"/>
          <w:sz w:val="20"/>
          <w:szCs w:val="20"/>
        </w:rPr>
        <w:t>BMI, body mass index; HbA1c, glycated haemoglobin; HDL, high density lipoprotein; LDL, low density lipoprotein; SD, standard deviation.</w:t>
      </w:r>
    </w:p>
    <w:p w14:paraId="72C25F94" w14:textId="6C746A59" w:rsidR="00C55D49" w:rsidRPr="009079C5" w:rsidRDefault="00C55D49" w:rsidP="00C37786">
      <w:pPr>
        <w:spacing w:before="60" w:after="0"/>
        <w:rPr>
          <w:rFonts w:ascii="Times New Roman" w:hAnsi="Times New Roman"/>
          <w:sz w:val="20"/>
          <w:szCs w:val="20"/>
        </w:rPr>
      </w:pPr>
      <w:r w:rsidRPr="009079C5">
        <w:rPr>
          <w:rFonts w:ascii="Times New Roman" w:hAnsi="Times New Roman"/>
          <w:sz w:val="20"/>
          <w:szCs w:val="20"/>
        </w:rPr>
        <w:t xml:space="preserve">* A select set of cohort characteristics was presented in the </w:t>
      </w:r>
      <w:proofErr w:type="spellStart"/>
      <w:r w:rsidRPr="009079C5">
        <w:rPr>
          <w:rFonts w:ascii="Times New Roman" w:hAnsi="Times New Roman"/>
          <w:sz w:val="20"/>
          <w:szCs w:val="20"/>
        </w:rPr>
        <w:t>Prately</w:t>
      </w:r>
      <w:proofErr w:type="spellEnd"/>
      <w:r w:rsidRPr="009079C5">
        <w:rPr>
          <w:rFonts w:ascii="Times New Roman" w:hAnsi="Times New Roman"/>
          <w:sz w:val="20"/>
          <w:szCs w:val="20"/>
        </w:rPr>
        <w:t xml:space="preserve"> et al.</w:t>
      </w:r>
      <w:r w:rsidRPr="009079C5">
        <w:rPr>
          <w:rFonts w:ascii="Times New Roman" w:eastAsia="Times New Roman" w:hAnsi="Times New Roman"/>
          <w:szCs w:val="18"/>
          <w:vertAlign w:val="superscript"/>
          <w:lang w:val="en-US"/>
        </w:rPr>
        <w:fldChar w:fldCharType="begin"/>
      </w:r>
      <w:r w:rsidRPr="009079C5">
        <w:rPr>
          <w:rFonts w:ascii="Times New Roman" w:eastAsia="Times New Roman" w:hAnsi="Times New Roman"/>
          <w:szCs w:val="18"/>
          <w:vertAlign w:val="superscript"/>
          <w:lang w:val="en-US"/>
        </w:rPr>
        <w:instrText xml:space="preserve"> NOTEREF _Ref12369103 \h  \* MERGEFORMAT </w:instrText>
      </w:r>
      <w:r w:rsidRPr="009079C5">
        <w:rPr>
          <w:rFonts w:ascii="Times New Roman" w:eastAsia="Times New Roman" w:hAnsi="Times New Roman"/>
          <w:szCs w:val="18"/>
          <w:vertAlign w:val="superscript"/>
          <w:lang w:val="en-US"/>
        </w:rPr>
      </w:r>
      <w:r w:rsidRPr="009079C5">
        <w:rPr>
          <w:rFonts w:ascii="Times New Roman" w:eastAsia="Times New Roman" w:hAnsi="Times New Roman"/>
          <w:szCs w:val="18"/>
          <w:vertAlign w:val="superscript"/>
          <w:lang w:val="en-US"/>
        </w:rPr>
        <w:fldChar w:fldCharType="separate"/>
      </w:r>
      <w:r w:rsidRPr="009079C5">
        <w:rPr>
          <w:rFonts w:ascii="Times New Roman" w:eastAsia="Times New Roman" w:hAnsi="Times New Roman"/>
          <w:szCs w:val="18"/>
          <w:vertAlign w:val="superscript"/>
          <w:lang w:val="en-US"/>
        </w:rPr>
        <w:t>2</w:t>
      </w:r>
      <w:r w:rsidRPr="009079C5">
        <w:rPr>
          <w:rFonts w:ascii="Times New Roman" w:eastAsia="Times New Roman" w:hAnsi="Times New Roman"/>
          <w:szCs w:val="18"/>
          <w:vertAlign w:val="superscript"/>
          <w:lang w:val="en-US"/>
        </w:rPr>
        <w:fldChar w:fldCharType="end"/>
      </w:r>
      <w:r w:rsidRPr="009079C5">
        <w:rPr>
          <w:rFonts w:ascii="Times New Roman" w:eastAsia="Times New Roman" w:hAnsi="Times New Roman"/>
          <w:szCs w:val="18"/>
          <w:lang w:val="en-US"/>
        </w:rPr>
        <w:t xml:space="preserve"> publication due to publication requirements.  All cohort characteristics not included in the publication are retained as data on file by Novo Nordisk A/S.</w:t>
      </w:r>
    </w:p>
    <w:p w14:paraId="167B40E6" w14:textId="77777777" w:rsidR="00641C99" w:rsidRPr="009079C5" w:rsidRDefault="00641C99" w:rsidP="00C37786">
      <w:pPr>
        <w:pStyle w:val="Text"/>
        <w:rPr>
          <w:rFonts w:ascii="Times New Roman" w:hAnsi="Times New Roman"/>
          <w:sz w:val="22"/>
        </w:rPr>
      </w:pPr>
    </w:p>
    <w:p w14:paraId="11757DEA" w14:textId="77777777" w:rsidR="00065338" w:rsidRPr="009079C5" w:rsidRDefault="00065338" w:rsidP="00065338">
      <w:pPr>
        <w:pStyle w:val="Caption"/>
        <w:rPr>
          <w:rFonts w:ascii="Times New Roman" w:hAnsi="Times New Roman"/>
          <w:sz w:val="22"/>
        </w:rPr>
      </w:pPr>
      <w:r w:rsidRPr="009079C5">
        <w:rPr>
          <w:rFonts w:ascii="Times New Roman" w:hAnsi="Times New Roman"/>
          <w:sz w:val="22"/>
        </w:rPr>
        <w:t xml:space="preserve">Table </w:t>
      </w:r>
      <w:r w:rsidR="000A5184" w:rsidRPr="009079C5">
        <w:rPr>
          <w:rFonts w:ascii="Times New Roman" w:hAnsi="Times New Roman"/>
          <w:noProof/>
          <w:sz w:val="22"/>
        </w:rPr>
        <w:fldChar w:fldCharType="begin"/>
      </w:r>
      <w:r w:rsidR="000A5184" w:rsidRPr="009079C5">
        <w:rPr>
          <w:rFonts w:ascii="Times New Roman" w:hAnsi="Times New Roman"/>
          <w:noProof/>
          <w:sz w:val="22"/>
        </w:rPr>
        <w:instrText xml:space="preserve"> SEQ Table \* ARABIC </w:instrText>
      </w:r>
      <w:r w:rsidR="000A5184" w:rsidRPr="009079C5">
        <w:rPr>
          <w:rFonts w:ascii="Times New Roman" w:hAnsi="Times New Roman"/>
          <w:noProof/>
          <w:sz w:val="22"/>
        </w:rPr>
        <w:fldChar w:fldCharType="separate"/>
      </w:r>
      <w:r w:rsidR="008B43E4" w:rsidRPr="009079C5">
        <w:rPr>
          <w:rFonts w:ascii="Times New Roman" w:hAnsi="Times New Roman"/>
          <w:noProof/>
          <w:sz w:val="22"/>
        </w:rPr>
        <w:t>2</w:t>
      </w:r>
      <w:r w:rsidR="000A5184" w:rsidRPr="009079C5">
        <w:rPr>
          <w:rFonts w:ascii="Times New Roman" w:hAnsi="Times New Roman"/>
          <w:noProof/>
          <w:sz w:val="22"/>
        </w:rPr>
        <w:fldChar w:fldCharType="end"/>
      </w:r>
      <w:r w:rsidRPr="009079C5">
        <w:rPr>
          <w:rFonts w:ascii="Times New Roman" w:hAnsi="Times New Roman"/>
          <w:sz w:val="22"/>
        </w:rPr>
        <w:tab/>
        <w:t>Summary of unit costs used in the health economic analysis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42"/>
        <w:gridCol w:w="4595"/>
      </w:tblGrid>
      <w:tr w:rsidR="009079C5" w:rsidRPr="009079C5" w14:paraId="4A94E937" w14:textId="77777777" w:rsidTr="00964AB5">
        <w:trPr>
          <w:trHeight w:val="300"/>
          <w:tblHeader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6C42FC" w14:textId="77777777" w:rsidR="00E53ADB" w:rsidRPr="009079C5" w:rsidRDefault="00E53ADB" w:rsidP="005B5F1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Cost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B52BA9A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 xml:space="preserve">Value </w:t>
            </w:r>
            <w:r w:rsidRPr="009079C5">
              <w:rPr>
                <w:rFonts w:ascii="Times New Roman" w:hAnsi="Times New Roman"/>
                <w:b/>
                <w:sz w:val="22"/>
              </w:rPr>
              <w:br/>
              <w:t>(2018 GBP)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D85DB" w14:textId="77777777" w:rsidR="00E53ADB" w:rsidRPr="009079C5" w:rsidRDefault="00E53ADB" w:rsidP="005B5F1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Source</w:t>
            </w:r>
          </w:p>
        </w:tc>
      </w:tr>
      <w:tr w:rsidR="009079C5" w:rsidRPr="009079C5" w14:paraId="246C0983" w14:textId="77777777" w:rsidTr="00964AB5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14:paraId="4DC3C7D5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Patient management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hideMark/>
          </w:tcPr>
          <w:p w14:paraId="6AD622F3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5" w:type="dxa"/>
            <w:tcBorders>
              <w:top w:val="single" w:sz="4" w:space="0" w:color="auto"/>
            </w:tcBorders>
            <w:noWrap/>
            <w:hideMark/>
          </w:tcPr>
          <w:p w14:paraId="3407A5AF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 </w:t>
            </w:r>
          </w:p>
        </w:tc>
      </w:tr>
      <w:tr w:rsidR="009079C5" w:rsidRPr="009079C5" w14:paraId="4743C454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5FB59F62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statins</w:t>
            </w:r>
          </w:p>
        </w:tc>
        <w:tc>
          <w:tcPr>
            <w:tcW w:w="1642" w:type="dxa"/>
            <w:noWrap/>
            <w:hideMark/>
          </w:tcPr>
          <w:p w14:paraId="55B066AA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9.78</w:t>
            </w:r>
          </w:p>
        </w:tc>
        <w:tc>
          <w:tcPr>
            <w:tcW w:w="4595" w:type="dxa"/>
            <w:hideMark/>
          </w:tcPr>
          <w:p w14:paraId="6B5F6F75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MIMS 2018 (online version) [Simvastatin 40 mg] </w:t>
            </w:r>
          </w:p>
        </w:tc>
      </w:tr>
      <w:tr w:rsidR="009079C5" w:rsidRPr="009079C5" w14:paraId="5486559E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0DCFA8D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aspirin</w:t>
            </w:r>
          </w:p>
        </w:tc>
        <w:tc>
          <w:tcPr>
            <w:tcW w:w="1642" w:type="dxa"/>
            <w:noWrap/>
            <w:hideMark/>
          </w:tcPr>
          <w:p w14:paraId="728D80F8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6.78</w:t>
            </w:r>
          </w:p>
        </w:tc>
        <w:tc>
          <w:tcPr>
            <w:tcW w:w="4595" w:type="dxa"/>
            <w:hideMark/>
          </w:tcPr>
          <w:p w14:paraId="399998C3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MIMS 2018 (online version) [aspirin gastro-resistant 75 mg]</w:t>
            </w:r>
          </w:p>
        </w:tc>
      </w:tr>
      <w:tr w:rsidR="009079C5" w:rsidRPr="009079C5" w14:paraId="6E7E1CA0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08F7400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ACE inhibitors</w:t>
            </w:r>
          </w:p>
        </w:tc>
        <w:tc>
          <w:tcPr>
            <w:tcW w:w="1642" w:type="dxa"/>
            <w:noWrap/>
            <w:hideMark/>
          </w:tcPr>
          <w:p w14:paraId="5A620987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10.17</w:t>
            </w:r>
          </w:p>
        </w:tc>
        <w:tc>
          <w:tcPr>
            <w:tcW w:w="4595" w:type="dxa"/>
            <w:hideMark/>
          </w:tcPr>
          <w:p w14:paraId="7E145E99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MIMS 2018 (online version) [Ramipril 5 mg </w:t>
            </w:r>
            <w:r w:rsidRPr="009079C5">
              <w:rPr>
                <w:rFonts w:ascii="Times New Roman" w:hAnsi="Times New Roman"/>
                <w:sz w:val="22"/>
              </w:rPr>
              <w:lastRenderedPageBreak/>
              <w:t xml:space="preserve">capsules] </w:t>
            </w:r>
          </w:p>
        </w:tc>
      </w:tr>
      <w:tr w:rsidR="009079C5" w:rsidRPr="009079C5" w14:paraId="4491344D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71D0881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lastRenderedPageBreak/>
              <w:t>Cost of screening for microalbuminuria</w:t>
            </w:r>
          </w:p>
        </w:tc>
        <w:tc>
          <w:tcPr>
            <w:tcW w:w="1642" w:type="dxa"/>
            <w:noWrap/>
            <w:hideMark/>
          </w:tcPr>
          <w:p w14:paraId="2FDC29BC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11.45</w:t>
            </w:r>
          </w:p>
        </w:tc>
        <w:tc>
          <w:tcPr>
            <w:tcW w:w="4595" w:type="dxa"/>
            <w:hideMark/>
          </w:tcPr>
          <w:p w14:paraId="2C39E84A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Based on one nurse appointment (PSSRU, band 6, £44/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hr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with 15.5 minutes consultation) and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Albustix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(NHS electronic drug tariff, £4.10 per 50 plastic test strips) [(£4.10/</w:t>
            </w:r>
            <w:proofErr w:type="gramStart"/>
            <w:r w:rsidRPr="009079C5">
              <w:rPr>
                <w:rFonts w:ascii="Times New Roman" w:hAnsi="Times New Roman"/>
                <w:sz w:val="22"/>
              </w:rPr>
              <w:t>50)+(</w:t>
            </w:r>
            <w:proofErr w:type="gramEnd"/>
            <w:r w:rsidRPr="009079C5">
              <w:rPr>
                <w:rFonts w:ascii="Times New Roman" w:hAnsi="Times New Roman"/>
                <w:sz w:val="22"/>
              </w:rPr>
              <w:t>44/(60/15.5))]</w:t>
            </w:r>
          </w:p>
        </w:tc>
      </w:tr>
      <w:tr w:rsidR="009079C5" w:rsidRPr="009079C5" w14:paraId="4D4469F6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11904A83" w14:textId="77777777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screening for gross proteinuria</w:t>
            </w:r>
          </w:p>
        </w:tc>
        <w:tc>
          <w:tcPr>
            <w:tcW w:w="1642" w:type="dxa"/>
            <w:noWrap/>
            <w:hideMark/>
          </w:tcPr>
          <w:p w14:paraId="67874394" w14:textId="77777777" w:rsidR="00E53ADB" w:rsidRPr="009079C5" w:rsidRDefault="00E53ADB" w:rsidP="005B5F1B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11.43</w:t>
            </w:r>
          </w:p>
        </w:tc>
        <w:tc>
          <w:tcPr>
            <w:tcW w:w="4595" w:type="dxa"/>
            <w:hideMark/>
          </w:tcPr>
          <w:p w14:paraId="4B386340" w14:textId="77777777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Based on one nurse appointment (PSSRU, band 6, £44/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hr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with 15.5 minutes consultation) and Medi-test protein 2 (NHS electronic drug tariff, £3.27 per 50 plastic reagent test strips) [(£3.27/</w:t>
            </w:r>
            <w:proofErr w:type="gramStart"/>
            <w:r w:rsidRPr="009079C5">
              <w:rPr>
                <w:rFonts w:ascii="Times New Roman" w:hAnsi="Times New Roman"/>
                <w:sz w:val="22"/>
              </w:rPr>
              <w:t>50)+(</w:t>
            </w:r>
            <w:proofErr w:type="gramEnd"/>
            <w:r w:rsidRPr="009079C5">
              <w:rPr>
                <w:rFonts w:ascii="Times New Roman" w:hAnsi="Times New Roman"/>
                <w:sz w:val="22"/>
              </w:rPr>
              <w:t>44/(60/15.5))]</w:t>
            </w:r>
          </w:p>
        </w:tc>
      </w:tr>
      <w:tr w:rsidR="009079C5" w:rsidRPr="009079C5" w14:paraId="172392B4" w14:textId="77777777" w:rsidTr="00964AB5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hideMark/>
          </w:tcPr>
          <w:p w14:paraId="54A1E8C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eye screening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hideMark/>
          </w:tcPr>
          <w:p w14:paraId="626C9932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34.24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hideMark/>
          </w:tcPr>
          <w:p w14:paraId="7B3E111D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WH15Z unit cost (special screening, examinations or other genetic disorders)</w:t>
            </w:r>
          </w:p>
        </w:tc>
      </w:tr>
      <w:tr w:rsidR="009079C5" w:rsidRPr="009079C5" w14:paraId="390DA65B" w14:textId="77777777" w:rsidTr="00964AB5">
        <w:trPr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</w:tcBorders>
            <w:noWrap/>
            <w:hideMark/>
          </w:tcPr>
          <w:p w14:paraId="4ABFBEF5" w14:textId="77777777" w:rsidR="00E53ADB" w:rsidRPr="009079C5" w:rsidRDefault="00E53ADB" w:rsidP="00E53AD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Cardiovascular complications</w:t>
            </w:r>
          </w:p>
        </w:tc>
      </w:tr>
      <w:tr w:rsidR="009079C5" w:rsidRPr="009079C5" w14:paraId="0F2B826D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5BB3B35E" w14:textId="7777777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</w:t>
            </w:r>
            <w:r w:rsidR="00D770FB" w:rsidRPr="009079C5">
              <w:rPr>
                <w:rFonts w:ascii="Times New Roman" w:hAnsi="Times New Roman"/>
                <w:sz w:val="22"/>
              </w:rPr>
              <w:t>myocardial infarction</w:t>
            </w:r>
            <w:r w:rsidRPr="009079C5">
              <w:rPr>
                <w:rFonts w:ascii="Times New Roman" w:hAnsi="Times New Roman"/>
                <w:sz w:val="22"/>
              </w:rPr>
              <w:t xml:space="preserve"> (year of event)</w:t>
            </w:r>
          </w:p>
        </w:tc>
        <w:tc>
          <w:tcPr>
            <w:tcW w:w="1642" w:type="dxa"/>
            <w:noWrap/>
            <w:hideMark/>
          </w:tcPr>
          <w:p w14:paraId="17F513D6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7,857</w:t>
            </w:r>
          </w:p>
        </w:tc>
        <w:tc>
          <w:tcPr>
            <w:tcW w:w="4595" w:type="dxa"/>
            <w:hideMark/>
          </w:tcPr>
          <w:p w14:paraId="3006C7C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MI event during year: £6,379 (mean inpatient cost) plus £963 (mean expected non-inpatient healthcare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bookmarkStart w:id="4" w:name="_Ref6415519"/>
            <w:r w:rsidR="00D770FB" w:rsidRPr="009079C5">
              <w:rPr>
                <w:rStyle w:val="EndnoteReference"/>
                <w:rFonts w:ascii="Times New Roman" w:hAnsi="Times New Roman"/>
                <w:sz w:val="22"/>
              </w:rPr>
              <w:endnoteReference w:id="5"/>
            </w:r>
            <w:bookmarkEnd w:id="4"/>
          </w:p>
        </w:tc>
      </w:tr>
      <w:tr w:rsidR="009079C5" w:rsidRPr="009079C5" w14:paraId="1312B26C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1337549C" w14:textId="77777777" w:rsidR="00E53ADB" w:rsidRPr="009079C5" w:rsidRDefault="00E53ADB" w:rsidP="00DB436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</w:t>
            </w:r>
            <w:r w:rsidR="00D770FB" w:rsidRPr="009079C5">
              <w:rPr>
                <w:rFonts w:ascii="Times New Roman" w:hAnsi="Times New Roman"/>
                <w:sz w:val="22"/>
              </w:rPr>
              <w:t xml:space="preserve">myocardial infarction </w:t>
            </w:r>
            <w:r w:rsidRPr="009079C5">
              <w:rPr>
                <w:rFonts w:ascii="Times New Roman" w:hAnsi="Times New Roman"/>
                <w:sz w:val="22"/>
              </w:rPr>
              <w:t>(years 2+)</w:t>
            </w:r>
          </w:p>
        </w:tc>
        <w:tc>
          <w:tcPr>
            <w:tcW w:w="1642" w:type="dxa"/>
            <w:noWrap/>
            <w:hideMark/>
          </w:tcPr>
          <w:p w14:paraId="4CB5A350" w14:textId="77777777" w:rsidR="00E53ADB" w:rsidRPr="009079C5" w:rsidRDefault="00E53ADB" w:rsidP="00DB436B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1,953</w:t>
            </w:r>
          </w:p>
        </w:tc>
        <w:tc>
          <w:tcPr>
            <w:tcW w:w="4595" w:type="dxa"/>
            <w:hideMark/>
          </w:tcPr>
          <w:p w14:paraId="6F470834" w14:textId="1A31AF75" w:rsidR="00E53ADB" w:rsidRPr="009079C5" w:rsidRDefault="00E53ADB" w:rsidP="00DB436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history of MI: £1,154 (mean inpatient cost) plus £671 (mean expected non-inpatient healthcare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32983B61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F5392B4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angina (year of event)</w:t>
            </w:r>
          </w:p>
        </w:tc>
        <w:tc>
          <w:tcPr>
            <w:tcW w:w="1642" w:type="dxa"/>
            <w:noWrap/>
            <w:hideMark/>
          </w:tcPr>
          <w:p w14:paraId="542FE971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2,320</w:t>
            </w:r>
          </w:p>
        </w:tc>
        <w:tc>
          <w:tcPr>
            <w:tcW w:w="4595" w:type="dxa"/>
            <w:hideMark/>
          </w:tcPr>
          <w:p w14:paraId="4D1B7D06" w14:textId="7777777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Danese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</w:t>
            </w:r>
            <w:r w:rsidR="00D770F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>2015</w:t>
            </w:r>
            <w:r w:rsidR="00D770FB" w:rsidRPr="009079C5">
              <w:rPr>
                <w:rFonts w:ascii="Times New Roman" w:hAnsi="Times New Roman"/>
                <w:sz w:val="22"/>
              </w:rPr>
              <w:t>) m</w:t>
            </w:r>
            <w:r w:rsidRPr="009079C5">
              <w:rPr>
                <w:rFonts w:ascii="Times New Roman" w:hAnsi="Times New Roman"/>
                <w:sz w:val="22"/>
              </w:rPr>
              <w:t xml:space="preserve">ean 2014 incremental acute CV event costs for "unstable angina" across three patient groups (CV low/moderate risk, CV </w:t>
            </w:r>
            <w:r w:rsidR="00D770FB" w:rsidRPr="009079C5">
              <w:rPr>
                <w:rFonts w:ascii="Times New Roman" w:hAnsi="Times New Roman"/>
                <w:sz w:val="22"/>
              </w:rPr>
              <w:t>high risk and CV event history)</w:t>
            </w:r>
            <w:bookmarkStart w:id="5" w:name="_Ref6415627"/>
            <w:r w:rsidR="00D770FB" w:rsidRPr="009079C5">
              <w:rPr>
                <w:rStyle w:val="EndnoteReference"/>
                <w:rFonts w:ascii="Times New Roman" w:hAnsi="Times New Roman"/>
                <w:sz w:val="22"/>
              </w:rPr>
              <w:endnoteReference w:id="6"/>
            </w:r>
            <w:bookmarkEnd w:id="5"/>
          </w:p>
        </w:tc>
      </w:tr>
      <w:tr w:rsidR="009079C5" w:rsidRPr="009079C5" w14:paraId="1A1CEC30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152AB6CE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angina (years 2+)</w:t>
            </w:r>
          </w:p>
        </w:tc>
        <w:tc>
          <w:tcPr>
            <w:tcW w:w="1642" w:type="dxa"/>
            <w:noWrap/>
            <w:hideMark/>
          </w:tcPr>
          <w:p w14:paraId="22B3CA04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388</w:t>
            </w:r>
          </w:p>
        </w:tc>
        <w:tc>
          <w:tcPr>
            <w:tcW w:w="4595" w:type="dxa"/>
            <w:hideMark/>
          </w:tcPr>
          <w:p w14:paraId="6659B260" w14:textId="445E6B40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Danese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</w:t>
            </w:r>
            <w:r w:rsidR="00D770F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>2015</w:t>
            </w:r>
            <w:r w:rsidR="00D770FB" w:rsidRPr="009079C5">
              <w:rPr>
                <w:rFonts w:ascii="Times New Roman" w:hAnsi="Times New Roman"/>
                <w:sz w:val="22"/>
              </w:rPr>
              <w:t>) m</w:t>
            </w:r>
            <w:r w:rsidRPr="009079C5">
              <w:rPr>
                <w:rFonts w:ascii="Times New Roman" w:hAnsi="Times New Roman"/>
                <w:sz w:val="22"/>
              </w:rPr>
              <w:t xml:space="preserve">ean 2014 incremental long-term costs for "unstable angina" across three patient groups (CV low/moderate risk, CV </w:t>
            </w:r>
            <w:r w:rsidR="00D770FB" w:rsidRPr="009079C5">
              <w:rPr>
                <w:rFonts w:ascii="Times New Roman" w:hAnsi="Times New Roman"/>
                <w:sz w:val="22"/>
              </w:rPr>
              <w:t>high risk and CV event history)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_Ref6415627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6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50FDB509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629DA2B6" w14:textId="7777777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</w:t>
            </w:r>
            <w:r w:rsidR="00D770FB" w:rsidRPr="009079C5">
              <w:rPr>
                <w:rFonts w:ascii="Times New Roman" w:hAnsi="Times New Roman"/>
                <w:sz w:val="22"/>
              </w:rPr>
              <w:t>heart failure</w:t>
            </w:r>
            <w:r w:rsidRPr="009079C5">
              <w:rPr>
                <w:rFonts w:ascii="Times New Roman" w:hAnsi="Times New Roman"/>
                <w:sz w:val="22"/>
              </w:rPr>
              <w:t xml:space="preserve"> (year of event)</w:t>
            </w:r>
          </w:p>
        </w:tc>
        <w:tc>
          <w:tcPr>
            <w:tcW w:w="1642" w:type="dxa"/>
            <w:noWrap/>
            <w:hideMark/>
          </w:tcPr>
          <w:p w14:paraId="5477FF93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4,462</w:t>
            </w:r>
          </w:p>
        </w:tc>
        <w:tc>
          <w:tcPr>
            <w:tcW w:w="4595" w:type="dxa"/>
            <w:hideMark/>
          </w:tcPr>
          <w:p w14:paraId="1A9493FB" w14:textId="7D8066A6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CHF event during year: £3,191 (mean inpatient cost) plus £979 (mean expected non-inpatient healthcare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0DFECCD5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30170498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</w:t>
            </w:r>
            <w:r w:rsidR="00D770FB" w:rsidRPr="009079C5">
              <w:rPr>
                <w:rFonts w:ascii="Times New Roman" w:hAnsi="Times New Roman"/>
                <w:sz w:val="22"/>
              </w:rPr>
              <w:t xml:space="preserve">heart failure </w:t>
            </w:r>
            <w:r w:rsidRPr="009079C5">
              <w:rPr>
                <w:rFonts w:ascii="Times New Roman" w:hAnsi="Times New Roman"/>
                <w:sz w:val="22"/>
              </w:rPr>
              <w:t>(years 2+)</w:t>
            </w:r>
          </w:p>
        </w:tc>
        <w:tc>
          <w:tcPr>
            <w:tcW w:w="1642" w:type="dxa"/>
            <w:noWrap/>
            <w:hideMark/>
          </w:tcPr>
          <w:p w14:paraId="7E180B63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2,617</w:t>
            </w:r>
          </w:p>
        </w:tc>
        <w:tc>
          <w:tcPr>
            <w:tcW w:w="4595" w:type="dxa"/>
            <w:hideMark/>
          </w:tcPr>
          <w:p w14:paraId="7B79E2CD" w14:textId="032766AC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history of CHF: £1,473 (mean inpatient cost) plus £973 (mean expected non-inpatient healthcare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768CB15B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0304D2B0" w14:textId="77777777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lastRenderedPageBreak/>
              <w:t>Cost of stroke (year of event)</w:t>
            </w:r>
          </w:p>
        </w:tc>
        <w:tc>
          <w:tcPr>
            <w:tcW w:w="1642" w:type="dxa"/>
            <w:noWrap/>
            <w:hideMark/>
          </w:tcPr>
          <w:p w14:paraId="6B134C1A" w14:textId="77777777" w:rsidR="00E53ADB" w:rsidRPr="009079C5" w:rsidRDefault="00E53ADB" w:rsidP="005B5F1B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8,449</w:t>
            </w:r>
          </w:p>
        </w:tc>
        <w:tc>
          <w:tcPr>
            <w:tcW w:w="4595" w:type="dxa"/>
            <w:hideMark/>
          </w:tcPr>
          <w:p w14:paraId="5E5B7B0E" w14:textId="57536611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non-fatal stroke event during year: £6,805 (mean inpatient cost) plus £1,091 (mean expected non-inpatient healthcare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3FD82A59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0E7CF822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stroke (years 2+)</w:t>
            </w:r>
          </w:p>
        </w:tc>
        <w:tc>
          <w:tcPr>
            <w:tcW w:w="1642" w:type="dxa"/>
            <w:noWrap/>
            <w:hideMark/>
          </w:tcPr>
          <w:p w14:paraId="6B47DE6E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2,013</w:t>
            </w:r>
          </w:p>
        </w:tc>
        <w:tc>
          <w:tcPr>
            <w:tcW w:w="4595" w:type="dxa"/>
            <w:hideMark/>
          </w:tcPr>
          <w:p w14:paraId="3F2D1700" w14:textId="78E568D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Alva et al. 2015. 2012 values for history of stroke: £1,125 (mean inpatient cost) plus £756 (mean expected non-inpatient healthcare cost). The costs represent the UKPDS population (a representative individual male, aged 60 years)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4B842B91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62DD7FE2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stroke death within 30 days</w:t>
            </w:r>
          </w:p>
        </w:tc>
        <w:tc>
          <w:tcPr>
            <w:tcW w:w="1642" w:type="dxa"/>
            <w:noWrap/>
            <w:hideMark/>
          </w:tcPr>
          <w:p w14:paraId="667FDBFD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4,231</w:t>
            </w:r>
          </w:p>
        </w:tc>
        <w:tc>
          <w:tcPr>
            <w:tcW w:w="4595" w:type="dxa"/>
            <w:hideMark/>
          </w:tcPr>
          <w:p w14:paraId="52275F69" w14:textId="13D65BC6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 for fatal stroke: £3,954 (mean inpatient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168ABBF2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28882D26" w14:textId="7777777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</w:t>
            </w:r>
            <w:r w:rsidR="00D770FB" w:rsidRPr="009079C5">
              <w:rPr>
                <w:rFonts w:ascii="Times New Roman" w:hAnsi="Times New Roman"/>
                <w:sz w:val="22"/>
              </w:rPr>
              <w:t>peripheral vascular disease</w:t>
            </w:r>
            <w:r w:rsidRPr="009079C5">
              <w:rPr>
                <w:rFonts w:ascii="Times New Roman" w:hAnsi="Times New Roman"/>
                <w:sz w:val="22"/>
              </w:rPr>
              <w:t xml:space="preserve"> (year of event)</w:t>
            </w:r>
          </w:p>
        </w:tc>
        <w:tc>
          <w:tcPr>
            <w:tcW w:w="1642" w:type="dxa"/>
            <w:noWrap/>
            <w:hideMark/>
          </w:tcPr>
          <w:p w14:paraId="0B38CB9F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1,661</w:t>
            </w:r>
          </w:p>
        </w:tc>
        <w:tc>
          <w:tcPr>
            <w:tcW w:w="4595" w:type="dxa"/>
            <w:hideMark/>
          </w:tcPr>
          <w:p w14:paraId="1CE84AD0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weighted average of HRGs YQ50A/B/C/D/E/F</w:t>
            </w:r>
          </w:p>
        </w:tc>
      </w:tr>
      <w:tr w:rsidR="009079C5" w:rsidRPr="009079C5" w14:paraId="2ECDB8C6" w14:textId="77777777" w:rsidTr="00964AB5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hideMark/>
          </w:tcPr>
          <w:p w14:paraId="6358F719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</w:t>
            </w:r>
            <w:r w:rsidR="00D770FB" w:rsidRPr="009079C5">
              <w:rPr>
                <w:rFonts w:ascii="Times New Roman" w:hAnsi="Times New Roman"/>
                <w:sz w:val="22"/>
              </w:rPr>
              <w:t xml:space="preserve">peripheral vascular disease </w:t>
            </w:r>
            <w:r w:rsidRPr="009079C5">
              <w:rPr>
                <w:rFonts w:ascii="Times New Roman" w:hAnsi="Times New Roman"/>
                <w:sz w:val="22"/>
              </w:rPr>
              <w:t>(years 2+)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hideMark/>
          </w:tcPr>
          <w:p w14:paraId="670C5F29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1,661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hideMark/>
          </w:tcPr>
          <w:p w14:paraId="60AB8301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weighted average of HRGs YQ50A/B/C/D/E/F</w:t>
            </w:r>
          </w:p>
        </w:tc>
      </w:tr>
      <w:tr w:rsidR="009079C5" w:rsidRPr="009079C5" w14:paraId="07FB9177" w14:textId="77777777" w:rsidTr="00964AB5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14:paraId="25363DA0" w14:textId="77777777" w:rsidR="00E53ADB" w:rsidRPr="009079C5" w:rsidRDefault="00D770F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Renal complications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hideMark/>
          </w:tcPr>
          <w:p w14:paraId="2CE6F7B8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5" w:type="dxa"/>
            <w:tcBorders>
              <w:top w:val="single" w:sz="4" w:space="0" w:color="auto"/>
            </w:tcBorders>
            <w:noWrap/>
            <w:hideMark/>
          </w:tcPr>
          <w:p w14:paraId="33BA2A75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 </w:t>
            </w:r>
          </w:p>
        </w:tc>
      </w:tr>
      <w:tr w:rsidR="009079C5" w:rsidRPr="009079C5" w14:paraId="5490E18E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5908363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Hemodialysis cost (year of event)</w:t>
            </w:r>
          </w:p>
        </w:tc>
        <w:tc>
          <w:tcPr>
            <w:tcW w:w="1642" w:type="dxa"/>
            <w:noWrap/>
            <w:hideMark/>
          </w:tcPr>
          <w:p w14:paraId="2B155186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22,632</w:t>
            </w:r>
          </w:p>
        </w:tc>
        <w:tc>
          <w:tcPr>
            <w:tcW w:w="4595" w:type="dxa"/>
            <w:hideMark/>
          </w:tcPr>
          <w:p w14:paraId="6BE53E38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weighted average of HRGs LD01/05/09A and assuming three sessions per week</w:t>
            </w:r>
          </w:p>
        </w:tc>
      </w:tr>
      <w:tr w:rsidR="009079C5" w:rsidRPr="009079C5" w14:paraId="18697AEC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5529DE20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Annual cost of hemodialysis (years 2+)</w:t>
            </w:r>
          </w:p>
        </w:tc>
        <w:tc>
          <w:tcPr>
            <w:tcW w:w="1642" w:type="dxa"/>
            <w:noWrap/>
            <w:hideMark/>
          </w:tcPr>
          <w:p w14:paraId="423B4DC9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22,632</w:t>
            </w:r>
          </w:p>
        </w:tc>
        <w:tc>
          <w:tcPr>
            <w:tcW w:w="4595" w:type="dxa"/>
            <w:hideMark/>
          </w:tcPr>
          <w:p w14:paraId="782401E4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weighted average of HRGs LD01/05/09A and assuming three sessions per week</w:t>
            </w:r>
          </w:p>
        </w:tc>
      </w:tr>
      <w:tr w:rsidR="009079C5" w:rsidRPr="009079C5" w14:paraId="41445BA8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219D6336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Peritoneal dialysis cost (year of event)</w:t>
            </w:r>
          </w:p>
        </w:tc>
        <w:tc>
          <w:tcPr>
            <w:tcW w:w="1642" w:type="dxa"/>
            <w:noWrap/>
            <w:hideMark/>
          </w:tcPr>
          <w:p w14:paraId="2DF3E04A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27,690</w:t>
            </w:r>
          </w:p>
        </w:tc>
        <w:tc>
          <w:tcPr>
            <w:tcW w:w="4595" w:type="dxa"/>
            <w:hideMark/>
          </w:tcPr>
          <w:p w14:paraId="7FF05045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weighted average of HRGs LD11/12/13A and assuming daily use</w:t>
            </w:r>
          </w:p>
        </w:tc>
      </w:tr>
      <w:tr w:rsidR="009079C5" w:rsidRPr="009079C5" w14:paraId="6E7CBA93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67D07C8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Annual cost of peritoneal dialysis (years 2+)</w:t>
            </w:r>
          </w:p>
        </w:tc>
        <w:tc>
          <w:tcPr>
            <w:tcW w:w="1642" w:type="dxa"/>
            <w:noWrap/>
            <w:hideMark/>
          </w:tcPr>
          <w:p w14:paraId="35A075FF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27,690</w:t>
            </w:r>
          </w:p>
        </w:tc>
        <w:tc>
          <w:tcPr>
            <w:tcW w:w="4595" w:type="dxa"/>
            <w:hideMark/>
          </w:tcPr>
          <w:p w14:paraId="67DB98A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NHS reference costs 2016-17, weighted average of HRGs LD11/12/13A and assuming daily use</w:t>
            </w:r>
          </w:p>
        </w:tc>
      </w:tr>
      <w:tr w:rsidR="009079C5" w:rsidRPr="009079C5" w14:paraId="3202BBDC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20E8D2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Renal transplant cost (year of event)</w:t>
            </w:r>
          </w:p>
        </w:tc>
        <w:tc>
          <w:tcPr>
            <w:tcW w:w="1642" w:type="dxa"/>
            <w:noWrap/>
            <w:hideMark/>
          </w:tcPr>
          <w:p w14:paraId="434A7686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26,878</w:t>
            </w:r>
          </w:p>
        </w:tc>
        <w:tc>
          <w:tcPr>
            <w:tcW w:w="4595" w:type="dxa"/>
            <w:hideMark/>
          </w:tcPr>
          <w:p w14:paraId="1AB1CC99" w14:textId="7777777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Kent et al. </w:t>
            </w:r>
            <w:r w:rsidR="00D770F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>2015</w:t>
            </w:r>
            <w:r w:rsidR="00D770FB" w:rsidRPr="009079C5">
              <w:rPr>
                <w:rFonts w:ascii="Times New Roman" w:hAnsi="Times New Roman"/>
                <w:sz w:val="22"/>
              </w:rPr>
              <w:t>)</w:t>
            </w:r>
            <w:r w:rsidRPr="009079C5">
              <w:rPr>
                <w:rFonts w:ascii="Times New Roman" w:hAnsi="Times New Roman"/>
                <w:sz w:val="22"/>
              </w:rPr>
              <w:t xml:space="preserve"> 2011 in-hospital care costs</w:t>
            </w:r>
            <w:r w:rsidR="00D770FB" w:rsidRPr="009079C5">
              <w:rPr>
                <w:rFonts w:ascii="Times New Roman" w:hAnsi="Times New Roman"/>
                <w:sz w:val="22"/>
              </w:rPr>
              <w:t xml:space="preserve"> in the year of transplantation</w:t>
            </w:r>
            <w:bookmarkStart w:id="6" w:name="_Ref6415716"/>
            <w:r w:rsidR="00D770FB" w:rsidRPr="009079C5">
              <w:rPr>
                <w:rStyle w:val="EndnoteReference"/>
                <w:rFonts w:ascii="Times New Roman" w:hAnsi="Times New Roman"/>
                <w:sz w:val="22"/>
              </w:rPr>
              <w:endnoteReference w:id="7"/>
            </w:r>
            <w:bookmarkEnd w:id="6"/>
          </w:p>
        </w:tc>
      </w:tr>
      <w:tr w:rsidR="009079C5" w:rsidRPr="009079C5" w14:paraId="35F43B0A" w14:textId="77777777" w:rsidTr="00964AB5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hideMark/>
          </w:tcPr>
          <w:p w14:paraId="2DEDBC31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Annual cost of renal transplant (years 2+)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hideMark/>
          </w:tcPr>
          <w:p w14:paraId="14597267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1,254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hideMark/>
          </w:tcPr>
          <w:p w14:paraId="4686A1A6" w14:textId="00C912E9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Kent et al. </w:t>
            </w:r>
            <w:r w:rsidR="00D770F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>2015</w:t>
            </w:r>
            <w:r w:rsidR="00D770FB" w:rsidRPr="009079C5">
              <w:rPr>
                <w:rFonts w:ascii="Times New Roman" w:hAnsi="Times New Roman"/>
                <w:sz w:val="22"/>
              </w:rPr>
              <w:t>)</w:t>
            </w:r>
            <w:r w:rsidRPr="009079C5">
              <w:rPr>
                <w:rFonts w:ascii="Times New Roman" w:hAnsi="Times New Roman"/>
                <w:sz w:val="22"/>
              </w:rPr>
              <w:t xml:space="preserve"> 2011 an</w:t>
            </w:r>
            <w:r w:rsidR="00D770FB" w:rsidRPr="009079C5">
              <w:rPr>
                <w:rFonts w:ascii="Times New Roman" w:hAnsi="Times New Roman"/>
                <w:sz w:val="22"/>
              </w:rPr>
              <w:t>nual cost after transplantation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_Ref6415716 \h  \* MERGEFORMAT </w:instrTex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7</w:t>
            </w:r>
            <w:r w:rsidR="00D770F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36B3D5F7" w14:textId="77777777" w:rsidTr="00964AB5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14:paraId="7589D163" w14:textId="77777777" w:rsidR="00E53ADB" w:rsidRPr="009079C5" w:rsidRDefault="00D770F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Acute events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hideMark/>
          </w:tcPr>
          <w:p w14:paraId="4332AC3D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5" w:type="dxa"/>
            <w:tcBorders>
              <w:top w:val="single" w:sz="4" w:space="0" w:color="auto"/>
            </w:tcBorders>
            <w:noWrap/>
            <w:hideMark/>
          </w:tcPr>
          <w:p w14:paraId="0A0681F2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 </w:t>
            </w:r>
          </w:p>
        </w:tc>
      </w:tr>
      <w:tr w:rsidR="009079C5" w:rsidRPr="009079C5" w14:paraId="4D4A9B17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2C242F49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non-severe hypoglycemic event</w:t>
            </w:r>
          </w:p>
        </w:tc>
        <w:tc>
          <w:tcPr>
            <w:tcW w:w="1642" w:type="dxa"/>
            <w:noWrap/>
            <w:hideMark/>
          </w:tcPr>
          <w:p w14:paraId="0336D319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595" w:type="dxa"/>
            <w:hideMark/>
          </w:tcPr>
          <w:p w14:paraId="694D15CF" w14:textId="77777777" w:rsidR="00E53ADB" w:rsidRPr="009079C5" w:rsidRDefault="00E53AD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Calculated as a weighted average of daytime and nocturnal events from resource use data summarized in </w:t>
            </w:r>
            <w:r w:rsidR="00D770FB" w:rsidRPr="009079C5">
              <w:rPr>
                <w:rFonts w:ascii="Times New Roman" w:hAnsi="Times New Roman"/>
                <w:sz w:val="22"/>
              </w:rPr>
              <w:t xml:space="preserve">Chubb and </w:t>
            </w:r>
            <w:proofErr w:type="spellStart"/>
            <w:r w:rsidR="00D770FB" w:rsidRPr="009079C5">
              <w:rPr>
                <w:rFonts w:ascii="Times New Roman" w:hAnsi="Times New Roman"/>
                <w:sz w:val="22"/>
              </w:rPr>
              <w:t>Tikkanenen</w:t>
            </w:r>
            <w:proofErr w:type="spellEnd"/>
            <w:r w:rsidR="00D770FB" w:rsidRPr="009079C5">
              <w:rPr>
                <w:rFonts w:ascii="Times New Roman" w:hAnsi="Times New Roman"/>
                <w:sz w:val="22"/>
              </w:rPr>
              <w:t xml:space="preserve"> (2015)</w:t>
            </w:r>
            <w:r w:rsidR="00D770FB" w:rsidRPr="009079C5">
              <w:rPr>
                <w:rStyle w:val="EndnoteReference"/>
                <w:rFonts w:ascii="Times New Roman" w:hAnsi="Times New Roman"/>
                <w:sz w:val="22"/>
              </w:rPr>
              <w:endnoteReference w:id="8"/>
            </w:r>
          </w:p>
        </w:tc>
      </w:tr>
      <w:tr w:rsidR="009079C5" w:rsidRPr="009079C5" w14:paraId="773EBF51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22C999F" w14:textId="77777777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severe hypoglycemic event 1</w:t>
            </w:r>
          </w:p>
        </w:tc>
        <w:tc>
          <w:tcPr>
            <w:tcW w:w="1642" w:type="dxa"/>
            <w:noWrap/>
            <w:hideMark/>
          </w:tcPr>
          <w:p w14:paraId="440E418D" w14:textId="77777777" w:rsidR="00E53ADB" w:rsidRPr="009079C5" w:rsidRDefault="00E53ADB" w:rsidP="005B5F1B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427</w:t>
            </w:r>
          </w:p>
        </w:tc>
        <w:tc>
          <w:tcPr>
            <w:tcW w:w="4595" w:type="dxa"/>
            <w:hideMark/>
          </w:tcPr>
          <w:p w14:paraId="71F5A16D" w14:textId="77777777" w:rsidR="00E53ADB" w:rsidRPr="009079C5" w:rsidRDefault="00D770F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Calculated</w:t>
            </w:r>
            <w:r w:rsidR="00E53ADB" w:rsidRPr="009079C5">
              <w:rPr>
                <w:rFonts w:ascii="Times New Roman" w:hAnsi="Times New Roman"/>
                <w:sz w:val="22"/>
              </w:rPr>
              <w:t xml:space="preserve"> based on direct costs estimates published by Hammer et al (2009) as a weigh</w:t>
            </w:r>
            <w:r w:rsidRPr="009079C5">
              <w:rPr>
                <w:rFonts w:ascii="Times New Roman" w:hAnsi="Times New Roman"/>
                <w:sz w:val="22"/>
              </w:rPr>
              <w:t>ted average between groups 1-3</w:t>
            </w:r>
            <w:bookmarkStart w:id="7" w:name="_Ref6415753"/>
            <w:r w:rsidRPr="009079C5">
              <w:rPr>
                <w:rStyle w:val="EndnoteReference"/>
                <w:rFonts w:ascii="Times New Roman" w:hAnsi="Times New Roman"/>
                <w:sz w:val="22"/>
              </w:rPr>
              <w:endnoteReference w:id="9"/>
            </w:r>
            <w:bookmarkEnd w:id="7"/>
          </w:p>
        </w:tc>
      </w:tr>
      <w:tr w:rsidR="009079C5" w:rsidRPr="009079C5" w14:paraId="6FC6E137" w14:textId="77777777" w:rsidTr="00964AB5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hideMark/>
          </w:tcPr>
          <w:p w14:paraId="3D3E75D8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Cost of severe hypoglycemic </w:t>
            </w:r>
            <w:r w:rsidRPr="009079C5">
              <w:rPr>
                <w:rFonts w:ascii="Times New Roman" w:hAnsi="Times New Roman"/>
                <w:sz w:val="22"/>
              </w:rPr>
              <w:lastRenderedPageBreak/>
              <w:t>event 2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hideMark/>
          </w:tcPr>
          <w:p w14:paraId="203BBD35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lastRenderedPageBreak/>
              <w:t>427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hideMark/>
          </w:tcPr>
          <w:p w14:paraId="2ED656A6" w14:textId="08F2B659" w:rsidR="00E53ADB" w:rsidRPr="009079C5" w:rsidRDefault="00D770FB" w:rsidP="00D770F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Calculated</w:t>
            </w:r>
            <w:r w:rsidR="00E53ADB" w:rsidRPr="009079C5">
              <w:rPr>
                <w:rFonts w:ascii="Times New Roman" w:hAnsi="Times New Roman"/>
                <w:sz w:val="22"/>
              </w:rPr>
              <w:t xml:space="preserve"> based on direct costs estimates </w:t>
            </w:r>
            <w:r w:rsidR="00E53ADB" w:rsidRPr="009079C5">
              <w:rPr>
                <w:rFonts w:ascii="Times New Roman" w:hAnsi="Times New Roman"/>
                <w:sz w:val="22"/>
              </w:rPr>
              <w:lastRenderedPageBreak/>
              <w:t>published by Hammer et al (2009) as a weigh</w:t>
            </w:r>
            <w:r w:rsidRPr="009079C5">
              <w:rPr>
                <w:rFonts w:ascii="Times New Roman" w:hAnsi="Times New Roman"/>
                <w:sz w:val="22"/>
              </w:rPr>
              <w:t>ted average between groups 1-3</w:t>
            </w:r>
            <w:r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_Ref6415753 \h  \* MERGEFORMAT </w:instrText>
            </w:r>
            <w:r w:rsidRPr="009079C5">
              <w:rPr>
                <w:rFonts w:ascii="Times New Roman" w:hAnsi="Times New Roman"/>
                <w:sz w:val="22"/>
                <w:vertAlign w:val="superscript"/>
              </w:rPr>
            </w:r>
            <w:r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9</w:t>
            </w:r>
            <w:r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127A58FF" w14:textId="77777777" w:rsidTr="00964AB5">
        <w:trPr>
          <w:trHeight w:val="300"/>
        </w:trPr>
        <w:tc>
          <w:tcPr>
            <w:tcW w:w="3085" w:type="dxa"/>
            <w:tcBorders>
              <w:top w:val="single" w:sz="4" w:space="0" w:color="auto"/>
            </w:tcBorders>
            <w:noWrap/>
            <w:hideMark/>
          </w:tcPr>
          <w:p w14:paraId="3BBADCB0" w14:textId="77777777" w:rsidR="00E53ADB" w:rsidRPr="009079C5" w:rsidRDefault="00D770F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lastRenderedPageBreak/>
              <w:t>Ocular complications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hideMark/>
          </w:tcPr>
          <w:p w14:paraId="0AB12063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5" w:type="dxa"/>
            <w:tcBorders>
              <w:top w:val="single" w:sz="4" w:space="0" w:color="auto"/>
            </w:tcBorders>
            <w:noWrap/>
            <w:hideMark/>
          </w:tcPr>
          <w:p w14:paraId="48341E47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 </w:t>
            </w:r>
          </w:p>
        </w:tc>
      </w:tr>
      <w:tr w:rsidR="009079C5" w:rsidRPr="009079C5" w14:paraId="3C613D6E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AB4E1E2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laser treatment</w:t>
            </w:r>
          </w:p>
        </w:tc>
        <w:tc>
          <w:tcPr>
            <w:tcW w:w="1642" w:type="dxa"/>
            <w:noWrap/>
            <w:hideMark/>
          </w:tcPr>
          <w:p w14:paraId="084AA499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90</w:t>
            </w:r>
          </w:p>
        </w:tc>
        <w:tc>
          <w:tcPr>
            <w:tcW w:w="4595" w:type="dxa"/>
            <w:hideMark/>
          </w:tcPr>
          <w:p w14:paraId="3299410C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HS Tariff costs 2017-2019, Annex A, Tab 1a: Admitted Patient Care &amp; Outpatient Procedures, BZ87A Minor Vitreous Retinal Procedures, 19 years and over. Available from: https://improvement.nhs.uk/resources/national-tariff-1719/#h2-tariff-documents</w:t>
            </w:r>
          </w:p>
        </w:tc>
      </w:tr>
      <w:tr w:rsidR="009079C5" w:rsidRPr="009079C5" w14:paraId="5744E8EC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97E7727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cataract operation</w:t>
            </w:r>
          </w:p>
        </w:tc>
        <w:tc>
          <w:tcPr>
            <w:tcW w:w="1642" w:type="dxa"/>
            <w:noWrap/>
            <w:hideMark/>
          </w:tcPr>
          <w:p w14:paraId="03AE1D57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749</w:t>
            </w:r>
          </w:p>
        </w:tc>
        <w:tc>
          <w:tcPr>
            <w:tcW w:w="4595" w:type="dxa"/>
            <w:hideMark/>
          </w:tcPr>
          <w:p w14:paraId="49A843FC" w14:textId="505953B8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cataract operation: £700 (mean expected non-inpatient healthcare cost). The costs represent the UKPDS population (a representative </w:t>
            </w:r>
            <w:r w:rsidR="00D770F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2DB2F111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09A87F6D" w14:textId="77777777" w:rsidR="00E53ADB" w:rsidRPr="009079C5" w:rsidRDefault="00E53ADB" w:rsidP="00DB436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following cataract operation</w:t>
            </w:r>
          </w:p>
        </w:tc>
        <w:tc>
          <w:tcPr>
            <w:tcW w:w="1642" w:type="dxa"/>
            <w:noWrap/>
            <w:hideMark/>
          </w:tcPr>
          <w:p w14:paraId="202D3C56" w14:textId="77777777" w:rsidR="00E53ADB" w:rsidRPr="009079C5" w:rsidRDefault="00E53ADB" w:rsidP="00DB436B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721</w:t>
            </w:r>
          </w:p>
        </w:tc>
        <w:tc>
          <w:tcPr>
            <w:tcW w:w="4595" w:type="dxa"/>
            <w:hideMark/>
          </w:tcPr>
          <w:p w14:paraId="02706A84" w14:textId="6D337EA9" w:rsidR="00E53ADB" w:rsidRPr="009079C5" w:rsidRDefault="00E53ADB" w:rsidP="00DB436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following cataract operation: £674 (mean expected non-inpatient healthcare cost). The costs represent the UKPDS population (a representative </w:t>
            </w:r>
            <w:r w:rsidR="005B5F1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20F2A40E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4D6EBF9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blindness in year of onset</w:t>
            </w:r>
          </w:p>
        </w:tc>
        <w:tc>
          <w:tcPr>
            <w:tcW w:w="1642" w:type="dxa"/>
            <w:noWrap/>
            <w:hideMark/>
          </w:tcPr>
          <w:p w14:paraId="0427954A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3,365</w:t>
            </w:r>
          </w:p>
        </w:tc>
        <w:tc>
          <w:tcPr>
            <w:tcW w:w="4595" w:type="dxa"/>
            <w:hideMark/>
          </w:tcPr>
          <w:p w14:paraId="7D96E596" w14:textId="67D0C2A0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blindness in one eye: £1,355 (mean inpatient cost) plus £1,790 (mean expected non-inpatient healthcare cost). The costs represent the UKPDS population (a representative </w:t>
            </w:r>
            <w:r w:rsidR="005B5F1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07FD9997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178C6A9B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blindness in subsequent years</w:t>
            </w:r>
          </w:p>
        </w:tc>
        <w:tc>
          <w:tcPr>
            <w:tcW w:w="1642" w:type="dxa"/>
            <w:noWrap/>
            <w:hideMark/>
          </w:tcPr>
          <w:p w14:paraId="00E274A9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1,274</w:t>
            </w:r>
          </w:p>
        </w:tc>
        <w:tc>
          <w:tcPr>
            <w:tcW w:w="4595" w:type="dxa"/>
            <w:hideMark/>
          </w:tcPr>
          <w:p w14:paraId="0AA21B4A" w14:textId="52A464C2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history of blindness in one eye: £453 (mean inpatient cost) plus £738 (mean expected non-inpatient healthcare cost). The costs represent the UKPDS population (a representative individual </w:t>
            </w:r>
            <w:r w:rsidR="005B5F1B" w:rsidRPr="009079C5">
              <w:rPr>
                <w:rFonts w:ascii="Times New Roman" w:hAnsi="Times New Roman"/>
                <w:sz w:val="22"/>
              </w:rPr>
              <w:t>male, aged 60 years)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5A5B5BED" w14:textId="77777777" w:rsidTr="00964AB5">
        <w:trPr>
          <w:trHeight w:val="300"/>
        </w:trPr>
        <w:tc>
          <w:tcPr>
            <w:tcW w:w="9322" w:type="dxa"/>
            <w:gridSpan w:val="3"/>
          </w:tcPr>
          <w:p w14:paraId="26F9DB36" w14:textId="77777777" w:rsidR="00D770FB" w:rsidRPr="009079C5" w:rsidRDefault="00D770FB" w:rsidP="00D770F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Neuropathy and diabetic foot complications</w:t>
            </w:r>
          </w:p>
        </w:tc>
      </w:tr>
      <w:tr w:rsidR="009079C5" w:rsidRPr="009079C5" w14:paraId="0EB61599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DE28938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neuropathy (year of event)</w:t>
            </w:r>
          </w:p>
        </w:tc>
        <w:tc>
          <w:tcPr>
            <w:tcW w:w="1642" w:type="dxa"/>
            <w:noWrap/>
            <w:hideMark/>
          </w:tcPr>
          <w:p w14:paraId="76B72413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151</w:t>
            </w:r>
          </w:p>
        </w:tc>
        <w:tc>
          <w:tcPr>
            <w:tcW w:w="4595" w:type="dxa"/>
            <w:hideMark/>
          </w:tcPr>
          <w:p w14:paraId="6AEFDB1F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MIMS UK (June 2018) [generic duloxetine]. The annual cost is based on pack price of £11.57 of 28 units (£0.41 p</w:t>
            </w:r>
            <w:r w:rsidR="00D770FB" w:rsidRPr="009079C5">
              <w:rPr>
                <w:rFonts w:ascii="Times New Roman" w:hAnsi="Times New Roman"/>
                <w:sz w:val="22"/>
              </w:rPr>
              <w:t>er unit * 365.25 days per year)</w:t>
            </w:r>
          </w:p>
        </w:tc>
      </w:tr>
      <w:tr w:rsidR="009079C5" w:rsidRPr="009079C5" w14:paraId="3D0878C5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A674042" w14:textId="77777777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neuropathy (years 2+)</w:t>
            </w:r>
          </w:p>
        </w:tc>
        <w:tc>
          <w:tcPr>
            <w:tcW w:w="1642" w:type="dxa"/>
            <w:noWrap/>
            <w:hideMark/>
          </w:tcPr>
          <w:p w14:paraId="66190E39" w14:textId="77777777" w:rsidR="00E53ADB" w:rsidRPr="009079C5" w:rsidRDefault="00E53ADB" w:rsidP="005B5F1B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151</w:t>
            </w:r>
          </w:p>
        </w:tc>
        <w:tc>
          <w:tcPr>
            <w:tcW w:w="4595" w:type="dxa"/>
            <w:hideMark/>
          </w:tcPr>
          <w:p w14:paraId="6A43906C" w14:textId="77777777" w:rsidR="00E53ADB" w:rsidRPr="009079C5" w:rsidRDefault="00E53ADB" w:rsidP="005B5F1B">
            <w:pPr>
              <w:pStyle w:val="Tabletext"/>
              <w:keepNext/>
              <w:keepLines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MIMS UK (June 2018) [generic duloxetine]. The annual cost is based on pack price of £11.57 of 28 units (£0.41 p</w:t>
            </w:r>
            <w:r w:rsidR="00D770FB" w:rsidRPr="009079C5">
              <w:rPr>
                <w:rFonts w:ascii="Times New Roman" w:hAnsi="Times New Roman"/>
                <w:sz w:val="22"/>
              </w:rPr>
              <w:t>er unit * 365.25 days per year)</w:t>
            </w:r>
          </w:p>
        </w:tc>
      </w:tr>
      <w:tr w:rsidR="009079C5" w:rsidRPr="009079C5" w14:paraId="379F895F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090DE8DF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amputation (event based)</w:t>
            </w:r>
          </w:p>
        </w:tc>
        <w:tc>
          <w:tcPr>
            <w:tcW w:w="1642" w:type="dxa"/>
            <w:noWrap/>
            <w:hideMark/>
          </w:tcPr>
          <w:p w14:paraId="75AB7B8A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13,103</w:t>
            </w:r>
          </w:p>
        </w:tc>
        <w:tc>
          <w:tcPr>
            <w:tcW w:w="4595" w:type="dxa"/>
            <w:hideMark/>
          </w:tcPr>
          <w:p w14:paraId="4EAF56BE" w14:textId="118C9AB8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amputation: £9,546 (mean inpatient cost) plus £2,699 (mean expected non-inpatient healthcare cost). The costs represent the UKPDS population (a representative </w:t>
            </w:r>
            <w:r w:rsidR="005B5F1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68313D18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7E65CCE3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prosthesis (event based)</w:t>
            </w:r>
          </w:p>
        </w:tc>
        <w:tc>
          <w:tcPr>
            <w:tcW w:w="1642" w:type="dxa"/>
            <w:noWrap/>
            <w:hideMark/>
          </w:tcPr>
          <w:p w14:paraId="22721654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3,642</w:t>
            </w:r>
          </w:p>
        </w:tc>
        <w:tc>
          <w:tcPr>
            <w:tcW w:w="4595" w:type="dxa"/>
            <w:hideMark/>
          </w:tcPr>
          <w:p w14:paraId="0DCF63B8" w14:textId="6EA2AE8B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 xml:space="preserve">Alva et al. 2015. 2012 values for history of amputation: £1,792 (mean inpatient cost) plus £1,611 (mean expected non-inpatient healthcare </w:t>
            </w:r>
            <w:r w:rsidRPr="009079C5">
              <w:rPr>
                <w:rFonts w:ascii="Times New Roman" w:hAnsi="Times New Roman"/>
                <w:sz w:val="22"/>
              </w:rPr>
              <w:lastRenderedPageBreak/>
              <w:t xml:space="preserve">cost). The costs represent the UKPDS population (a representative </w:t>
            </w:r>
            <w:r w:rsidR="005B5F1B" w:rsidRPr="009079C5">
              <w:rPr>
                <w:rFonts w:ascii="Times New Roman" w:hAnsi="Times New Roman"/>
                <w:sz w:val="22"/>
              </w:rPr>
              <w:t>individual male, aged 60 years)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_Ref6415519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5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6F90D689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401A4D9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lastRenderedPageBreak/>
              <w:t>Cost of gangrene treatment</w:t>
            </w:r>
          </w:p>
        </w:tc>
        <w:tc>
          <w:tcPr>
            <w:tcW w:w="1642" w:type="dxa"/>
            <w:noWrap/>
            <w:hideMark/>
          </w:tcPr>
          <w:p w14:paraId="0E1DFE97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3,563</w:t>
            </w:r>
          </w:p>
        </w:tc>
        <w:tc>
          <w:tcPr>
            <w:tcW w:w="4595" w:type="dxa"/>
            <w:hideMark/>
          </w:tcPr>
          <w:p w14:paraId="2FBC8D98" w14:textId="77777777" w:rsidR="00E53AD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Ghatnekar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(2002)</w:t>
            </w:r>
            <w:r w:rsidR="00E53ADB" w:rsidRPr="009079C5">
              <w:rPr>
                <w:rFonts w:ascii="Times New Roman" w:hAnsi="Times New Roman"/>
                <w:sz w:val="22"/>
              </w:rPr>
              <w:t xml:space="preserve"> cost includes cost of topical treatment, antibacterial, outpatient and inpatient care and </w:t>
            </w:r>
            <w:proofErr w:type="spellStart"/>
            <w:r w:rsidR="00E53ADB" w:rsidRPr="009079C5">
              <w:rPr>
                <w:rFonts w:ascii="Times New Roman" w:hAnsi="Times New Roman"/>
                <w:sz w:val="22"/>
              </w:rPr>
              <w:t>orthopaedic</w:t>
            </w:r>
            <w:proofErr w:type="spellEnd"/>
            <w:r w:rsidR="00E53ADB" w:rsidRPr="009079C5">
              <w:rPr>
                <w:rFonts w:ascii="Times New Roman" w:hAnsi="Times New Roman"/>
                <w:sz w:val="22"/>
              </w:rPr>
              <w:t xml:space="preserve"> appliances among diabetic populations, original 2000 value €3,647 (conversion rate to GBP of 0.60949 [average for year 2000 from oanda.com])</w:t>
            </w:r>
            <w:bookmarkStart w:id="8" w:name="_Ref6415884"/>
            <w:r w:rsidRPr="009079C5">
              <w:rPr>
                <w:rStyle w:val="EndnoteReference"/>
                <w:rFonts w:ascii="Times New Roman" w:hAnsi="Times New Roman"/>
                <w:sz w:val="22"/>
              </w:rPr>
              <w:endnoteReference w:id="10"/>
            </w:r>
            <w:bookmarkEnd w:id="8"/>
          </w:p>
        </w:tc>
      </w:tr>
      <w:tr w:rsidR="009079C5" w:rsidRPr="009079C5" w14:paraId="65713D7D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22832934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after healed ulcer</w:t>
            </w:r>
          </w:p>
        </w:tc>
        <w:tc>
          <w:tcPr>
            <w:tcW w:w="1642" w:type="dxa"/>
            <w:noWrap/>
            <w:hideMark/>
          </w:tcPr>
          <w:p w14:paraId="1CD064DE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270</w:t>
            </w:r>
          </w:p>
        </w:tc>
        <w:tc>
          <w:tcPr>
            <w:tcW w:w="4595" w:type="dxa"/>
            <w:hideMark/>
          </w:tcPr>
          <w:p w14:paraId="01BA5C3D" w14:textId="45904CFB" w:rsidR="00E53ADB" w:rsidRPr="009079C5" w:rsidRDefault="00E53AD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Ghatnekar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</w:t>
            </w:r>
            <w:r w:rsidR="005B5F1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>2002)</w:t>
            </w:r>
            <w:r w:rsidR="005B5F1B" w:rsidRPr="009079C5">
              <w:rPr>
                <w:rFonts w:ascii="Times New Roman" w:hAnsi="Times New Roman"/>
                <w:sz w:val="22"/>
              </w:rPr>
              <w:t xml:space="preserve"> </w:t>
            </w:r>
            <w:r w:rsidRPr="009079C5">
              <w:rPr>
                <w:rFonts w:ascii="Times New Roman" w:hAnsi="Times New Roman"/>
                <w:sz w:val="22"/>
              </w:rPr>
              <w:t xml:space="preserve">cost includes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orthopaedic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appliances only among diabetic populations, original 2000 value €23 (monthly, conversion rate to GBP of 0.60949 [average for year 2000 from oanda.com])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_Ref6415884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10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30CF1C06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4450E07E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infected ulcer</w:t>
            </w:r>
          </w:p>
        </w:tc>
        <w:tc>
          <w:tcPr>
            <w:tcW w:w="1642" w:type="dxa"/>
            <w:noWrap/>
            <w:hideMark/>
          </w:tcPr>
          <w:p w14:paraId="6DC12AD2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2,043</w:t>
            </w:r>
          </w:p>
        </w:tc>
        <w:tc>
          <w:tcPr>
            <w:tcW w:w="4595" w:type="dxa"/>
            <w:hideMark/>
          </w:tcPr>
          <w:p w14:paraId="2694AD75" w14:textId="77777777" w:rsidR="00E53ADB" w:rsidRPr="009079C5" w:rsidRDefault="00E53AD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Ghatnekar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</w:t>
            </w:r>
            <w:r w:rsidR="005B5F1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 xml:space="preserve">2002) cost includes topical treatment,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antibacterials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, outpatient and inpatient care and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orthopaedic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appliances among diabetic populations, original 2000 value €2,091 (conversion rate to GBP of 0.60949 [average for year 2000 from oanda.com])</w:t>
            </w:r>
          </w:p>
        </w:tc>
      </w:tr>
      <w:tr w:rsidR="009079C5" w:rsidRPr="009079C5" w14:paraId="5EC4814D" w14:textId="77777777" w:rsidTr="00964AB5">
        <w:trPr>
          <w:trHeight w:val="300"/>
        </w:trPr>
        <w:tc>
          <w:tcPr>
            <w:tcW w:w="3085" w:type="dxa"/>
            <w:noWrap/>
            <w:hideMark/>
          </w:tcPr>
          <w:p w14:paraId="1472E6B4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standard uninfected ulcer</w:t>
            </w:r>
          </w:p>
        </w:tc>
        <w:tc>
          <w:tcPr>
            <w:tcW w:w="1642" w:type="dxa"/>
            <w:noWrap/>
            <w:hideMark/>
          </w:tcPr>
          <w:p w14:paraId="170936AC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2,003</w:t>
            </w:r>
          </w:p>
        </w:tc>
        <w:tc>
          <w:tcPr>
            <w:tcW w:w="4595" w:type="dxa"/>
            <w:hideMark/>
          </w:tcPr>
          <w:p w14:paraId="57832F90" w14:textId="56578920" w:rsidR="00E53ADB" w:rsidRPr="009079C5" w:rsidRDefault="00E53AD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Ghatnekar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</w:t>
            </w:r>
            <w:r w:rsidR="005B5F1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 xml:space="preserve">2002) cost includes topical treatment, outpatient and inpatient care and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orthopaedic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appliances among diabetic populations, original 2000 value €2,050 (conversion rate to GBP of 0.60949 [average for year 2000 from oanda.com])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_Ref6415884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10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  <w:tr w:rsidR="009079C5" w:rsidRPr="009079C5" w14:paraId="7C5A1F46" w14:textId="77777777" w:rsidTr="00964AB5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  <w:noWrap/>
            <w:hideMark/>
          </w:tcPr>
          <w:p w14:paraId="33A14695" w14:textId="77777777" w:rsidR="00E53ADB" w:rsidRPr="009079C5" w:rsidRDefault="00E53ADB" w:rsidP="00065338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Cost of healed ulcer (history of amputation)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noWrap/>
            <w:hideMark/>
          </w:tcPr>
          <w:p w14:paraId="4D1D9347" w14:textId="77777777" w:rsidR="00E53ADB" w:rsidRPr="009079C5" w:rsidRDefault="00E53ADB" w:rsidP="00E53AD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270</w:t>
            </w:r>
          </w:p>
        </w:tc>
        <w:tc>
          <w:tcPr>
            <w:tcW w:w="4595" w:type="dxa"/>
            <w:tcBorders>
              <w:bottom w:val="single" w:sz="4" w:space="0" w:color="auto"/>
            </w:tcBorders>
            <w:hideMark/>
          </w:tcPr>
          <w:p w14:paraId="02A7D9C5" w14:textId="308EECC9" w:rsidR="00E53ADB" w:rsidRPr="009079C5" w:rsidRDefault="00E53AD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Ghatnekar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et al. </w:t>
            </w:r>
            <w:r w:rsidR="005B5F1B" w:rsidRPr="009079C5">
              <w:rPr>
                <w:rFonts w:ascii="Times New Roman" w:hAnsi="Times New Roman"/>
                <w:sz w:val="22"/>
              </w:rPr>
              <w:t>(</w:t>
            </w:r>
            <w:r w:rsidRPr="009079C5">
              <w:rPr>
                <w:rFonts w:ascii="Times New Roman" w:hAnsi="Times New Roman"/>
                <w:sz w:val="22"/>
              </w:rPr>
              <w:t>2002</w:t>
            </w:r>
            <w:r w:rsidR="005B5F1B" w:rsidRPr="009079C5">
              <w:rPr>
                <w:rFonts w:ascii="Times New Roman" w:hAnsi="Times New Roman"/>
                <w:sz w:val="22"/>
              </w:rPr>
              <w:t xml:space="preserve">) </w:t>
            </w:r>
            <w:r w:rsidRPr="009079C5">
              <w:rPr>
                <w:rFonts w:ascii="Times New Roman" w:hAnsi="Times New Roman"/>
                <w:sz w:val="22"/>
              </w:rPr>
              <w:t xml:space="preserve">cost includes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orthopaedic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appliances only among diabetic populations, original 2000 value €23 (monthly, conversion rate to GBP of 0.60949 [average for year 2000 from oanda.com])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instrText xml:space="preserve"> NOTEREF _Ref6415884 \h  \* MERGEFORMAT </w:instrTex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="008027C8">
              <w:rPr>
                <w:rFonts w:ascii="Times New Roman" w:hAnsi="Times New Roman"/>
                <w:sz w:val="22"/>
                <w:vertAlign w:val="superscript"/>
              </w:rPr>
              <w:t>10</w:t>
            </w:r>
            <w:r w:rsidR="005B5F1B" w:rsidRPr="009079C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</w:tc>
      </w:tr>
    </w:tbl>
    <w:p w14:paraId="286EAFED" w14:textId="77777777" w:rsidR="00641C99" w:rsidRPr="009079C5" w:rsidRDefault="00641C99" w:rsidP="00C37786">
      <w:pPr>
        <w:pStyle w:val="Text"/>
        <w:rPr>
          <w:rFonts w:ascii="Times New Roman" w:hAnsi="Times New Roman"/>
          <w:sz w:val="22"/>
        </w:rPr>
      </w:pPr>
    </w:p>
    <w:p w14:paraId="395FEC71" w14:textId="77777777" w:rsidR="005B5F1B" w:rsidRPr="009079C5" w:rsidRDefault="005B5F1B" w:rsidP="001E6757">
      <w:pPr>
        <w:pStyle w:val="Caption"/>
        <w:pageBreakBefore/>
        <w:rPr>
          <w:rFonts w:ascii="Times New Roman" w:hAnsi="Times New Roman"/>
          <w:sz w:val="22"/>
        </w:rPr>
      </w:pPr>
      <w:r w:rsidRPr="009079C5">
        <w:rPr>
          <w:rFonts w:ascii="Times New Roman" w:hAnsi="Times New Roman"/>
          <w:sz w:val="22"/>
        </w:rPr>
        <w:lastRenderedPageBreak/>
        <w:t xml:space="preserve">Table </w:t>
      </w:r>
      <w:r w:rsidR="000A5184" w:rsidRPr="009079C5">
        <w:rPr>
          <w:rFonts w:ascii="Times New Roman" w:hAnsi="Times New Roman"/>
          <w:noProof/>
          <w:sz w:val="22"/>
        </w:rPr>
        <w:fldChar w:fldCharType="begin"/>
      </w:r>
      <w:r w:rsidR="000A5184" w:rsidRPr="009079C5">
        <w:rPr>
          <w:rFonts w:ascii="Times New Roman" w:hAnsi="Times New Roman"/>
          <w:noProof/>
          <w:sz w:val="22"/>
        </w:rPr>
        <w:instrText xml:space="preserve"> SEQ Table \* ARABIC </w:instrText>
      </w:r>
      <w:r w:rsidR="000A5184" w:rsidRPr="009079C5">
        <w:rPr>
          <w:rFonts w:ascii="Times New Roman" w:hAnsi="Times New Roman"/>
          <w:noProof/>
          <w:sz w:val="22"/>
        </w:rPr>
        <w:fldChar w:fldCharType="separate"/>
      </w:r>
      <w:r w:rsidR="008B43E4" w:rsidRPr="009079C5">
        <w:rPr>
          <w:rFonts w:ascii="Times New Roman" w:hAnsi="Times New Roman"/>
          <w:noProof/>
          <w:sz w:val="22"/>
        </w:rPr>
        <w:t>3</w:t>
      </w:r>
      <w:r w:rsidR="000A5184" w:rsidRPr="009079C5">
        <w:rPr>
          <w:rFonts w:ascii="Times New Roman" w:hAnsi="Times New Roman"/>
          <w:noProof/>
          <w:sz w:val="22"/>
        </w:rPr>
        <w:fldChar w:fldCharType="end"/>
      </w:r>
      <w:r w:rsidRPr="009079C5">
        <w:rPr>
          <w:rFonts w:ascii="Times New Roman" w:hAnsi="Times New Roman"/>
          <w:sz w:val="22"/>
        </w:rPr>
        <w:tab/>
        <w:t>Summary of values used in the estimation of indirect costs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5253"/>
      </w:tblGrid>
      <w:tr w:rsidR="009079C5" w:rsidRPr="009079C5" w14:paraId="19E61880" w14:textId="77777777" w:rsidTr="00964AB5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E809F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Cost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19917DF" w14:textId="77777777" w:rsidR="005B5F1B" w:rsidRPr="009079C5" w:rsidRDefault="005B5F1B" w:rsidP="005B5F1B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 xml:space="preserve">Value </w:t>
            </w:r>
            <w:r w:rsidRPr="009079C5">
              <w:rPr>
                <w:rFonts w:ascii="Times New Roman" w:hAnsi="Times New Roman"/>
                <w:b/>
                <w:sz w:val="22"/>
              </w:rPr>
              <w:br/>
              <w:t>(2018 GBP)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5A41E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  <w:r w:rsidRPr="009079C5">
              <w:rPr>
                <w:rFonts w:ascii="Times New Roman" w:hAnsi="Times New Roman"/>
                <w:b/>
                <w:sz w:val="22"/>
              </w:rPr>
              <w:t>Source</w:t>
            </w:r>
          </w:p>
        </w:tc>
      </w:tr>
      <w:tr w:rsidR="009079C5" w:rsidRPr="009079C5" w14:paraId="17A23FB3" w14:textId="77777777" w:rsidTr="00964AB5">
        <w:trPr>
          <w:trHeight w:val="300"/>
        </w:trPr>
        <w:tc>
          <w:tcPr>
            <w:tcW w:w="2376" w:type="dxa"/>
            <w:noWrap/>
            <w:vAlign w:val="center"/>
            <w:hideMark/>
          </w:tcPr>
          <w:p w14:paraId="2B4694E2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Retirement age (years)</w:t>
            </w:r>
          </w:p>
        </w:tc>
        <w:tc>
          <w:tcPr>
            <w:tcW w:w="1693" w:type="dxa"/>
            <w:noWrap/>
            <w:vAlign w:val="center"/>
            <w:hideMark/>
          </w:tcPr>
          <w:p w14:paraId="4DCA6649" w14:textId="77777777" w:rsidR="005B5F1B" w:rsidRPr="009079C5" w:rsidRDefault="005B5F1B" w:rsidP="005B5F1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65</w:t>
            </w:r>
          </w:p>
        </w:tc>
        <w:tc>
          <w:tcPr>
            <w:tcW w:w="5253" w:type="dxa"/>
            <w:vAlign w:val="center"/>
            <w:hideMark/>
          </w:tcPr>
          <w:p w14:paraId="68C2E398" w14:textId="77777777" w:rsidR="005B5F1B" w:rsidRPr="009079C5" w:rsidRDefault="008027C8" w:rsidP="005B5F1B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hyperlink r:id="rId8" w:history="1">
              <w:r w:rsidR="005B5F1B" w:rsidRPr="009079C5">
                <w:rPr>
                  <w:rStyle w:val="Hyperlink"/>
                  <w:rFonts w:ascii="Times New Roman" w:hAnsi="Times New Roman"/>
                  <w:color w:val="auto"/>
                  <w:sz w:val="18"/>
                </w:rPr>
                <w:t>https://www.gov.uk/government/news/proposed-new-timetable-for-state-pension-age-increases</w:t>
              </w:r>
            </w:hyperlink>
          </w:p>
        </w:tc>
      </w:tr>
      <w:tr w:rsidR="009079C5" w:rsidRPr="009079C5" w14:paraId="47150624" w14:textId="77777777" w:rsidTr="00964AB5">
        <w:trPr>
          <w:trHeight w:val="300"/>
        </w:trPr>
        <w:tc>
          <w:tcPr>
            <w:tcW w:w="2376" w:type="dxa"/>
            <w:noWrap/>
            <w:vAlign w:val="center"/>
            <w:hideMark/>
          </w:tcPr>
          <w:p w14:paraId="467264B5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Age at first income (years)</w:t>
            </w:r>
          </w:p>
        </w:tc>
        <w:tc>
          <w:tcPr>
            <w:tcW w:w="1693" w:type="dxa"/>
            <w:noWrap/>
            <w:vAlign w:val="center"/>
            <w:hideMark/>
          </w:tcPr>
          <w:p w14:paraId="2D8E53D0" w14:textId="77777777" w:rsidR="005B5F1B" w:rsidRPr="009079C5" w:rsidRDefault="005B5F1B" w:rsidP="005B5F1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5253" w:type="dxa"/>
            <w:vAlign w:val="center"/>
            <w:hideMark/>
          </w:tcPr>
          <w:p w14:paraId="48322728" w14:textId="77777777" w:rsidR="005B5F1B" w:rsidRPr="009079C5" w:rsidRDefault="008027C8" w:rsidP="005B5F1B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hyperlink r:id="rId9" w:history="1">
              <w:r w:rsidR="005B5F1B" w:rsidRPr="009079C5">
                <w:rPr>
                  <w:rStyle w:val="Hyperlink"/>
                  <w:rFonts w:ascii="Times New Roman" w:hAnsi="Times New Roman"/>
                  <w:color w:val="auto"/>
                  <w:sz w:val="18"/>
                </w:rPr>
                <w:t xml:space="preserve">https://www.gov.uk/child-employment </w:t>
              </w:r>
            </w:hyperlink>
          </w:p>
        </w:tc>
      </w:tr>
      <w:tr w:rsidR="009079C5" w:rsidRPr="009079C5" w14:paraId="157668FD" w14:textId="77777777" w:rsidTr="00964AB5">
        <w:trPr>
          <w:trHeight w:val="300"/>
        </w:trPr>
        <w:tc>
          <w:tcPr>
            <w:tcW w:w="2376" w:type="dxa"/>
            <w:noWrap/>
            <w:vAlign w:val="center"/>
            <w:hideMark/>
          </w:tcPr>
          <w:p w14:paraId="0C998067" w14:textId="0219A726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Mean salary male</w:t>
            </w:r>
            <w:r w:rsidR="008B43E4" w:rsidRPr="009079C5">
              <w:rPr>
                <w:rFonts w:ascii="Times New Roman" w:hAnsi="Times New Roman"/>
                <w:sz w:val="22"/>
              </w:rPr>
              <w:t>*</w:t>
            </w:r>
            <w:r w:rsidRPr="009079C5">
              <w:rPr>
                <w:rFonts w:ascii="Times New Roman" w:hAnsi="Times New Roman"/>
                <w:sz w:val="22"/>
              </w:rPr>
              <w:t xml:space="preserve"> (GBP)</w:t>
            </w:r>
          </w:p>
        </w:tc>
        <w:tc>
          <w:tcPr>
            <w:tcW w:w="1693" w:type="dxa"/>
            <w:noWrap/>
            <w:vAlign w:val="center"/>
            <w:hideMark/>
          </w:tcPr>
          <w:p w14:paraId="77DFA36A" w14:textId="77777777" w:rsidR="005B5F1B" w:rsidRPr="009079C5" w:rsidRDefault="005B5F1B" w:rsidP="005B5F1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28,698</w:t>
            </w:r>
          </w:p>
        </w:tc>
        <w:tc>
          <w:tcPr>
            <w:tcW w:w="5253" w:type="dxa"/>
            <w:vAlign w:val="center"/>
            <w:hideMark/>
          </w:tcPr>
          <w:p w14:paraId="598D1BF5" w14:textId="77777777" w:rsidR="005B5F1B" w:rsidRPr="009079C5" w:rsidRDefault="00C87729" w:rsidP="005B5F1B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 w:rsidRPr="009079C5">
              <w:rPr>
                <w:rFonts w:ascii="Times New Roman" w:hAnsi="Times New Roman"/>
                <w:sz w:val="18"/>
                <w:u w:val="single"/>
              </w:rPr>
              <w:t>https://www.ons.gov.uk/employmentandlabourmarket/peopleinwork/earningsandworkinghours/bulletins/annualsurveyofhoursandearnings/2017provisionaland2016revisedresults</w:t>
            </w:r>
          </w:p>
        </w:tc>
      </w:tr>
      <w:tr w:rsidR="009079C5" w:rsidRPr="009079C5" w14:paraId="1631F8EF" w14:textId="77777777" w:rsidTr="00964AB5">
        <w:trPr>
          <w:trHeight w:val="300"/>
        </w:trPr>
        <w:tc>
          <w:tcPr>
            <w:tcW w:w="2376" w:type="dxa"/>
            <w:noWrap/>
            <w:vAlign w:val="center"/>
            <w:hideMark/>
          </w:tcPr>
          <w:p w14:paraId="7AA6635C" w14:textId="4EBB4A2E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Mean salary female</w:t>
            </w:r>
            <w:r w:rsidR="008B43E4" w:rsidRPr="009079C5">
              <w:rPr>
                <w:rFonts w:ascii="Times New Roman" w:hAnsi="Times New Roman"/>
                <w:sz w:val="22"/>
              </w:rPr>
              <w:t>*</w:t>
            </w:r>
            <w:r w:rsidRPr="009079C5">
              <w:rPr>
                <w:rFonts w:ascii="Times New Roman" w:hAnsi="Times New Roman"/>
                <w:sz w:val="22"/>
              </w:rPr>
              <w:t xml:space="preserve"> (GBP)</w:t>
            </w:r>
          </w:p>
        </w:tc>
        <w:tc>
          <w:tcPr>
            <w:tcW w:w="1693" w:type="dxa"/>
            <w:noWrap/>
            <w:vAlign w:val="center"/>
            <w:hideMark/>
          </w:tcPr>
          <w:p w14:paraId="5C3EBC21" w14:textId="77777777" w:rsidR="005B5F1B" w:rsidRPr="009079C5" w:rsidRDefault="005B5F1B" w:rsidP="005B5F1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28,698</w:t>
            </w:r>
          </w:p>
        </w:tc>
        <w:tc>
          <w:tcPr>
            <w:tcW w:w="5253" w:type="dxa"/>
            <w:vAlign w:val="center"/>
            <w:hideMark/>
          </w:tcPr>
          <w:p w14:paraId="6DC413A1" w14:textId="77777777" w:rsidR="005B5F1B" w:rsidRPr="009079C5" w:rsidRDefault="00C87729" w:rsidP="005B5F1B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 w:rsidRPr="009079C5">
              <w:rPr>
                <w:rFonts w:ascii="Times New Roman" w:hAnsi="Times New Roman"/>
                <w:sz w:val="18"/>
                <w:u w:val="single"/>
              </w:rPr>
              <w:t>https://www.ons.gov.uk/employmentandlabourmarket/peopleinwork/earningsandworkinghours/bulletins/annualsurveyofhoursandearnings/2017provisionaland2016revisedresults</w:t>
            </w:r>
          </w:p>
        </w:tc>
      </w:tr>
      <w:tr w:rsidR="009079C5" w:rsidRPr="009079C5" w14:paraId="33B7B1EB" w14:textId="77777777" w:rsidTr="00964AB5">
        <w:trPr>
          <w:trHeight w:val="300"/>
        </w:trPr>
        <w:tc>
          <w:tcPr>
            <w:tcW w:w="2376" w:type="dxa"/>
            <w:noWrap/>
            <w:vAlign w:val="center"/>
          </w:tcPr>
          <w:p w14:paraId="16279C9A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No. work days/year (days)</w:t>
            </w:r>
          </w:p>
        </w:tc>
        <w:tc>
          <w:tcPr>
            <w:tcW w:w="1693" w:type="dxa"/>
            <w:noWrap/>
            <w:vAlign w:val="center"/>
            <w:hideMark/>
          </w:tcPr>
          <w:p w14:paraId="08AF8722" w14:textId="77777777" w:rsidR="005B5F1B" w:rsidRPr="009079C5" w:rsidRDefault="005B5F1B" w:rsidP="005B5F1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252</w:t>
            </w:r>
          </w:p>
        </w:tc>
        <w:tc>
          <w:tcPr>
            <w:tcW w:w="5253" w:type="dxa"/>
            <w:vAlign w:val="center"/>
            <w:hideMark/>
          </w:tcPr>
          <w:p w14:paraId="50DFC5E5" w14:textId="77777777" w:rsidR="005B5F1B" w:rsidRPr="009079C5" w:rsidRDefault="008027C8" w:rsidP="005B5F1B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hyperlink r:id="rId10" w:history="1">
              <w:r w:rsidR="005B5F1B" w:rsidRPr="009079C5">
                <w:rPr>
                  <w:rStyle w:val="Hyperlink"/>
                  <w:rFonts w:ascii="Times New Roman" w:hAnsi="Times New Roman"/>
                  <w:color w:val="auto"/>
                  <w:sz w:val="18"/>
                </w:rPr>
                <w:t xml:space="preserve">http://www.work-day.co.uk/workingdays_holidays_2017.htm </w:t>
              </w:r>
            </w:hyperlink>
          </w:p>
        </w:tc>
      </w:tr>
      <w:tr w:rsidR="009079C5" w:rsidRPr="009079C5" w14:paraId="0C2A766B" w14:textId="77777777" w:rsidTr="00964AB5">
        <w:trPr>
          <w:trHeight w:val="300"/>
        </w:trPr>
        <w:tc>
          <w:tcPr>
            <w:tcW w:w="2376" w:type="dxa"/>
            <w:tcBorders>
              <w:bottom w:val="single" w:sz="4" w:space="0" w:color="auto"/>
            </w:tcBorders>
            <w:noWrap/>
            <w:vAlign w:val="center"/>
          </w:tcPr>
          <w:p w14:paraId="2931420A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Days off work estimates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noWrap/>
            <w:hideMark/>
          </w:tcPr>
          <w:p w14:paraId="61BF3FEA" w14:textId="6D0D74E4" w:rsidR="005B5F1B" w:rsidRPr="009079C5" w:rsidRDefault="00964AB5" w:rsidP="005B5F1B">
            <w:pPr>
              <w:pStyle w:val="Tabletext"/>
              <w:jc w:val="center"/>
              <w:rPr>
                <w:rFonts w:ascii="Times New Roman" w:hAnsi="Times New Roman"/>
                <w:sz w:val="22"/>
              </w:rPr>
            </w:pPr>
            <w:r w:rsidRPr="009079C5">
              <w:rPr>
                <w:rFonts w:ascii="Times New Roman" w:hAnsi="Times New Roman"/>
                <w:sz w:val="22"/>
              </w:rPr>
              <w:t>See publication for details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vAlign w:val="center"/>
            <w:hideMark/>
          </w:tcPr>
          <w:p w14:paraId="0103DC63" w14:textId="77777777" w:rsidR="005B5F1B" w:rsidRPr="009079C5" w:rsidRDefault="005B5F1B" w:rsidP="005B5F1B">
            <w:pPr>
              <w:pStyle w:val="Tabletext"/>
              <w:rPr>
                <w:rFonts w:ascii="Times New Roman" w:hAnsi="Times New Roman"/>
                <w:sz w:val="22"/>
              </w:rPr>
            </w:pPr>
            <w:proofErr w:type="spellStart"/>
            <w:r w:rsidRPr="009079C5">
              <w:rPr>
                <w:rFonts w:ascii="Times New Roman" w:hAnsi="Times New Roman"/>
                <w:sz w:val="22"/>
              </w:rPr>
              <w:t>Ploug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and </w:t>
            </w:r>
            <w:proofErr w:type="spellStart"/>
            <w:r w:rsidRPr="009079C5">
              <w:rPr>
                <w:rFonts w:ascii="Times New Roman" w:hAnsi="Times New Roman"/>
                <w:sz w:val="22"/>
              </w:rPr>
              <w:t>Sørensen</w:t>
            </w:r>
            <w:proofErr w:type="spellEnd"/>
            <w:r w:rsidRPr="009079C5">
              <w:rPr>
                <w:rFonts w:ascii="Times New Roman" w:hAnsi="Times New Roman"/>
                <w:sz w:val="22"/>
              </w:rPr>
              <w:t xml:space="preserve"> (2013)</w:t>
            </w:r>
            <w:r w:rsidRPr="009079C5">
              <w:rPr>
                <w:rStyle w:val="EndnoteReference"/>
                <w:rFonts w:ascii="Times New Roman" w:hAnsi="Times New Roman"/>
                <w:sz w:val="22"/>
              </w:rPr>
              <w:endnoteReference w:id="11"/>
            </w:r>
          </w:p>
        </w:tc>
      </w:tr>
    </w:tbl>
    <w:p w14:paraId="540DA00B" w14:textId="69369D69" w:rsidR="00641C99" w:rsidRPr="009079C5" w:rsidRDefault="008B43E4" w:rsidP="008B43E4">
      <w:pPr>
        <w:pStyle w:val="Footnote"/>
        <w:rPr>
          <w:rFonts w:ascii="Times New Roman" w:hAnsi="Times New Roman"/>
          <w:sz w:val="20"/>
        </w:rPr>
      </w:pPr>
      <w:r w:rsidRPr="009079C5">
        <w:rPr>
          <w:rFonts w:ascii="Times New Roman" w:hAnsi="Times New Roman"/>
          <w:sz w:val="20"/>
        </w:rPr>
        <w:t>* estimated based on a published median weekly salary in 2017 of GBP 550 (multiplied by (365.25/7)).</w:t>
      </w:r>
    </w:p>
    <w:p w14:paraId="713238DC" w14:textId="419139CB" w:rsidR="00A71C2F" w:rsidRPr="009079C5" w:rsidRDefault="00A71C2F" w:rsidP="00A71C2F">
      <w:pPr>
        <w:pStyle w:val="Caption"/>
        <w:pageBreakBefore/>
        <w:rPr>
          <w:rFonts w:ascii="Times New Roman" w:hAnsi="Times New Roman"/>
          <w:sz w:val="22"/>
        </w:rPr>
      </w:pPr>
      <w:r w:rsidRPr="009079C5">
        <w:rPr>
          <w:rFonts w:ascii="Times New Roman" w:hAnsi="Times New Roman"/>
          <w:sz w:val="22"/>
        </w:rPr>
        <w:lastRenderedPageBreak/>
        <w:t xml:space="preserve">Table </w:t>
      </w:r>
      <w:r w:rsidR="000A5184" w:rsidRPr="009079C5">
        <w:rPr>
          <w:rFonts w:ascii="Times New Roman" w:hAnsi="Times New Roman"/>
          <w:noProof/>
          <w:sz w:val="22"/>
        </w:rPr>
        <w:fldChar w:fldCharType="begin"/>
      </w:r>
      <w:r w:rsidR="000A5184" w:rsidRPr="009079C5">
        <w:rPr>
          <w:rFonts w:ascii="Times New Roman" w:hAnsi="Times New Roman"/>
          <w:noProof/>
          <w:sz w:val="22"/>
        </w:rPr>
        <w:instrText xml:space="preserve"> SEQ Table \* ARABIC </w:instrText>
      </w:r>
      <w:r w:rsidR="000A5184" w:rsidRPr="009079C5">
        <w:rPr>
          <w:rFonts w:ascii="Times New Roman" w:hAnsi="Times New Roman"/>
          <w:noProof/>
          <w:sz w:val="22"/>
        </w:rPr>
        <w:fldChar w:fldCharType="separate"/>
      </w:r>
      <w:r w:rsidR="00634762" w:rsidRPr="009079C5">
        <w:rPr>
          <w:rFonts w:ascii="Times New Roman" w:hAnsi="Times New Roman"/>
          <w:noProof/>
          <w:sz w:val="22"/>
        </w:rPr>
        <w:t>4</w:t>
      </w:r>
      <w:r w:rsidR="000A5184" w:rsidRPr="009079C5">
        <w:rPr>
          <w:rFonts w:ascii="Times New Roman" w:hAnsi="Times New Roman"/>
          <w:noProof/>
          <w:sz w:val="22"/>
        </w:rPr>
        <w:fldChar w:fldCharType="end"/>
      </w:r>
      <w:r w:rsidRPr="009079C5">
        <w:rPr>
          <w:rFonts w:ascii="Times New Roman" w:hAnsi="Times New Roman"/>
          <w:sz w:val="22"/>
        </w:rPr>
        <w:tab/>
      </w:r>
      <w:r w:rsidR="00DA6C09" w:rsidRPr="009079C5">
        <w:rPr>
          <w:rFonts w:ascii="Times New Roman" w:hAnsi="Times New Roman"/>
          <w:sz w:val="22"/>
        </w:rPr>
        <w:t>Cost savings associated with diabetes-related complications avoided for patients reaching glycemic targets (HbA1c 7.0%, 53 mmol/mol) versus having poor glycemic control (</w:t>
      </w:r>
      <w:r w:rsidRPr="009079C5">
        <w:rPr>
          <w:rFonts w:ascii="Times New Roman" w:hAnsi="Times New Roman"/>
          <w:sz w:val="22"/>
        </w:rPr>
        <w:t>HbA1c 8.2%</w:t>
      </w:r>
      <w:r w:rsidR="00DA6C09" w:rsidRPr="009079C5">
        <w:rPr>
          <w:rFonts w:ascii="Times New Roman" w:hAnsi="Times New Roman"/>
          <w:sz w:val="22"/>
        </w:rPr>
        <w:t xml:space="preserve">, 66 mmol/mol) </w:t>
      </w:r>
      <w:r w:rsidRPr="009079C5">
        <w:rPr>
          <w:rFonts w:ascii="Times New Roman" w:hAnsi="Times New Roman"/>
          <w:sz w:val="22"/>
        </w:rPr>
        <w:t>(</w:t>
      </w:r>
      <w:r w:rsidR="00634762" w:rsidRPr="009079C5">
        <w:rPr>
          <w:rFonts w:ascii="Times New Roman" w:hAnsi="Times New Roman"/>
          <w:sz w:val="22"/>
        </w:rPr>
        <w:t>un</w:t>
      </w:r>
      <w:r w:rsidRPr="009079C5">
        <w:rPr>
          <w:rFonts w:ascii="Times New Roman" w:hAnsi="Times New Roman"/>
          <w:sz w:val="22"/>
        </w:rPr>
        <w:t>discounted</w:t>
      </w:r>
      <w:r w:rsidR="00DA6C09" w:rsidRPr="009079C5">
        <w:rPr>
          <w:rFonts w:ascii="Times New Roman" w:hAnsi="Times New Roman"/>
          <w:sz w:val="22"/>
        </w:rPr>
        <w:t xml:space="preserve"> results</w:t>
      </w:r>
      <w:r w:rsidRPr="009079C5">
        <w:rPr>
          <w:rFonts w:ascii="Times New Roman" w:hAnsi="Times New Roman"/>
          <w:sz w:val="22"/>
        </w:rPr>
        <w:t>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1253"/>
        <w:gridCol w:w="1253"/>
        <w:gridCol w:w="1253"/>
        <w:gridCol w:w="1253"/>
        <w:gridCol w:w="1254"/>
      </w:tblGrid>
      <w:tr w:rsidR="009079C5" w:rsidRPr="009079C5" w14:paraId="43D16EED" w14:textId="77777777" w:rsidTr="001054D2">
        <w:trPr>
          <w:trHeight w:val="255"/>
          <w:tblHeader/>
        </w:trPr>
        <w:tc>
          <w:tcPr>
            <w:tcW w:w="30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EBC4470" w14:textId="77777777" w:rsidR="00A71C2F" w:rsidRPr="009079C5" w:rsidRDefault="00A71C2F" w:rsidP="00A71C2F">
            <w:pPr>
              <w:pStyle w:val="Tabletext"/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79A418D" w14:textId="77777777" w:rsidR="00A71C2F" w:rsidRPr="009079C5" w:rsidRDefault="00A71C2F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Time horizon</w:t>
            </w:r>
          </w:p>
        </w:tc>
      </w:tr>
      <w:tr w:rsidR="009079C5" w:rsidRPr="009079C5" w14:paraId="7B80177A" w14:textId="77777777" w:rsidTr="001054D2">
        <w:trPr>
          <w:trHeight w:val="255"/>
          <w:tblHeader/>
        </w:trPr>
        <w:tc>
          <w:tcPr>
            <w:tcW w:w="30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99567C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997AB77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3 years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99B497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5 years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5B2062F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10 years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3A7CD02" w14:textId="7AAF049E" w:rsidR="001054D2" w:rsidRPr="009079C5" w:rsidRDefault="00B30A48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1054D2" w:rsidRPr="009079C5">
              <w:rPr>
                <w:rFonts w:ascii="Times New Roman" w:hAnsi="Times New Roman"/>
                <w:b/>
                <w:sz w:val="22"/>
                <w:szCs w:val="22"/>
              </w:rPr>
              <w:t xml:space="preserve"> years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770BFEF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Lifetime</w:t>
            </w:r>
          </w:p>
        </w:tc>
      </w:tr>
      <w:tr w:rsidR="009079C5" w:rsidRPr="009079C5" w14:paraId="4953F91A" w14:textId="77777777" w:rsidTr="001054D2">
        <w:trPr>
          <w:trHeight w:val="255"/>
        </w:trPr>
        <w:tc>
          <w:tcPr>
            <w:tcW w:w="9322" w:type="dxa"/>
            <w:gridSpan w:val="6"/>
            <w:tcBorders>
              <w:top w:val="single" w:sz="4" w:space="0" w:color="auto"/>
            </w:tcBorders>
            <w:noWrap/>
          </w:tcPr>
          <w:p w14:paraId="7C11937C" w14:textId="77777777" w:rsidR="00A71C2F" w:rsidRPr="009079C5" w:rsidRDefault="00A71C2F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Intensification delayed by 1 year</w:t>
            </w:r>
          </w:p>
        </w:tc>
      </w:tr>
      <w:tr w:rsidR="009079C5" w:rsidRPr="009079C5" w14:paraId="26C46217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35883A6E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Per patient outcomes</w:t>
            </w:r>
          </w:p>
        </w:tc>
        <w:tc>
          <w:tcPr>
            <w:tcW w:w="1253" w:type="dxa"/>
            <w:noWrap/>
            <w:hideMark/>
          </w:tcPr>
          <w:p w14:paraId="46365B96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  <w:hideMark/>
          </w:tcPr>
          <w:p w14:paraId="2E646A3A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  <w:hideMark/>
          </w:tcPr>
          <w:p w14:paraId="5D4BF9A7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  <w:hideMark/>
          </w:tcPr>
          <w:p w14:paraId="363966EA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noWrap/>
            <w:hideMark/>
          </w:tcPr>
          <w:p w14:paraId="532E000A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2ED17347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56F3D9C1" w14:textId="77777777" w:rsidR="00DA6C09" w:rsidRPr="009079C5" w:rsidRDefault="00DA6C09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(GBP)</w:t>
            </w:r>
          </w:p>
        </w:tc>
        <w:tc>
          <w:tcPr>
            <w:tcW w:w="1253" w:type="dxa"/>
            <w:noWrap/>
            <w:vAlign w:val="bottom"/>
          </w:tcPr>
          <w:p w14:paraId="63F5B34D" w14:textId="6EFDD3DE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77.98</w:t>
            </w:r>
          </w:p>
        </w:tc>
        <w:tc>
          <w:tcPr>
            <w:tcW w:w="1253" w:type="dxa"/>
            <w:noWrap/>
            <w:vAlign w:val="bottom"/>
          </w:tcPr>
          <w:p w14:paraId="63EC8A48" w14:textId="1AB5EDCD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117.14</w:t>
            </w:r>
          </w:p>
        </w:tc>
        <w:tc>
          <w:tcPr>
            <w:tcW w:w="1253" w:type="dxa"/>
            <w:noWrap/>
            <w:vAlign w:val="bottom"/>
          </w:tcPr>
          <w:p w14:paraId="0481C8EC" w14:textId="50709894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206.06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bottom"/>
          </w:tcPr>
          <w:p w14:paraId="2FE166D3" w14:textId="5933ED98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bottom"/>
          </w:tcPr>
          <w:p w14:paraId="7532897D" w14:textId="0A9A4E12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291.88</w:t>
            </w:r>
          </w:p>
        </w:tc>
      </w:tr>
      <w:tr w:rsidR="009079C5" w:rsidRPr="009079C5" w14:paraId="3EF6A47A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34402FCE" w14:textId="77777777" w:rsidR="00DA6C09" w:rsidRPr="009079C5" w:rsidRDefault="00DA6C09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(GBP)</w:t>
            </w:r>
          </w:p>
        </w:tc>
        <w:tc>
          <w:tcPr>
            <w:tcW w:w="1253" w:type="dxa"/>
            <w:noWrap/>
            <w:vAlign w:val="bottom"/>
          </w:tcPr>
          <w:p w14:paraId="1D76B07A" w14:textId="5CB1B605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456.32</w:t>
            </w:r>
          </w:p>
        </w:tc>
        <w:tc>
          <w:tcPr>
            <w:tcW w:w="1253" w:type="dxa"/>
            <w:noWrap/>
            <w:vAlign w:val="bottom"/>
          </w:tcPr>
          <w:p w14:paraId="6D5D0C76" w14:textId="28A0C179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795.70</w:t>
            </w:r>
          </w:p>
        </w:tc>
        <w:tc>
          <w:tcPr>
            <w:tcW w:w="1253" w:type="dxa"/>
            <w:noWrap/>
            <w:vAlign w:val="bottom"/>
          </w:tcPr>
          <w:p w14:paraId="25B40A66" w14:textId="3A2B08C3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720.45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bottom"/>
          </w:tcPr>
          <w:p w14:paraId="18578EBC" w14:textId="382ED063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bottom"/>
          </w:tcPr>
          <w:p w14:paraId="720B84E8" w14:textId="1FFBF776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671.83</w:t>
            </w:r>
          </w:p>
        </w:tc>
      </w:tr>
      <w:tr w:rsidR="009079C5" w:rsidRPr="009079C5" w14:paraId="77B695E7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1710C140" w14:textId="77777777" w:rsidR="00DA6C09" w:rsidRPr="009079C5" w:rsidRDefault="00DA6C09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(GBP)</w:t>
            </w:r>
          </w:p>
        </w:tc>
        <w:tc>
          <w:tcPr>
            <w:tcW w:w="1253" w:type="dxa"/>
            <w:noWrap/>
            <w:vAlign w:val="bottom"/>
          </w:tcPr>
          <w:p w14:paraId="78D2816C" w14:textId="20511C72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534.30</w:t>
            </w:r>
          </w:p>
        </w:tc>
        <w:tc>
          <w:tcPr>
            <w:tcW w:w="1253" w:type="dxa"/>
            <w:noWrap/>
            <w:vAlign w:val="bottom"/>
          </w:tcPr>
          <w:p w14:paraId="3EBC0FE2" w14:textId="62BD0C31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912.83</w:t>
            </w:r>
          </w:p>
        </w:tc>
        <w:tc>
          <w:tcPr>
            <w:tcW w:w="1253" w:type="dxa"/>
            <w:noWrap/>
            <w:vAlign w:val="bottom"/>
          </w:tcPr>
          <w:p w14:paraId="4FBA307C" w14:textId="09899849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926.52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bottom"/>
          </w:tcPr>
          <w:p w14:paraId="7FDDCD01" w14:textId="76FD3C94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bottom"/>
          </w:tcPr>
          <w:p w14:paraId="7B0E894F" w14:textId="7EA3CBE2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963.71</w:t>
            </w:r>
          </w:p>
        </w:tc>
      </w:tr>
      <w:tr w:rsidR="009079C5" w:rsidRPr="009079C5" w14:paraId="2DA8E58D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4CC34928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Population outcomes</w:t>
            </w:r>
          </w:p>
        </w:tc>
        <w:tc>
          <w:tcPr>
            <w:tcW w:w="1253" w:type="dxa"/>
            <w:noWrap/>
          </w:tcPr>
          <w:p w14:paraId="7ADA635C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</w:tcPr>
          <w:p w14:paraId="2722CCD7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</w:tcPr>
          <w:p w14:paraId="7D1916DD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</w:tcPr>
          <w:p w14:paraId="7A5BE3B4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noWrap/>
          </w:tcPr>
          <w:p w14:paraId="323B729E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196EEB54" w14:textId="77777777" w:rsidTr="001E6757">
        <w:trPr>
          <w:trHeight w:val="255"/>
        </w:trPr>
        <w:tc>
          <w:tcPr>
            <w:tcW w:w="3056" w:type="dxa"/>
            <w:noWrap/>
            <w:hideMark/>
          </w:tcPr>
          <w:p w14:paraId="437B1702" w14:textId="77777777" w:rsidR="00DA6C09" w:rsidRPr="009079C5" w:rsidRDefault="00DA6C09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 millions)</w:t>
            </w:r>
          </w:p>
        </w:tc>
        <w:tc>
          <w:tcPr>
            <w:tcW w:w="1253" w:type="dxa"/>
            <w:noWrap/>
            <w:vAlign w:val="center"/>
          </w:tcPr>
          <w:p w14:paraId="642E77D3" w14:textId="4547D196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1253" w:type="dxa"/>
            <w:noWrap/>
            <w:vAlign w:val="center"/>
          </w:tcPr>
          <w:p w14:paraId="65B7BA28" w14:textId="6F404500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253" w:type="dxa"/>
            <w:noWrap/>
            <w:vAlign w:val="center"/>
          </w:tcPr>
          <w:p w14:paraId="546D8EEF" w14:textId="0FA40538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14:paraId="55600F1B" w14:textId="55A4F264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center"/>
          </w:tcPr>
          <w:p w14:paraId="61306A67" w14:textId="2268DE55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</w:tr>
      <w:tr w:rsidR="009079C5" w:rsidRPr="009079C5" w14:paraId="4B7A7A67" w14:textId="77777777" w:rsidTr="001E6757">
        <w:trPr>
          <w:trHeight w:val="255"/>
        </w:trPr>
        <w:tc>
          <w:tcPr>
            <w:tcW w:w="3056" w:type="dxa"/>
            <w:noWrap/>
            <w:hideMark/>
          </w:tcPr>
          <w:p w14:paraId="4F46BD4C" w14:textId="77777777" w:rsidR="00DA6C09" w:rsidRPr="009079C5" w:rsidRDefault="00DA6C09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 millions)</w:t>
            </w:r>
          </w:p>
        </w:tc>
        <w:tc>
          <w:tcPr>
            <w:tcW w:w="1253" w:type="dxa"/>
            <w:noWrap/>
            <w:vAlign w:val="center"/>
          </w:tcPr>
          <w:p w14:paraId="67D8E6E5" w14:textId="2C262411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531</w:t>
            </w:r>
          </w:p>
        </w:tc>
        <w:tc>
          <w:tcPr>
            <w:tcW w:w="1253" w:type="dxa"/>
            <w:noWrap/>
            <w:vAlign w:val="center"/>
          </w:tcPr>
          <w:p w14:paraId="071EDAAD" w14:textId="4E427B10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926</w:t>
            </w:r>
          </w:p>
        </w:tc>
        <w:tc>
          <w:tcPr>
            <w:tcW w:w="1253" w:type="dxa"/>
            <w:noWrap/>
            <w:vAlign w:val="center"/>
          </w:tcPr>
          <w:p w14:paraId="45B7DF83" w14:textId="6777FB50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838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14:paraId="24C5C3CD" w14:textId="33F3D1DA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center"/>
          </w:tcPr>
          <w:p w14:paraId="51F552E8" w14:textId="00F1187D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782</w:t>
            </w:r>
          </w:p>
        </w:tc>
      </w:tr>
      <w:tr w:rsidR="009079C5" w:rsidRPr="009079C5" w14:paraId="5A326E97" w14:textId="77777777" w:rsidTr="001E6757">
        <w:trPr>
          <w:trHeight w:val="255"/>
        </w:trPr>
        <w:tc>
          <w:tcPr>
            <w:tcW w:w="3056" w:type="dxa"/>
            <w:noWrap/>
            <w:hideMark/>
          </w:tcPr>
          <w:p w14:paraId="34B69F61" w14:textId="77777777" w:rsidR="00DA6C09" w:rsidRPr="009079C5" w:rsidRDefault="00DA6C09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 millions)</w:t>
            </w:r>
          </w:p>
        </w:tc>
        <w:tc>
          <w:tcPr>
            <w:tcW w:w="1253" w:type="dxa"/>
            <w:noWrap/>
            <w:vAlign w:val="center"/>
          </w:tcPr>
          <w:p w14:paraId="5D0D1D89" w14:textId="3C452084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622</w:t>
            </w:r>
          </w:p>
        </w:tc>
        <w:tc>
          <w:tcPr>
            <w:tcW w:w="1253" w:type="dxa"/>
            <w:noWrap/>
            <w:vAlign w:val="center"/>
          </w:tcPr>
          <w:p w14:paraId="5B32EDAE" w14:textId="42FD4F21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1,062</w:t>
            </w:r>
          </w:p>
        </w:tc>
        <w:tc>
          <w:tcPr>
            <w:tcW w:w="1253" w:type="dxa"/>
            <w:noWrap/>
            <w:vAlign w:val="center"/>
          </w:tcPr>
          <w:p w14:paraId="4BD50F0A" w14:textId="0AD18EDE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1,078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14:paraId="1B4288F7" w14:textId="2BC664C6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center"/>
          </w:tcPr>
          <w:p w14:paraId="628D1A2F" w14:textId="24628104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1,121</w:t>
            </w:r>
          </w:p>
        </w:tc>
      </w:tr>
      <w:tr w:rsidR="009079C5" w:rsidRPr="009079C5" w14:paraId="615AC1FE" w14:textId="77777777" w:rsidTr="001054D2">
        <w:trPr>
          <w:trHeight w:val="255"/>
        </w:trPr>
        <w:tc>
          <w:tcPr>
            <w:tcW w:w="9322" w:type="dxa"/>
            <w:gridSpan w:val="6"/>
            <w:tcBorders>
              <w:top w:val="single" w:sz="4" w:space="0" w:color="auto"/>
            </w:tcBorders>
            <w:noWrap/>
            <w:hideMark/>
          </w:tcPr>
          <w:p w14:paraId="3E4E6A8F" w14:textId="77777777" w:rsidR="00A71C2F" w:rsidRPr="009079C5" w:rsidRDefault="00A71C2F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Intensification delayed by 7 years</w:t>
            </w:r>
          </w:p>
        </w:tc>
      </w:tr>
      <w:tr w:rsidR="009079C5" w:rsidRPr="009079C5" w14:paraId="29CB9538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71D12980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Per patient outcomes</w:t>
            </w:r>
          </w:p>
        </w:tc>
        <w:tc>
          <w:tcPr>
            <w:tcW w:w="1253" w:type="dxa"/>
            <w:noWrap/>
          </w:tcPr>
          <w:p w14:paraId="003219DA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</w:tcPr>
          <w:p w14:paraId="1D166789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</w:tcPr>
          <w:p w14:paraId="7F8EB41B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</w:tcPr>
          <w:p w14:paraId="20A06706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noWrap/>
          </w:tcPr>
          <w:p w14:paraId="56BCF338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3E4AA501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02285213" w14:textId="77777777" w:rsidR="00DA6C09" w:rsidRPr="009079C5" w:rsidRDefault="00DA6C09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(GBP)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5FE15660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62BB98E9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bottom"/>
          </w:tcPr>
          <w:p w14:paraId="51E61309" w14:textId="316AC165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859.06</w:t>
            </w:r>
          </w:p>
        </w:tc>
        <w:tc>
          <w:tcPr>
            <w:tcW w:w="1253" w:type="dxa"/>
            <w:noWrap/>
            <w:vAlign w:val="bottom"/>
          </w:tcPr>
          <w:p w14:paraId="02752BCC" w14:textId="678A182E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1,372.02</w:t>
            </w:r>
          </w:p>
        </w:tc>
        <w:tc>
          <w:tcPr>
            <w:tcW w:w="1254" w:type="dxa"/>
            <w:noWrap/>
            <w:vAlign w:val="bottom"/>
          </w:tcPr>
          <w:p w14:paraId="67DA570E" w14:textId="37CE8A68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1,897.73</w:t>
            </w:r>
          </w:p>
        </w:tc>
      </w:tr>
      <w:tr w:rsidR="009079C5" w:rsidRPr="009079C5" w14:paraId="5CD77835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50A8E6F0" w14:textId="77777777" w:rsidR="00DA6C09" w:rsidRPr="009079C5" w:rsidRDefault="00DA6C09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(GBP)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7AB05B47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5AAAA7AE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bottom"/>
          </w:tcPr>
          <w:p w14:paraId="5FEFA5D6" w14:textId="09A08EA0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1,704.93</w:t>
            </w:r>
          </w:p>
        </w:tc>
        <w:tc>
          <w:tcPr>
            <w:tcW w:w="1253" w:type="dxa"/>
            <w:noWrap/>
            <w:vAlign w:val="bottom"/>
          </w:tcPr>
          <w:p w14:paraId="07B9E49A" w14:textId="6F8C579B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1,790.00</w:t>
            </w:r>
          </w:p>
        </w:tc>
        <w:tc>
          <w:tcPr>
            <w:tcW w:w="1254" w:type="dxa"/>
            <w:noWrap/>
            <w:vAlign w:val="bottom"/>
          </w:tcPr>
          <w:p w14:paraId="3236012A" w14:textId="7609BA16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1,781.13</w:t>
            </w:r>
          </w:p>
        </w:tc>
      </w:tr>
      <w:tr w:rsidR="009079C5" w:rsidRPr="009079C5" w14:paraId="5D7F0074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512B6753" w14:textId="77777777" w:rsidR="00DA6C09" w:rsidRPr="009079C5" w:rsidRDefault="00DA6C09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(GBP)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0927CA0D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567F019B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bottom"/>
          </w:tcPr>
          <w:p w14:paraId="616D6994" w14:textId="6E34C3AB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2,563.98</w:t>
            </w:r>
          </w:p>
        </w:tc>
        <w:tc>
          <w:tcPr>
            <w:tcW w:w="1253" w:type="dxa"/>
            <w:noWrap/>
            <w:vAlign w:val="bottom"/>
          </w:tcPr>
          <w:p w14:paraId="3D783D8A" w14:textId="794363B0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3,162.02</w:t>
            </w:r>
          </w:p>
        </w:tc>
        <w:tc>
          <w:tcPr>
            <w:tcW w:w="1254" w:type="dxa"/>
            <w:noWrap/>
            <w:vAlign w:val="bottom"/>
          </w:tcPr>
          <w:p w14:paraId="7AEC7CDC" w14:textId="29545EC9" w:rsidR="00DA6C09" w:rsidRPr="009079C5" w:rsidRDefault="00DA6C09" w:rsidP="00264DCC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3,678.86</w:t>
            </w:r>
          </w:p>
        </w:tc>
      </w:tr>
      <w:tr w:rsidR="009079C5" w:rsidRPr="009079C5" w14:paraId="751A11BB" w14:textId="77777777" w:rsidTr="001054D2">
        <w:trPr>
          <w:trHeight w:val="255"/>
        </w:trPr>
        <w:tc>
          <w:tcPr>
            <w:tcW w:w="3056" w:type="dxa"/>
            <w:noWrap/>
            <w:hideMark/>
          </w:tcPr>
          <w:p w14:paraId="6EC780E8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Population outcomes</w:t>
            </w:r>
          </w:p>
        </w:tc>
        <w:tc>
          <w:tcPr>
            <w:tcW w:w="1253" w:type="dxa"/>
            <w:shd w:val="clear" w:color="auto" w:fill="auto"/>
            <w:noWrap/>
          </w:tcPr>
          <w:p w14:paraId="76A94574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auto"/>
            <w:noWrap/>
          </w:tcPr>
          <w:p w14:paraId="56DA7909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bottom"/>
          </w:tcPr>
          <w:p w14:paraId="16623EE4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bottom"/>
          </w:tcPr>
          <w:p w14:paraId="52136487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54" w:type="dxa"/>
            <w:noWrap/>
            <w:vAlign w:val="bottom"/>
          </w:tcPr>
          <w:p w14:paraId="3F2121CA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5F41F368" w14:textId="77777777" w:rsidTr="001E6757">
        <w:trPr>
          <w:trHeight w:val="255"/>
        </w:trPr>
        <w:tc>
          <w:tcPr>
            <w:tcW w:w="3056" w:type="dxa"/>
            <w:noWrap/>
            <w:hideMark/>
          </w:tcPr>
          <w:p w14:paraId="04271A7D" w14:textId="77777777" w:rsidR="00DA6C09" w:rsidRPr="009079C5" w:rsidRDefault="00DA6C09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 millions)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6B2FE215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27013412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center"/>
          </w:tcPr>
          <w:p w14:paraId="74375480" w14:textId="0560FFBC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1,000</w:t>
            </w:r>
          </w:p>
        </w:tc>
        <w:tc>
          <w:tcPr>
            <w:tcW w:w="1253" w:type="dxa"/>
            <w:noWrap/>
            <w:vAlign w:val="center"/>
          </w:tcPr>
          <w:p w14:paraId="09B1BB06" w14:textId="753F7881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1,596</w:t>
            </w:r>
          </w:p>
        </w:tc>
        <w:tc>
          <w:tcPr>
            <w:tcW w:w="1254" w:type="dxa"/>
            <w:noWrap/>
            <w:vAlign w:val="center"/>
          </w:tcPr>
          <w:p w14:paraId="4C2269CE" w14:textId="1EFEE952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2,208</w:t>
            </w:r>
          </w:p>
        </w:tc>
      </w:tr>
      <w:tr w:rsidR="009079C5" w:rsidRPr="009079C5" w14:paraId="0D3D8569" w14:textId="77777777" w:rsidTr="001E6757">
        <w:trPr>
          <w:trHeight w:val="255"/>
        </w:trPr>
        <w:tc>
          <w:tcPr>
            <w:tcW w:w="3056" w:type="dxa"/>
            <w:noWrap/>
            <w:hideMark/>
          </w:tcPr>
          <w:p w14:paraId="0023B906" w14:textId="77777777" w:rsidR="00DA6C09" w:rsidRPr="009079C5" w:rsidRDefault="00DA6C09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 millions)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757DBF4B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  <w:noWrap/>
          </w:tcPr>
          <w:p w14:paraId="74208F37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noWrap/>
            <w:vAlign w:val="center"/>
          </w:tcPr>
          <w:p w14:paraId="202319A8" w14:textId="3449BD64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1,984</w:t>
            </w:r>
          </w:p>
        </w:tc>
        <w:tc>
          <w:tcPr>
            <w:tcW w:w="1253" w:type="dxa"/>
            <w:noWrap/>
            <w:vAlign w:val="center"/>
          </w:tcPr>
          <w:p w14:paraId="7D9C126D" w14:textId="0BF36D90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2,083</w:t>
            </w:r>
          </w:p>
        </w:tc>
        <w:tc>
          <w:tcPr>
            <w:tcW w:w="1254" w:type="dxa"/>
            <w:noWrap/>
            <w:vAlign w:val="center"/>
          </w:tcPr>
          <w:p w14:paraId="15B2F3BE" w14:textId="14BEE4B0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2,072</w:t>
            </w:r>
          </w:p>
        </w:tc>
      </w:tr>
      <w:tr w:rsidR="009079C5" w:rsidRPr="009079C5" w14:paraId="015EF19C" w14:textId="77777777" w:rsidTr="001E6757">
        <w:trPr>
          <w:trHeight w:val="255"/>
        </w:trPr>
        <w:tc>
          <w:tcPr>
            <w:tcW w:w="3056" w:type="dxa"/>
            <w:tcBorders>
              <w:bottom w:val="single" w:sz="4" w:space="0" w:color="auto"/>
            </w:tcBorders>
            <w:noWrap/>
            <w:hideMark/>
          </w:tcPr>
          <w:p w14:paraId="0C33C844" w14:textId="77777777" w:rsidR="00DA6C09" w:rsidRPr="009079C5" w:rsidRDefault="00DA6C09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 millions)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996983E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15B5D8F" w14:textId="77777777" w:rsidR="00DA6C09" w:rsidRPr="009079C5" w:rsidRDefault="00DA6C09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14:paraId="09212B64" w14:textId="7A57F054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2,983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noWrap/>
            <w:vAlign w:val="center"/>
          </w:tcPr>
          <w:p w14:paraId="588A5925" w14:textId="1AABAFCB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3,679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noWrap/>
            <w:vAlign w:val="center"/>
          </w:tcPr>
          <w:p w14:paraId="3A419787" w14:textId="4783BA2A" w:rsidR="00DA6C09" w:rsidRPr="009079C5" w:rsidRDefault="00DA6C09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4,281</w:t>
            </w:r>
          </w:p>
        </w:tc>
      </w:tr>
    </w:tbl>
    <w:p w14:paraId="6C015E1F" w14:textId="77777777" w:rsidR="00A71C2F" w:rsidRPr="009079C5" w:rsidRDefault="00A71C2F" w:rsidP="00A71C2F">
      <w:pPr>
        <w:pStyle w:val="Footnote"/>
        <w:rPr>
          <w:rFonts w:ascii="Times New Roman" w:hAnsi="Times New Roman"/>
          <w:sz w:val="22"/>
          <w:szCs w:val="22"/>
        </w:rPr>
      </w:pPr>
      <w:r w:rsidRPr="009079C5">
        <w:rPr>
          <w:rFonts w:ascii="Times New Roman" w:hAnsi="Times New Roman"/>
          <w:sz w:val="22"/>
          <w:szCs w:val="22"/>
        </w:rPr>
        <w:t>GBP, British Pounds Sterling</w:t>
      </w:r>
    </w:p>
    <w:p w14:paraId="0B84C373" w14:textId="77777777" w:rsidR="00A71C2F" w:rsidRPr="009079C5" w:rsidRDefault="00A71C2F" w:rsidP="00A71C2F">
      <w:pPr>
        <w:pStyle w:val="Text"/>
        <w:rPr>
          <w:rFonts w:ascii="Times New Roman" w:hAnsi="Times New Roman"/>
          <w:sz w:val="22"/>
        </w:rPr>
      </w:pPr>
    </w:p>
    <w:p w14:paraId="7F4AD3BD" w14:textId="1762DAA5" w:rsidR="00A71C2F" w:rsidRPr="009079C5" w:rsidRDefault="00A71C2F" w:rsidP="00A71C2F">
      <w:pPr>
        <w:pStyle w:val="Caption"/>
        <w:pageBreakBefore/>
        <w:rPr>
          <w:rFonts w:ascii="Times New Roman" w:hAnsi="Times New Roman"/>
          <w:sz w:val="22"/>
          <w:szCs w:val="22"/>
        </w:rPr>
      </w:pPr>
      <w:r w:rsidRPr="009079C5">
        <w:rPr>
          <w:rFonts w:ascii="Times New Roman" w:hAnsi="Times New Roman"/>
          <w:sz w:val="22"/>
          <w:szCs w:val="22"/>
        </w:rPr>
        <w:lastRenderedPageBreak/>
        <w:t xml:space="preserve">Table </w:t>
      </w:r>
      <w:r w:rsidR="000A5184" w:rsidRPr="009079C5">
        <w:rPr>
          <w:rFonts w:ascii="Times New Roman" w:hAnsi="Times New Roman"/>
          <w:noProof/>
          <w:sz w:val="22"/>
          <w:szCs w:val="22"/>
        </w:rPr>
        <w:fldChar w:fldCharType="begin"/>
      </w:r>
      <w:r w:rsidR="000A5184" w:rsidRPr="009079C5">
        <w:rPr>
          <w:rFonts w:ascii="Times New Roman" w:hAnsi="Times New Roman"/>
          <w:noProof/>
          <w:sz w:val="22"/>
          <w:szCs w:val="22"/>
        </w:rPr>
        <w:instrText xml:space="preserve"> SEQ Table \* ARABIC </w:instrText>
      </w:r>
      <w:r w:rsidR="000A5184" w:rsidRPr="009079C5">
        <w:rPr>
          <w:rFonts w:ascii="Times New Roman" w:hAnsi="Times New Roman"/>
          <w:noProof/>
          <w:sz w:val="22"/>
          <w:szCs w:val="22"/>
        </w:rPr>
        <w:fldChar w:fldCharType="separate"/>
      </w:r>
      <w:r w:rsidR="00634762" w:rsidRPr="009079C5">
        <w:rPr>
          <w:rFonts w:ascii="Times New Roman" w:hAnsi="Times New Roman"/>
          <w:noProof/>
          <w:sz w:val="22"/>
          <w:szCs w:val="22"/>
        </w:rPr>
        <w:t>5</w:t>
      </w:r>
      <w:r w:rsidR="000A5184" w:rsidRPr="009079C5">
        <w:rPr>
          <w:rFonts w:ascii="Times New Roman" w:hAnsi="Times New Roman"/>
          <w:noProof/>
          <w:sz w:val="22"/>
          <w:szCs w:val="22"/>
        </w:rPr>
        <w:fldChar w:fldCharType="end"/>
      </w:r>
      <w:r w:rsidRPr="009079C5">
        <w:rPr>
          <w:rFonts w:ascii="Times New Roman" w:hAnsi="Times New Roman"/>
          <w:sz w:val="22"/>
          <w:szCs w:val="22"/>
        </w:rPr>
        <w:tab/>
      </w:r>
      <w:r w:rsidR="00DA6C09" w:rsidRPr="009079C5">
        <w:rPr>
          <w:rFonts w:ascii="Times New Roman" w:hAnsi="Times New Roman"/>
          <w:sz w:val="22"/>
          <w:szCs w:val="22"/>
        </w:rPr>
        <w:t>Cost savings associated with diabetes-related complications avoided for patients reaching glycemic targets (HbA1c 7.0%, 53 mmol/mol) versus having poor glycemic control (HbA1c 9.0%, 75 mmol/mol) (undiscounted results)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1260"/>
        <w:gridCol w:w="1261"/>
        <w:gridCol w:w="1261"/>
        <w:gridCol w:w="1261"/>
        <w:gridCol w:w="1261"/>
      </w:tblGrid>
      <w:tr w:rsidR="009079C5" w:rsidRPr="009079C5" w14:paraId="02C70730" w14:textId="77777777" w:rsidTr="001054D2">
        <w:trPr>
          <w:trHeight w:val="255"/>
          <w:tblHeader/>
        </w:trPr>
        <w:tc>
          <w:tcPr>
            <w:tcW w:w="301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4A9E601" w14:textId="77777777" w:rsidR="00A71C2F" w:rsidRPr="009079C5" w:rsidRDefault="00A71C2F" w:rsidP="00A71C2F">
            <w:pPr>
              <w:pStyle w:val="Tabletext"/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4E9A761" w14:textId="77777777" w:rsidR="00A71C2F" w:rsidRPr="009079C5" w:rsidRDefault="00A71C2F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Time horizon</w:t>
            </w:r>
          </w:p>
        </w:tc>
      </w:tr>
      <w:tr w:rsidR="009079C5" w:rsidRPr="009079C5" w14:paraId="034F25E2" w14:textId="77777777" w:rsidTr="001054D2">
        <w:trPr>
          <w:trHeight w:val="255"/>
          <w:tblHeader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86B72D6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2150A4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3 years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1F6657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5 years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A5EB60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10 years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439E8F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15 years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DCA267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Lifetime</w:t>
            </w:r>
          </w:p>
        </w:tc>
      </w:tr>
      <w:tr w:rsidR="009079C5" w:rsidRPr="009079C5" w14:paraId="07DD6FE0" w14:textId="77777777" w:rsidTr="00393AC1">
        <w:trPr>
          <w:trHeight w:val="255"/>
        </w:trPr>
        <w:tc>
          <w:tcPr>
            <w:tcW w:w="9322" w:type="dxa"/>
            <w:gridSpan w:val="6"/>
            <w:tcBorders>
              <w:top w:val="single" w:sz="4" w:space="0" w:color="auto"/>
            </w:tcBorders>
            <w:noWrap/>
          </w:tcPr>
          <w:p w14:paraId="0E6D0820" w14:textId="6B585C35" w:rsidR="001054D2" w:rsidRPr="009079C5" w:rsidRDefault="001054D2" w:rsidP="001054D2">
            <w:pPr>
              <w:pStyle w:val="Tabletext"/>
              <w:keepNext/>
              <w:keepLines/>
              <w:tabs>
                <w:tab w:val="left" w:pos="37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Intensification delayed by 1 year</w:t>
            </w:r>
          </w:p>
        </w:tc>
      </w:tr>
      <w:tr w:rsidR="009079C5" w:rsidRPr="009079C5" w14:paraId="3021A52B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551989FD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Per patient outcomes</w:t>
            </w:r>
          </w:p>
        </w:tc>
        <w:tc>
          <w:tcPr>
            <w:tcW w:w="1260" w:type="dxa"/>
            <w:noWrap/>
            <w:hideMark/>
          </w:tcPr>
          <w:p w14:paraId="4FCF8FCB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68CC3343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7CD78D58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74565A68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70FCDFC6" w14:textId="77777777" w:rsidR="001054D2" w:rsidRPr="009079C5" w:rsidRDefault="001054D2" w:rsidP="00A71C2F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0DAC8F9F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15CA2E60" w14:textId="77777777" w:rsidR="0022307A" w:rsidRPr="009079C5" w:rsidRDefault="0022307A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(GBP)</w:t>
            </w:r>
          </w:p>
        </w:tc>
        <w:tc>
          <w:tcPr>
            <w:tcW w:w="1260" w:type="dxa"/>
            <w:noWrap/>
            <w:vAlign w:val="bottom"/>
          </w:tcPr>
          <w:p w14:paraId="0861E4DB" w14:textId="36614EE1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136.76</w:t>
            </w:r>
          </w:p>
        </w:tc>
        <w:tc>
          <w:tcPr>
            <w:tcW w:w="1261" w:type="dxa"/>
            <w:noWrap/>
            <w:vAlign w:val="bottom"/>
          </w:tcPr>
          <w:p w14:paraId="2E956014" w14:textId="4E1BF118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211.25</w:t>
            </w:r>
          </w:p>
        </w:tc>
        <w:tc>
          <w:tcPr>
            <w:tcW w:w="1261" w:type="dxa"/>
            <w:noWrap/>
            <w:vAlign w:val="bottom"/>
          </w:tcPr>
          <w:p w14:paraId="3393B3C9" w14:textId="20FCFA04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353.41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</w:tcPr>
          <w:p w14:paraId="4464FBAA" w14:textId="320FD559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2BC3B2BC" w14:textId="24102C31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651.67</w:t>
            </w:r>
          </w:p>
        </w:tc>
      </w:tr>
      <w:tr w:rsidR="009079C5" w:rsidRPr="009079C5" w14:paraId="67F07E2D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300E7884" w14:textId="77777777" w:rsidR="0022307A" w:rsidRPr="009079C5" w:rsidRDefault="0022307A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(GBP)</w:t>
            </w:r>
          </w:p>
        </w:tc>
        <w:tc>
          <w:tcPr>
            <w:tcW w:w="1260" w:type="dxa"/>
            <w:noWrap/>
            <w:vAlign w:val="bottom"/>
          </w:tcPr>
          <w:p w14:paraId="36322ACF" w14:textId="1B7C2B3F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854.42</w:t>
            </w:r>
          </w:p>
        </w:tc>
        <w:tc>
          <w:tcPr>
            <w:tcW w:w="1261" w:type="dxa"/>
            <w:noWrap/>
            <w:vAlign w:val="bottom"/>
          </w:tcPr>
          <w:p w14:paraId="3DA10C49" w14:textId="0593C264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1,318.92</w:t>
            </w:r>
          </w:p>
        </w:tc>
        <w:tc>
          <w:tcPr>
            <w:tcW w:w="1261" w:type="dxa"/>
            <w:noWrap/>
            <w:vAlign w:val="bottom"/>
          </w:tcPr>
          <w:p w14:paraId="66611220" w14:textId="10953A24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1,262.10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</w:tcPr>
          <w:p w14:paraId="35014C03" w14:textId="24787DD7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2F6244A7" w14:textId="47E43951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1,318.43</w:t>
            </w:r>
          </w:p>
        </w:tc>
      </w:tr>
      <w:tr w:rsidR="009079C5" w:rsidRPr="009079C5" w14:paraId="5000AAA2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10257771" w14:textId="77777777" w:rsidR="0022307A" w:rsidRPr="009079C5" w:rsidRDefault="0022307A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(GBP)</w:t>
            </w:r>
          </w:p>
        </w:tc>
        <w:tc>
          <w:tcPr>
            <w:tcW w:w="1260" w:type="dxa"/>
            <w:noWrap/>
            <w:vAlign w:val="bottom"/>
          </w:tcPr>
          <w:p w14:paraId="0863DD88" w14:textId="1977A1C9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991.19</w:t>
            </w:r>
          </w:p>
        </w:tc>
        <w:tc>
          <w:tcPr>
            <w:tcW w:w="1261" w:type="dxa"/>
            <w:noWrap/>
            <w:vAlign w:val="bottom"/>
          </w:tcPr>
          <w:p w14:paraId="7A3655B6" w14:textId="1D8648D4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1,530.17</w:t>
            </w:r>
          </w:p>
        </w:tc>
        <w:tc>
          <w:tcPr>
            <w:tcW w:w="1261" w:type="dxa"/>
            <w:noWrap/>
            <w:vAlign w:val="bottom"/>
          </w:tcPr>
          <w:p w14:paraId="118326E0" w14:textId="43A4B852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1,615.51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</w:tcPr>
          <w:p w14:paraId="6F77074F" w14:textId="3D807806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3F8798E0" w14:textId="213FEA52" w:rsidR="0022307A" w:rsidRPr="009079C5" w:rsidRDefault="0022307A" w:rsidP="00DD2719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1,970.10</w:t>
            </w:r>
          </w:p>
        </w:tc>
      </w:tr>
      <w:tr w:rsidR="009079C5" w:rsidRPr="009079C5" w14:paraId="32302082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2C4011CD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Population outcomes</w:t>
            </w:r>
          </w:p>
        </w:tc>
        <w:tc>
          <w:tcPr>
            <w:tcW w:w="1260" w:type="dxa"/>
            <w:noWrap/>
            <w:vAlign w:val="bottom"/>
          </w:tcPr>
          <w:p w14:paraId="30F7B460" w14:textId="77777777" w:rsidR="001054D2" w:rsidRPr="009079C5" w:rsidRDefault="001054D2" w:rsidP="00DD2719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29CF849E" w14:textId="77777777" w:rsidR="001054D2" w:rsidRPr="009079C5" w:rsidRDefault="001054D2" w:rsidP="00DD2719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191F6EA7" w14:textId="77777777" w:rsidR="001054D2" w:rsidRPr="009079C5" w:rsidRDefault="001054D2" w:rsidP="00DD2719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65E4BA8F" w14:textId="77777777" w:rsidR="001054D2" w:rsidRPr="009079C5" w:rsidRDefault="001054D2" w:rsidP="00DD2719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3144A9BA" w14:textId="77777777" w:rsidR="001054D2" w:rsidRPr="009079C5" w:rsidRDefault="001054D2" w:rsidP="00DD2719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5406E1B4" w14:textId="77777777" w:rsidTr="001E6757">
        <w:trPr>
          <w:trHeight w:val="255"/>
        </w:trPr>
        <w:tc>
          <w:tcPr>
            <w:tcW w:w="3018" w:type="dxa"/>
            <w:noWrap/>
            <w:hideMark/>
          </w:tcPr>
          <w:p w14:paraId="7B5BF031" w14:textId="77777777" w:rsidR="0022307A" w:rsidRPr="009079C5" w:rsidRDefault="0022307A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 millions)</w:t>
            </w:r>
          </w:p>
        </w:tc>
        <w:tc>
          <w:tcPr>
            <w:tcW w:w="1260" w:type="dxa"/>
            <w:noWrap/>
            <w:vAlign w:val="center"/>
          </w:tcPr>
          <w:p w14:paraId="111A8742" w14:textId="756C8339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159</w:t>
            </w:r>
          </w:p>
        </w:tc>
        <w:tc>
          <w:tcPr>
            <w:tcW w:w="1261" w:type="dxa"/>
            <w:noWrap/>
            <w:vAlign w:val="center"/>
          </w:tcPr>
          <w:p w14:paraId="41C3A167" w14:textId="5EF31612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261" w:type="dxa"/>
            <w:noWrap/>
            <w:vAlign w:val="center"/>
          </w:tcPr>
          <w:p w14:paraId="0913CFA0" w14:textId="2EA28DD3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411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</w:tcPr>
          <w:p w14:paraId="5810F37B" w14:textId="224D9D26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center"/>
          </w:tcPr>
          <w:p w14:paraId="131CD43D" w14:textId="2D27B6F6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758</w:t>
            </w:r>
          </w:p>
        </w:tc>
      </w:tr>
      <w:tr w:rsidR="009079C5" w:rsidRPr="009079C5" w14:paraId="5DBC238F" w14:textId="77777777" w:rsidTr="001E6757">
        <w:trPr>
          <w:trHeight w:val="255"/>
        </w:trPr>
        <w:tc>
          <w:tcPr>
            <w:tcW w:w="3018" w:type="dxa"/>
            <w:noWrap/>
            <w:hideMark/>
          </w:tcPr>
          <w:p w14:paraId="270DA36A" w14:textId="77777777" w:rsidR="0022307A" w:rsidRPr="009079C5" w:rsidRDefault="0022307A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 millions)</w:t>
            </w:r>
          </w:p>
        </w:tc>
        <w:tc>
          <w:tcPr>
            <w:tcW w:w="1260" w:type="dxa"/>
            <w:noWrap/>
            <w:vAlign w:val="center"/>
          </w:tcPr>
          <w:p w14:paraId="5142D7FF" w14:textId="67A2D701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994</w:t>
            </w:r>
          </w:p>
        </w:tc>
        <w:tc>
          <w:tcPr>
            <w:tcW w:w="1261" w:type="dxa"/>
            <w:noWrap/>
            <w:vAlign w:val="center"/>
          </w:tcPr>
          <w:p w14:paraId="0C653E36" w14:textId="6D1F20D2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1,535</w:t>
            </w:r>
          </w:p>
        </w:tc>
        <w:tc>
          <w:tcPr>
            <w:tcW w:w="1261" w:type="dxa"/>
            <w:noWrap/>
            <w:vAlign w:val="center"/>
          </w:tcPr>
          <w:p w14:paraId="231058AA" w14:textId="5E3B01DD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1,469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</w:tcPr>
          <w:p w14:paraId="45262A54" w14:textId="16927A6C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center"/>
          </w:tcPr>
          <w:p w14:paraId="08BD358D" w14:textId="18C35294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1,534</w:t>
            </w:r>
          </w:p>
        </w:tc>
      </w:tr>
      <w:tr w:rsidR="009079C5" w:rsidRPr="009079C5" w14:paraId="5546EC7D" w14:textId="77777777" w:rsidTr="001E6757">
        <w:trPr>
          <w:trHeight w:val="255"/>
        </w:trPr>
        <w:tc>
          <w:tcPr>
            <w:tcW w:w="3018" w:type="dxa"/>
            <w:noWrap/>
            <w:hideMark/>
          </w:tcPr>
          <w:p w14:paraId="15AD0DC7" w14:textId="77777777" w:rsidR="0022307A" w:rsidRPr="009079C5" w:rsidRDefault="0022307A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 millions)</w:t>
            </w:r>
          </w:p>
        </w:tc>
        <w:tc>
          <w:tcPr>
            <w:tcW w:w="1260" w:type="dxa"/>
            <w:noWrap/>
            <w:vAlign w:val="center"/>
          </w:tcPr>
          <w:p w14:paraId="2AF64331" w14:textId="1843C2B2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1,153</w:t>
            </w:r>
          </w:p>
        </w:tc>
        <w:tc>
          <w:tcPr>
            <w:tcW w:w="1261" w:type="dxa"/>
            <w:noWrap/>
            <w:vAlign w:val="center"/>
          </w:tcPr>
          <w:p w14:paraId="447C759C" w14:textId="7A90F2B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1,780</w:t>
            </w:r>
          </w:p>
        </w:tc>
        <w:tc>
          <w:tcPr>
            <w:tcW w:w="1261" w:type="dxa"/>
            <w:noWrap/>
            <w:vAlign w:val="center"/>
          </w:tcPr>
          <w:p w14:paraId="75B8AE19" w14:textId="25BC3E55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1,880</w:t>
            </w: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</w:tcPr>
          <w:p w14:paraId="48FBD969" w14:textId="0C6F3CE1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center"/>
          </w:tcPr>
          <w:p w14:paraId="57E708BC" w14:textId="41B0136D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2,292</w:t>
            </w:r>
          </w:p>
        </w:tc>
      </w:tr>
      <w:tr w:rsidR="009079C5" w:rsidRPr="009079C5" w14:paraId="36078931" w14:textId="77777777" w:rsidTr="00393AC1">
        <w:trPr>
          <w:trHeight w:val="255"/>
        </w:trPr>
        <w:tc>
          <w:tcPr>
            <w:tcW w:w="9322" w:type="dxa"/>
            <w:gridSpan w:val="6"/>
            <w:tcBorders>
              <w:top w:val="single" w:sz="4" w:space="0" w:color="auto"/>
            </w:tcBorders>
            <w:noWrap/>
            <w:hideMark/>
          </w:tcPr>
          <w:p w14:paraId="11F69C22" w14:textId="64185204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Intensification delayed by 7 years</w:t>
            </w:r>
          </w:p>
        </w:tc>
      </w:tr>
      <w:tr w:rsidR="009079C5" w:rsidRPr="009079C5" w14:paraId="582A6985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5A26EDF2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Per patient outcomes</w:t>
            </w:r>
          </w:p>
        </w:tc>
        <w:tc>
          <w:tcPr>
            <w:tcW w:w="1260" w:type="dxa"/>
            <w:noWrap/>
            <w:hideMark/>
          </w:tcPr>
          <w:p w14:paraId="22835241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22F74C53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0437D549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6CFE0FC8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hideMark/>
          </w:tcPr>
          <w:p w14:paraId="2FD34C7F" w14:textId="77777777" w:rsidR="001054D2" w:rsidRPr="009079C5" w:rsidRDefault="001054D2" w:rsidP="00A71C2F">
            <w:pPr>
              <w:pStyle w:val="Tabletext"/>
              <w:keepNext/>
              <w:keepLines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51E7DFD8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6E1EF4CC" w14:textId="77777777" w:rsidR="0022307A" w:rsidRPr="009079C5" w:rsidRDefault="0022307A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14:paraId="34A21C03" w14:textId="77777777" w:rsidR="0022307A" w:rsidRPr="009079C5" w:rsidRDefault="0022307A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</w:tcPr>
          <w:p w14:paraId="4A197A21" w14:textId="77777777" w:rsidR="0022307A" w:rsidRPr="009079C5" w:rsidRDefault="0022307A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4E6F1210" w14:textId="5B24B822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1,520.94</w:t>
            </w:r>
          </w:p>
        </w:tc>
        <w:tc>
          <w:tcPr>
            <w:tcW w:w="1261" w:type="dxa"/>
            <w:noWrap/>
            <w:vAlign w:val="bottom"/>
          </w:tcPr>
          <w:p w14:paraId="1614D3FF" w14:textId="2AB8DD73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2,418.83</w:t>
            </w:r>
          </w:p>
        </w:tc>
        <w:tc>
          <w:tcPr>
            <w:tcW w:w="1261" w:type="dxa"/>
            <w:noWrap/>
            <w:vAlign w:val="bottom"/>
          </w:tcPr>
          <w:p w14:paraId="2D9540E8" w14:textId="11144A3D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3,424.65</w:t>
            </w:r>
          </w:p>
        </w:tc>
      </w:tr>
      <w:tr w:rsidR="009079C5" w:rsidRPr="009079C5" w14:paraId="3E674345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478339F5" w14:textId="77777777" w:rsidR="0022307A" w:rsidRPr="009079C5" w:rsidRDefault="0022307A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14:paraId="105359B4" w14:textId="77777777" w:rsidR="0022307A" w:rsidRPr="009079C5" w:rsidRDefault="0022307A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</w:tcPr>
          <w:p w14:paraId="68A4FEDE" w14:textId="77777777" w:rsidR="0022307A" w:rsidRPr="009079C5" w:rsidRDefault="0022307A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1CD2787F" w14:textId="5270C83F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3,011.92</w:t>
            </w:r>
          </w:p>
        </w:tc>
        <w:tc>
          <w:tcPr>
            <w:tcW w:w="1261" w:type="dxa"/>
            <w:noWrap/>
            <w:vAlign w:val="bottom"/>
          </w:tcPr>
          <w:p w14:paraId="51655E8D" w14:textId="4BBEFAAB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2,987.70</w:t>
            </w:r>
          </w:p>
        </w:tc>
        <w:tc>
          <w:tcPr>
            <w:tcW w:w="1261" w:type="dxa"/>
            <w:noWrap/>
            <w:vAlign w:val="bottom"/>
          </w:tcPr>
          <w:p w14:paraId="6469802E" w14:textId="78A34D88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3,078.32</w:t>
            </w:r>
          </w:p>
        </w:tc>
      </w:tr>
      <w:tr w:rsidR="009079C5" w:rsidRPr="009079C5" w14:paraId="1AA1A05E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1A8C90C0" w14:textId="77777777" w:rsidR="0022307A" w:rsidRPr="009079C5" w:rsidRDefault="0022307A" w:rsidP="00A71C2F">
            <w:pPr>
              <w:pStyle w:val="Tabletext"/>
              <w:tabs>
                <w:tab w:val="left" w:pos="272"/>
              </w:tabs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hideMark/>
          </w:tcPr>
          <w:p w14:paraId="1D99D1B2" w14:textId="77777777" w:rsidR="0022307A" w:rsidRPr="009079C5" w:rsidRDefault="0022307A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</w:tcPr>
          <w:p w14:paraId="310E5921" w14:textId="77777777" w:rsidR="0022307A" w:rsidRPr="009079C5" w:rsidRDefault="0022307A" w:rsidP="00A71C2F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0E7E1B10" w14:textId="2BE24B53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4,532.86</w:t>
            </w:r>
          </w:p>
        </w:tc>
        <w:tc>
          <w:tcPr>
            <w:tcW w:w="1261" w:type="dxa"/>
            <w:noWrap/>
            <w:vAlign w:val="bottom"/>
          </w:tcPr>
          <w:p w14:paraId="16E0E0A6" w14:textId="23707ECE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5,406.52</w:t>
            </w:r>
          </w:p>
        </w:tc>
        <w:tc>
          <w:tcPr>
            <w:tcW w:w="1261" w:type="dxa"/>
            <w:noWrap/>
            <w:vAlign w:val="bottom"/>
          </w:tcPr>
          <w:p w14:paraId="29116021" w14:textId="2DBD5B89" w:rsidR="0022307A" w:rsidRPr="009079C5" w:rsidRDefault="0022307A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6,502.98</w:t>
            </w:r>
          </w:p>
        </w:tc>
      </w:tr>
      <w:tr w:rsidR="009079C5" w:rsidRPr="009079C5" w14:paraId="05BE95CD" w14:textId="77777777" w:rsidTr="001054D2">
        <w:trPr>
          <w:trHeight w:val="255"/>
        </w:trPr>
        <w:tc>
          <w:tcPr>
            <w:tcW w:w="3018" w:type="dxa"/>
            <w:noWrap/>
            <w:hideMark/>
          </w:tcPr>
          <w:p w14:paraId="33D3E69B" w14:textId="77777777" w:rsidR="001054D2" w:rsidRPr="009079C5" w:rsidRDefault="001054D2" w:rsidP="00A71C2F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9079C5">
              <w:rPr>
                <w:rFonts w:ascii="Times New Roman" w:hAnsi="Times New Roman"/>
                <w:b/>
                <w:sz w:val="22"/>
                <w:szCs w:val="22"/>
              </w:rPr>
              <w:t>Population outcomes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3428EAA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noWrap/>
          </w:tcPr>
          <w:p w14:paraId="0B67FF1B" w14:textId="77777777" w:rsidR="001054D2" w:rsidRPr="009079C5" w:rsidRDefault="001054D2" w:rsidP="00A71C2F">
            <w:pPr>
              <w:pStyle w:val="Table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2FB25F23" w14:textId="77777777" w:rsidR="001054D2" w:rsidRPr="009079C5" w:rsidRDefault="001054D2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68F8A19F" w14:textId="77777777" w:rsidR="001054D2" w:rsidRPr="009079C5" w:rsidRDefault="001054D2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bottom"/>
          </w:tcPr>
          <w:p w14:paraId="05180683" w14:textId="77777777" w:rsidR="001054D2" w:rsidRPr="009079C5" w:rsidRDefault="001054D2" w:rsidP="00903D6C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079C5" w:rsidRPr="009079C5" w14:paraId="6ABFA05E" w14:textId="77777777" w:rsidTr="001E6757">
        <w:trPr>
          <w:trHeight w:val="255"/>
        </w:trPr>
        <w:tc>
          <w:tcPr>
            <w:tcW w:w="3018" w:type="dxa"/>
            <w:noWrap/>
            <w:hideMark/>
          </w:tcPr>
          <w:p w14:paraId="7B859483" w14:textId="77777777" w:rsidR="0022307A" w:rsidRPr="009079C5" w:rsidRDefault="0022307A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Direct cost savings (GBP millions)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4E9F6AE3" w14:textId="7777777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</w:tcPr>
          <w:p w14:paraId="54D465B3" w14:textId="7777777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center"/>
          </w:tcPr>
          <w:p w14:paraId="734E58B2" w14:textId="1AE6208E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1,770</w:t>
            </w:r>
          </w:p>
        </w:tc>
        <w:tc>
          <w:tcPr>
            <w:tcW w:w="1261" w:type="dxa"/>
            <w:noWrap/>
            <w:vAlign w:val="center"/>
          </w:tcPr>
          <w:p w14:paraId="1FAD883F" w14:textId="097BA6E7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2,814</w:t>
            </w:r>
          </w:p>
        </w:tc>
        <w:tc>
          <w:tcPr>
            <w:tcW w:w="1261" w:type="dxa"/>
            <w:noWrap/>
            <w:vAlign w:val="center"/>
          </w:tcPr>
          <w:p w14:paraId="3275C2D1" w14:textId="67BEB20C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3,985</w:t>
            </w:r>
          </w:p>
        </w:tc>
      </w:tr>
      <w:tr w:rsidR="009079C5" w:rsidRPr="009079C5" w14:paraId="23FFA287" w14:textId="77777777" w:rsidTr="001E6757">
        <w:trPr>
          <w:trHeight w:val="255"/>
        </w:trPr>
        <w:tc>
          <w:tcPr>
            <w:tcW w:w="3018" w:type="dxa"/>
            <w:noWrap/>
            <w:hideMark/>
          </w:tcPr>
          <w:p w14:paraId="54782B2F" w14:textId="77777777" w:rsidR="0022307A" w:rsidRPr="009079C5" w:rsidRDefault="0022307A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Indirect cost savings (GBP millions)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14:paraId="211D9FA4" w14:textId="7777777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noWrap/>
            <w:vAlign w:val="center"/>
          </w:tcPr>
          <w:p w14:paraId="088209D5" w14:textId="7777777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noWrap/>
            <w:vAlign w:val="center"/>
          </w:tcPr>
          <w:p w14:paraId="7FBFED24" w14:textId="19C1772A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3,505</w:t>
            </w:r>
          </w:p>
        </w:tc>
        <w:tc>
          <w:tcPr>
            <w:tcW w:w="1261" w:type="dxa"/>
            <w:noWrap/>
            <w:vAlign w:val="center"/>
          </w:tcPr>
          <w:p w14:paraId="00F98A33" w14:textId="2E0542F3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3,476</w:t>
            </w:r>
          </w:p>
        </w:tc>
        <w:tc>
          <w:tcPr>
            <w:tcW w:w="1261" w:type="dxa"/>
            <w:noWrap/>
            <w:vAlign w:val="center"/>
          </w:tcPr>
          <w:p w14:paraId="696D5FC3" w14:textId="1AE64310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3,582</w:t>
            </w:r>
          </w:p>
        </w:tc>
      </w:tr>
      <w:tr w:rsidR="009079C5" w:rsidRPr="009079C5" w14:paraId="1A223539" w14:textId="77777777" w:rsidTr="001E6757">
        <w:trPr>
          <w:trHeight w:val="255"/>
        </w:trPr>
        <w:tc>
          <w:tcPr>
            <w:tcW w:w="3018" w:type="dxa"/>
            <w:tcBorders>
              <w:bottom w:val="single" w:sz="4" w:space="0" w:color="auto"/>
            </w:tcBorders>
            <w:noWrap/>
            <w:hideMark/>
          </w:tcPr>
          <w:p w14:paraId="210AEB96" w14:textId="77777777" w:rsidR="0022307A" w:rsidRPr="009079C5" w:rsidRDefault="0022307A" w:rsidP="001E6757">
            <w:pPr>
              <w:pStyle w:val="Tabletext"/>
              <w:tabs>
                <w:tab w:val="left" w:pos="272"/>
              </w:tabs>
              <w:ind w:left="284" w:hanging="284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ab/>
              <w:t>Total cost savings (GBP millions)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FCAB77" w14:textId="7777777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4AC322" w14:textId="77777777" w:rsidR="0022307A" w:rsidRPr="009079C5" w:rsidRDefault="0022307A" w:rsidP="001E6757">
            <w:pPr>
              <w:pStyle w:val="Tabletex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center"/>
          </w:tcPr>
          <w:p w14:paraId="712CAD17" w14:textId="0EA78E0A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5,274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center"/>
          </w:tcPr>
          <w:p w14:paraId="59F93EF8" w14:textId="4D00C536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6,291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noWrap/>
            <w:vAlign w:val="center"/>
          </w:tcPr>
          <w:p w14:paraId="53D7D564" w14:textId="319A8F92" w:rsidR="0022307A" w:rsidRPr="009079C5" w:rsidRDefault="0022307A" w:rsidP="001E6757">
            <w:pPr>
              <w:pStyle w:val="Tabletext"/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79C5">
              <w:rPr>
                <w:rFonts w:ascii="Times New Roman" w:hAnsi="Times New Roman"/>
                <w:sz w:val="22"/>
                <w:szCs w:val="22"/>
              </w:rPr>
              <w:t>7,567</w:t>
            </w:r>
          </w:p>
        </w:tc>
      </w:tr>
    </w:tbl>
    <w:p w14:paraId="6F60C80D" w14:textId="77777777" w:rsidR="00A71C2F" w:rsidRPr="009079C5" w:rsidRDefault="00A71C2F" w:rsidP="00A71C2F">
      <w:pPr>
        <w:pStyle w:val="Footnote"/>
        <w:rPr>
          <w:rFonts w:ascii="Times New Roman" w:hAnsi="Times New Roman"/>
          <w:sz w:val="22"/>
          <w:szCs w:val="22"/>
        </w:rPr>
      </w:pPr>
      <w:r w:rsidRPr="009079C5">
        <w:rPr>
          <w:rFonts w:ascii="Times New Roman" w:hAnsi="Times New Roman"/>
          <w:sz w:val="22"/>
          <w:szCs w:val="22"/>
        </w:rPr>
        <w:t>GBP, British Pounds Sterling</w:t>
      </w:r>
    </w:p>
    <w:p w14:paraId="6EE78618" w14:textId="77777777" w:rsidR="00A71C2F" w:rsidRPr="009079C5" w:rsidRDefault="00A71C2F" w:rsidP="00A71C2F">
      <w:pPr>
        <w:pStyle w:val="Text"/>
        <w:rPr>
          <w:rFonts w:ascii="Times New Roman" w:hAnsi="Times New Roman"/>
          <w:sz w:val="22"/>
        </w:rPr>
      </w:pPr>
    </w:p>
    <w:p w14:paraId="43102BCC" w14:textId="64651B35" w:rsidR="00DB436B" w:rsidRPr="009079C5" w:rsidRDefault="00DB436B" w:rsidP="00903D6C">
      <w:pPr>
        <w:keepNext/>
        <w:keepLines/>
        <w:pageBreakBefore/>
        <w:spacing w:after="120" w:line="480" w:lineRule="auto"/>
        <w:ind w:left="1418" w:hanging="1418"/>
        <w:rPr>
          <w:rFonts w:ascii="Times New Roman" w:hAnsi="Times New Roman"/>
          <w:b/>
          <w:szCs w:val="20"/>
          <w:lang w:val="en-US"/>
        </w:rPr>
      </w:pPr>
      <w:bookmarkStart w:id="9" w:name="_Ref532552061"/>
      <w:r w:rsidRPr="009079C5">
        <w:rPr>
          <w:rFonts w:ascii="Times New Roman" w:hAnsi="Times New Roman"/>
          <w:b/>
          <w:szCs w:val="20"/>
          <w:lang w:val="en-US"/>
        </w:rPr>
        <w:lastRenderedPageBreak/>
        <w:t xml:space="preserve">Table </w:t>
      </w:r>
      <w:r w:rsidRPr="009079C5">
        <w:rPr>
          <w:rFonts w:ascii="Times New Roman" w:hAnsi="Times New Roman"/>
          <w:b/>
          <w:noProof/>
          <w:szCs w:val="20"/>
          <w:lang w:val="en-US"/>
        </w:rPr>
        <w:fldChar w:fldCharType="begin"/>
      </w:r>
      <w:r w:rsidRPr="009079C5">
        <w:rPr>
          <w:rFonts w:ascii="Times New Roman" w:hAnsi="Times New Roman"/>
          <w:b/>
          <w:noProof/>
          <w:szCs w:val="20"/>
          <w:lang w:val="en-US"/>
        </w:rPr>
        <w:instrText xml:space="preserve"> SEQ Table \* ARABIC </w:instrText>
      </w:r>
      <w:r w:rsidRPr="009079C5">
        <w:rPr>
          <w:rFonts w:ascii="Times New Roman" w:hAnsi="Times New Roman"/>
          <w:b/>
          <w:noProof/>
          <w:szCs w:val="20"/>
          <w:lang w:val="en-US"/>
        </w:rPr>
        <w:fldChar w:fldCharType="separate"/>
      </w:r>
      <w:r w:rsidR="00A611A0">
        <w:rPr>
          <w:rFonts w:ascii="Times New Roman" w:hAnsi="Times New Roman"/>
          <w:b/>
          <w:noProof/>
          <w:szCs w:val="20"/>
          <w:lang w:val="en-US"/>
        </w:rPr>
        <w:t>6</w:t>
      </w:r>
      <w:r w:rsidRPr="009079C5">
        <w:rPr>
          <w:rFonts w:ascii="Times New Roman" w:hAnsi="Times New Roman"/>
          <w:b/>
          <w:noProof/>
          <w:szCs w:val="20"/>
          <w:lang w:val="en-US"/>
        </w:rPr>
        <w:fldChar w:fldCharType="end"/>
      </w:r>
      <w:bookmarkEnd w:id="9"/>
      <w:r w:rsidRPr="009079C5">
        <w:rPr>
          <w:rFonts w:ascii="Times New Roman" w:hAnsi="Times New Roman"/>
          <w:b/>
          <w:szCs w:val="20"/>
          <w:lang w:val="en-US"/>
        </w:rPr>
        <w:tab/>
        <w:t xml:space="preserve">Incidence-estimates of </w:t>
      </w:r>
      <w:r w:rsidR="004E6F42" w:rsidRPr="009079C5">
        <w:rPr>
          <w:rFonts w:ascii="Times New Roman" w:hAnsi="Times New Roman"/>
          <w:b/>
          <w:szCs w:val="20"/>
          <w:lang w:val="en-US"/>
        </w:rPr>
        <w:t xml:space="preserve">the direct cost </w:t>
      </w:r>
      <w:r w:rsidRPr="009079C5">
        <w:rPr>
          <w:rFonts w:ascii="Times New Roman" w:hAnsi="Times New Roman"/>
          <w:b/>
          <w:szCs w:val="20"/>
          <w:lang w:val="en-US"/>
        </w:rPr>
        <w:t xml:space="preserve">burden for </w:t>
      </w:r>
      <w:r w:rsidR="004E6F42" w:rsidRPr="009079C5">
        <w:rPr>
          <w:rFonts w:ascii="Times New Roman" w:hAnsi="Times New Roman"/>
          <w:b/>
          <w:szCs w:val="20"/>
          <w:lang w:val="en-US"/>
        </w:rPr>
        <w:t>immediate intensification versus intensification delayed by 1 year</w:t>
      </w:r>
      <w:r w:rsidR="003E239E" w:rsidRPr="009079C5">
        <w:rPr>
          <w:rFonts w:ascii="Times New Roman" w:hAnsi="Times New Roman"/>
          <w:b/>
          <w:szCs w:val="20"/>
          <w:lang w:val="en-US"/>
        </w:rPr>
        <w:t xml:space="preserve"> (undiscounted)</w:t>
      </w:r>
    </w:p>
    <w:tbl>
      <w:tblPr>
        <w:tblStyle w:val="OssianReportTable2"/>
        <w:tblW w:w="0" w:type="auto"/>
        <w:tblLook w:val="04A0" w:firstRow="1" w:lastRow="0" w:firstColumn="1" w:lastColumn="0" w:noHBand="0" w:noVBand="1"/>
      </w:tblPr>
      <w:tblGrid>
        <w:gridCol w:w="2296"/>
        <w:gridCol w:w="1697"/>
        <w:gridCol w:w="1719"/>
        <w:gridCol w:w="1750"/>
        <w:gridCol w:w="1565"/>
      </w:tblGrid>
      <w:tr w:rsidR="009079C5" w:rsidRPr="009079C5" w14:paraId="25C7FEB3" w14:textId="77777777" w:rsidTr="00A0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single" w:sz="6" w:space="0" w:color="auto"/>
            </w:tcBorders>
          </w:tcPr>
          <w:p w14:paraId="5E6D0C4C" w14:textId="77777777" w:rsidR="004E6F42" w:rsidRPr="009079C5" w:rsidRDefault="004E6F42" w:rsidP="004E6F42">
            <w:pPr>
              <w:keepNext w:val="0"/>
              <w:keepLines w:val="0"/>
              <w:spacing w:before="80" w:after="80" w:line="240" w:lineRule="auto"/>
              <w:jc w:val="left"/>
              <w:rPr>
                <w:rFonts w:ascii="Times New Roman" w:eastAsia="Times New Roman" w:hAnsi="Times New Roman"/>
                <w:szCs w:val="18"/>
                <w:lang w:val="en-US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bottom w:val="nil"/>
            </w:tcBorders>
          </w:tcPr>
          <w:p w14:paraId="187D9BA0" w14:textId="77777777" w:rsidR="004E6F42" w:rsidRPr="009079C5" w:rsidRDefault="004E6F42" w:rsidP="004E6F42">
            <w:pPr>
              <w:keepNext w:val="0"/>
              <w:keepLines w:val="0"/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Time horizon</w:t>
            </w:r>
          </w:p>
        </w:tc>
      </w:tr>
      <w:tr w:rsidR="009079C5" w:rsidRPr="009079C5" w14:paraId="43DED7C2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2EE00" w14:textId="77777777" w:rsidR="004E6F42" w:rsidRPr="009079C5" w:rsidRDefault="004E6F42" w:rsidP="004E6F42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F128BA" w14:textId="77777777" w:rsidR="004E6F42" w:rsidRPr="009079C5" w:rsidRDefault="004E6F42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3 years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7B4404A" w14:textId="77777777" w:rsidR="004E6F42" w:rsidRPr="009079C5" w:rsidRDefault="004E6F42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5 years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130CC1" w14:textId="77777777" w:rsidR="004E6F42" w:rsidRPr="009079C5" w:rsidRDefault="004E6F42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10 years</w:t>
            </w: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DD38F4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50 years</w:t>
            </w:r>
          </w:p>
        </w:tc>
      </w:tr>
      <w:tr w:rsidR="009079C5" w:rsidRPr="009079C5" w14:paraId="6C356744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5"/>
            <w:tcBorders>
              <w:top w:val="single" w:sz="4" w:space="0" w:color="auto"/>
            </w:tcBorders>
          </w:tcPr>
          <w:p w14:paraId="570815B3" w14:textId="77777777" w:rsidR="004E6F42" w:rsidRPr="009079C5" w:rsidRDefault="00FD59D8" w:rsidP="004E6F42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Intensification from 8.2% to 7.0%</w:t>
            </w:r>
          </w:p>
        </w:tc>
      </w:tr>
      <w:tr w:rsidR="009079C5" w:rsidRPr="009079C5" w14:paraId="6BBD4EA7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57C7837A" w14:textId="77777777" w:rsidR="004E6F42" w:rsidRPr="009079C5" w:rsidRDefault="004E6F42" w:rsidP="004E6F42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Direct cost savings (GBP)</w:t>
            </w:r>
          </w:p>
        </w:tc>
        <w:tc>
          <w:tcPr>
            <w:tcW w:w="1736" w:type="dxa"/>
          </w:tcPr>
          <w:p w14:paraId="1C0BCF31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30 million</w:t>
            </w:r>
          </w:p>
        </w:tc>
        <w:tc>
          <w:tcPr>
            <w:tcW w:w="1759" w:type="dxa"/>
          </w:tcPr>
          <w:p w14:paraId="0C18458C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72 million</w:t>
            </w:r>
          </w:p>
        </w:tc>
        <w:tc>
          <w:tcPr>
            <w:tcW w:w="1791" w:type="dxa"/>
          </w:tcPr>
          <w:p w14:paraId="1A30CEEC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244 million</w:t>
            </w:r>
          </w:p>
        </w:tc>
        <w:tc>
          <w:tcPr>
            <w:tcW w:w="1597" w:type="dxa"/>
          </w:tcPr>
          <w:p w14:paraId="5D7EFD03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2,320 million</w:t>
            </w:r>
          </w:p>
        </w:tc>
      </w:tr>
      <w:tr w:rsidR="009079C5" w:rsidRPr="009079C5" w14:paraId="278B1AA9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5"/>
          </w:tcPr>
          <w:p w14:paraId="587F5274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Intensification from 9.0% to 7.0%</w:t>
            </w:r>
          </w:p>
        </w:tc>
      </w:tr>
      <w:tr w:rsidR="009079C5" w:rsidRPr="009079C5" w14:paraId="4F0B9842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1E8A9C2A" w14:textId="77777777" w:rsidR="004E6F42" w:rsidRPr="009079C5" w:rsidRDefault="004E6F42" w:rsidP="004E6F42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Direct cost savings (GBP)</w:t>
            </w:r>
          </w:p>
        </w:tc>
        <w:tc>
          <w:tcPr>
            <w:tcW w:w="1736" w:type="dxa"/>
          </w:tcPr>
          <w:p w14:paraId="4695B7C5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53</w:t>
            </w:r>
            <w:r w:rsidR="004E6F42"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million</w:t>
            </w:r>
          </w:p>
        </w:tc>
        <w:tc>
          <w:tcPr>
            <w:tcW w:w="1759" w:type="dxa"/>
          </w:tcPr>
          <w:p w14:paraId="78B7E976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129</w:t>
            </w:r>
            <w:r w:rsidR="004E6F42"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million</w:t>
            </w:r>
          </w:p>
        </w:tc>
        <w:tc>
          <w:tcPr>
            <w:tcW w:w="1791" w:type="dxa"/>
          </w:tcPr>
          <w:p w14:paraId="42845F75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407</w:t>
            </w:r>
            <w:r w:rsidR="004E6F42"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million</w:t>
            </w:r>
          </w:p>
        </w:tc>
        <w:tc>
          <w:tcPr>
            <w:tcW w:w="1597" w:type="dxa"/>
          </w:tcPr>
          <w:p w14:paraId="6B4EF4A0" w14:textId="77777777" w:rsidR="004E6F42" w:rsidRPr="009079C5" w:rsidRDefault="00FD59D8" w:rsidP="00FD59D8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5,135</w:t>
            </w:r>
            <w:r w:rsidR="004E6F42" w:rsidRPr="009079C5">
              <w:rPr>
                <w:rFonts w:ascii="Times New Roman" w:eastAsia="Times New Roman" w:hAnsi="Times New Roman"/>
                <w:szCs w:val="18"/>
                <w:lang w:val="en-US"/>
              </w:rPr>
              <w:t xml:space="preserve"> million</w:t>
            </w:r>
          </w:p>
        </w:tc>
      </w:tr>
    </w:tbl>
    <w:p w14:paraId="0ADCF8D1" w14:textId="16035ECE" w:rsidR="004E6F42" w:rsidRPr="009079C5" w:rsidRDefault="004E6F42" w:rsidP="004E6F42">
      <w:pPr>
        <w:spacing w:before="60" w:after="120" w:line="480" w:lineRule="auto"/>
        <w:rPr>
          <w:rFonts w:ascii="Times New Roman" w:hAnsi="Times New Roman"/>
          <w:sz w:val="20"/>
          <w:szCs w:val="20"/>
          <w:lang w:val="en-US"/>
        </w:rPr>
      </w:pPr>
      <w:r w:rsidRPr="009079C5">
        <w:rPr>
          <w:rFonts w:ascii="Times New Roman" w:hAnsi="Times New Roman"/>
          <w:sz w:val="20"/>
          <w:szCs w:val="20"/>
          <w:lang w:val="en-US"/>
        </w:rPr>
        <w:t>GBP, British Pounds Sterling</w:t>
      </w:r>
      <w:r w:rsidR="00FD59D8" w:rsidRPr="009079C5">
        <w:rPr>
          <w:rFonts w:ascii="Times New Roman" w:hAnsi="Times New Roman"/>
          <w:sz w:val="20"/>
          <w:szCs w:val="20"/>
          <w:lang w:val="en-US"/>
        </w:rPr>
        <w:t xml:space="preserve">. Estimates assume 198,000 incident cases of type 2 diabetes each year based on </w:t>
      </w:r>
      <w:proofErr w:type="spellStart"/>
      <w:r w:rsidR="00FD59D8" w:rsidRPr="009079C5">
        <w:rPr>
          <w:rFonts w:ascii="Times New Roman" w:hAnsi="Times New Roman"/>
          <w:sz w:val="20"/>
          <w:szCs w:val="20"/>
          <w:lang w:val="en-US"/>
        </w:rPr>
        <w:t>Zghebi</w:t>
      </w:r>
      <w:proofErr w:type="spellEnd"/>
      <w:r w:rsidR="00FD59D8" w:rsidRPr="009079C5">
        <w:rPr>
          <w:rFonts w:ascii="Times New Roman" w:hAnsi="Times New Roman"/>
          <w:sz w:val="20"/>
          <w:szCs w:val="20"/>
          <w:lang w:val="en-US"/>
        </w:rPr>
        <w:t xml:space="preserve"> et al. (2017)</w:t>
      </w:r>
      <w:bookmarkStart w:id="10" w:name="_Ref8133577"/>
      <w:r w:rsidR="008B43E4" w:rsidRPr="009079C5">
        <w:rPr>
          <w:rFonts w:ascii="Times New Roman" w:hAnsi="Times New Roman"/>
          <w:sz w:val="20"/>
          <w:szCs w:val="20"/>
          <w:lang w:val="en-US"/>
        </w:rPr>
        <w:t>.</w:t>
      </w:r>
      <w:r w:rsidR="00FD59D8" w:rsidRPr="009079C5">
        <w:rPr>
          <w:rStyle w:val="EndnoteReference"/>
          <w:rFonts w:ascii="Times New Roman" w:hAnsi="Times New Roman"/>
          <w:sz w:val="20"/>
          <w:szCs w:val="20"/>
          <w:lang w:val="en-US"/>
        </w:rPr>
        <w:endnoteReference w:id="12"/>
      </w:r>
      <w:bookmarkEnd w:id="10"/>
      <w:r w:rsidR="008B43E4" w:rsidRPr="009079C5">
        <w:rPr>
          <w:rFonts w:ascii="Times New Roman" w:hAnsi="Times New Roman"/>
          <w:sz w:val="20"/>
          <w:szCs w:val="20"/>
          <w:lang w:val="en-US"/>
        </w:rPr>
        <w:t xml:space="preserve">  Incidence rate was calculated as 37.21 cases per 10,000 persons per year (weighted average of males and females in 2014) and an adult population (aged 16+ years) at risk of approximately 53.2 million (calculated as 81.1% of the total population).</w:t>
      </w:r>
      <w:bookmarkStart w:id="11" w:name="_Ref8656969"/>
      <w:r w:rsidR="008B43E4" w:rsidRPr="009079C5">
        <w:rPr>
          <w:rStyle w:val="EndnoteReference"/>
          <w:rFonts w:ascii="Times New Roman" w:hAnsi="Times New Roman"/>
          <w:sz w:val="20"/>
          <w:szCs w:val="20"/>
          <w:lang w:val="en-US"/>
        </w:rPr>
        <w:endnoteReference w:id="13"/>
      </w:r>
      <w:bookmarkEnd w:id="11"/>
    </w:p>
    <w:p w14:paraId="5A421F6C" w14:textId="77777777" w:rsidR="004E6F42" w:rsidRPr="009079C5" w:rsidRDefault="004E6F42" w:rsidP="004E6F42">
      <w:pPr>
        <w:spacing w:after="120" w:line="480" w:lineRule="auto"/>
        <w:rPr>
          <w:rFonts w:ascii="Times New Roman" w:hAnsi="Times New Roman"/>
          <w:szCs w:val="20"/>
          <w:lang w:val="en-US"/>
        </w:rPr>
      </w:pPr>
    </w:p>
    <w:p w14:paraId="35BC6699" w14:textId="324ACD8E" w:rsidR="00677865" w:rsidRPr="009079C5" w:rsidRDefault="00677865" w:rsidP="00677865">
      <w:pPr>
        <w:keepNext/>
        <w:keepLines/>
        <w:spacing w:after="120" w:line="480" w:lineRule="auto"/>
        <w:ind w:left="1418" w:hanging="1418"/>
        <w:rPr>
          <w:rFonts w:ascii="Times New Roman" w:hAnsi="Times New Roman"/>
          <w:b/>
          <w:szCs w:val="20"/>
          <w:lang w:val="en-US"/>
        </w:rPr>
      </w:pPr>
      <w:r w:rsidRPr="009079C5">
        <w:rPr>
          <w:rFonts w:ascii="Times New Roman" w:hAnsi="Times New Roman"/>
          <w:b/>
          <w:szCs w:val="20"/>
          <w:lang w:val="en-US"/>
        </w:rPr>
        <w:t xml:space="preserve">Table </w:t>
      </w:r>
      <w:r w:rsidRPr="009079C5">
        <w:rPr>
          <w:rFonts w:ascii="Times New Roman" w:hAnsi="Times New Roman"/>
          <w:b/>
          <w:noProof/>
          <w:szCs w:val="20"/>
          <w:lang w:val="en-US"/>
        </w:rPr>
        <w:fldChar w:fldCharType="begin"/>
      </w:r>
      <w:r w:rsidRPr="009079C5">
        <w:rPr>
          <w:rFonts w:ascii="Times New Roman" w:hAnsi="Times New Roman"/>
          <w:b/>
          <w:noProof/>
          <w:szCs w:val="20"/>
          <w:lang w:val="en-US"/>
        </w:rPr>
        <w:instrText xml:space="preserve"> SEQ Table \* ARABIC </w:instrText>
      </w:r>
      <w:r w:rsidRPr="009079C5">
        <w:rPr>
          <w:rFonts w:ascii="Times New Roman" w:hAnsi="Times New Roman"/>
          <w:b/>
          <w:noProof/>
          <w:szCs w:val="20"/>
          <w:lang w:val="en-US"/>
        </w:rPr>
        <w:fldChar w:fldCharType="separate"/>
      </w:r>
      <w:r w:rsidR="00A611A0">
        <w:rPr>
          <w:rFonts w:ascii="Times New Roman" w:hAnsi="Times New Roman"/>
          <w:b/>
          <w:noProof/>
          <w:szCs w:val="20"/>
          <w:lang w:val="en-US"/>
        </w:rPr>
        <w:t>7</w:t>
      </w:r>
      <w:r w:rsidRPr="009079C5">
        <w:rPr>
          <w:rFonts w:ascii="Times New Roman" w:hAnsi="Times New Roman"/>
          <w:b/>
          <w:noProof/>
          <w:szCs w:val="20"/>
          <w:lang w:val="en-US"/>
        </w:rPr>
        <w:fldChar w:fldCharType="end"/>
      </w:r>
      <w:r w:rsidRPr="009079C5">
        <w:rPr>
          <w:rFonts w:ascii="Times New Roman" w:hAnsi="Times New Roman"/>
          <w:b/>
          <w:szCs w:val="20"/>
          <w:lang w:val="en-US"/>
        </w:rPr>
        <w:tab/>
        <w:t>Incidence-estimates of the direct cost burden for immediate intensification versus intensification delayed by 7 years</w:t>
      </w:r>
      <w:r w:rsidR="003E239E" w:rsidRPr="009079C5">
        <w:rPr>
          <w:rFonts w:ascii="Times New Roman" w:hAnsi="Times New Roman"/>
          <w:b/>
          <w:szCs w:val="20"/>
          <w:lang w:val="en-US"/>
        </w:rPr>
        <w:t xml:space="preserve"> (undiscounted)</w:t>
      </w:r>
    </w:p>
    <w:tbl>
      <w:tblPr>
        <w:tblStyle w:val="OssianReportTable2"/>
        <w:tblW w:w="0" w:type="auto"/>
        <w:tblLook w:val="04A0" w:firstRow="1" w:lastRow="0" w:firstColumn="1" w:lastColumn="0" w:noHBand="0" w:noVBand="1"/>
      </w:tblPr>
      <w:tblGrid>
        <w:gridCol w:w="2306"/>
        <w:gridCol w:w="2240"/>
        <w:gridCol w:w="2240"/>
        <w:gridCol w:w="2241"/>
      </w:tblGrid>
      <w:tr w:rsidR="009079C5" w:rsidRPr="009079C5" w14:paraId="257977C1" w14:textId="77777777" w:rsidTr="00A00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 w:val="restart"/>
            <w:tcBorders>
              <w:top w:val="single" w:sz="6" w:space="0" w:color="auto"/>
            </w:tcBorders>
          </w:tcPr>
          <w:p w14:paraId="17B8D8CC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jc w:val="left"/>
              <w:rPr>
                <w:rFonts w:ascii="Times New Roman" w:eastAsia="Times New Roman" w:hAnsi="Times New Roman"/>
                <w:szCs w:val="18"/>
                <w:lang w:val="en-US"/>
              </w:rPr>
            </w:pPr>
          </w:p>
        </w:tc>
        <w:tc>
          <w:tcPr>
            <w:tcW w:w="6883" w:type="dxa"/>
            <w:gridSpan w:val="3"/>
            <w:tcBorders>
              <w:top w:val="single" w:sz="6" w:space="0" w:color="auto"/>
              <w:bottom w:val="nil"/>
            </w:tcBorders>
          </w:tcPr>
          <w:p w14:paraId="2961BC17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Time horizon</w:t>
            </w:r>
          </w:p>
        </w:tc>
      </w:tr>
      <w:tr w:rsidR="009079C5" w:rsidRPr="009079C5" w14:paraId="09B768CF" w14:textId="77777777" w:rsidTr="0067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3DFD6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9DEDB7A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10 years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5969CC7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15 years</w:t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E0966BE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50 years</w:t>
            </w:r>
          </w:p>
        </w:tc>
      </w:tr>
      <w:tr w:rsidR="009079C5" w:rsidRPr="009079C5" w14:paraId="185D9BCE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4"/>
            <w:tcBorders>
              <w:top w:val="single" w:sz="4" w:space="0" w:color="auto"/>
            </w:tcBorders>
          </w:tcPr>
          <w:p w14:paraId="5C3C823F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Intensification from 8.2% to 7.0%</w:t>
            </w:r>
          </w:p>
        </w:tc>
      </w:tr>
      <w:tr w:rsidR="009079C5" w:rsidRPr="009079C5" w14:paraId="24DCEC76" w14:textId="77777777" w:rsidTr="0067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5A2EFD69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Direct cost savings (GBP)</w:t>
            </w:r>
          </w:p>
        </w:tc>
        <w:tc>
          <w:tcPr>
            <w:tcW w:w="2294" w:type="dxa"/>
          </w:tcPr>
          <w:p w14:paraId="57BC7B3C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751 million</w:t>
            </w:r>
          </w:p>
        </w:tc>
        <w:tc>
          <w:tcPr>
            <w:tcW w:w="2294" w:type="dxa"/>
          </w:tcPr>
          <w:p w14:paraId="74D0A1AF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1,894 million</w:t>
            </w:r>
          </w:p>
        </w:tc>
        <w:tc>
          <w:tcPr>
            <w:tcW w:w="2295" w:type="dxa"/>
          </w:tcPr>
          <w:p w14:paraId="02D79E34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14,282 million</w:t>
            </w:r>
          </w:p>
        </w:tc>
      </w:tr>
      <w:tr w:rsidR="009079C5" w:rsidRPr="009079C5" w14:paraId="19B403E0" w14:textId="77777777" w:rsidTr="00A007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4"/>
          </w:tcPr>
          <w:p w14:paraId="4A682DDB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b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b/>
                <w:szCs w:val="18"/>
                <w:lang w:val="en-US"/>
              </w:rPr>
              <w:t>Intensification from 9.0% to 7.0%</w:t>
            </w:r>
          </w:p>
        </w:tc>
      </w:tr>
      <w:tr w:rsidR="009079C5" w:rsidRPr="009079C5" w14:paraId="44C71B17" w14:textId="77777777" w:rsidTr="00677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2A056FA2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Direct cost savings (GBP)</w:t>
            </w:r>
          </w:p>
        </w:tc>
        <w:tc>
          <w:tcPr>
            <w:tcW w:w="2294" w:type="dxa"/>
          </w:tcPr>
          <w:p w14:paraId="2D9869BA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1,306 million</w:t>
            </w:r>
          </w:p>
        </w:tc>
        <w:tc>
          <w:tcPr>
            <w:tcW w:w="2294" w:type="dxa"/>
          </w:tcPr>
          <w:p w14:paraId="4B1CD02C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3,381 million</w:t>
            </w:r>
          </w:p>
        </w:tc>
        <w:tc>
          <w:tcPr>
            <w:tcW w:w="2295" w:type="dxa"/>
          </w:tcPr>
          <w:p w14:paraId="2B6B0C64" w14:textId="77777777" w:rsidR="00677865" w:rsidRPr="009079C5" w:rsidRDefault="00677865" w:rsidP="00A00714">
            <w:pPr>
              <w:keepNext w:val="0"/>
              <w:keepLines w:val="0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9079C5">
              <w:rPr>
                <w:rFonts w:ascii="Times New Roman" w:eastAsia="Times New Roman" w:hAnsi="Times New Roman"/>
                <w:szCs w:val="18"/>
                <w:lang w:val="en-US"/>
              </w:rPr>
              <w:t>26,043 million</w:t>
            </w:r>
          </w:p>
        </w:tc>
      </w:tr>
    </w:tbl>
    <w:p w14:paraId="25671521" w14:textId="4EFDD1B8" w:rsidR="00677865" w:rsidRPr="009079C5" w:rsidRDefault="00677865" w:rsidP="00677865">
      <w:pPr>
        <w:spacing w:before="60" w:after="120" w:line="480" w:lineRule="auto"/>
        <w:rPr>
          <w:rFonts w:ascii="Times New Roman" w:hAnsi="Times New Roman"/>
          <w:sz w:val="20"/>
          <w:szCs w:val="20"/>
          <w:lang w:val="en-US"/>
        </w:rPr>
      </w:pPr>
      <w:r w:rsidRPr="009079C5">
        <w:rPr>
          <w:rFonts w:ascii="Times New Roman" w:hAnsi="Times New Roman"/>
          <w:sz w:val="20"/>
          <w:szCs w:val="20"/>
          <w:lang w:val="en-US"/>
        </w:rPr>
        <w:t xml:space="preserve">GBP, British Pounds Sterling. Estimates assume 198,000 incident cases of type 2 diabetes each year based on </w:t>
      </w:r>
      <w:proofErr w:type="spellStart"/>
      <w:r w:rsidRPr="009079C5">
        <w:rPr>
          <w:rFonts w:ascii="Times New Roman" w:hAnsi="Times New Roman"/>
          <w:sz w:val="20"/>
          <w:szCs w:val="20"/>
          <w:lang w:val="en-US"/>
        </w:rPr>
        <w:t>Zghebi</w:t>
      </w:r>
      <w:proofErr w:type="spellEnd"/>
      <w:r w:rsidRPr="009079C5">
        <w:rPr>
          <w:rFonts w:ascii="Times New Roman" w:hAnsi="Times New Roman"/>
          <w:sz w:val="20"/>
          <w:szCs w:val="20"/>
          <w:lang w:val="en-US"/>
        </w:rPr>
        <w:t xml:space="preserve"> et al. (2017</w:t>
      </w:r>
      <w:r w:rsidR="003E239E" w:rsidRPr="009079C5">
        <w:rPr>
          <w:rFonts w:ascii="Times New Roman" w:hAnsi="Times New Roman"/>
          <w:sz w:val="20"/>
          <w:szCs w:val="20"/>
          <w:lang w:val="en-US"/>
        </w:rPr>
        <w:t>).</w:t>
      </w:r>
      <w:r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fldChar w:fldCharType="begin"/>
      </w:r>
      <w:r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instrText xml:space="preserve"> NOTEREF _Ref8133577 \h  \* MERGEFORMAT </w:instrText>
      </w:r>
      <w:r w:rsidRPr="009079C5">
        <w:rPr>
          <w:rFonts w:ascii="Times New Roman" w:hAnsi="Times New Roman"/>
          <w:sz w:val="20"/>
          <w:szCs w:val="20"/>
          <w:vertAlign w:val="superscript"/>
          <w:lang w:val="en-US"/>
        </w:rPr>
      </w:r>
      <w:r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fldChar w:fldCharType="separate"/>
      </w:r>
      <w:r w:rsidR="008027C8">
        <w:rPr>
          <w:rFonts w:ascii="Times New Roman" w:hAnsi="Times New Roman"/>
          <w:sz w:val="20"/>
          <w:szCs w:val="20"/>
          <w:vertAlign w:val="superscript"/>
          <w:lang w:val="en-US"/>
        </w:rPr>
        <w:t>12</w:t>
      </w:r>
      <w:r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fldChar w:fldCharType="end"/>
      </w:r>
      <w:r w:rsidR="003E239E" w:rsidRPr="009079C5">
        <w:rPr>
          <w:rFonts w:ascii="Times New Roman" w:hAnsi="Times New Roman"/>
          <w:sz w:val="20"/>
          <w:szCs w:val="20"/>
          <w:lang w:val="en-US"/>
        </w:rPr>
        <w:t xml:space="preserve">  Incidence rate was calculated as 37.21 cases per 10,000 persons per year (weighted average of males and females in 2014) and an adult population (aged 16+ years) at risk of approximately 53.2 million (calculated as 81.1% of the total population).</w:t>
      </w:r>
      <w:r w:rsidR="008B43E4"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fldChar w:fldCharType="begin"/>
      </w:r>
      <w:r w:rsidR="008B43E4"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instrText xml:space="preserve"> NOTEREF _Ref8656969 \h  \* MERGEFORMAT </w:instrText>
      </w:r>
      <w:r w:rsidR="008B43E4" w:rsidRPr="009079C5">
        <w:rPr>
          <w:rFonts w:ascii="Times New Roman" w:hAnsi="Times New Roman"/>
          <w:sz w:val="20"/>
          <w:szCs w:val="20"/>
          <w:vertAlign w:val="superscript"/>
          <w:lang w:val="en-US"/>
        </w:rPr>
      </w:r>
      <w:r w:rsidR="008B43E4"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fldChar w:fldCharType="separate"/>
      </w:r>
      <w:r w:rsidR="008027C8">
        <w:rPr>
          <w:rFonts w:ascii="Times New Roman" w:hAnsi="Times New Roman"/>
          <w:sz w:val="20"/>
          <w:szCs w:val="20"/>
          <w:vertAlign w:val="superscript"/>
          <w:lang w:val="en-US"/>
        </w:rPr>
        <w:t>13</w:t>
      </w:r>
      <w:r w:rsidR="008B43E4" w:rsidRPr="009079C5">
        <w:rPr>
          <w:rFonts w:ascii="Times New Roman" w:hAnsi="Times New Roman"/>
          <w:sz w:val="20"/>
          <w:szCs w:val="20"/>
          <w:vertAlign w:val="superscript"/>
          <w:lang w:val="en-US"/>
        </w:rPr>
        <w:fldChar w:fldCharType="end"/>
      </w:r>
      <w:bookmarkStart w:id="12" w:name="_GoBack"/>
      <w:bookmarkEnd w:id="12"/>
    </w:p>
    <w:p w14:paraId="32E34FFD" w14:textId="77777777" w:rsidR="00DB436B" w:rsidRPr="009079C5" w:rsidRDefault="00DB436B" w:rsidP="00DB436B">
      <w:pPr>
        <w:spacing w:after="120" w:line="480" w:lineRule="auto"/>
        <w:rPr>
          <w:rFonts w:ascii="Times New Roman" w:hAnsi="Times New Roman"/>
          <w:szCs w:val="20"/>
          <w:lang w:val="en-US"/>
        </w:rPr>
      </w:pPr>
    </w:p>
    <w:p w14:paraId="55807327" w14:textId="77777777" w:rsidR="00DB436B" w:rsidRPr="009079C5" w:rsidRDefault="00DB436B" w:rsidP="00DB436B">
      <w:pPr>
        <w:pStyle w:val="ManuTitle"/>
        <w:pageBreakBefore/>
        <w:rPr>
          <w:rFonts w:ascii="Times New Roman" w:hAnsi="Times New Roman"/>
          <w:sz w:val="28"/>
        </w:rPr>
      </w:pPr>
      <w:r w:rsidRPr="009079C5">
        <w:rPr>
          <w:rFonts w:ascii="Times New Roman" w:hAnsi="Times New Roman"/>
          <w:sz w:val="28"/>
        </w:rPr>
        <w:lastRenderedPageBreak/>
        <w:t>References</w:t>
      </w:r>
    </w:p>
    <w:sectPr w:rsidR="00DB436B" w:rsidRPr="009079C5" w:rsidSect="00555CDF">
      <w:footerReference w:type="default" r:id="rId11"/>
      <w:footerReference w:type="first" r:id="rId12"/>
      <w:endnotePr>
        <w:numFmt w:val="decimal"/>
      </w:endnotePr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D2F6" w14:textId="77777777" w:rsidR="00393AC1" w:rsidRDefault="00393AC1" w:rsidP="00B34FF4">
      <w:pPr>
        <w:spacing w:after="0" w:line="240" w:lineRule="auto"/>
      </w:pPr>
      <w:r>
        <w:separator/>
      </w:r>
    </w:p>
  </w:endnote>
  <w:endnote w:type="continuationSeparator" w:id="0">
    <w:p w14:paraId="42321171" w14:textId="77777777" w:rsidR="00393AC1" w:rsidRDefault="00393AC1" w:rsidP="00B34FF4">
      <w:pPr>
        <w:spacing w:after="0" w:line="240" w:lineRule="auto"/>
      </w:pPr>
      <w:r>
        <w:continuationSeparator/>
      </w:r>
    </w:p>
  </w:endnote>
  <w:endnote w:id="1">
    <w:p w14:paraId="445437A4" w14:textId="77777777" w:rsidR="00393AC1" w:rsidRPr="003C03E3" w:rsidRDefault="00393AC1" w:rsidP="00C37786">
      <w:pPr>
        <w:pStyle w:val="Text"/>
        <w:tabs>
          <w:tab w:val="left" w:pos="5515"/>
        </w:tabs>
      </w:pPr>
      <w:r>
        <w:rPr>
          <w:rStyle w:val="EndnoteReference"/>
        </w:rPr>
        <w:endnoteRef/>
      </w:r>
      <w:r>
        <w:t xml:space="preserve">  NICE guideline [NG28]. </w:t>
      </w:r>
      <w:r w:rsidRPr="00306BEB">
        <w:t>Type 2 diabetes in adults: management</w:t>
      </w:r>
      <w:r>
        <w:t xml:space="preserve">. Appendix F, Table 20, pages 45/46. </w:t>
      </w:r>
      <w:r w:rsidRPr="00306BEB">
        <w:t>Published date: December 2015 Last updated: May 2017</w:t>
      </w:r>
      <w:r>
        <w:t xml:space="preserve">.  Available at: </w:t>
      </w:r>
      <w:hyperlink r:id="rId1" w:history="1">
        <w:r w:rsidRPr="00830457">
          <w:rPr>
            <w:rStyle w:val="Hyperlink"/>
          </w:rPr>
          <w:t>https://www.nice.org.uk/guidance/NG28/documents/type-2-diabetes-appendix-f</w:t>
        </w:r>
      </w:hyperlink>
      <w:r>
        <w:t>. Accessed on July 5, 2018</w:t>
      </w:r>
    </w:p>
  </w:endnote>
  <w:endnote w:id="2">
    <w:p w14:paraId="3A738E97" w14:textId="3CA5A79B" w:rsidR="00C55D49" w:rsidRPr="009079C5" w:rsidRDefault="00C55D49" w:rsidP="00C55D49">
      <w:pPr>
        <w:pStyle w:val="Text"/>
      </w:pPr>
      <w:r w:rsidRPr="009079C5">
        <w:rPr>
          <w:rStyle w:val="EndnoteReference"/>
        </w:rPr>
        <w:endnoteRef/>
      </w:r>
      <w:r w:rsidRPr="009079C5">
        <w:t xml:space="preserve"> Pratley RE, </w:t>
      </w:r>
      <w:proofErr w:type="spellStart"/>
      <w:r w:rsidRPr="009079C5">
        <w:t>Nauck</w:t>
      </w:r>
      <w:proofErr w:type="spellEnd"/>
      <w:r w:rsidRPr="009079C5">
        <w:t xml:space="preserve"> M, Bailey T, et al. Liraglutide versus sitagliptin for patients with type 2 diabetes who did not have adequate </w:t>
      </w:r>
      <w:proofErr w:type="spellStart"/>
      <w:r w:rsidRPr="009079C5">
        <w:t>glycaemic</w:t>
      </w:r>
      <w:proofErr w:type="spellEnd"/>
      <w:r w:rsidRPr="009079C5">
        <w:t xml:space="preserve"> control with metformin: a 26-week, </w:t>
      </w:r>
      <w:proofErr w:type="spellStart"/>
      <w:r w:rsidRPr="009079C5">
        <w:t>randomised</w:t>
      </w:r>
      <w:proofErr w:type="spellEnd"/>
      <w:r w:rsidRPr="009079C5">
        <w:t>, parallel-group, open-label trial. Lancet. 2010;375(9724):1447–1456.</w:t>
      </w:r>
    </w:p>
  </w:endnote>
  <w:endnote w:id="3">
    <w:p w14:paraId="2C8D0EB2" w14:textId="2B22E5E7" w:rsidR="006B79F0" w:rsidRPr="009079C5" w:rsidRDefault="006B79F0" w:rsidP="006B79F0">
      <w:pPr>
        <w:pStyle w:val="Text"/>
        <w:rPr>
          <w:lang w:val="de-CH"/>
        </w:rPr>
      </w:pPr>
      <w:r w:rsidRPr="009079C5">
        <w:rPr>
          <w:rStyle w:val="EndnoteReference"/>
        </w:rPr>
        <w:endnoteRef/>
      </w:r>
      <w:r w:rsidRPr="009079C5">
        <w:t xml:space="preserve"> Office for National Statistics [internet]. Adult smoking habits in the UK; 2016 [cited 2019 May 14]. Available from: </w:t>
      </w:r>
      <w:hyperlink r:id="rId2" w:anchor="smoking-habits-in-the-uk-its-constituent-countries-and-local-areas-using-data-from-the-annual-population-survey-2010-to-2016-adults-aged-18-and-over" w:history="1">
        <w:r w:rsidRPr="00C92A51">
          <w:rPr>
            <w:rStyle w:val="Hyperlink"/>
          </w:rPr>
          <w:t>https://www.ons.gov.uk/peoplepopulationandcommunity/healthandsocialcare/healthandlifeexpectancies/bulletins/adultsmokinghabitsingreatbritain/2016#smoking-habits-in-the-uk-its-constituent-countries-and-local-areas-using-data-from-the-annual-population-survey-2010-to-2016-adults-aged-18-and-over</w:t>
        </w:r>
      </w:hyperlink>
      <w:r w:rsidRPr="006B79F0">
        <w:rPr>
          <w:color w:val="4F81BD" w:themeColor="accent1"/>
        </w:rPr>
        <w:t>.</w:t>
      </w:r>
      <w:r>
        <w:rPr>
          <w:color w:val="4F81BD" w:themeColor="accent1"/>
        </w:rPr>
        <w:t xml:space="preserve"> </w:t>
      </w:r>
      <w:r w:rsidRPr="009079C5">
        <w:t>Accessed on July 5, 2018</w:t>
      </w:r>
    </w:p>
  </w:endnote>
  <w:endnote w:id="4">
    <w:p w14:paraId="15F13E2E" w14:textId="5C40C292" w:rsidR="006B79F0" w:rsidRPr="009079C5" w:rsidRDefault="006B79F0" w:rsidP="006B79F0">
      <w:pPr>
        <w:pStyle w:val="Text"/>
        <w:rPr>
          <w:lang w:val="de-CH"/>
        </w:rPr>
      </w:pPr>
      <w:r w:rsidRPr="009079C5">
        <w:rPr>
          <w:rStyle w:val="EndnoteReference"/>
        </w:rPr>
        <w:endnoteRef/>
      </w:r>
      <w:r w:rsidRPr="009079C5">
        <w:t xml:space="preserve"> </w:t>
      </w:r>
      <w:r w:rsidRPr="009079C5">
        <w:rPr>
          <w:lang w:val="de-CH"/>
        </w:rPr>
        <w:t xml:space="preserve"> </w:t>
      </w:r>
      <w:r w:rsidRPr="009079C5">
        <w:t xml:space="preserve">World Health </w:t>
      </w:r>
      <w:proofErr w:type="spellStart"/>
      <w:r w:rsidRPr="009079C5">
        <w:t>Organisation</w:t>
      </w:r>
      <w:proofErr w:type="spellEnd"/>
      <w:r w:rsidRPr="009079C5">
        <w:t xml:space="preserve"> [internet]. Global Alcohol Report; 2014 [cited 2019 May 14]. Available from: </w:t>
      </w:r>
      <w:hyperlink r:id="rId3" w:history="1">
        <w:r w:rsidRPr="006B79F0">
          <w:rPr>
            <w:rStyle w:val="Hyperlink"/>
          </w:rPr>
          <w:t>http://www.who.int/substance_abuse/publications/global_alcohol_report/profiles/gbr.pdf</w:t>
        </w:r>
      </w:hyperlink>
      <w:r w:rsidRPr="006B79F0">
        <w:rPr>
          <w:color w:val="4F81BD" w:themeColor="accent1"/>
        </w:rPr>
        <w:t>.</w:t>
      </w:r>
      <w:r>
        <w:rPr>
          <w:color w:val="4F81BD" w:themeColor="accent1"/>
        </w:rPr>
        <w:t xml:space="preserve"> </w:t>
      </w:r>
      <w:r w:rsidRPr="009079C5">
        <w:t>Accessed on July 5, 2018</w:t>
      </w:r>
    </w:p>
  </w:endnote>
  <w:endnote w:id="5">
    <w:p w14:paraId="1A877ED7" w14:textId="77777777" w:rsidR="00393AC1" w:rsidRPr="00D770FB" w:rsidRDefault="00393AC1" w:rsidP="00DB436B">
      <w:pPr>
        <w:pStyle w:val="Text"/>
      </w:pPr>
      <w:r>
        <w:rPr>
          <w:rStyle w:val="EndnoteReference"/>
        </w:rPr>
        <w:endnoteRef/>
      </w:r>
      <w:r>
        <w:t xml:space="preserve">  </w:t>
      </w:r>
      <w:r w:rsidRPr="00DB436B">
        <w:t xml:space="preserve">Alva ML, Gray A, </w:t>
      </w:r>
      <w:proofErr w:type="spellStart"/>
      <w:r w:rsidRPr="00DB436B">
        <w:t>Mihaylova</w:t>
      </w:r>
      <w:proofErr w:type="spellEnd"/>
      <w:r w:rsidRPr="00DB436B">
        <w:t xml:space="preserve"> B, Leal J, Holman RR.</w:t>
      </w:r>
      <w:r>
        <w:t xml:space="preserve"> </w:t>
      </w:r>
      <w:r w:rsidRPr="00DB436B">
        <w:t>The impact of diabetes-related complications on healthcare costs: new results from the UKPDS (UKPDS 84).</w:t>
      </w:r>
      <w:r>
        <w:t xml:space="preserve"> </w:t>
      </w:r>
      <w:proofErr w:type="spellStart"/>
      <w:r>
        <w:t>Diabet</w:t>
      </w:r>
      <w:proofErr w:type="spellEnd"/>
      <w:r>
        <w:t xml:space="preserve"> Med. 2015</w:t>
      </w:r>
      <w:r w:rsidRPr="00DB436B">
        <w:t>;</w:t>
      </w:r>
      <w:r>
        <w:t xml:space="preserve"> </w:t>
      </w:r>
      <w:r w:rsidRPr="00DB436B">
        <w:t>32(4):</w:t>
      </w:r>
      <w:r>
        <w:t xml:space="preserve"> </w:t>
      </w:r>
      <w:r w:rsidRPr="00DB436B">
        <w:t>459-66.</w:t>
      </w:r>
    </w:p>
  </w:endnote>
  <w:endnote w:id="6">
    <w:p w14:paraId="5B19BB8C" w14:textId="77777777" w:rsidR="00393AC1" w:rsidRPr="00D770FB" w:rsidRDefault="00393AC1" w:rsidP="00DB436B">
      <w:pPr>
        <w:pStyle w:val="Text"/>
      </w:pPr>
      <w:r>
        <w:rPr>
          <w:rStyle w:val="EndnoteReference"/>
        </w:rPr>
        <w:endnoteRef/>
      </w:r>
      <w:r>
        <w:t xml:space="preserve">  </w:t>
      </w:r>
      <w:proofErr w:type="spellStart"/>
      <w:r w:rsidRPr="00DB436B">
        <w:t>Danese</w:t>
      </w:r>
      <w:proofErr w:type="spellEnd"/>
      <w:r w:rsidRPr="00DB436B">
        <w:t xml:space="preserve"> M, Gleeson M, </w:t>
      </w:r>
      <w:proofErr w:type="spellStart"/>
      <w:r w:rsidRPr="00DB436B">
        <w:t>Kutikova</w:t>
      </w:r>
      <w:proofErr w:type="spellEnd"/>
      <w:r w:rsidRPr="00DB436B">
        <w:t xml:space="preserve"> L, Griffiths R, </w:t>
      </w:r>
      <w:proofErr w:type="spellStart"/>
      <w:r w:rsidRPr="00DB436B">
        <w:t>Azough</w:t>
      </w:r>
      <w:proofErr w:type="spellEnd"/>
      <w:r w:rsidRPr="00DB436B">
        <w:t xml:space="preserve"> A, </w:t>
      </w:r>
      <w:proofErr w:type="spellStart"/>
      <w:r w:rsidRPr="00DB436B">
        <w:t>Khunti</w:t>
      </w:r>
      <w:proofErr w:type="spellEnd"/>
      <w:r w:rsidRPr="00DB436B">
        <w:t xml:space="preserve"> K,</w:t>
      </w:r>
      <w:r>
        <w:t xml:space="preserve"> </w:t>
      </w:r>
      <w:proofErr w:type="spellStart"/>
      <w:r>
        <w:t>Kondapally</w:t>
      </w:r>
      <w:proofErr w:type="spellEnd"/>
      <w:r>
        <w:t xml:space="preserve"> </w:t>
      </w:r>
      <w:proofErr w:type="spellStart"/>
      <w:r>
        <w:t>Seshasai</w:t>
      </w:r>
      <w:proofErr w:type="spellEnd"/>
      <w:r>
        <w:t xml:space="preserve"> SR, Ray KK</w:t>
      </w:r>
      <w:r w:rsidRPr="00D770FB">
        <w:t>. Costs of cardiovascular (CV) events in the United Kingdom (UK) using real-world data</w:t>
      </w:r>
      <w:r>
        <w:t>. Value Health 2015; 18(7): A387</w:t>
      </w:r>
    </w:p>
  </w:endnote>
  <w:endnote w:id="7">
    <w:p w14:paraId="053CC19B" w14:textId="77777777" w:rsidR="00393AC1" w:rsidRPr="00D770FB" w:rsidRDefault="00393AC1" w:rsidP="00DB436B">
      <w:pPr>
        <w:pStyle w:val="Text"/>
      </w:pPr>
      <w:r>
        <w:rPr>
          <w:rStyle w:val="EndnoteReference"/>
        </w:rPr>
        <w:endnoteRef/>
      </w:r>
      <w:r>
        <w:t xml:space="preserve">  </w:t>
      </w:r>
      <w:r w:rsidRPr="00DB436B">
        <w:t xml:space="preserve">Kent S, </w:t>
      </w:r>
      <w:proofErr w:type="spellStart"/>
      <w:r w:rsidRPr="00DB436B">
        <w:t>Schlackow</w:t>
      </w:r>
      <w:proofErr w:type="spellEnd"/>
      <w:r w:rsidRPr="00DB436B">
        <w:t xml:space="preserve"> I, Lozano-</w:t>
      </w:r>
      <w:proofErr w:type="spellStart"/>
      <w:r w:rsidRPr="00DB436B">
        <w:t>Kühne</w:t>
      </w:r>
      <w:proofErr w:type="spellEnd"/>
      <w:r w:rsidRPr="00DB436B">
        <w:t xml:space="preserve"> J, Reith C, </w:t>
      </w:r>
      <w:proofErr w:type="spellStart"/>
      <w:r w:rsidRPr="00DB436B">
        <w:t>Emberson</w:t>
      </w:r>
      <w:proofErr w:type="spellEnd"/>
      <w:r w:rsidRPr="00DB436B">
        <w:t xml:space="preserve"> J, Haynes R, </w:t>
      </w:r>
      <w:r>
        <w:t>et al</w:t>
      </w:r>
      <w:r w:rsidRPr="00DB436B">
        <w:t>.</w:t>
      </w:r>
      <w:r>
        <w:t xml:space="preserve"> </w:t>
      </w:r>
      <w:r w:rsidRPr="00DB436B">
        <w:t>What is the impact of chronic kidney disease stage and cardiovascular disease on the annual cost of hospital care in moderate-to-severe kidney disease?</w:t>
      </w:r>
      <w:r>
        <w:t xml:space="preserve"> BMC </w:t>
      </w:r>
      <w:proofErr w:type="spellStart"/>
      <w:r>
        <w:t>Nephrol</w:t>
      </w:r>
      <w:proofErr w:type="spellEnd"/>
      <w:r>
        <w:t>. 2015</w:t>
      </w:r>
      <w:r w:rsidRPr="00DB436B">
        <w:t>;</w:t>
      </w:r>
      <w:r>
        <w:t xml:space="preserve"> </w:t>
      </w:r>
      <w:r w:rsidRPr="00DB436B">
        <w:t>16:</w:t>
      </w:r>
      <w:r>
        <w:t xml:space="preserve"> </w:t>
      </w:r>
      <w:r w:rsidRPr="00DB436B">
        <w:t>65</w:t>
      </w:r>
    </w:p>
  </w:endnote>
  <w:endnote w:id="8">
    <w:p w14:paraId="06DBFF53" w14:textId="77777777" w:rsidR="00393AC1" w:rsidRPr="00D770FB" w:rsidRDefault="00393AC1" w:rsidP="00DB436B">
      <w:pPr>
        <w:pStyle w:val="Text"/>
      </w:pPr>
      <w:r>
        <w:rPr>
          <w:rStyle w:val="EndnoteReference"/>
        </w:rPr>
        <w:endnoteRef/>
      </w:r>
      <w:r>
        <w:t xml:space="preserve">  Chubb B, </w:t>
      </w:r>
      <w:proofErr w:type="spellStart"/>
      <w:r>
        <w:t>Tikkanen</w:t>
      </w:r>
      <w:proofErr w:type="spellEnd"/>
      <w:r>
        <w:t xml:space="preserve"> C</w:t>
      </w:r>
      <w:r w:rsidRPr="00DB436B">
        <w:t>.</w:t>
      </w:r>
      <w:r>
        <w:t xml:space="preserve"> </w:t>
      </w:r>
      <w:r w:rsidRPr="00DB436B">
        <w:t>The Cost of Non-</w:t>
      </w:r>
      <w:r>
        <w:t xml:space="preserve">Severe </w:t>
      </w:r>
      <w:proofErr w:type="spellStart"/>
      <w:r>
        <w:t>Hypoglycaemia</w:t>
      </w:r>
      <w:proofErr w:type="spellEnd"/>
      <w:r>
        <w:t xml:space="preserve"> In Europe. Value Health. 2015</w:t>
      </w:r>
      <w:r w:rsidRPr="00DB436B">
        <w:t>;</w:t>
      </w:r>
      <w:r>
        <w:t xml:space="preserve"> </w:t>
      </w:r>
      <w:r w:rsidRPr="00DB436B">
        <w:t>18(7):</w:t>
      </w:r>
      <w:r>
        <w:t xml:space="preserve"> </w:t>
      </w:r>
      <w:r w:rsidRPr="00DB436B">
        <w:t>A611</w:t>
      </w:r>
    </w:p>
  </w:endnote>
  <w:endnote w:id="9">
    <w:p w14:paraId="40DEC67A" w14:textId="77777777" w:rsidR="00393AC1" w:rsidRPr="00D770FB" w:rsidRDefault="00393AC1" w:rsidP="00DB436B">
      <w:pPr>
        <w:pStyle w:val="Text"/>
      </w:pPr>
      <w:r>
        <w:rPr>
          <w:rStyle w:val="EndnoteReference"/>
        </w:rPr>
        <w:endnoteRef/>
      </w:r>
      <w:r>
        <w:t xml:space="preserve">  </w:t>
      </w:r>
      <w:r w:rsidRPr="00DB436B">
        <w:t xml:space="preserve">Hammer M, </w:t>
      </w:r>
      <w:proofErr w:type="spellStart"/>
      <w:r w:rsidRPr="00DB436B">
        <w:t>Lammert</w:t>
      </w:r>
      <w:proofErr w:type="spellEnd"/>
      <w:r w:rsidRPr="00DB436B">
        <w:t xml:space="preserve"> M, </w:t>
      </w:r>
      <w:proofErr w:type="spellStart"/>
      <w:r w:rsidRPr="00DB436B">
        <w:t>Mejías</w:t>
      </w:r>
      <w:proofErr w:type="spellEnd"/>
      <w:r w:rsidRPr="00DB436B">
        <w:t xml:space="preserve"> SM, Kern W, </w:t>
      </w:r>
      <w:proofErr w:type="spellStart"/>
      <w:r w:rsidRPr="00DB436B">
        <w:t>Frier</w:t>
      </w:r>
      <w:proofErr w:type="spellEnd"/>
      <w:r w:rsidRPr="00DB436B">
        <w:t xml:space="preserve"> BM.</w:t>
      </w:r>
      <w:r>
        <w:t xml:space="preserve"> </w:t>
      </w:r>
      <w:r w:rsidRPr="00DB436B">
        <w:t xml:space="preserve">Costs of managing severe </w:t>
      </w:r>
      <w:proofErr w:type="spellStart"/>
      <w:r w:rsidRPr="00DB436B">
        <w:t>hypoglycaemia</w:t>
      </w:r>
      <w:proofErr w:type="spellEnd"/>
      <w:r w:rsidRPr="00DB436B">
        <w:t xml:space="preserve"> in three European countries.</w:t>
      </w:r>
      <w:r>
        <w:t xml:space="preserve"> </w:t>
      </w:r>
      <w:r w:rsidRPr="00DB436B">
        <w:t>J Med Econ. 2009;</w:t>
      </w:r>
      <w:r>
        <w:t xml:space="preserve"> </w:t>
      </w:r>
      <w:r w:rsidRPr="00DB436B">
        <w:t>12(4):</w:t>
      </w:r>
      <w:r>
        <w:t xml:space="preserve"> </w:t>
      </w:r>
      <w:r w:rsidRPr="00DB436B">
        <w:t>281-90.</w:t>
      </w:r>
    </w:p>
  </w:endnote>
  <w:endnote w:id="10">
    <w:p w14:paraId="3D71206B" w14:textId="77777777" w:rsidR="00393AC1" w:rsidRPr="005B5F1B" w:rsidRDefault="00393AC1" w:rsidP="00C87729">
      <w:pPr>
        <w:pStyle w:val="Text"/>
      </w:pPr>
      <w:r>
        <w:rPr>
          <w:rStyle w:val="EndnoteReference"/>
        </w:rPr>
        <w:endnoteRef/>
      </w:r>
      <w:r>
        <w:t xml:space="preserve">  </w:t>
      </w:r>
      <w:proofErr w:type="spellStart"/>
      <w:r w:rsidRPr="00C87729">
        <w:t>Ghatnekar</w:t>
      </w:r>
      <w:proofErr w:type="spellEnd"/>
      <w:r w:rsidRPr="00C87729">
        <w:t xml:space="preserve"> O, Willis M, Persson U.</w:t>
      </w:r>
      <w:r>
        <w:t xml:space="preserve"> </w:t>
      </w:r>
      <w:r w:rsidRPr="00C87729">
        <w:t xml:space="preserve">Cost-effectiveness of treating deep diabetic foot ulcers with </w:t>
      </w:r>
      <w:proofErr w:type="spellStart"/>
      <w:r w:rsidRPr="00C87729">
        <w:t>Promogran</w:t>
      </w:r>
      <w:proofErr w:type="spellEnd"/>
      <w:r w:rsidRPr="00C87729">
        <w:t xml:space="preserve"> in four European countries.</w:t>
      </w:r>
      <w:r>
        <w:t xml:space="preserve"> J Wound Care. 2002</w:t>
      </w:r>
      <w:r w:rsidRPr="00C87729">
        <w:t>;</w:t>
      </w:r>
      <w:r>
        <w:t xml:space="preserve"> </w:t>
      </w:r>
      <w:r w:rsidRPr="00C87729">
        <w:t>11(2):</w:t>
      </w:r>
      <w:r>
        <w:t xml:space="preserve"> </w:t>
      </w:r>
      <w:r w:rsidRPr="00C87729">
        <w:t>70-4</w:t>
      </w:r>
    </w:p>
  </w:endnote>
  <w:endnote w:id="11">
    <w:p w14:paraId="37F58A81" w14:textId="77777777" w:rsidR="00393AC1" w:rsidRPr="005B5F1B" w:rsidRDefault="00393AC1" w:rsidP="00DB436B">
      <w:pPr>
        <w:pStyle w:val="Text"/>
      </w:pPr>
      <w:r>
        <w:rPr>
          <w:rStyle w:val="EndnoteReference"/>
        </w:rPr>
        <w:endnoteRef/>
      </w:r>
      <w:r>
        <w:t xml:space="preserve">  </w:t>
      </w:r>
      <w:proofErr w:type="spellStart"/>
      <w:r w:rsidRPr="00DB436B">
        <w:t>Sørensen</w:t>
      </w:r>
      <w:proofErr w:type="spellEnd"/>
      <w:r w:rsidRPr="00DB436B">
        <w:t xml:space="preserve"> J, </w:t>
      </w:r>
      <w:proofErr w:type="spellStart"/>
      <w:r w:rsidRPr="00DB436B">
        <w:t>Ploug</w:t>
      </w:r>
      <w:proofErr w:type="spellEnd"/>
      <w:r w:rsidRPr="00DB436B">
        <w:t xml:space="preserve"> UJ. The Cost of Diabetes-Related Complications: Registry-Based Analysis of Days Absent from Work. Econ Res Int 2013; Article ID 618039</w:t>
      </w:r>
    </w:p>
  </w:endnote>
  <w:endnote w:id="12">
    <w:p w14:paraId="61CF4456" w14:textId="77777777" w:rsidR="00393AC1" w:rsidRPr="00FD59D8" w:rsidRDefault="00393AC1" w:rsidP="00677865">
      <w:pPr>
        <w:pStyle w:val="Text"/>
      </w:pPr>
      <w:r>
        <w:rPr>
          <w:rStyle w:val="EndnoteReference"/>
        </w:rPr>
        <w:endnoteRef/>
      </w:r>
      <w:r>
        <w:t xml:space="preserve">  </w:t>
      </w:r>
      <w:proofErr w:type="spellStart"/>
      <w:r w:rsidRPr="00677865">
        <w:t>Zghebi</w:t>
      </w:r>
      <w:proofErr w:type="spellEnd"/>
      <w:r w:rsidRPr="00677865">
        <w:t xml:space="preserve"> SS, Steinke DT, </w:t>
      </w:r>
      <w:proofErr w:type="spellStart"/>
      <w:r w:rsidRPr="00677865">
        <w:t>Carr</w:t>
      </w:r>
      <w:proofErr w:type="spellEnd"/>
      <w:r w:rsidRPr="00677865">
        <w:t xml:space="preserve"> MJ, Rutter MK, Emsley RA, Ashcroft DM.</w:t>
      </w:r>
      <w:r>
        <w:t xml:space="preserve"> </w:t>
      </w:r>
      <w:r w:rsidRPr="00677865">
        <w:t>Examining trends in type 2 diabetes incidence, prevalence and mortality in the UK between 2004 and 2014.</w:t>
      </w:r>
      <w:r>
        <w:t xml:space="preserve"> Diabetes </w:t>
      </w:r>
      <w:proofErr w:type="spellStart"/>
      <w:r>
        <w:t>Obes</w:t>
      </w:r>
      <w:proofErr w:type="spellEnd"/>
      <w:r>
        <w:t xml:space="preserve"> </w:t>
      </w:r>
      <w:proofErr w:type="spellStart"/>
      <w:r>
        <w:t>Metab</w:t>
      </w:r>
      <w:proofErr w:type="spellEnd"/>
      <w:r>
        <w:t>. 2017</w:t>
      </w:r>
      <w:r w:rsidRPr="00677865">
        <w:t>;</w:t>
      </w:r>
      <w:r>
        <w:t xml:space="preserve"> </w:t>
      </w:r>
      <w:r w:rsidRPr="00677865">
        <w:t>19(11):</w:t>
      </w:r>
      <w:r>
        <w:t xml:space="preserve"> </w:t>
      </w:r>
      <w:r w:rsidRPr="00677865">
        <w:t>1537-1545</w:t>
      </w:r>
    </w:p>
  </w:endnote>
  <w:endnote w:id="13">
    <w:p w14:paraId="2C60BB6F" w14:textId="77777777" w:rsidR="00393AC1" w:rsidRPr="003E239E" w:rsidRDefault="00393AC1" w:rsidP="008B43E4">
      <w:pPr>
        <w:pStyle w:val="Text"/>
      </w:pPr>
      <w:r>
        <w:rPr>
          <w:rStyle w:val="EndnoteReference"/>
        </w:rPr>
        <w:endnoteRef/>
      </w:r>
      <w:r>
        <w:t xml:space="preserve">  </w:t>
      </w:r>
      <w:r w:rsidRPr="003E239E">
        <w:t xml:space="preserve">Office for National Statistics: Overview of the UK population: July 2017 (Table 1, 2016 estimate). Available at: </w:t>
      </w:r>
      <w:hyperlink r:id="rId4" w:history="1">
        <w:r w:rsidRPr="00C86D78">
          <w:rPr>
            <w:rStyle w:val="Hyperlink"/>
          </w:rPr>
          <w:t>https://www.ons.gov.uk/peoplepopulationandcommunity/populationandmigration/populationestimates/articles/overviewoftheukpopulation/july2017</w:t>
        </w:r>
      </w:hyperlink>
      <w:r>
        <w:t>. Accessed on July 20, 2018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13368EE-E20E-4BFF-AD06-C5559F4ECF7B}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8124" w14:textId="77777777" w:rsidR="00393AC1" w:rsidRPr="00304372" w:rsidRDefault="00393AC1" w:rsidP="0074416B">
    <w:pPr>
      <w:pStyle w:val="Footer"/>
      <w:jc w:val="right"/>
      <w:rPr>
        <w:rFonts w:ascii="Futura Bk" w:hAnsi="Futura Bk"/>
      </w:rPr>
    </w:pPr>
    <w:r w:rsidRPr="00446AA3">
      <w:rPr>
        <w:rFonts w:ascii="Futura Bk" w:hAnsi="Futura Bk"/>
        <w:color w:val="808080"/>
        <w:sz w:val="16"/>
        <w:szCs w:val="16"/>
      </w:rPr>
      <w:fldChar w:fldCharType="begin"/>
    </w:r>
    <w:r w:rsidRPr="00446AA3">
      <w:rPr>
        <w:rFonts w:ascii="Futura Bk" w:hAnsi="Futura Bk"/>
        <w:color w:val="808080"/>
        <w:sz w:val="16"/>
        <w:szCs w:val="16"/>
      </w:rPr>
      <w:instrText xml:space="preserve"> PAGE   \* MERGEFORMAT </w:instrText>
    </w:r>
    <w:r w:rsidRPr="00446AA3">
      <w:rPr>
        <w:rFonts w:ascii="Futura Bk" w:hAnsi="Futura Bk"/>
        <w:color w:val="808080"/>
        <w:sz w:val="16"/>
        <w:szCs w:val="16"/>
      </w:rPr>
      <w:fldChar w:fldCharType="separate"/>
    </w:r>
    <w:r w:rsidR="001926DF">
      <w:rPr>
        <w:rFonts w:ascii="Futura Bk" w:hAnsi="Futura Bk"/>
        <w:noProof/>
        <w:color w:val="808080"/>
        <w:sz w:val="16"/>
        <w:szCs w:val="16"/>
      </w:rPr>
      <w:t>2</w:t>
    </w:r>
    <w:r w:rsidRPr="00446AA3">
      <w:rPr>
        <w:rFonts w:ascii="Futura Bk" w:hAnsi="Futura Bk"/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3F9E" w14:textId="77777777" w:rsidR="00393AC1" w:rsidRPr="006A08BA" w:rsidRDefault="00393AC1" w:rsidP="00181FCC">
    <w:pPr>
      <w:pStyle w:val="Footer"/>
      <w:jc w:val="right"/>
      <w:rPr>
        <w:color w:val="FFFFFF"/>
        <w:lang w:val="en-US" w:eastAsia="zh-TW"/>
      </w:rPr>
    </w:pPr>
    <w:r w:rsidRPr="006A08BA">
      <w:rPr>
        <w:color w:val="FFFFFF"/>
        <w:lang w:val="en-US"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733E" w14:textId="77777777" w:rsidR="00393AC1" w:rsidRDefault="00393AC1" w:rsidP="00B34FF4">
      <w:pPr>
        <w:spacing w:after="0" w:line="240" w:lineRule="auto"/>
      </w:pPr>
      <w:r>
        <w:separator/>
      </w:r>
    </w:p>
  </w:footnote>
  <w:footnote w:type="continuationSeparator" w:id="0">
    <w:p w14:paraId="02BA4DED" w14:textId="77777777" w:rsidR="00393AC1" w:rsidRDefault="00393AC1" w:rsidP="00B3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A8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40391"/>
    <w:multiLevelType w:val="multilevel"/>
    <w:tmpl w:val="D98A25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6005D6"/>
    <w:multiLevelType w:val="hybridMultilevel"/>
    <w:tmpl w:val="1AB04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B45D2"/>
    <w:multiLevelType w:val="hybridMultilevel"/>
    <w:tmpl w:val="8834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91E50"/>
    <w:multiLevelType w:val="hybridMultilevel"/>
    <w:tmpl w:val="11A44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85D53"/>
    <w:multiLevelType w:val="hybridMultilevel"/>
    <w:tmpl w:val="E6A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44B1"/>
    <w:multiLevelType w:val="hybridMultilevel"/>
    <w:tmpl w:val="00F8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D96"/>
    <w:multiLevelType w:val="hybridMultilevel"/>
    <w:tmpl w:val="DD98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54E71"/>
    <w:multiLevelType w:val="hybridMultilevel"/>
    <w:tmpl w:val="3A12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2AAB"/>
    <w:multiLevelType w:val="hybridMultilevel"/>
    <w:tmpl w:val="4912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2365FB"/>
    <w:multiLevelType w:val="hybridMultilevel"/>
    <w:tmpl w:val="3DB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109FD"/>
    <w:multiLevelType w:val="hybridMultilevel"/>
    <w:tmpl w:val="C52A6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03DA7"/>
    <w:multiLevelType w:val="hybridMultilevel"/>
    <w:tmpl w:val="CC1CC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D5820"/>
    <w:multiLevelType w:val="hybridMultilevel"/>
    <w:tmpl w:val="2B5C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F1A50"/>
    <w:multiLevelType w:val="hybridMultilevel"/>
    <w:tmpl w:val="675A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5A7260"/>
    <w:multiLevelType w:val="hybridMultilevel"/>
    <w:tmpl w:val="5D0AA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13ACF"/>
    <w:multiLevelType w:val="hybridMultilevel"/>
    <w:tmpl w:val="BFEAE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99436A"/>
    <w:multiLevelType w:val="hybridMultilevel"/>
    <w:tmpl w:val="00C26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83480"/>
    <w:multiLevelType w:val="hybridMultilevel"/>
    <w:tmpl w:val="9F4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53A70"/>
    <w:multiLevelType w:val="hybridMultilevel"/>
    <w:tmpl w:val="3776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8D0"/>
    <w:multiLevelType w:val="hybridMultilevel"/>
    <w:tmpl w:val="CD3A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71DD3"/>
    <w:multiLevelType w:val="hybridMultilevel"/>
    <w:tmpl w:val="CBE0F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184836"/>
    <w:multiLevelType w:val="hybridMultilevel"/>
    <w:tmpl w:val="E0BC2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81798B"/>
    <w:multiLevelType w:val="hybridMultilevel"/>
    <w:tmpl w:val="EC2E22AA"/>
    <w:lvl w:ilvl="0" w:tplc="E826C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315AB9"/>
    <w:multiLevelType w:val="hybridMultilevel"/>
    <w:tmpl w:val="7938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4308B8"/>
    <w:multiLevelType w:val="hybridMultilevel"/>
    <w:tmpl w:val="16E6B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3243F"/>
    <w:multiLevelType w:val="hybridMultilevel"/>
    <w:tmpl w:val="9B9C3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14792"/>
    <w:multiLevelType w:val="hybridMultilevel"/>
    <w:tmpl w:val="DF4859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C6883"/>
    <w:multiLevelType w:val="multilevel"/>
    <w:tmpl w:val="162CE1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DC45FEE"/>
    <w:multiLevelType w:val="hybridMultilevel"/>
    <w:tmpl w:val="FB5C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B10FD"/>
    <w:multiLevelType w:val="hybridMultilevel"/>
    <w:tmpl w:val="4F7CCDD6"/>
    <w:lvl w:ilvl="0" w:tplc="6360C33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06A2"/>
    <w:multiLevelType w:val="hybridMultilevel"/>
    <w:tmpl w:val="541AE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D55BDC"/>
    <w:multiLevelType w:val="hybridMultilevel"/>
    <w:tmpl w:val="A2E6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6EB9"/>
    <w:multiLevelType w:val="hybridMultilevel"/>
    <w:tmpl w:val="AC5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2717D"/>
    <w:multiLevelType w:val="hybridMultilevel"/>
    <w:tmpl w:val="442E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5FEC"/>
    <w:multiLevelType w:val="hybridMultilevel"/>
    <w:tmpl w:val="4DC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10C80"/>
    <w:multiLevelType w:val="hybridMultilevel"/>
    <w:tmpl w:val="5392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12"/>
  </w:num>
  <w:num w:numId="5">
    <w:abstractNumId w:val="1"/>
  </w:num>
  <w:num w:numId="6">
    <w:abstractNumId w:val="20"/>
  </w:num>
  <w:num w:numId="7">
    <w:abstractNumId w:val="36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30"/>
  </w:num>
  <w:num w:numId="13">
    <w:abstractNumId w:val="0"/>
  </w:num>
  <w:num w:numId="14">
    <w:abstractNumId w:val="25"/>
  </w:num>
  <w:num w:numId="15">
    <w:abstractNumId w:val="13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34"/>
  </w:num>
  <w:num w:numId="21">
    <w:abstractNumId w:val="31"/>
  </w:num>
  <w:num w:numId="22">
    <w:abstractNumId w:val="32"/>
  </w:num>
  <w:num w:numId="23">
    <w:abstractNumId w:val="17"/>
  </w:num>
  <w:num w:numId="24">
    <w:abstractNumId w:val="7"/>
  </w:num>
  <w:num w:numId="25">
    <w:abstractNumId w:val="15"/>
  </w:num>
  <w:num w:numId="26">
    <w:abstractNumId w:val="33"/>
  </w:num>
  <w:num w:numId="27">
    <w:abstractNumId w:val="10"/>
  </w:num>
  <w:num w:numId="28">
    <w:abstractNumId w:val="5"/>
  </w:num>
  <w:num w:numId="29">
    <w:abstractNumId w:val="11"/>
  </w:num>
  <w:num w:numId="30">
    <w:abstractNumId w:val="18"/>
  </w:num>
  <w:num w:numId="31">
    <w:abstractNumId w:val="16"/>
  </w:num>
  <w:num w:numId="32">
    <w:abstractNumId w:val="29"/>
  </w:num>
  <w:num w:numId="33">
    <w:abstractNumId w:val="22"/>
  </w:num>
  <w:num w:numId="34">
    <w:abstractNumId w:val="3"/>
  </w:num>
  <w:num w:numId="35">
    <w:abstractNumId w:val="27"/>
  </w:num>
  <w:num w:numId="36">
    <w:abstractNumId w:val="8"/>
  </w:num>
  <w:num w:numId="3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f30,#ff6400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6"/>
    <w:rsid w:val="00002637"/>
    <w:rsid w:val="00002807"/>
    <w:rsid w:val="0000347E"/>
    <w:rsid w:val="000147A1"/>
    <w:rsid w:val="00017C16"/>
    <w:rsid w:val="00030B10"/>
    <w:rsid w:val="00036568"/>
    <w:rsid w:val="00051215"/>
    <w:rsid w:val="00051273"/>
    <w:rsid w:val="00052D15"/>
    <w:rsid w:val="00054951"/>
    <w:rsid w:val="00055FB0"/>
    <w:rsid w:val="000646B2"/>
    <w:rsid w:val="00065338"/>
    <w:rsid w:val="0006740C"/>
    <w:rsid w:val="0006742A"/>
    <w:rsid w:val="0007030A"/>
    <w:rsid w:val="0007177E"/>
    <w:rsid w:val="000A1F36"/>
    <w:rsid w:val="000A305D"/>
    <w:rsid w:val="000A5184"/>
    <w:rsid w:val="000A71B2"/>
    <w:rsid w:val="000B0205"/>
    <w:rsid w:val="000B2AB6"/>
    <w:rsid w:val="000B7A93"/>
    <w:rsid w:val="000C4CF3"/>
    <w:rsid w:val="000D2122"/>
    <w:rsid w:val="000E23DD"/>
    <w:rsid w:val="000E3EF8"/>
    <w:rsid w:val="000E5F59"/>
    <w:rsid w:val="000F60B7"/>
    <w:rsid w:val="000F6385"/>
    <w:rsid w:val="00102B12"/>
    <w:rsid w:val="00103A90"/>
    <w:rsid w:val="001054D2"/>
    <w:rsid w:val="00110A11"/>
    <w:rsid w:val="00111BF6"/>
    <w:rsid w:val="00123794"/>
    <w:rsid w:val="00130268"/>
    <w:rsid w:val="00136A8E"/>
    <w:rsid w:val="00142AC7"/>
    <w:rsid w:val="001470A0"/>
    <w:rsid w:val="001628C1"/>
    <w:rsid w:val="0016382B"/>
    <w:rsid w:val="0016575C"/>
    <w:rsid w:val="00167534"/>
    <w:rsid w:val="00177C37"/>
    <w:rsid w:val="00181FCC"/>
    <w:rsid w:val="001926DF"/>
    <w:rsid w:val="001955AC"/>
    <w:rsid w:val="00196D71"/>
    <w:rsid w:val="001B0F8F"/>
    <w:rsid w:val="001C12B1"/>
    <w:rsid w:val="001C43FF"/>
    <w:rsid w:val="001C5B10"/>
    <w:rsid w:val="001C6CDA"/>
    <w:rsid w:val="001D4AF5"/>
    <w:rsid w:val="001E3BFA"/>
    <w:rsid w:val="001E4BB3"/>
    <w:rsid w:val="001E6757"/>
    <w:rsid w:val="00200176"/>
    <w:rsid w:val="00202007"/>
    <w:rsid w:val="0020680C"/>
    <w:rsid w:val="00210D1C"/>
    <w:rsid w:val="00212DBD"/>
    <w:rsid w:val="00213903"/>
    <w:rsid w:val="0022307A"/>
    <w:rsid w:val="00231870"/>
    <w:rsid w:val="00234EFA"/>
    <w:rsid w:val="00245A6A"/>
    <w:rsid w:val="00254CE8"/>
    <w:rsid w:val="00255CBE"/>
    <w:rsid w:val="00263E95"/>
    <w:rsid w:val="00264DCC"/>
    <w:rsid w:val="00265813"/>
    <w:rsid w:val="00266A90"/>
    <w:rsid w:val="00272F51"/>
    <w:rsid w:val="00292C14"/>
    <w:rsid w:val="00295A74"/>
    <w:rsid w:val="002A3385"/>
    <w:rsid w:val="002A5603"/>
    <w:rsid w:val="002A5867"/>
    <w:rsid w:val="002A7E1C"/>
    <w:rsid w:val="002B0D75"/>
    <w:rsid w:val="002C3004"/>
    <w:rsid w:val="002C51E1"/>
    <w:rsid w:val="002D1659"/>
    <w:rsid w:val="002D3136"/>
    <w:rsid w:val="002E068F"/>
    <w:rsid w:val="002E1BBF"/>
    <w:rsid w:val="002E2CD4"/>
    <w:rsid w:val="002E3BC5"/>
    <w:rsid w:val="002E4D48"/>
    <w:rsid w:val="002E6F3B"/>
    <w:rsid w:val="002E7DD4"/>
    <w:rsid w:val="002F3D3B"/>
    <w:rsid w:val="00301A43"/>
    <w:rsid w:val="00304372"/>
    <w:rsid w:val="00306969"/>
    <w:rsid w:val="0032760F"/>
    <w:rsid w:val="00331608"/>
    <w:rsid w:val="003327DF"/>
    <w:rsid w:val="00333885"/>
    <w:rsid w:val="0034304B"/>
    <w:rsid w:val="00344EF0"/>
    <w:rsid w:val="00354374"/>
    <w:rsid w:val="00363E53"/>
    <w:rsid w:val="00364EFC"/>
    <w:rsid w:val="00373426"/>
    <w:rsid w:val="00382693"/>
    <w:rsid w:val="00393AC1"/>
    <w:rsid w:val="00396081"/>
    <w:rsid w:val="003A142A"/>
    <w:rsid w:val="003B00F3"/>
    <w:rsid w:val="003B166D"/>
    <w:rsid w:val="003B365E"/>
    <w:rsid w:val="003B4A9D"/>
    <w:rsid w:val="003B696C"/>
    <w:rsid w:val="003C43F3"/>
    <w:rsid w:val="003C4AF6"/>
    <w:rsid w:val="003D6DBA"/>
    <w:rsid w:val="003D797C"/>
    <w:rsid w:val="003E139F"/>
    <w:rsid w:val="003E239E"/>
    <w:rsid w:val="003F199D"/>
    <w:rsid w:val="00425C20"/>
    <w:rsid w:val="004402DE"/>
    <w:rsid w:val="00444364"/>
    <w:rsid w:val="00445938"/>
    <w:rsid w:val="00446AA3"/>
    <w:rsid w:val="00446CFE"/>
    <w:rsid w:val="00453210"/>
    <w:rsid w:val="00463B5F"/>
    <w:rsid w:val="00472646"/>
    <w:rsid w:val="00472923"/>
    <w:rsid w:val="0048337D"/>
    <w:rsid w:val="00490AC1"/>
    <w:rsid w:val="00492668"/>
    <w:rsid w:val="0049347D"/>
    <w:rsid w:val="004A237E"/>
    <w:rsid w:val="004A26E8"/>
    <w:rsid w:val="004A5E53"/>
    <w:rsid w:val="004C0068"/>
    <w:rsid w:val="004C0BA4"/>
    <w:rsid w:val="004D48FB"/>
    <w:rsid w:val="004D5138"/>
    <w:rsid w:val="004D70D6"/>
    <w:rsid w:val="004E12EB"/>
    <w:rsid w:val="004E6F42"/>
    <w:rsid w:val="0051485C"/>
    <w:rsid w:val="005161F9"/>
    <w:rsid w:val="00521502"/>
    <w:rsid w:val="00527229"/>
    <w:rsid w:val="0053478C"/>
    <w:rsid w:val="00535CC4"/>
    <w:rsid w:val="005405DB"/>
    <w:rsid w:val="005435E5"/>
    <w:rsid w:val="00550BDA"/>
    <w:rsid w:val="00555CDF"/>
    <w:rsid w:val="00561326"/>
    <w:rsid w:val="00574480"/>
    <w:rsid w:val="00586567"/>
    <w:rsid w:val="00591B2F"/>
    <w:rsid w:val="00596979"/>
    <w:rsid w:val="005A0259"/>
    <w:rsid w:val="005B2B32"/>
    <w:rsid w:val="005B2DF9"/>
    <w:rsid w:val="005B5C47"/>
    <w:rsid w:val="005B5F1B"/>
    <w:rsid w:val="005C36F9"/>
    <w:rsid w:val="005C5CAC"/>
    <w:rsid w:val="005C5FB8"/>
    <w:rsid w:val="005C6337"/>
    <w:rsid w:val="005D5FC5"/>
    <w:rsid w:val="005E3B16"/>
    <w:rsid w:val="005F56F7"/>
    <w:rsid w:val="00604654"/>
    <w:rsid w:val="00607ECC"/>
    <w:rsid w:val="0061110E"/>
    <w:rsid w:val="00616595"/>
    <w:rsid w:val="00617ADA"/>
    <w:rsid w:val="0062367F"/>
    <w:rsid w:val="00623ECB"/>
    <w:rsid w:val="006334DE"/>
    <w:rsid w:val="00634762"/>
    <w:rsid w:val="00640CF3"/>
    <w:rsid w:val="00641C99"/>
    <w:rsid w:val="00643BEB"/>
    <w:rsid w:val="006445E0"/>
    <w:rsid w:val="00644C66"/>
    <w:rsid w:val="00645C01"/>
    <w:rsid w:val="006653B4"/>
    <w:rsid w:val="00670868"/>
    <w:rsid w:val="00677865"/>
    <w:rsid w:val="0068121D"/>
    <w:rsid w:val="00690A7E"/>
    <w:rsid w:val="006925A3"/>
    <w:rsid w:val="006A0170"/>
    <w:rsid w:val="006A04A4"/>
    <w:rsid w:val="006A08BA"/>
    <w:rsid w:val="006A210F"/>
    <w:rsid w:val="006B4425"/>
    <w:rsid w:val="006B79F0"/>
    <w:rsid w:val="006D0A49"/>
    <w:rsid w:val="006D206A"/>
    <w:rsid w:val="006D4D18"/>
    <w:rsid w:val="006D692C"/>
    <w:rsid w:val="006E0D80"/>
    <w:rsid w:val="006E3501"/>
    <w:rsid w:val="006F22F8"/>
    <w:rsid w:val="006F2661"/>
    <w:rsid w:val="006F5757"/>
    <w:rsid w:val="00707350"/>
    <w:rsid w:val="0071129C"/>
    <w:rsid w:val="00711DEC"/>
    <w:rsid w:val="00711EB4"/>
    <w:rsid w:val="00712325"/>
    <w:rsid w:val="0072127E"/>
    <w:rsid w:val="007224B8"/>
    <w:rsid w:val="007359AB"/>
    <w:rsid w:val="0074416B"/>
    <w:rsid w:val="00752BCA"/>
    <w:rsid w:val="00753F90"/>
    <w:rsid w:val="00755C69"/>
    <w:rsid w:val="00757291"/>
    <w:rsid w:val="00762CD4"/>
    <w:rsid w:val="00770337"/>
    <w:rsid w:val="007706F3"/>
    <w:rsid w:val="00773B35"/>
    <w:rsid w:val="007927C1"/>
    <w:rsid w:val="00795988"/>
    <w:rsid w:val="00797AE8"/>
    <w:rsid w:val="007A5899"/>
    <w:rsid w:val="007A589E"/>
    <w:rsid w:val="007B25C3"/>
    <w:rsid w:val="007C024B"/>
    <w:rsid w:val="007C7525"/>
    <w:rsid w:val="007D22D6"/>
    <w:rsid w:val="007D22FC"/>
    <w:rsid w:val="007E2A01"/>
    <w:rsid w:val="007F1E23"/>
    <w:rsid w:val="008027C8"/>
    <w:rsid w:val="00803AFD"/>
    <w:rsid w:val="00811390"/>
    <w:rsid w:val="008138A0"/>
    <w:rsid w:val="00814E68"/>
    <w:rsid w:val="008163FF"/>
    <w:rsid w:val="00820067"/>
    <w:rsid w:val="008209BB"/>
    <w:rsid w:val="00824FF2"/>
    <w:rsid w:val="0082520B"/>
    <w:rsid w:val="00825E91"/>
    <w:rsid w:val="00827CA7"/>
    <w:rsid w:val="00832F6F"/>
    <w:rsid w:val="00834C33"/>
    <w:rsid w:val="00836DE6"/>
    <w:rsid w:val="008478BD"/>
    <w:rsid w:val="00851D9F"/>
    <w:rsid w:val="00855713"/>
    <w:rsid w:val="008617C2"/>
    <w:rsid w:val="00866FDA"/>
    <w:rsid w:val="0087565B"/>
    <w:rsid w:val="00885E7E"/>
    <w:rsid w:val="008A1DD8"/>
    <w:rsid w:val="008B43E4"/>
    <w:rsid w:val="008B4F1A"/>
    <w:rsid w:val="008B6180"/>
    <w:rsid w:val="008C3ED4"/>
    <w:rsid w:val="008D6E7E"/>
    <w:rsid w:val="008D7B67"/>
    <w:rsid w:val="008D7F2C"/>
    <w:rsid w:val="008E5000"/>
    <w:rsid w:val="008F4901"/>
    <w:rsid w:val="00903054"/>
    <w:rsid w:val="00903D6C"/>
    <w:rsid w:val="00906C2A"/>
    <w:rsid w:val="009079C5"/>
    <w:rsid w:val="00907C30"/>
    <w:rsid w:val="00912C15"/>
    <w:rsid w:val="00915917"/>
    <w:rsid w:val="00921F2F"/>
    <w:rsid w:val="0092561D"/>
    <w:rsid w:val="0093361C"/>
    <w:rsid w:val="0094238E"/>
    <w:rsid w:val="0095362F"/>
    <w:rsid w:val="00957084"/>
    <w:rsid w:val="00964AB5"/>
    <w:rsid w:val="0096543F"/>
    <w:rsid w:val="00975FEE"/>
    <w:rsid w:val="009805BF"/>
    <w:rsid w:val="00990C41"/>
    <w:rsid w:val="009951DF"/>
    <w:rsid w:val="009A6D8F"/>
    <w:rsid w:val="009B7EC1"/>
    <w:rsid w:val="009C100C"/>
    <w:rsid w:val="009C2D7F"/>
    <w:rsid w:val="009C55CF"/>
    <w:rsid w:val="009C727C"/>
    <w:rsid w:val="009D5C9D"/>
    <w:rsid w:val="009E3624"/>
    <w:rsid w:val="009E5142"/>
    <w:rsid w:val="009E7538"/>
    <w:rsid w:val="009E7AA3"/>
    <w:rsid w:val="00A00714"/>
    <w:rsid w:val="00A00D83"/>
    <w:rsid w:val="00A04DA8"/>
    <w:rsid w:val="00A110BC"/>
    <w:rsid w:val="00A112F4"/>
    <w:rsid w:val="00A128F6"/>
    <w:rsid w:val="00A1303F"/>
    <w:rsid w:val="00A17A11"/>
    <w:rsid w:val="00A22749"/>
    <w:rsid w:val="00A32760"/>
    <w:rsid w:val="00A327C7"/>
    <w:rsid w:val="00A3628C"/>
    <w:rsid w:val="00A566BF"/>
    <w:rsid w:val="00A611A0"/>
    <w:rsid w:val="00A705D5"/>
    <w:rsid w:val="00A71C2F"/>
    <w:rsid w:val="00A7276F"/>
    <w:rsid w:val="00A92CBE"/>
    <w:rsid w:val="00A97313"/>
    <w:rsid w:val="00AA69F8"/>
    <w:rsid w:val="00AB6ADD"/>
    <w:rsid w:val="00AC4232"/>
    <w:rsid w:val="00AC6D9B"/>
    <w:rsid w:val="00AD2E6D"/>
    <w:rsid w:val="00AE294F"/>
    <w:rsid w:val="00AE465A"/>
    <w:rsid w:val="00B1510E"/>
    <w:rsid w:val="00B161B3"/>
    <w:rsid w:val="00B268DC"/>
    <w:rsid w:val="00B27646"/>
    <w:rsid w:val="00B30A48"/>
    <w:rsid w:val="00B34FF4"/>
    <w:rsid w:val="00B37642"/>
    <w:rsid w:val="00B407C5"/>
    <w:rsid w:val="00B421B2"/>
    <w:rsid w:val="00B45F57"/>
    <w:rsid w:val="00B52D4E"/>
    <w:rsid w:val="00B61E67"/>
    <w:rsid w:val="00B635BD"/>
    <w:rsid w:val="00B95941"/>
    <w:rsid w:val="00BA1F51"/>
    <w:rsid w:val="00BA72CF"/>
    <w:rsid w:val="00BB0697"/>
    <w:rsid w:val="00BC69F3"/>
    <w:rsid w:val="00BD2B9E"/>
    <w:rsid w:val="00BD4C1E"/>
    <w:rsid w:val="00BD78DA"/>
    <w:rsid w:val="00BE22E4"/>
    <w:rsid w:val="00BE234F"/>
    <w:rsid w:val="00BF1356"/>
    <w:rsid w:val="00BF5725"/>
    <w:rsid w:val="00BF75E5"/>
    <w:rsid w:val="00BF7735"/>
    <w:rsid w:val="00C02D4E"/>
    <w:rsid w:val="00C0421F"/>
    <w:rsid w:val="00C07647"/>
    <w:rsid w:val="00C078C3"/>
    <w:rsid w:val="00C10381"/>
    <w:rsid w:val="00C12A9B"/>
    <w:rsid w:val="00C13B46"/>
    <w:rsid w:val="00C22F40"/>
    <w:rsid w:val="00C26924"/>
    <w:rsid w:val="00C34059"/>
    <w:rsid w:val="00C37786"/>
    <w:rsid w:val="00C4100B"/>
    <w:rsid w:val="00C41FB5"/>
    <w:rsid w:val="00C424A6"/>
    <w:rsid w:val="00C468A5"/>
    <w:rsid w:val="00C55D49"/>
    <w:rsid w:val="00C61CE5"/>
    <w:rsid w:val="00C67781"/>
    <w:rsid w:val="00C81232"/>
    <w:rsid w:val="00C82DCC"/>
    <w:rsid w:val="00C84F3D"/>
    <w:rsid w:val="00C86ABE"/>
    <w:rsid w:val="00C87729"/>
    <w:rsid w:val="00CA1D0E"/>
    <w:rsid w:val="00CA3D2A"/>
    <w:rsid w:val="00CA708A"/>
    <w:rsid w:val="00CB60D9"/>
    <w:rsid w:val="00CC5752"/>
    <w:rsid w:val="00CC72CC"/>
    <w:rsid w:val="00CD28F4"/>
    <w:rsid w:val="00CD3179"/>
    <w:rsid w:val="00CE0FEB"/>
    <w:rsid w:val="00CE2385"/>
    <w:rsid w:val="00CF13C6"/>
    <w:rsid w:val="00CF199B"/>
    <w:rsid w:val="00CF7360"/>
    <w:rsid w:val="00D0677D"/>
    <w:rsid w:val="00D0742A"/>
    <w:rsid w:val="00D0745F"/>
    <w:rsid w:val="00D117FB"/>
    <w:rsid w:val="00D15797"/>
    <w:rsid w:val="00D30677"/>
    <w:rsid w:val="00D31E2F"/>
    <w:rsid w:val="00D32235"/>
    <w:rsid w:val="00D367D4"/>
    <w:rsid w:val="00D36D7E"/>
    <w:rsid w:val="00D453C3"/>
    <w:rsid w:val="00D55210"/>
    <w:rsid w:val="00D55AB2"/>
    <w:rsid w:val="00D56D0C"/>
    <w:rsid w:val="00D60708"/>
    <w:rsid w:val="00D61431"/>
    <w:rsid w:val="00D63216"/>
    <w:rsid w:val="00D73CF9"/>
    <w:rsid w:val="00D74655"/>
    <w:rsid w:val="00D76F9D"/>
    <w:rsid w:val="00D770FB"/>
    <w:rsid w:val="00D8767B"/>
    <w:rsid w:val="00D95576"/>
    <w:rsid w:val="00D95B4F"/>
    <w:rsid w:val="00DA4662"/>
    <w:rsid w:val="00DA482E"/>
    <w:rsid w:val="00DA6C09"/>
    <w:rsid w:val="00DB1B3E"/>
    <w:rsid w:val="00DB3D98"/>
    <w:rsid w:val="00DB436B"/>
    <w:rsid w:val="00DB6106"/>
    <w:rsid w:val="00DC3B0B"/>
    <w:rsid w:val="00DC5307"/>
    <w:rsid w:val="00DD09F5"/>
    <w:rsid w:val="00DD109A"/>
    <w:rsid w:val="00DD2719"/>
    <w:rsid w:val="00DD2B89"/>
    <w:rsid w:val="00DD5FA7"/>
    <w:rsid w:val="00DE001F"/>
    <w:rsid w:val="00DE64AC"/>
    <w:rsid w:val="00DF32D7"/>
    <w:rsid w:val="00E0349E"/>
    <w:rsid w:val="00E072BA"/>
    <w:rsid w:val="00E149EE"/>
    <w:rsid w:val="00E16620"/>
    <w:rsid w:val="00E3461F"/>
    <w:rsid w:val="00E42266"/>
    <w:rsid w:val="00E503D1"/>
    <w:rsid w:val="00E53ADB"/>
    <w:rsid w:val="00E61717"/>
    <w:rsid w:val="00E71120"/>
    <w:rsid w:val="00E72146"/>
    <w:rsid w:val="00E772BF"/>
    <w:rsid w:val="00EA6DF4"/>
    <w:rsid w:val="00EA705B"/>
    <w:rsid w:val="00EE3A63"/>
    <w:rsid w:val="00EE42AD"/>
    <w:rsid w:val="00EF4160"/>
    <w:rsid w:val="00EF583E"/>
    <w:rsid w:val="00EF5BFD"/>
    <w:rsid w:val="00F01A85"/>
    <w:rsid w:val="00F05E93"/>
    <w:rsid w:val="00F0643D"/>
    <w:rsid w:val="00F07B56"/>
    <w:rsid w:val="00F12993"/>
    <w:rsid w:val="00F1751A"/>
    <w:rsid w:val="00F30238"/>
    <w:rsid w:val="00F4103F"/>
    <w:rsid w:val="00F56657"/>
    <w:rsid w:val="00F56795"/>
    <w:rsid w:val="00F608EA"/>
    <w:rsid w:val="00F74A12"/>
    <w:rsid w:val="00F836CD"/>
    <w:rsid w:val="00FA05D4"/>
    <w:rsid w:val="00FA0C25"/>
    <w:rsid w:val="00FA6062"/>
    <w:rsid w:val="00FB0D13"/>
    <w:rsid w:val="00FB7962"/>
    <w:rsid w:val="00FC3258"/>
    <w:rsid w:val="00FC6631"/>
    <w:rsid w:val="00FD1FAE"/>
    <w:rsid w:val="00FD5509"/>
    <w:rsid w:val="00FD59D8"/>
    <w:rsid w:val="00FF36D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30,#ff6400"/>
    </o:shapedefaults>
    <o:shapelayout v:ext="edit">
      <o:idmap v:ext="edit" data="1"/>
    </o:shapelayout>
  </w:shapeDefaults>
  <w:decimalSymbol w:val="."/>
  <w:listSeparator w:val=","/>
  <w14:docId w14:val="086CFB56"/>
  <w15:docId w15:val="{E9ED4C21-B76C-43AB-935A-2020279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6AA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Text"/>
    <w:next w:val="Text"/>
    <w:link w:val="Heading1Char"/>
    <w:uiPriority w:val="9"/>
    <w:qFormat/>
    <w:rsid w:val="00F01A85"/>
    <w:pPr>
      <w:keepNext/>
      <w:keepLines/>
      <w:pageBreakBefore/>
      <w:numPr>
        <w:numId w:val="1"/>
      </w:numPr>
      <w:spacing w:before="240"/>
      <w:ind w:left="992" w:hanging="992"/>
      <w:outlineLvl w:val="0"/>
    </w:pPr>
    <w:rPr>
      <w:rFonts w:eastAsia="Times New Roman"/>
      <w:b/>
      <w:bCs/>
      <w:caps/>
      <w:sz w:val="24"/>
      <w:szCs w:val="24"/>
    </w:rPr>
  </w:style>
  <w:style w:type="paragraph" w:styleId="Heading2">
    <w:name w:val="heading 2"/>
    <w:basedOn w:val="Text"/>
    <w:next w:val="Text"/>
    <w:link w:val="Heading2Char"/>
    <w:uiPriority w:val="9"/>
    <w:qFormat/>
    <w:rsid w:val="0074416B"/>
    <w:pPr>
      <w:keepNext/>
      <w:keepLines/>
      <w:numPr>
        <w:ilvl w:val="1"/>
        <w:numId w:val="1"/>
      </w:numPr>
      <w:spacing w:before="200" w:line="240" w:lineRule="auto"/>
      <w:ind w:left="993" w:hanging="993"/>
      <w:outlineLvl w:val="1"/>
    </w:pPr>
    <w:rPr>
      <w:rFonts w:eastAsia="Times New Roman"/>
      <w:b/>
      <w:bCs/>
      <w:caps/>
      <w:sz w:val="22"/>
    </w:rPr>
  </w:style>
  <w:style w:type="paragraph" w:styleId="Heading3">
    <w:name w:val="heading 3"/>
    <w:basedOn w:val="Text"/>
    <w:next w:val="Text"/>
    <w:link w:val="Heading3Char"/>
    <w:uiPriority w:val="9"/>
    <w:qFormat/>
    <w:rsid w:val="0074416B"/>
    <w:pPr>
      <w:keepNext/>
      <w:keepLines/>
      <w:numPr>
        <w:ilvl w:val="2"/>
        <w:numId w:val="1"/>
      </w:numPr>
      <w:spacing w:before="200" w:after="0"/>
      <w:ind w:left="993" w:hanging="993"/>
      <w:outlineLvl w:val="2"/>
    </w:pPr>
    <w:rPr>
      <w:rFonts w:eastAsia="Times New Roman"/>
      <w:b/>
      <w:bCs/>
    </w:rPr>
  </w:style>
  <w:style w:type="paragraph" w:styleId="Heading4">
    <w:name w:val="heading 4"/>
    <w:basedOn w:val="Text"/>
    <w:next w:val="Text"/>
    <w:link w:val="Heading4Char"/>
    <w:uiPriority w:val="9"/>
    <w:qFormat/>
    <w:rsid w:val="0074416B"/>
    <w:pPr>
      <w:keepNext/>
      <w:keepLines/>
      <w:numPr>
        <w:ilvl w:val="3"/>
        <w:numId w:val="1"/>
      </w:numPr>
      <w:spacing w:before="200" w:after="0"/>
      <w:ind w:left="993" w:hanging="993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E0349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rsid w:val="00E0349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E0349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E0349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E0349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D30677"/>
    <w:pPr>
      <w:spacing w:after="120" w:line="480" w:lineRule="auto"/>
    </w:pPr>
    <w:rPr>
      <w:rFonts w:ascii="Futura Bk" w:hAnsi="Futura Bk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F01A85"/>
    <w:rPr>
      <w:rFonts w:ascii="Futura Bk" w:eastAsia="Times New Roman" w:hAnsi="Futura Bk"/>
      <w:b/>
      <w:bCs/>
      <w:caps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B2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4416B"/>
    <w:rPr>
      <w:rFonts w:ascii="Futura Bk" w:eastAsia="Times New Roman" w:hAnsi="Futura Bk"/>
      <w:b/>
      <w:bCs/>
      <w:caps/>
      <w:sz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74416B"/>
    <w:rPr>
      <w:rFonts w:ascii="Futura Bk" w:eastAsia="Times New Roman" w:hAnsi="Futura Bk"/>
      <w:b/>
      <w:bCs/>
      <w:lang w:val="en-US" w:eastAsia="en-US"/>
    </w:rPr>
  </w:style>
  <w:style w:type="character" w:customStyle="1" w:styleId="Heading4Char">
    <w:name w:val="Heading 4 Char"/>
    <w:link w:val="Heading4"/>
    <w:uiPriority w:val="9"/>
    <w:rsid w:val="0074416B"/>
    <w:rPr>
      <w:rFonts w:ascii="Futura Bk" w:eastAsia="Times New Roman" w:hAnsi="Futura Bk"/>
      <w:b/>
      <w:bCs/>
      <w:i/>
      <w:iCs/>
      <w:lang w:val="en-US" w:eastAsia="en-US"/>
    </w:rPr>
  </w:style>
  <w:style w:type="character" w:customStyle="1" w:styleId="Heading5Char">
    <w:name w:val="Heading 5 Char"/>
    <w:link w:val="Heading5"/>
    <w:uiPriority w:val="9"/>
    <w:rsid w:val="00E0349E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0349E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E0349E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E0349E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E0349E"/>
    <w:rPr>
      <w:rFonts w:ascii="Cambria" w:eastAsia="Times New Roman" w:hAnsi="Cambria"/>
      <w:i/>
      <w:iCs/>
      <w:color w:val="404040"/>
      <w:lang w:eastAsia="en-US"/>
    </w:rPr>
  </w:style>
  <w:style w:type="paragraph" w:styleId="NoSpacing">
    <w:name w:val="No Spacing"/>
    <w:uiPriority w:val="1"/>
    <w:rsid w:val="00E0349E"/>
    <w:rPr>
      <w:sz w:val="22"/>
      <w:szCs w:val="22"/>
      <w:lang w:val="en-GB"/>
    </w:rPr>
  </w:style>
  <w:style w:type="paragraph" w:customStyle="1" w:styleId="ManuTitle">
    <w:name w:val="Manu Title"/>
    <w:basedOn w:val="Text"/>
    <w:next w:val="Text"/>
    <w:qFormat/>
    <w:rsid w:val="008D7F2C"/>
    <w:pPr>
      <w:keepNext/>
      <w:keepLines/>
      <w:spacing w:after="0"/>
    </w:pPr>
    <w:rPr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B3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F4"/>
  </w:style>
  <w:style w:type="paragraph" w:styleId="Footer">
    <w:name w:val="footer"/>
    <w:basedOn w:val="Normal"/>
    <w:link w:val="FooterChar"/>
    <w:uiPriority w:val="99"/>
    <w:unhideWhenUsed/>
    <w:rsid w:val="00B34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F4"/>
  </w:style>
  <w:style w:type="paragraph" w:styleId="BalloonText">
    <w:name w:val="Balloon Text"/>
    <w:basedOn w:val="Normal"/>
    <w:link w:val="BalloonTextChar"/>
    <w:uiPriority w:val="99"/>
    <w:semiHidden/>
    <w:unhideWhenUsed/>
    <w:rsid w:val="00B3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FF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74416B"/>
    <w:pPr>
      <w:spacing w:after="0" w:line="240" w:lineRule="auto"/>
      <w:ind w:left="-113"/>
    </w:pPr>
    <w:rPr>
      <w:rFonts w:ascii="Futura Bk" w:hAnsi="Futura Bk"/>
      <w:b/>
      <w:color w:val="A5A3AA"/>
      <w:sz w:val="44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74416B"/>
    <w:rPr>
      <w:rFonts w:ascii="Futura Bk" w:hAnsi="Futura Bk"/>
      <w:b/>
      <w:color w:val="A5A3AA"/>
      <w:sz w:val="44"/>
      <w:szCs w:val="48"/>
      <w:lang w:val="en-US" w:eastAsia="ja-JP"/>
    </w:rPr>
  </w:style>
  <w:style w:type="character" w:styleId="Hyperlink">
    <w:name w:val="Hyperlink"/>
    <w:uiPriority w:val="99"/>
    <w:unhideWhenUsed/>
    <w:rsid w:val="009C2D7F"/>
    <w:rPr>
      <w:color w:val="0000FF"/>
      <w:u w:val="single"/>
    </w:rPr>
  </w:style>
  <w:style w:type="table" w:styleId="TableGrid">
    <w:name w:val="Table Grid"/>
    <w:basedOn w:val="TableNormal"/>
    <w:rsid w:val="009C2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9C2D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007"/>
    <w:pPr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Text"/>
    <w:next w:val="Text"/>
    <w:autoRedefine/>
    <w:uiPriority w:val="39"/>
    <w:unhideWhenUsed/>
    <w:rsid w:val="00202007"/>
    <w:pPr>
      <w:tabs>
        <w:tab w:val="right" w:leader="dot" w:pos="9350"/>
      </w:tabs>
      <w:spacing w:after="100"/>
      <w:ind w:left="993" w:hanging="993"/>
    </w:pPr>
    <w:rPr>
      <w:noProof/>
    </w:rPr>
  </w:style>
  <w:style w:type="paragraph" w:styleId="TOC2">
    <w:name w:val="toc 2"/>
    <w:basedOn w:val="Text"/>
    <w:next w:val="Text"/>
    <w:autoRedefine/>
    <w:uiPriority w:val="39"/>
    <w:unhideWhenUsed/>
    <w:rsid w:val="00202007"/>
    <w:pPr>
      <w:tabs>
        <w:tab w:val="right" w:leader="dot" w:pos="9350"/>
      </w:tabs>
      <w:spacing w:after="100"/>
      <w:ind w:left="993" w:hanging="993"/>
    </w:pPr>
    <w:rPr>
      <w:noProof/>
    </w:rPr>
  </w:style>
  <w:style w:type="paragraph" w:styleId="Caption">
    <w:name w:val="caption"/>
    <w:basedOn w:val="Text"/>
    <w:next w:val="Text"/>
    <w:uiPriority w:val="35"/>
    <w:qFormat/>
    <w:rsid w:val="00C26924"/>
    <w:pPr>
      <w:keepNext/>
      <w:keepLines/>
      <w:ind w:left="1418" w:hanging="1418"/>
    </w:pPr>
    <w:rPr>
      <w:b/>
    </w:rPr>
  </w:style>
  <w:style w:type="paragraph" w:customStyle="1" w:styleId="Tabletext">
    <w:name w:val="Table text"/>
    <w:basedOn w:val="Text"/>
    <w:qFormat/>
    <w:rsid w:val="00C81232"/>
    <w:pPr>
      <w:spacing w:before="80" w:after="80" w:line="240" w:lineRule="auto"/>
    </w:pPr>
    <w:rPr>
      <w:rFonts w:eastAsia="Times New Roman"/>
      <w:szCs w:val="18"/>
    </w:rPr>
  </w:style>
  <w:style w:type="character" w:styleId="PlaceholderText">
    <w:name w:val="Placeholder Text"/>
    <w:uiPriority w:val="99"/>
    <w:semiHidden/>
    <w:rsid w:val="00136A8E"/>
    <w:rPr>
      <w:color w:val="808080"/>
    </w:rPr>
  </w:style>
  <w:style w:type="paragraph" w:styleId="ListParagraph">
    <w:name w:val="List Paragraph"/>
    <w:basedOn w:val="Normal"/>
    <w:uiPriority w:val="34"/>
    <w:rsid w:val="00F05E93"/>
    <w:pPr>
      <w:ind w:left="720"/>
      <w:contextualSpacing/>
    </w:pPr>
  </w:style>
  <w:style w:type="paragraph" w:customStyle="1" w:styleId="Titlepagetext">
    <w:name w:val="Title page text"/>
    <w:basedOn w:val="Text"/>
    <w:qFormat/>
    <w:rsid w:val="008D7F2C"/>
    <w:pPr>
      <w:tabs>
        <w:tab w:val="left" w:pos="1112"/>
      </w:tabs>
      <w:spacing w:after="0"/>
    </w:pPr>
    <w:rPr>
      <w:lang w:eastAsia="ja-JP"/>
    </w:rPr>
  </w:style>
  <w:style w:type="paragraph" w:styleId="TOC3">
    <w:name w:val="toc 3"/>
    <w:basedOn w:val="Text"/>
    <w:next w:val="Text"/>
    <w:autoRedefine/>
    <w:uiPriority w:val="39"/>
    <w:unhideWhenUsed/>
    <w:rsid w:val="00202007"/>
    <w:pPr>
      <w:tabs>
        <w:tab w:val="right" w:leader="dot" w:pos="9350"/>
      </w:tabs>
      <w:spacing w:after="100"/>
      <w:ind w:left="993" w:hanging="993"/>
    </w:pPr>
    <w:rPr>
      <w:noProof/>
    </w:rPr>
  </w:style>
  <w:style w:type="paragraph" w:customStyle="1" w:styleId="Footnote">
    <w:name w:val="Footnote"/>
    <w:basedOn w:val="Text"/>
    <w:qFormat/>
    <w:rsid w:val="00B635BD"/>
    <w:pPr>
      <w:spacing w:before="60"/>
    </w:pPr>
    <w:rPr>
      <w:sz w:val="18"/>
    </w:rPr>
  </w:style>
  <w:style w:type="table" w:customStyle="1" w:styleId="OssianReportTable">
    <w:name w:val="Ossian Report Table"/>
    <w:basedOn w:val="TableNormal"/>
    <w:uiPriority w:val="99"/>
    <w:rsid w:val="00866FDA"/>
    <w:pPr>
      <w:keepNext/>
      <w:keepLines/>
      <w:spacing w:before="60" w:after="60"/>
      <w:jc w:val="center"/>
    </w:pPr>
    <w:rPr>
      <w:rFonts w:ascii="Futura Bk" w:hAnsi="Futura Bk"/>
    </w:rPr>
    <w:tblPr>
      <w:tblBorders>
        <w:top w:val="single" w:sz="6" w:space="0" w:color="auto"/>
        <w:bottom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Futura Bk" w:hAnsi="Futura Bk"/>
        <w:b/>
        <w:sz w:val="20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firstCol">
      <w:pPr>
        <w:wordWrap/>
        <w:jc w:val="left"/>
      </w:pPr>
      <w:rPr>
        <w:rFonts w:ascii="Futura Bk" w:hAnsi="Futura Bk"/>
        <w:b w:val="0"/>
        <w:sz w:val="20"/>
      </w:rPr>
    </w:tblStylePr>
  </w:style>
  <w:style w:type="paragraph" w:styleId="TableofFigures">
    <w:name w:val="table of figures"/>
    <w:basedOn w:val="Text"/>
    <w:next w:val="Text"/>
    <w:uiPriority w:val="99"/>
    <w:unhideWhenUsed/>
    <w:rsid w:val="004C0BA4"/>
    <w:pPr>
      <w:spacing w:after="0"/>
    </w:pPr>
  </w:style>
  <w:style w:type="paragraph" w:customStyle="1" w:styleId="Manuheading">
    <w:name w:val="Manu heading"/>
    <w:basedOn w:val="Heading1"/>
    <w:next w:val="Text"/>
    <w:qFormat/>
    <w:rsid w:val="00D30677"/>
    <w:pPr>
      <w:numPr>
        <w:numId w:val="0"/>
      </w:numPr>
    </w:pPr>
  </w:style>
  <w:style w:type="paragraph" w:customStyle="1" w:styleId="Manusub-heading">
    <w:name w:val="Manu sub-heading"/>
    <w:basedOn w:val="Text"/>
    <w:next w:val="Text"/>
    <w:qFormat/>
    <w:rsid w:val="00757291"/>
    <w:pPr>
      <w:keepNext/>
      <w:keepLines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72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57291"/>
    <w:rPr>
      <w:lang w:eastAsia="en-US"/>
    </w:rPr>
  </w:style>
  <w:style w:type="character" w:styleId="EndnoteReference">
    <w:name w:val="endnote reference"/>
    <w:uiPriority w:val="99"/>
    <w:unhideWhenUsed/>
    <w:rsid w:val="00757291"/>
    <w:rPr>
      <w:vertAlign w:val="superscript"/>
    </w:rPr>
  </w:style>
  <w:style w:type="character" w:customStyle="1" w:styleId="TextChar">
    <w:name w:val="Text Char"/>
    <w:basedOn w:val="DefaultParagraphFont"/>
    <w:link w:val="Text"/>
    <w:locked/>
    <w:rsid w:val="00C37786"/>
    <w:rPr>
      <w:rFonts w:ascii="Futura Bk" w:hAnsi="Futura Bk"/>
    </w:rPr>
  </w:style>
  <w:style w:type="table" w:customStyle="1" w:styleId="OssianReportTable3">
    <w:name w:val="Ossian Report Table3"/>
    <w:basedOn w:val="TableNormal"/>
    <w:uiPriority w:val="99"/>
    <w:rsid w:val="00C37786"/>
    <w:pPr>
      <w:keepNext/>
      <w:keepLines/>
      <w:spacing w:before="60" w:after="60"/>
      <w:jc w:val="center"/>
    </w:pPr>
    <w:rPr>
      <w:rFonts w:ascii="Futura Bk" w:hAnsi="Futura Bk"/>
    </w:rPr>
    <w:tblPr>
      <w:tblBorders>
        <w:top w:val="single" w:sz="6" w:space="0" w:color="auto"/>
        <w:bottom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Futura Bk" w:hAnsi="Futura Bk"/>
        <w:b/>
        <w:sz w:val="20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firstCol">
      <w:pPr>
        <w:wordWrap/>
        <w:jc w:val="left"/>
      </w:pPr>
      <w:rPr>
        <w:rFonts w:ascii="Futura Bk" w:hAnsi="Futura Bk"/>
        <w:b w:val="0"/>
        <w:sz w:val="20"/>
      </w:rPr>
    </w:tblStylePr>
  </w:style>
  <w:style w:type="table" w:customStyle="1" w:styleId="OssianReportTable1">
    <w:name w:val="Ossian Report Table1"/>
    <w:basedOn w:val="TableNormal"/>
    <w:uiPriority w:val="99"/>
    <w:rsid w:val="00DB436B"/>
    <w:pPr>
      <w:keepNext/>
      <w:keepLines/>
      <w:spacing w:before="60" w:after="60"/>
      <w:jc w:val="center"/>
    </w:pPr>
    <w:rPr>
      <w:rFonts w:ascii="Futura Bk" w:hAnsi="Futura Bk"/>
    </w:rPr>
    <w:tblPr>
      <w:tblBorders>
        <w:top w:val="single" w:sz="6" w:space="0" w:color="auto"/>
        <w:bottom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Futura Bk" w:hAnsi="Futura Bk"/>
        <w:b/>
        <w:sz w:val="20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firstCol">
      <w:pPr>
        <w:wordWrap/>
        <w:jc w:val="left"/>
      </w:pPr>
      <w:rPr>
        <w:rFonts w:ascii="Futura Bk" w:hAnsi="Futura Bk"/>
        <w:b w:val="0"/>
        <w:sz w:val="20"/>
      </w:rPr>
    </w:tblStylePr>
  </w:style>
  <w:style w:type="table" w:customStyle="1" w:styleId="OssianReportTable2">
    <w:name w:val="Ossian Report Table2"/>
    <w:basedOn w:val="TableNormal"/>
    <w:uiPriority w:val="99"/>
    <w:rsid w:val="004E6F42"/>
    <w:pPr>
      <w:keepNext/>
      <w:keepLines/>
      <w:spacing w:before="60" w:after="60"/>
      <w:jc w:val="center"/>
    </w:pPr>
    <w:rPr>
      <w:rFonts w:ascii="Futura Bk" w:hAnsi="Futura Bk"/>
    </w:rPr>
    <w:tblPr>
      <w:tblBorders>
        <w:top w:val="single" w:sz="6" w:space="0" w:color="auto"/>
        <w:bottom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Futura Bk" w:hAnsi="Futura Bk"/>
        <w:b/>
        <w:sz w:val="20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firstCol">
      <w:pPr>
        <w:wordWrap/>
        <w:jc w:val="left"/>
      </w:pPr>
      <w:rPr>
        <w:rFonts w:ascii="Futura Bk" w:hAnsi="Futura Bk"/>
        <w:b w:val="0"/>
        <w:sz w:val="20"/>
      </w:rPr>
    </w:tblStylePr>
  </w:style>
  <w:style w:type="table" w:customStyle="1" w:styleId="OssianReportTable4">
    <w:name w:val="Ossian Report Table4"/>
    <w:basedOn w:val="TableNormal"/>
    <w:uiPriority w:val="99"/>
    <w:rsid w:val="004E6F42"/>
    <w:pPr>
      <w:keepNext/>
      <w:keepLines/>
      <w:spacing w:before="60" w:after="60"/>
      <w:jc w:val="center"/>
    </w:pPr>
    <w:rPr>
      <w:rFonts w:ascii="Futura Bk" w:hAnsi="Futura Bk"/>
    </w:rPr>
    <w:tblPr>
      <w:tblBorders>
        <w:top w:val="single" w:sz="6" w:space="0" w:color="auto"/>
        <w:bottom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Futura Bk" w:hAnsi="Futura Bk"/>
        <w:b/>
        <w:sz w:val="20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firstCol">
      <w:pPr>
        <w:wordWrap/>
        <w:jc w:val="left"/>
      </w:pPr>
      <w:rPr>
        <w:rFonts w:ascii="Futura Bk" w:hAnsi="Futura Bk"/>
        <w:b w:val="0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0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F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0F3"/>
    <w:rPr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0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1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0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3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1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5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3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5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proposed-new-timetable-for-state-pension-age-increa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rk-day.co.uk/workingdays_holidays_20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child-employment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o.int/substance_abuse/publications/global_alcohol_report/profiles/gbr.pdf" TargetMode="External"/><Relationship Id="rId2" Type="http://schemas.openxmlformats.org/officeDocument/2006/relationships/hyperlink" Target="https://www.ons.gov.uk/peoplepopulationandcommunity/healthandsocialcare/healthandlifeexpectancies/bulletins/adultsmokinghabitsingreatbritain/2016" TargetMode="External"/><Relationship Id="rId1" Type="http://schemas.openxmlformats.org/officeDocument/2006/relationships/hyperlink" Target="https://www.nice.org.uk/guidance/NG28/documents/type-2-diabetes-appendix-f" TargetMode="External"/><Relationship Id="rId4" Type="http://schemas.openxmlformats.org/officeDocument/2006/relationships/hyperlink" Target="https://www.ons.gov.uk/peoplepopulationandcommunity/populationandmigration/populationestimates/articles/overviewoftheukpopulation/july2017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E0CC-CA42-4AD9-92A6-AFA7449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Ossian Report</vt:lpstr>
    </vt:vector>
  </TitlesOfParts>
  <Company/>
  <LinksUpToDate>false</LinksUpToDate>
  <CharactersWithSpaces>18696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mailto:valentine@ossianconsulting.com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mailto:joshua.ray@roche.com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Ossian Report</dc:title>
  <dc:creator>William Valentine</dc:creator>
  <cp:lastModifiedBy>Lindsay Uglow</cp:lastModifiedBy>
  <cp:revision>2</cp:revision>
  <cp:lastPrinted>2011-03-28T16:05:00Z</cp:lastPrinted>
  <dcterms:created xsi:type="dcterms:W3CDTF">2019-07-03T19:17:00Z</dcterms:created>
  <dcterms:modified xsi:type="dcterms:W3CDTF">2019-07-03T19:17:00Z</dcterms:modified>
</cp:coreProperties>
</file>