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98" w:rsidRPr="00A20EC7" w:rsidRDefault="00162D98" w:rsidP="00162D98">
      <w:pPr>
        <w:rPr>
          <w:b/>
          <w:caps/>
          <w:color w:val="000000" w:themeColor="text1"/>
        </w:rPr>
      </w:pPr>
      <w:bookmarkStart w:id="0" w:name="_GoBack"/>
      <w:bookmarkEnd w:id="0"/>
      <w:r w:rsidRPr="00A20EC7">
        <w:rPr>
          <w:b/>
          <w:caps/>
          <w:color w:val="000000" w:themeColor="text1"/>
        </w:rPr>
        <w:t>Appendix</w:t>
      </w:r>
    </w:p>
    <w:p w:rsidR="00162D98" w:rsidRDefault="00162D98" w:rsidP="00162D98">
      <w:pPr>
        <w:rPr>
          <w:b/>
          <w:color w:val="000000" w:themeColor="text1"/>
        </w:rPr>
      </w:pPr>
    </w:p>
    <w:tbl>
      <w:tblPr>
        <w:tblStyle w:val="TableGrid"/>
        <w:tblW w:w="0" w:type="auto"/>
        <w:tblLook w:val="04A0" w:firstRow="1" w:lastRow="0" w:firstColumn="1" w:lastColumn="0" w:noHBand="0" w:noVBand="1"/>
      </w:tblPr>
      <w:tblGrid>
        <w:gridCol w:w="1137"/>
        <w:gridCol w:w="8213"/>
      </w:tblGrid>
      <w:tr w:rsidR="00162D98" w:rsidTr="00F24D70">
        <w:tc>
          <w:tcPr>
            <w:tcW w:w="9350" w:type="dxa"/>
            <w:gridSpan w:val="2"/>
          </w:tcPr>
          <w:p w:rsidR="00162D98" w:rsidRDefault="00162D98" w:rsidP="00F24D70">
            <w:pPr>
              <w:jc w:val="center"/>
              <w:rPr>
                <w:b/>
                <w:color w:val="000000" w:themeColor="text1"/>
              </w:rPr>
            </w:pPr>
            <w:r>
              <w:rPr>
                <w:b/>
                <w:color w:val="000000" w:themeColor="text1"/>
              </w:rPr>
              <w:t xml:space="preserve">Full Text of </w:t>
            </w:r>
            <w:proofErr w:type="spellStart"/>
            <w:r>
              <w:rPr>
                <w:b/>
                <w:color w:val="000000" w:themeColor="text1"/>
              </w:rPr>
              <w:t>QoW</w:t>
            </w:r>
            <w:proofErr w:type="spellEnd"/>
            <w:r>
              <w:rPr>
                <w:b/>
                <w:color w:val="000000" w:themeColor="text1"/>
              </w:rPr>
              <w:t xml:space="preserve"> 1, </w:t>
            </w:r>
            <w:proofErr w:type="spellStart"/>
            <w:r>
              <w:rPr>
                <w:b/>
                <w:color w:val="000000" w:themeColor="text1"/>
              </w:rPr>
              <w:t>QoW</w:t>
            </w:r>
            <w:proofErr w:type="spellEnd"/>
            <w:r>
              <w:rPr>
                <w:b/>
                <w:color w:val="000000" w:themeColor="text1"/>
              </w:rPr>
              <w:t xml:space="preserve"> 2, and </w:t>
            </w:r>
            <w:proofErr w:type="spellStart"/>
            <w:r>
              <w:rPr>
                <w:b/>
                <w:color w:val="000000" w:themeColor="text1"/>
              </w:rPr>
              <w:t>QoW</w:t>
            </w:r>
            <w:proofErr w:type="spellEnd"/>
            <w:r>
              <w:rPr>
                <w:b/>
                <w:color w:val="000000" w:themeColor="text1"/>
              </w:rPr>
              <w:t xml:space="preserve"> 3</w:t>
            </w:r>
          </w:p>
        </w:tc>
      </w:tr>
      <w:tr w:rsidR="00162D98" w:rsidTr="00F24D70">
        <w:tc>
          <w:tcPr>
            <w:tcW w:w="9350" w:type="dxa"/>
            <w:gridSpan w:val="2"/>
            <w:shd w:val="clear" w:color="auto" w:fill="A6A6A6" w:themeFill="background1" w:themeFillShade="A6"/>
          </w:tcPr>
          <w:p w:rsidR="00162D98" w:rsidRDefault="00162D98" w:rsidP="00F24D70">
            <w:pPr>
              <w:rPr>
                <w:b/>
                <w:color w:val="000000" w:themeColor="text1"/>
              </w:rPr>
            </w:pPr>
          </w:p>
        </w:tc>
      </w:tr>
      <w:tr w:rsidR="00162D98" w:rsidTr="00F24D70">
        <w:tc>
          <w:tcPr>
            <w:tcW w:w="9350" w:type="dxa"/>
            <w:gridSpan w:val="2"/>
          </w:tcPr>
          <w:p w:rsidR="00162D98" w:rsidRDefault="00162D98" w:rsidP="00F24D70">
            <w:pPr>
              <w:jc w:val="center"/>
              <w:rPr>
                <w:b/>
                <w:color w:val="000000" w:themeColor="text1"/>
              </w:rPr>
            </w:pPr>
            <w:proofErr w:type="spellStart"/>
            <w:r>
              <w:rPr>
                <w:b/>
                <w:color w:val="000000" w:themeColor="text1"/>
              </w:rPr>
              <w:t>QoW</w:t>
            </w:r>
            <w:proofErr w:type="spellEnd"/>
            <w:r>
              <w:rPr>
                <w:b/>
                <w:color w:val="000000" w:themeColor="text1"/>
              </w:rPr>
              <w:t xml:space="preserve"> 1</w:t>
            </w:r>
          </w:p>
        </w:tc>
      </w:tr>
      <w:tr w:rsidR="00162D98" w:rsidTr="00F24D70">
        <w:tc>
          <w:tcPr>
            <w:tcW w:w="1137" w:type="dxa"/>
          </w:tcPr>
          <w:p w:rsidR="00162D98" w:rsidRDefault="00162D98" w:rsidP="00F24D70">
            <w:pPr>
              <w:jc w:val="center"/>
              <w:rPr>
                <w:b/>
                <w:color w:val="000000" w:themeColor="text1"/>
              </w:rPr>
            </w:pPr>
            <w:r>
              <w:rPr>
                <w:b/>
                <w:color w:val="000000" w:themeColor="text1"/>
              </w:rPr>
              <w:t>Scenario</w:t>
            </w:r>
          </w:p>
        </w:tc>
        <w:tc>
          <w:tcPr>
            <w:tcW w:w="8213" w:type="dxa"/>
          </w:tcPr>
          <w:p w:rsidR="00162D98" w:rsidRPr="00432F05" w:rsidRDefault="00162D98" w:rsidP="00F24D70">
            <w:pPr>
              <w:pStyle w:val="NormalWeb"/>
              <w:rPr>
                <w:color w:val="000000" w:themeColor="text1"/>
              </w:rPr>
            </w:pPr>
            <w:r w:rsidRPr="00432F05">
              <w:rPr>
                <w:color w:val="000000" w:themeColor="text1"/>
              </w:rPr>
              <w:t>A 9-year-old girl reports a 3-day history of rhinorrhea, congestion, and cough, along with some difficulty breathing. Her cough has been worse at night and is sometimes associated with a sensation of tightness in her chest. She has had this cough and chest tightness several times before but never sought medical attention because it resolved spontaneously. She also has intermittent cough and shortness of breath when playing soccer, but it does not limit her ability to participate. She has a family history of asthma and a personal history of seasonal allergies.</w:t>
            </w:r>
          </w:p>
          <w:p w:rsidR="00162D98" w:rsidRPr="00432F05" w:rsidRDefault="00162D98" w:rsidP="00F24D70">
            <w:pPr>
              <w:pStyle w:val="NormalWeb"/>
              <w:rPr>
                <w:color w:val="000000" w:themeColor="text1"/>
              </w:rPr>
            </w:pPr>
            <w:r w:rsidRPr="00432F05">
              <w:rPr>
                <w:color w:val="000000" w:themeColor="text1"/>
              </w:rPr>
              <w:t>She is afebrile and has a respiratory rate of 16 breaths per minute. Her oxygen saturation is 98% while she breathes ambient air. She has unlabored breathing and clear breath sounds.</w:t>
            </w:r>
          </w:p>
          <w:p w:rsidR="00162D98" w:rsidRPr="00432F05" w:rsidRDefault="00162D98" w:rsidP="00F24D70">
            <w:pPr>
              <w:pStyle w:val="NormalWeb"/>
              <w:rPr>
                <w:rFonts w:ascii="Arial" w:hAnsi="Arial" w:cs="Arial"/>
                <w:color w:val="747474"/>
                <w:sz w:val="23"/>
                <w:szCs w:val="23"/>
              </w:rPr>
            </w:pPr>
            <w:r w:rsidRPr="00432F05">
              <w:rPr>
                <w:color w:val="000000" w:themeColor="text1"/>
              </w:rPr>
              <w:t>Spirometry and peak flow testing are normal.</w:t>
            </w:r>
          </w:p>
        </w:tc>
      </w:tr>
      <w:tr w:rsidR="00162D98" w:rsidTr="00F24D70">
        <w:tc>
          <w:tcPr>
            <w:tcW w:w="1137" w:type="dxa"/>
          </w:tcPr>
          <w:p w:rsidR="00162D98" w:rsidRDefault="00162D98" w:rsidP="00F24D70">
            <w:pPr>
              <w:jc w:val="center"/>
              <w:rPr>
                <w:b/>
                <w:color w:val="000000" w:themeColor="text1"/>
              </w:rPr>
            </w:pPr>
            <w:r>
              <w:rPr>
                <w:b/>
                <w:color w:val="000000" w:themeColor="text1"/>
              </w:rPr>
              <w:t>Question</w:t>
            </w:r>
          </w:p>
        </w:tc>
        <w:tc>
          <w:tcPr>
            <w:tcW w:w="8213" w:type="dxa"/>
          </w:tcPr>
          <w:p w:rsidR="00162D98" w:rsidRDefault="00162D98" w:rsidP="00F24D70">
            <w:pPr>
              <w:rPr>
                <w:color w:val="000000" w:themeColor="text1"/>
                <w:shd w:val="clear" w:color="auto" w:fill="FFFFFF"/>
              </w:rPr>
            </w:pPr>
            <w:r w:rsidRPr="00432F05">
              <w:rPr>
                <w:color w:val="000000" w:themeColor="text1"/>
                <w:shd w:val="clear" w:color="auto" w:fill="FFFFFF"/>
              </w:rPr>
              <w:t>What is the most appropriate next step in management for this patient?</w:t>
            </w:r>
          </w:p>
          <w:p w:rsidR="00162D98" w:rsidRDefault="00162D98" w:rsidP="00F24D70">
            <w:pPr>
              <w:rPr>
                <w:color w:val="000000" w:themeColor="text1"/>
              </w:rPr>
            </w:pPr>
          </w:p>
          <w:p w:rsidR="00162D98" w:rsidRPr="00432F05" w:rsidRDefault="00162D98" w:rsidP="00162D98">
            <w:pPr>
              <w:pStyle w:val="ListParagraph"/>
              <w:numPr>
                <w:ilvl w:val="0"/>
                <w:numId w:val="2"/>
              </w:numPr>
              <w:rPr>
                <w:color w:val="000000" w:themeColor="text1"/>
              </w:rPr>
            </w:pPr>
            <w:r w:rsidRPr="00432F05">
              <w:rPr>
                <w:color w:val="000000" w:themeColor="text1"/>
              </w:rPr>
              <w:t>Initiate a 2-week trial of albuterol</w:t>
            </w:r>
          </w:p>
          <w:p w:rsidR="00162D98" w:rsidRPr="00432F05" w:rsidRDefault="00162D98" w:rsidP="00162D98">
            <w:pPr>
              <w:pStyle w:val="ListParagraph"/>
              <w:numPr>
                <w:ilvl w:val="0"/>
                <w:numId w:val="2"/>
              </w:numPr>
              <w:rPr>
                <w:color w:val="000000" w:themeColor="text1"/>
              </w:rPr>
            </w:pPr>
            <w:r w:rsidRPr="00432F05">
              <w:rPr>
                <w:color w:val="000000" w:themeColor="text1"/>
              </w:rPr>
              <w:t>Obtain a chest radiograph</w:t>
            </w:r>
          </w:p>
          <w:p w:rsidR="00162D98" w:rsidRPr="00432F05" w:rsidRDefault="00162D98" w:rsidP="00162D98">
            <w:pPr>
              <w:pStyle w:val="ListParagraph"/>
              <w:numPr>
                <w:ilvl w:val="0"/>
                <w:numId w:val="2"/>
              </w:numPr>
              <w:rPr>
                <w:color w:val="000000" w:themeColor="text1"/>
              </w:rPr>
            </w:pPr>
            <w:r w:rsidRPr="00432F05">
              <w:rPr>
                <w:color w:val="000000" w:themeColor="text1"/>
              </w:rPr>
              <w:t>Initiate a 2-week trial of inhaled fluticasone</w:t>
            </w:r>
          </w:p>
          <w:p w:rsidR="00162D98" w:rsidRPr="00432F05" w:rsidRDefault="00162D98" w:rsidP="00162D98">
            <w:pPr>
              <w:pStyle w:val="ListParagraph"/>
              <w:numPr>
                <w:ilvl w:val="0"/>
                <w:numId w:val="2"/>
              </w:numPr>
              <w:rPr>
                <w:color w:val="000000" w:themeColor="text1"/>
              </w:rPr>
            </w:pPr>
            <w:r w:rsidRPr="00432F05">
              <w:rPr>
                <w:color w:val="000000" w:themeColor="text1"/>
              </w:rPr>
              <w:t xml:space="preserve">Check the immunoglobulin E level, and perform a </w:t>
            </w:r>
            <w:proofErr w:type="spellStart"/>
            <w:r w:rsidRPr="00432F05">
              <w:rPr>
                <w:color w:val="000000" w:themeColor="text1"/>
              </w:rPr>
              <w:t>radioallergosorbent</w:t>
            </w:r>
            <w:proofErr w:type="spellEnd"/>
            <w:r w:rsidRPr="00432F05">
              <w:rPr>
                <w:color w:val="000000" w:themeColor="text1"/>
              </w:rPr>
              <w:t xml:space="preserve"> test (RAST)</w:t>
            </w:r>
          </w:p>
          <w:p w:rsidR="00162D98" w:rsidRPr="002A791D" w:rsidRDefault="00162D98" w:rsidP="00162D98">
            <w:pPr>
              <w:pStyle w:val="ListParagraph"/>
              <w:numPr>
                <w:ilvl w:val="0"/>
                <w:numId w:val="2"/>
              </w:numPr>
              <w:rPr>
                <w:color w:val="000000" w:themeColor="text1"/>
              </w:rPr>
            </w:pPr>
            <w:r w:rsidRPr="00432F05">
              <w:rPr>
                <w:color w:val="000000" w:themeColor="text1"/>
              </w:rPr>
              <w:t>Obtain induced sputum for mycobacteria culture</w:t>
            </w:r>
          </w:p>
        </w:tc>
      </w:tr>
      <w:tr w:rsidR="00162D98" w:rsidTr="00F24D70">
        <w:tc>
          <w:tcPr>
            <w:tcW w:w="9350" w:type="dxa"/>
            <w:gridSpan w:val="2"/>
            <w:shd w:val="clear" w:color="auto" w:fill="A6A6A6" w:themeFill="background1" w:themeFillShade="A6"/>
          </w:tcPr>
          <w:p w:rsidR="00162D98" w:rsidRDefault="00162D98" w:rsidP="00F24D70">
            <w:pPr>
              <w:jc w:val="center"/>
              <w:rPr>
                <w:b/>
                <w:color w:val="000000" w:themeColor="text1"/>
              </w:rPr>
            </w:pPr>
          </w:p>
        </w:tc>
      </w:tr>
      <w:tr w:rsidR="00162D98" w:rsidTr="00F24D70">
        <w:tc>
          <w:tcPr>
            <w:tcW w:w="9350" w:type="dxa"/>
            <w:gridSpan w:val="2"/>
          </w:tcPr>
          <w:p w:rsidR="00162D98" w:rsidRDefault="00162D98" w:rsidP="00F24D70">
            <w:pPr>
              <w:jc w:val="center"/>
              <w:rPr>
                <w:b/>
                <w:color w:val="000000" w:themeColor="text1"/>
              </w:rPr>
            </w:pPr>
            <w:proofErr w:type="spellStart"/>
            <w:r>
              <w:rPr>
                <w:b/>
                <w:color w:val="000000" w:themeColor="text1"/>
              </w:rPr>
              <w:t>QoW</w:t>
            </w:r>
            <w:proofErr w:type="spellEnd"/>
            <w:r>
              <w:rPr>
                <w:b/>
                <w:color w:val="000000" w:themeColor="text1"/>
              </w:rPr>
              <w:t xml:space="preserve"> 2</w:t>
            </w:r>
          </w:p>
        </w:tc>
      </w:tr>
      <w:tr w:rsidR="00162D98" w:rsidTr="00F24D70">
        <w:tc>
          <w:tcPr>
            <w:tcW w:w="1137" w:type="dxa"/>
          </w:tcPr>
          <w:p w:rsidR="00162D98" w:rsidRDefault="00162D98" w:rsidP="00F24D70">
            <w:pPr>
              <w:jc w:val="center"/>
              <w:rPr>
                <w:b/>
                <w:color w:val="000000" w:themeColor="text1"/>
              </w:rPr>
            </w:pPr>
            <w:r>
              <w:rPr>
                <w:b/>
                <w:color w:val="000000" w:themeColor="text1"/>
              </w:rPr>
              <w:t>Scenario</w:t>
            </w:r>
          </w:p>
        </w:tc>
        <w:tc>
          <w:tcPr>
            <w:tcW w:w="8213" w:type="dxa"/>
          </w:tcPr>
          <w:p w:rsidR="00162D98" w:rsidRPr="0088526B" w:rsidRDefault="00162D98" w:rsidP="00F24D70">
            <w:pPr>
              <w:pStyle w:val="NormalWeb"/>
              <w:rPr>
                <w:color w:val="000000" w:themeColor="text1"/>
              </w:rPr>
            </w:pPr>
            <w:r w:rsidRPr="0088526B">
              <w:rPr>
                <w:color w:val="000000" w:themeColor="text1"/>
              </w:rPr>
              <w:t>A 65-year-old man with hypertension presents to the emergency department with epigastric pain, nausea, and diaphoresis. His symptoms started one week ago and initially lasted for 5 to 10 minutes before resolving spontaneously. The current episode started just after lunch (2 hours ago), and his pain has not yet subsided. His home medications are lisinopril and amlodipine</w:t>
            </w:r>
            <w:r>
              <w:rPr>
                <w:color w:val="000000" w:themeColor="text1"/>
              </w:rPr>
              <w:t>.</w:t>
            </w:r>
          </w:p>
          <w:p w:rsidR="00162D98" w:rsidRPr="0088526B" w:rsidRDefault="00162D98" w:rsidP="00F24D70">
            <w:pPr>
              <w:pStyle w:val="NormalWeb"/>
              <w:rPr>
                <w:color w:val="000000" w:themeColor="text1"/>
              </w:rPr>
            </w:pPr>
            <w:r w:rsidRPr="0088526B">
              <w:rPr>
                <w:color w:val="000000" w:themeColor="text1"/>
              </w:rPr>
              <w:t>The patient has a heart rate of 62 beats per minute and a blood pressure of 110/70 mm Hg. His lungs are clear to auscultation, and his extremities are well perfused.</w:t>
            </w:r>
          </w:p>
          <w:p w:rsidR="00162D98" w:rsidRPr="0088526B" w:rsidRDefault="00162D98" w:rsidP="00F24D70">
            <w:pPr>
              <w:pStyle w:val="NormalWeb"/>
              <w:rPr>
                <w:color w:val="747474"/>
              </w:rPr>
            </w:pPr>
            <w:r w:rsidRPr="0088526B">
              <w:rPr>
                <w:color w:val="000000" w:themeColor="text1"/>
              </w:rPr>
              <w:t>An electrocardiogram is obtained (figure).</w:t>
            </w:r>
          </w:p>
        </w:tc>
      </w:tr>
      <w:tr w:rsidR="00162D98" w:rsidTr="00F24D70">
        <w:tc>
          <w:tcPr>
            <w:tcW w:w="1137" w:type="dxa"/>
          </w:tcPr>
          <w:p w:rsidR="00162D98" w:rsidRDefault="00162D98" w:rsidP="00F24D70">
            <w:pPr>
              <w:jc w:val="center"/>
              <w:rPr>
                <w:b/>
                <w:color w:val="000000" w:themeColor="text1"/>
              </w:rPr>
            </w:pPr>
            <w:r>
              <w:rPr>
                <w:b/>
                <w:color w:val="000000" w:themeColor="text1"/>
              </w:rPr>
              <w:lastRenderedPageBreak/>
              <w:t>Figure</w:t>
            </w:r>
          </w:p>
        </w:tc>
        <w:tc>
          <w:tcPr>
            <w:tcW w:w="8213" w:type="dxa"/>
          </w:tcPr>
          <w:p w:rsidR="00162D98" w:rsidRPr="009B799A" w:rsidRDefault="00162D98" w:rsidP="00F24D70">
            <w:pPr>
              <w:jc w:val="center"/>
            </w:pPr>
            <w:r>
              <w:rPr>
                <w:noProof/>
              </w:rPr>
              <w:drawing>
                <wp:inline distT="0" distB="0" distL="0" distR="0" wp14:anchorId="672B3579" wp14:editId="7FAF5718">
                  <wp:extent cx="5078730" cy="2335530"/>
                  <wp:effectExtent l="0" t="0" r="1270" b="1270"/>
                  <wp:docPr id="2" name="Picture 2" descr="/var/folders/6g/c6gwpqpx20dbczf0j6whlrs80000gn/T/com.microsoft.Word/WebArchiveCopyPasteTempFiles/q_of_week_71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g/c6gwpqpx20dbczf0j6whlrs80000gn/T/com.microsoft.Word/WebArchiveCopyPasteTempFiles/q_of_week_71_fig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730" cy="2335530"/>
                          </a:xfrm>
                          <a:prstGeom prst="rect">
                            <a:avLst/>
                          </a:prstGeom>
                          <a:noFill/>
                          <a:ln>
                            <a:noFill/>
                          </a:ln>
                        </pic:spPr>
                      </pic:pic>
                    </a:graphicData>
                  </a:graphic>
                </wp:inline>
              </w:drawing>
            </w:r>
          </w:p>
        </w:tc>
      </w:tr>
      <w:tr w:rsidR="00162D98" w:rsidTr="00F24D70">
        <w:tc>
          <w:tcPr>
            <w:tcW w:w="1137" w:type="dxa"/>
          </w:tcPr>
          <w:p w:rsidR="00162D98" w:rsidRDefault="00162D98" w:rsidP="00F24D70">
            <w:pPr>
              <w:jc w:val="center"/>
              <w:rPr>
                <w:b/>
                <w:color w:val="000000" w:themeColor="text1"/>
              </w:rPr>
            </w:pPr>
            <w:r>
              <w:rPr>
                <w:b/>
                <w:color w:val="000000" w:themeColor="text1"/>
              </w:rPr>
              <w:t>Question</w:t>
            </w:r>
          </w:p>
        </w:tc>
        <w:tc>
          <w:tcPr>
            <w:tcW w:w="8213" w:type="dxa"/>
          </w:tcPr>
          <w:p w:rsidR="00162D98" w:rsidRPr="0088526B" w:rsidRDefault="00162D98" w:rsidP="00F24D70">
            <w:pPr>
              <w:rPr>
                <w:color w:val="000000" w:themeColor="text1"/>
                <w:shd w:val="clear" w:color="auto" w:fill="FFFFFF"/>
              </w:rPr>
            </w:pPr>
            <w:r w:rsidRPr="0088526B">
              <w:rPr>
                <w:color w:val="000000" w:themeColor="text1"/>
                <w:shd w:val="clear" w:color="auto" w:fill="FFFFFF"/>
              </w:rPr>
              <w:t>Which one of the following diagnoses is most likely in this case?</w:t>
            </w:r>
          </w:p>
          <w:p w:rsidR="00162D98" w:rsidRPr="0088526B" w:rsidRDefault="00162D98" w:rsidP="00F24D70"/>
          <w:p w:rsidR="00162D98" w:rsidRPr="0088526B" w:rsidRDefault="00162D98" w:rsidP="00162D98">
            <w:pPr>
              <w:pStyle w:val="ListParagraph"/>
              <w:numPr>
                <w:ilvl w:val="0"/>
                <w:numId w:val="1"/>
              </w:numPr>
              <w:rPr>
                <w:color w:val="000000" w:themeColor="text1"/>
              </w:rPr>
            </w:pPr>
            <w:r w:rsidRPr="0088526B">
              <w:rPr>
                <w:color w:val="000000" w:themeColor="text1"/>
              </w:rPr>
              <w:t>Unstable angina</w:t>
            </w:r>
          </w:p>
          <w:p w:rsidR="00162D98" w:rsidRPr="0088526B" w:rsidRDefault="00162D98" w:rsidP="00162D98">
            <w:pPr>
              <w:pStyle w:val="ListParagraph"/>
              <w:numPr>
                <w:ilvl w:val="0"/>
                <w:numId w:val="1"/>
              </w:numPr>
              <w:rPr>
                <w:color w:val="000000" w:themeColor="text1"/>
              </w:rPr>
            </w:pPr>
            <w:r w:rsidRPr="0088526B">
              <w:rPr>
                <w:color w:val="000000" w:themeColor="text1"/>
              </w:rPr>
              <w:t>Esophageal spasm</w:t>
            </w:r>
          </w:p>
          <w:p w:rsidR="00162D98" w:rsidRPr="0088526B" w:rsidRDefault="00162D98" w:rsidP="00162D98">
            <w:pPr>
              <w:pStyle w:val="ListParagraph"/>
              <w:numPr>
                <w:ilvl w:val="0"/>
                <w:numId w:val="1"/>
              </w:numPr>
              <w:rPr>
                <w:color w:val="000000" w:themeColor="text1"/>
              </w:rPr>
            </w:pPr>
            <w:r w:rsidRPr="0088526B">
              <w:rPr>
                <w:color w:val="000000" w:themeColor="text1"/>
              </w:rPr>
              <w:t>Gastroesophageal reflux disease</w:t>
            </w:r>
          </w:p>
          <w:p w:rsidR="00162D98" w:rsidRPr="0088526B" w:rsidRDefault="00162D98" w:rsidP="00162D98">
            <w:pPr>
              <w:pStyle w:val="ListParagraph"/>
              <w:numPr>
                <w:ilvl w:val="0"/>
                <w:numId w:val="1"/>
              </w:numPr>
              <w:rPr>
                <w:color w:val="000000" w:themeColor="text1"/>
              </w:rPr>
            </w:pPr>
            <w:proofErr w:type="spellStart"/>
            <w:r w:rsidRPr="0088526B">
              <w:rPr>
                <w:color w:val="000000" w:themeColor="text1"/>
              </w:rPr>
              <w:t>Inferoposterior</w:t>
            </w:r>
            <w:proofErr w:type="spellEnd"/>
            <w:r w:rsidRPr="0088526B">
              <w:rPr>
                <w:color w:val="000000" w:themeColor="text1"/>
              </w:rPr>
              <w:t xml:space="preserve"> myocardial infarction</w:t>
            </w:r>
          </w:p>
          <w:p w:rsidR="00162D98" w:rsidRPr="0088526B" w:rsidRDefault="00162D98" w:rsidP="00162D98">
            <w:pPr>
              <w:pStyle w:val="ListParagraph"/>
              <w:numPr>
                <w:ilvl w:val="0"/>
                <w:numId w:val="1"/>
              </w:numPr>
              <w:rPr>
                <w:rFonts w:ascii="Arial" w:hAnsi="Arial" w:cs="Arial"/>
                <w:color w:val="747474"/>
                <w:sz w:val="23"/>
                <w:szCs w:val="23"/>
              </w:rPr>
            </w:pPr>
            <w:r w:rsidRPr="0088526B">
              <w:rPr>
                <w:color w:val="000000" w:themeColor="text1"/>
              </w:rPr>
              <w:t>Aortic dissection</w:t>
            </w:r>
          </w:p>
        </w:tc>
      </w:tr>
      <w:tr w:rsidR="00162D98" w:rsidTr="00F24D70">
        <w:tc>
          <w:tcPr>
            <w:tcW w:w="9350" w:type="dxa"/>
            <w:gridSpan w:val="2"/>
            <w:shd w:val="clear" w:color="auto" w:fill="A6A6A6" w:themeFill="background1" w:themeFillShade="A6"/>
          </w:tcPr>
          <w:p w:rsidR="00162D98" w:rsidRDefault="00162D98" w:rsidP="00F24D70">
            <w:pPr>
              <w:rPr>
                <w:b/>
                <w:color w:val="000000" w:themeColor="text1"/>
              </w:rPr>
            </w:pPr>
          </w:p>
        </w:tc>
      </w:tr>
      <w:tr w:rsidR="00162D98" w:rsidTr="00F24D70">
        <w:tc>
          <w:tcPr>
            <w:tcW w:w="9350" w:type="dxa"/>
            <w:gridSpan w:val="2"/>
          </w:tcPr>
          <w:p w:rsidR="00162D98" w:rsidRDefault="00162D98" w:rsidP="00F24D70">
            <w:pPr>
              <w:jc w:val="center"/>
              <w:rPr>
                <w:b/>
                <w:color w:val="000000" w:themeColor="text1"/>
              </w:rPr>
            </w:pPr>
            <w:proofErr w:type="spellStart"/>
            <w:r>
              <w:rPr>
                <w:b/>
                <w:color w:val="000000" w:themeColor="text1"/>
              </w:rPr>
              <w:t>QoW</w:t>
            </w:r>
            <w:proofErr w:type="spellEnd"/>
            <w:r>
              <w:rPr>
                <w:b/>
                <w:color w:val="000000" w:themeColor="text1"/>
              </w:rPr>
              <w:t xml:space="preserve"> 3</w:t>
            </w:r>
          </w:p>
        </w:tc>
      </w:tr>
      <w:tr w:rsidR="00162D98" w:rsidTr="00F24D70">
        <w:tc>
          <w:tcPr>
            <w:tcW w:w="1137" w:type="dxa"/>
          </w:tcPr>
          <w:p w:rsidR="00162D98" w:rsidRDefault="00162D98" w:rsidP="00F24D70">
            <w:pPr>
              <w:jc w:val="center"/>
              <w:rPr>
                <w:b/>
                <w:color w:val="000000" w:themeColor="text1"/>
              </w:rPr>
            </w:pPr>
            <w:r>
              <w:rPr>
                <w:b/>
                <w:color w:val="000000" w:themeColor="text1"/>
              </w:rPr>
              <w:t>Scenario</w:t>
            </w:r>
          </w:p>
        </w:tc>
        <w:tc>
          <w:tcPr>
            <w:tcW w:w="8213" w:type="dxa"/>
          </w:tcPr>
          <w:p w:rsidR="00162D98" w:rsidRPr="006961FC" w:rsidRDefault="00162D98" w:rsidP="00F24D70">
            <w:pPr>
              <w:pStyle w:val="NormalWeb"/>
              <w:rPr>
                <w:color w:val="000000" w:themeColor="text1"/>
              </w:rPr>
            </w:pPr>
            <w:r w:rsidRPr="006961FC">
              <w:rPr>
                <w:color w:val="000000" w:themeColor="text1"/>
              </w:rPr>
              <w:t>A 10-year-old girl presents for follow-up of cervical lymphadenopathy. She was initially evaluated 14 days ago for a left cervical lymph node that had been progressively enlarging for 10 days. She was treated empirically for lymphadenitis with a 14-day course of clindamycin.</w:t>
            </w:r>
          </w:p>
          <w:p w:rsidR="00162D98" w:rsidRPr="006961FC" w:rsidRDefault="00162D98" w:rsidP="00F24D70">
            <w:pPr>
              <w:pStyle w:val="NormalWeb"/>
              <w:rPr>
                <w:color w:val="000000" w:themeColor="text1"/>
              </w:rPr>
            </w:pPr>
            <w:r w:rsidRPr="006961FC">
              <w:rPr>
                <w:color w:val="000000" w:themeColor="text1"/>
              </w:rPr>
              <w:t>Despite this treatment, the cervical lymphadenopathy has progressed. A 3-cm x 4-cm mass is palpable in the anterior cervical lymph-node chain. There is mild tenderness to palpation but no overlying erythema or fluctuance. There are no other enlarged lymph nodes or signs of systemic disease.</w:t>
            </w:r>
          </w:p>
          <w:p w:rsidR="00162D98" w:rsidRDefault="00162D98" w:rsidP="00F24D70">
            <w:pPr>
              <w:pStyle w:val="NormalWeb"/>
            </w:pPr>
            <w:r w:rsidRPr="006961FC">
              <w:rPr>
                <w:color w:val="000000" w:themeColor="text1"/>
              </w:rPr>
              <w:t>A purified protein derivative test was placed and found to be negative.</w:t>
            </w:r>
          </w:p>
        </w:tc>
      </w:tr>
      <w:tr w:rsidR="00162D98" w:rsidTr="00F24D70">
        <w:tc>
          <w:tcPr>
            <w:tcW w:w="1137" w:type="dxa"/>
          </w:tcPr>
          <w:p w:rsidR="00162D98" w:rsidRDefault="00162D98" w:rsidP="00F24D70">
            <w:pPr>
              <w:jc w:val="center"/>
              <w:rPr>
                <w:b/>
                <w:color w:val="000000" w:themeColor="text1"/>
              </w:rPr>
            </w:pPr>
            <w:r>
              <w:rPr>
                <w:b/>
                <w:color w:val="000000" w:themeColor="text1"/>
              </w:rPr>
              <w:t>Question</w:t>
            </w:r>
          </w:p>
        </w:tc>
        <w:tc>
          <w:tcPr>
            <w:tcW w:w="8213" w:type="dxa"/>
          </w:tcPr>
          <w:p w:rsidR="00162D98" w:rsidRDefault="00162D98" w:rsidP="00F24D70">
            <w:pPr>
              <w:rPr>
                <w:color w:val="000000" w:themeColor="text1"/>
                <w:shd w:val="clear" w:color="auto" w:fill="FFFFFF"/>
              </w:rPr>
            </w:pPr>
            <w:r w:rsidRPr="009A108E">
              <w:rPr>
                <w:color w:val="000000" w:themeColor="text1"/>
                <w:shd w:val="clear" w:color="auto" w:fill="FFFFFF"/>
              </w:rPr>
              <w:t>Which one of the following next steps is most appropriate in this patient’s care?</w:t>
            </w:r>
          </w:p>
          <w:p w:rsidR="00162D98" w:rsidRDefault="00162D98" w:rsidP="00F24D70">
            <w:pPr>
              <w:rPr>
                <w:color w:val="000000" w:themeColor="text1"/>
                <w:shd w:val="clear" w:color="auto" w:fill="FFFFFF"/>
              </w:rPr>
            </w:pPr>
          </w:p>
          <w:p w:rsidR="00162D98" w:rsidRPr="009A108E" w:rsidRDefault="00162D98" w:rsidP="00162D98">
            <w:pPr>
              <w:pStyle w:val="ListParagraph"/>
              <w:numPr>
                <w:ilvl w:val="0"/>
                <w:numId w:val="3"/>
              </w:numPr>
              <w:rPr>
                <w:color w:val="000000" w:themeColor="text1"/>
              </w:rPr>
            </w:pPr>
            <w:r w:rsidRPr="009A108E">
              <w:rPr>
                <w:color w:val="000000" w:themeColor="text1"/>
              </w:rPr>
              <w:t>Perform a rapid test for streptococcal infection</w:t>
            </w:r>
          </w:p>
          <w:p w:rsidR="00162D98" w:rsidRPr="009A108E" w:rsidRDefault="00162D98" w:rsidP="00162D98">
            <w:pPr>
              <w:pStyle w:val="ListParagraph"/>
              <w:numPr>
                <w:ilvl w:val="0"/>
                <w:numId w:val="3"/>
              </w:numPr>
              <w:rPr>
                <w:color w:val="000000" w:themeColor="text1"/>
              </w:rPr>
            </w:pPr>
            <w:r w:rsidRPr="009A108E">
              <w:rPr>
                <w:color w:val="000000" w:themeColor="text1"/>
              </w:rPr>
              <w:t>Initiate a 5-day course of prednisone</w:t>
            </w:r>
          </w:p>
          <w:p w:rsidR="00162D98" w:rsidRPr="009A108E" w:rsidRDefault="00162D98" w:rsidP="00162D98">
            <w:pPr>
              <w:pStyle w:val="ListParagraph"/>
              <w:numPr>
                <w:ilvl w:val="0"/>
                <w:numId w:val="3"/>
              </w:numPr>
              <w:rPr>
                <w:color w:val="000000" w:themeColor="text1"/>
              </w:rPr>
            </w:pPr>
            <w:r w:rsidRPr="009A108E">
              <w:rPr>
                <w:color w:val="000000" w:themeColor="text1"/>
              </w:rPr>
              <w:t>Prescribe a 7-day course of amoxicillin–clavulanic acid</w:t>
            </w:r>
            <w:r w:rsidRPr="009A108E">
              <w:rPr>
                <w:rStyle w:val="apple-converted-space"/>
                <w:color w:val="000000" w:themeColor="text1"/>
              </w:rPr>
              <w:t> </w:t>
            </w:r>
          </w:p>
          <w:p w:rsidR="00162D98" w:rsidRPr="009A108E" w:rsidRDefault="00162D98" w:rsidP="00162D98">
            <w:pPr>
              <w:pStyle w:val="ListParagraph"/>
              <w:numPr>
                <w:ilvl w:val="0"/>
                <w:numId w:val="3"/>
              </w:numPr>
              <w:rPr>
                <w:color w:val="000000" w:themeColor="text1"/>
              </w:rPr>
            </w:pPr>
            <w:r w:rsidRPr="009A108E">
              <w:rPr>
                <w:color w:val="000000" w:themeColor="text1"/>
              </w:rPr>
              <w:t>Refer for an excisional biopsy of the mass</w:t>
            </w:r>
          </w:p>
          <w:p w:rsidR="00162D98" w:rsidRPr="009A108E" w:rsidRDefault="00162D98" w:rsidP="00162D98">
            <w:pPr>
              <w:pStyle w:val="ListParagraph"/>
              <w:numPr>
                <w:ilvl w:val="0"/>
                <w:numId w:val="3"/>
              </w:numPr>
              <w:rPr>
                <w:color w:val="000000" w:themeColor="text1"/>
              </w:rPr>
            </w:pPr>
            <w:r w:rsidRPr="009A108E">
              <w:rPr>
                <w:color w:val="000000" w:themeColor="text1"/>
              </w:rPr>
              <w:t>Prescribe a 6-month course of isoniazid</w:t>
            </w:r>
          </w:p>
        </w:tc>
      </w:tr>
    </w:tbl>
    <w:p w:rsidR="002907F4" w:rsidRPr="00162D98" w:rsidRDefault="002907F4">
      <w:pPr>
        <w:rPr>
          <w:b/>
          <w:color w:val="000000" w:themeColor="text1"/>
        </w:rPr>
      </w:pPr>
    </w:p>
    <w:sectPr w:rsidR="002907F4" w:rsidRPr="00162D98" w:rsidSect="00BD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6BC4"/>
    <w:multiLevelType w:val="hybridMultilevel"/>
    <w:tmpl w:val="81065602"/>
    <w:lvl w:ilvl="0" w:tplc="25300030">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456C"/>
    <w:multiLevelType w:val="hybridMultilevel"/>
    <w:tmpl w:val="E24E8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61109"/>
    <w:multiLevelType w:val="hybridMultilevel"/>
    <w:tmpl w:val="6024D238"/>
    <w:lvl w:ilvl="0" w:tplc="49A82CF6">
      <w:start w:val="1"/>
      <w:numFmt w:val="lowerLetter"/>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98"/>
    <w:rsid w:val="00162D98"/>
    <w:rsid w:val="002907F4"/>
    <w:rsid w:val="006E7F7E"/>
    <w:rsid w:val="00BD237A"/>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50ADF39-846B-EA47-A778-2AD6923C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color w:val="333333"/>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98"/>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98"/>
    <w:rPr>
      <w:rFonts w:ascii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D98"/>
    <w:pPr>
      <w:ind w:left="720"/>
      <w:contextualSpacing/>
    </w:pPr>
  </w:style>
  <w:style w:type="character" w:customStyle="1" w:styleId="apple-converted-space">
    <w:name w:val="apple-converted-space"/>
    <w:basedOn w:val="DefaultParagraphFont"/>
    <w:rsid w:val="00162D98"/>
  </w:style>
  <w:style w:type="paragraph" w:styleId="NormalWeb">
    <w:name w:val="Normal (Web)"/>
    <w:basedOn w:val="Normal"/>
    <w:uiPriority w:val="99"/>
    <w:unhideWhenUsed/>
    <w:rsid w:val="00162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Healy</dc:creator>
  <cp:keywords/>
  <dc:description/>
  <cp:lastModifiedBy>Rili Muralidharan</cp:lastModifiedBy>
  <cp:revision>2</cp:revision>
  <dcterms:created xsi:type="dcterms:W3CDTF">2019-07-05T18:11:00Z</dcterms:created>
  <dcterms:modified xsi:type="dcterms:W3CDTF">2019-07-05T18:11:00Z</dcterms:modified>
</cp:coreProperties>
</file>