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1B" w:rsidRDefault="000D5804" w:rsidP="006A511B">
      <w:pPr>
        <w:spacing w:line="48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Table </w:t>
      </w:r>
      <w:r w:rsidR="009C0421">
        <w:rPr>
          <w:rFonts w:ascii="Times New Roman" w:hAnsi="Times New Roman" w:cs="Times New Roman"/>
          <w:b/>
          <w:sz w:val="24"/>
          <w:szCs w:val="24"/>
          <w:lang w:val="en-US"/>
        </w:rPr>
        <w:t>S</w:t>
      </w:r>
      <w:r>
        <w:rPr>
          <w:rFonts w:ascii="Times New Roman" w:hAnsi="Times New Roman" w:cs="Times New Roman"/>
          <w:b/>
          <w:sz w:val="24"/>
          <w:szCs w:val="24"/>
          <w:lang w:val="en-US"/>
        </w:rPr>
        <w:t>1</w:t>
      </w:r>
      <w:r w:rsidR="006A511B">
        <w:rPr>
          <w:rFonts w:ascii="Times New Roman" w:hAnsi="Times New Roman" w:cs="Times New Roman"/>
          <w:b/>
          <w:sz w:val="24"/>
          <w:szCs w:val="24"/>
          <w:lang w:val="en-US"/>
        </w:rPr>
        <w:t>.</w:t>
      </w:r>
      <w:r w:rsidR="009C0421">
        <w:rPr>
          <w:rFonts w:ascii="Times New Roman" w:hAnsi="Times New Roman" w:cs="Times New Roman"/>
          <w:b/>
          <w:sz w:val="24"/>
          <w:szCs w:val="24"/>
          <w:lang w:val="en-US"/>
        </w:rPr>
        <w:t xml:space="preserve">  </w:t>
      </w:r>
      <w:r w:rsidR="006A511B">
        <w:rPr>
          <w:rFonts w:ascii="Times New Roman" w:hAnsi="Times New Roman" w:cs="Times New Roman"/>
          <w:sz w:val="24"/>
          <w:szCs w:val="24"/>
          <w:lang w:val="en-US"/>
        </w:rPr>
        <w:t>Variations in concentrations of As, Cd and Pb in sardine and swordfish flesh depending on the study areas</w:t>
      </w:r>
    </w:p>
    <w:tbl>
      <w:tblPr>
        <w:tblStyle w:val="TableGrid"/>
        <w:tblpPr w:leftFromText="141" w:rightFromText="141" w:vertAnchor="text" w:horzAnchor="margin" w:tblpY="146"/>
        <w:tblOverlap w:val="never"/>
        <w:tblW w:w="914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17"/>
        <w:gridCol w:w="1177"/>
        <w:gridCol w:w="676"/>
        <w:gridCol w:w="2132"/>
        <w:gridCol w:w="1645"/>
        <w:gridCol w:w="1301"/>
      </w:tblGrid>
      <w:tr w:rsidR="006A511B" w:rsidTr="008A7D8D">
        <w:trPr>
          <w:trHeight w:val="20"/>
        </w:trPr>
        <w:tc>
          <w:tcPr>
            <w:tcW w:w="1542" w:type="dxa"/>
            <w:vMerge w:val="restart"/>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Species</w:t>
            </w:r>
          </w:p>
        </w:tc>
        <w:tc>
          <w:tcPr>
            <w:tcW w:w="1244" w:type="dxa"/>
            <w:vMerge w:val="restart"/>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Study areas</w:t>
            </w:r>
          </w:p>
        </w:tc>
        <w:tc>
          <w:tcPr>
            <w:tcW w:w="741" w:type="dxa"/>
            <w:vMerge w:val="restart"/>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5621" w:type="dxa"/>
            <w:gridSpan w:val="3"/>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Mean</w:t>
            </w:r>
            <w:r w:rsidR="002F09D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002F482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SE</w:t>
            </w:r>
          </w:p>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(Max-Min)</w:t>
            </w:r>
          </w:p>
          <w:p w:rsidR="006A511B" w:rsidRDefault="006A511B" w:rsidP="008A7D8D">
            <w:pPr>
              <w:spacing w:line="480" w:lineRule="auto"/>
              <w:jc w:val="center"/>
              <w:rPr>
                <w:rFonts w:ascii="Times New Roman" w:hAnsi="Times New Roman" w:cs="Times New Roman"/>
                <w:b/>
                <w:sz w:val="24"/>
                <w:szCs w:val="24"/>
                <w:lang w:val="en-US"/>
              </w:rPr>
            </w:pPr>
          </w:p>
        </w:tc>
      </w:tr>
      <w:tr w:rsidR="006A511B" w:rsidTr="008A7D8D">
        <w:trPr>
          <w:trHeight w:val="170"/>
        </w:trPr>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sz w:val="24"/>
                <w:szCs w:val="24"/>
                <w:lang w:val="en-US"/>
              </w:rPr>
            </w:pPr>
          </w:p>
        </w:tc>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sz w:val="24"/>
                <w:szCs w:val="24"/>
                <w:lang w:val="en-US"/>
              </w:rPr>
            </w:pPr>
          </w:p>
        </w:tc>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bCs/>
                <w:sz w:val="24"/>
                <w:szCs w:val="24"/>
                <w:lang w:val="en-US"/>
              </w:rPr>
            </w:pPr>
          </w:p>
        </w:tc>
        <w:tc>
          <w:tcPr>
            <w:tcW w:w="2507"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As</w:t>
            </w:r>
          </w:p>
        </w:tc>
        <w:tc>
          <w:tcPr>
            <w:tcW w:w="1683"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Cd</w:t>
            </w:r>
          </w:p>
        </w:tc>
        <w:tc>
          <w:tcPr>
            <w:tcW w:w="143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Pb</w:t>
            </w:r>
          </w:p>
        </w:tc>
      </w:tr>
      <w:tr w:rsidR="006A511B" w:rsidTr="008A7D8D">
        <w:trPr>
          <w:trHeight w:val="1156"/>
        </w:trPr>
        <w:tc>
          <w:tcPr>
            <w:tcW w:w="1542" w:type="dxa"/>
            <w:vMerge w:val="restart"/>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Sardine</w:t>
            </w:r>
          </w:p>
          <w:p w:rsidR="006A511B" w:rsidRDefault="006A511B" w:rsidP="008A7D8D">
            <w:pPr>
              <w:spacing w:line="48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(Sardinapilchardus)</w:t>
            </w: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Algiers</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r>
              <w:rPr>
                <w:rFonts w:ascii="Times New Roman" w:hAnsi="Times New Roman" w:cs="Times New Roman"/>
                <w:b/>
                <w:sz w:val="24"/>
                <w:szCs w:val="24"/>
                <w:vertAlign w:val="superscript"/>
                <w:lang w:val="en-US"/>
              </w:rPr>
              <w:t>c</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0.30</w:t>
            </w:r>
          </w:p>
          <w:p w:rsidR="006A511B" w:rsidRDefault="006A511B" w:rsidP="008A7D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(0.91- 2.17)</w:t>
            </w:r>
          </w:p>
          <w:p w:rsidR="006A511B" w:rsidRDefault="006A511B" w:rsidP="008A7D8D">
            <w:pPr>
              <w:spacing w:line="480" w:lineRule="auto"/>
              <w:jc w:val="center"/>
              <w:rPr>
                <w:rFonts w:ascii="Times New Roman" w:hAnsi="Times New Roman" w:cs="Times New Roman"/>
                <w:b/>
                <w:sz w:val="24"/>
                <w:szCs w:val="24"/>
                <w:lang w:val="en-US"/>
              </w:rPr>
            </w:pPr>
          </w:p>
        </w:tc>
        <w:tc>
          <w:tcPr>
            <w:tcW w:w="1683"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0.01</w:t>
            </w:r>
            <w:r>
              <w:rPr>
                <w:rFonts w:ascii="Times New Roman" w:hAnsi="Times New Roman" w:cs="Times New Roman"/>
                <w:b/>
                <w:sz w:val="24"/>
                <w:szCs w:val="24"/>
                <w:vertAlign w:val="superscript"/>
                <w:lang w:val="en-US"/>
              </w:rPr>
              <w:t>c</w:t>
            </w:r>
            <w:r>
              <w:rPr>
                <w:rFonts w:ascii="Times New Roman" w:hAnsi="Times New Roman" w:cs="Times New Roman"/>
                <w:b/>
                <w:sz w:val="24"/>
                <w:szCs w:val="24"/>
                <w:lang w:val="en-US"/>
              </w:rPr>
              <w:t>±-</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ND- 0.01)</w:t>
            </w:r>
          </w:p>
          <w:p w:rsidR="006A511B" w:rsidRDefault="006A511B" w:rsidP="008A7D8D">
            <w:pPr>
              <w:spacing w:line="480" w:lineRule="auto"/>
              <w:jc w:val="center"/>
              <w:rPr>
                <w:rFonts w:ascii="Times New Roman" w:hAnsi="Times New Roman" w:cs="Times New Roman"/>
                <w:b/>
                <w:sz w:val="24"/>
                <w:szCs w:val="24"/>
              </w:rPr>
            </w:pPr>
          </w:p>
        </w:tc>
        <w:tc>
          <w:tcPr>
            <w:tcW w:w="1431"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sz w:val="24"/>
                <w:szCs w:val="24"/>
              </w:rPr>
              <w:t>0.02</w:t>
            </w:r>
            <w:r>
              <w:rPr>
                <w:rFonts w:ascii="Times New Roman" w:hAnsi="Times New Roman" w:cs="Times New Roman"/>
                <w:b/>
                <w:sz w:val="24"/>
                <w:szCs w:val="24"/>
                <w:vertAlign w:val="superscript"/>
              </w:rPr>
              <w:t>b</w:t>
            </w:r>
            <w:r>
              <w:rPr>
                <w:rFonts w:ascii="Times New Roman" w:hAnsi="Times New Roman" w:cs="Times New Roman"/>
                <w:b/>
                <w:sz w:val="24"/>
                <w:szCs w:val="24"/>
              </w:rPr>
              <w:t>± -</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(ND- 0.02)</w:t>
            </w:r>
          </w:p>
          <w:p w:rsidR="006A511B" w:rsidRDefault="006A511B" w:rsidP="008A7D8D">
            <w:pPr>
              <w:spacing w:line="480" w:lineRule="auto"/>
              <w:jc w:val="center"/>
              <w:rPr>
                <w:rFonts w:ascii="Times New Roman" w:hAnsi="Times New Roman" w:cs="Times New Roman"/>
                <w:b/>
                <w:sz w:val="24"/>
                <w:szCs w:val="24"/>
              </w:rPr>
            </w:pPr>
          </w:p>
        </w:tc>
      </w:tr>
      <w:tr w:rsidR="006A511B" w:rsidTr="008A7D8D">
        <w:trPr>
          <w:trHeight w:val="20"/>
        </w:trPr>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i/>
                <w:sz w:val="24"/>
                <w:szCs w:val="24"/>
                <w:lang w:val="en-US"/>
              </w:rPr>
            </w:pP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Bejaia</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2.98</w:t>
            </w:r>
            <w:r>
              <w:rPr>
                <w:rFonts w:ascii="Times New Roman" w:hAnsi="Times New Roman" w:cs="Times New Roman"/>
                <w:b/>
                <w:sz w:val="24"/>
                <w:szCs w:val="24"/>
                <w:vertAlign w:val="superscript"/>
              </w:rPr>
              <w:t xml:space="preserve"> a</w:t>
            </w:r>
            <w:r>
              <w:rPr>
                <w:rFonts w:ascii="Times New Roman" w:hAnsi="Times New Roman" w:cs="Times New Roman"/>
                <w:sz w:val="24"/>
                <w:szCs w:val="24"/>
              </w:rPr>
              <w:t>± 0.25</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(2.60- 3.49)</w:t>
            </w:r>
          </w:p>
          <w:p w:rsidR="006A511B" w:rsidRDefault="006A511B" w:rsidP="008A7D8D">
            <w:pPr>
              <w:spacing w:line="480" w:lineRule="auto"/>
              <w:jc w:val="center"/>
              <w:rPr>
                <w:rFonts w:ascii="Times New Roman" w:hAnsi="Times New Roman" w:cs="Times New Roman"/>
                <w:b/>
                <w:sz w:val="24"/>
                <w:szCs w:val="24"/>
              </w:rPr>
            </w:pPr>
          </w:p>
        </w:tc>
        <w:tc>
          <w:tcPr>
            <w:tcW w:w="1683"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c>
          <w:tcPr>
            <w:tcW w:w="1431"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b/>
                <w:sz w:val="24"/>
                <w:szCs w:val="24"/>
                <w:vertAlign w:val="superscript"/>
              </w:rPr>
              <w:t>b</w:t>
            </w:r>
            <w:r>
              <w:rPr>
                <w:rFonts w:ascii="Times New Roman" w:hAnsi="Times New Roman" w:cs="Times New Roman"/>
                <w:sz w:val="24"/>
                <w:szCs w:val="24"/>
              </w:rPr>
              <w:t>± -</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(ND- 0.02)</w:t>
            </w:r>
          </w:p>
          <w:p w:rsidR="006A511B" w:rsidRDefault="006A511B" w:rsidP="008A7D8D">
            <w:pPr>
              <w:spacing w:line="480" w:lineRule="auto"/>
              <w:jc w:val="center"/>
              <w:rPr>
                <w:rFonts w:ascii="Times New Roman" w:hAnsi="Times New Roman" w:cs="Times New Roman"/>
                <w:b/>
                <w:sz w:val="24"/>
                <w:szCs w:val="24"/>
              </w:rPr>
            </w:pPr>
          </w:p>
        </w:tc>
      </w:tr>
      <w:tr w:rsidR="006A511B" w:rsidTr="008A7D8D">
        <w:trPr>
          <w:trHeight w:val="20"/>
        </w:trPr>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i/>
                <w:sz w:val="24"/>
                <w:szCs w:val="24"/>
                <w:lang w:val="en-US"/>
              </w:rPr>
            </w:pP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Oran</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b/>
                <w:sz w:val="24"/>
                <w:szCs w:val="24"/>
                <w:vertAlign w:val="superscript"/>
              </w:rPr>
              <w:t>b</w:t>
            </w:r>
            <w:r>
              <w:rPr>
                <w:rFonts w:ascii="Times New Roman" w:hAnsi="Times New Roman" w:cs="Times New Roman"/>
                <w:sz w:val="24"/>
                <w:szCs w:val="24"/>
              </w:rPr>
              <w:t>± 0.13</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(1.11- 1.53)</w:t>
            </w:r>
          </w:p>
          <w:p w:rsidR="006A511B" w:rsidRDefault="006A511B" w:rsidP="008A7D8D">
            <w:pPr>
              <w:spacing w:line="480" w:lineRule="auto"/>
              <w:jc w:val="center"/>
              <w:rPr>
                <w:rFonts w:ascii="Times New Roman" w:hAnsi="Times New Roman" w:cs="Times New Roman"/>
                <w:b/>
                <w:sz w:val="24"/>
                <w:szCs w:val="24"/>
              </w:rPr>
            </w:pPr>
          </w:p>
        </w:tc>
        <w:tc>
          <w:tcPr>
            <w:tcW w:w="1683"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b/>
                <w:sz w:val="24"/>
                <w:szCs w:val="24"/>
                <w:vertAlign w:val="superscript"/>
              </w:rPr>
              <w:t>a</w:t>
            </w:r>
            <w:r>
              <w:rPr>
                <w:rFonts w:ascii="Times New Roman" w:hAnsi="Times New Roman" w:cs="Times New Roman"/>
                <w:sz w:val="24"/>
                <w:szCs w:val="24"/>
              </w:rPr>
              <w:t>± 0.001</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(ND- 0.01)</w:t>
            </w:r>
          </w:p>
          <w:p w:rsidR="006A511B" w:rsidRDefault="006A511B" w:rsidP="008A7D8D">
            <w:pPr>
              <w:spacing w:line="480" w:lineRule="auto"/>
              <w:jc w:val="center"/>
              <w:rPr>
                <w:rFonts w:ascii="Times New Roman" w:hAnsi="Times New Roman" w:cs="Times New Roman"/>
                <w:b/>
                <w:sz w:val="24"/>
                <w:szCs w:val="24"/>
              </w:rPr>
            </w:pPr>
          </w:p>
        </w:tc>
        <w:tc>
          <w:tcPr>
            <w:tcW w:w="1431"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sz w:val="24"/>
                <w:szCs w:val="24"/>
                <w:vertAlign w:val="superscript"/>
              </w:rPr>
              <w:t>a</w:t>
            </w:r>
            <w:r>
              <w:rPr>
                <w:rFonts w:ascii="Times New Roman" w:hAnsi="Times New Roman" w:cs="Times New Roman"/>
                <w:sz w:val="24"/>
                <w:szCs w:val="24"/>
              </w:rPr>
              <w:t>± 0.26</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(ND- 0.83)</w:t>
            </w:r>
          </w:p>
          <w:p w:rsidR="006A511B" w:rsidRDefault="006A511B" w:rsidP="008A7D8D">
            <w:pPr>
              <w:spacing w:line="480" w:lineRule="auto"/>
              <w:jc w:val="center"/>
              <w:rPr>
                <w:rFonts w:ascii="Times New Roman" w:hAnsi="Times New Roman" w:cs="Times New Roman"/>
                <w:b/>
                <w:sz w:val="24"/>
                <w:szCs w:val="24"/>
              </w:rPr>
            </w:pPr>
          </w:p>
        </w:tc>
      </w:tr>
      <w:tr w:rsidR="006A511B" w:rsidTr="008A7D8D">
        <w:trPr>
          <w:trHeight w:val="20"/>
        </w:trPr>
        <w:tc>
          <w:tcPr>
            <w:tcW w:w="1542" w:type="dxa"/>
            <w:vMerge w:val="restart"/>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Swordfish</w:t>
            </w:r>
          </w:p>
          <w:p w:rsidR="006A511B" w:rsidRDefault="006A511B" w:rsidP="008A7D8D">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(Xiphias gladius)</w:t>
            </w: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Algiers</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b/>
                <w:sz w:val="24"/>
                <w:szCs w:val="24"/>
                <w:vertAlign w:val="superscript"/>
              </w:rPr>
              <w:t>d</w:t>
            </w:r>
            <w:r>
              <w:rPr>
                <w:rFonts w:ascii="Times New Roman" w:hAnsi="Times New Roman" w:cs="Times New Roman"/>
                <w:sz w:val="24"/>
                <w:szCs w:val="24"/>
              </w:rPr>
              <w:t>± 0.24</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(0.48- 1.25)</w:t>
            </w:r>
          </w:p>
          <w:p w:rsidR="006A511B" w:rsidRDefault="006A511B" w:rsidP="008A7D8D">
            <w:pPr>
              <w:spacing w:line="480" w:lineRule="auto"/>
              <w:jc w:val="center"/>
              <w:rPr>
                <w:rFonts w:ascii="Times New Roman" w:hAnsi="Times New Roman" w:cs="Times New Roman"/>
                <w:b/>
                <w:sz w:val="24"/>
                <w:szCs w:val="24"/>
              </w:rPr>
            </w:pPr>
          </w:p>
        </w:tc>
        <w:tc>
          <w:tcPr>
            <w:tcW w:w="1683"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0.011</w:t>
            </w:r>
            <w:r>
              <w:rPr>
                <w:rFonts w:ascii="Times New Roman" w:hAnsi="Times New Roman" w:cs="Times New Roman"/>
                <w:b/>
                <w:sz w:val="24"/>
                <w:szCs w:val="24"/>
                <w:vertAlign w:val="superscript"/>
              </w:rPr>
              <w:t>b</w:t>
            </w:r>
            <w:r>
              <w:rPr>
                <w:rFonts w:ascii="Times New Roman" w:hAnsi="Times New Roman" w:cs="Times New Roman"/>
                <w:sz w:val="24"/>
                <w:szCs w:val="24"/>
              </w:rPr>
              <w:t>±0.001</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(ND-0.015)</w:t>
            </w:r>
          </w:p>
          <w:p w:rsidR="006A511B" w:rsidRDefault="006A511B" w:rsidP="008A7D8D">
            <w:pPr>
              <w:spacing w:line="480" w:lineRule="auto"/>
              <w:jc w:val="center"/>
              <w:rPr>
                <w:rFonts w:ascii="Times New Roman" w:hAnsi="Times New Roman" w:cs="Times New Roman"/>
                <w:b/>
                <w:sz w:val="24"/>
                <w:szCs w:val="24"/>
              </w:rPr>
            </w:pPr>
          </w:p>
        </w:tc>
        <w:tc>
          <w:tcPr>
            <w:tcW w:w="143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6A511B" w:rsidTr="008A7D8D">
        <w:trPr>
          <w:trHeight w:val="20"/>
        </w:trPr>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i/>
                <w:sz w:val="24"/>
                <w:szCs w:val="24"/>
              </w:rPr>
            </w:pP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Bejaia</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b/>
                <w:sz w:val="24"/>
                <w:szCs w:val="24"/>
                <w:vertAlign w:val="superscript"/>
              </w:rPr>
              <w:t>c</w:t>
            </w:r>
            <w:r>
              <w:rPr>
                <w:rFonts w:ascii="Times New Roman" w:hAnsi="Times New Roman" w:cs="Times New Roman"/>
                <w:sz w:val="24"/>
                <w:szCs w:val="24"/>
              </w:rPr>
              <w:t>± 1.57</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(0.59- 6.57)</w:t>
            </w:r>
          </w:p>
          <w:p w:rsidR="006A511B" w:rsidRDefault="006A511B" w:rsidP="008A7D8D">
            <w:pPr>
              <w:spacing w:line="480" w:lineRule="auto"/>
              <w:jc w:val="center"/>
              <w:rPr>
                <w:rFonts w:ascii="Times New Roman" w:hAnsi="Times New Roman" w:cs="Times New Roman"/>
                <w:b/>
                <w:sz w:val="24"/>
                <w:szCs w:val="24"/>
              </w:rPr>
            </w:pPr>
          </w:p>
        </w:tc>
        <w:tc>
          <w:tcPr>
            <w:tcW w:w="1683"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b/>
                <w:sz w:val="24"/>
                <w:szCs w:val="24"/>
                <w:vertAlign w:val="superscript"/>
              </w:rPr>
              <w:t>c</w:t>
            </w:r>
            <w:r>
              <w:rPr>
                <w:rFonts w:ascii="Times New Roman" w:hAnsi="Times New Roman" w:cs="Times New Roman"/>
                <w:sz w:val="24"/>
                <w:szCs w:val="24"/>
              </w:rPr>
              <w:t>± -</w:t>
            </w:r>
          </w:p>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(ND- 0.01)</w:t>
            </w:r>
          </w:p>
          <w:p w:rsidR="006A511B" w:rsidRDefault="006A511B" w:rsidP="008A7D8D">
            <w:pPr>
              <w:spacing w:line="480" w:lineRule="auto"/>
              <w:jc w:val="center"/>
              <w:rPr>
                <w:rFonts w:ascii="Times New Roman" w:hAnsi="Times New Roman" w:cs="Times New Roman"/>
                <w:b/>
                <w:sz w:val="24"/>
                <w:szCs w:val="24"/>
              </w:rPr>
            </w:pPr>
          </w:p>
        </w:tc>
        <w:tc>
          <w:tcPr>
            <w:tcW w:w="143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6A511B" w:rsidTr="008A7D8D">
        <w:trPr>
          <w:trHeight w:val="78"/>
        </w:trPr>
        <w:tc>
          <w:tcPr>
            <w:tcW w:w="0" w:type="auto"/>
            <w:vMerge/>
            <w:tcBorders>
              <w:top w:val="single" w:sz="4" w:space="0" w:color="auto"/>
              <w:left w:val="nil"/>
              <w:bottom w:val="single" w:sz="4" w:space="0" w:color="auto"/>
              <w:right w:val="nil"/>
            </w:tcBorders>
            <w:vAlign w:val="center"/>
            <w:hideMark/>
          </w:tcPr>
          <w:p w:rsidR="006A511B" w:rsidRDefault="006A511B" w:rsidP="008A7D8D">
            <w:pPr>
              <w:rPr>
                <w:rFonts w:ascii="Times New Roman" w:hAnsi="Times New Roman" w:cs="Times New Roman"/>
                <w:b/>
                <w:i/>
                <w:sz w:val="24"/>
                <w:szCs w:val="24"/>
              </w:rPr>
            </w:pPr>
          </w:p>
        </w:tc>
        <w:tc>
          <w:tcPr>
            <w:tcW w:w="1244"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Oran</w:t>
            </w:r>
          </w:p>
        </w:tc>
        <w:tc>
          <w:tcPr>
            <w:tcW w:w="74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07" w:type="dxa"/>
            <w:tcBorders>
              <w:top w:val="single" w:sz="4" w:space="0" w:color="auto"/>
              <w:left w:val="nil"/>
              <w:bottom w:val="single" w:sz="4" w:space="0" w:color="auto"/>
              <w:right w:val="nil"/>
            </w:tcBorders>
            <w:vAlign w:val="center"/>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0.77</w:t>
            </w:r>
            <w:r>
              <w:rPr>
                <w:rFonts w:ascii="Times New Roman" w:hAnsi="Times New Roman" w:cs="Times New Roman"/>
                <w:b/>
                <w:sz w:val="24"/>
                <w:szCs w:val="24"/>
                <w:vertAlign w:val="superscript"/>
              </w:rPr>
              <w:t>e</w:t>
            </w:r>
            <w:r>
              <w:rPr>
                <w:rFonts w:ascii="Times New Roman" w:hAnsi="Times New Roman" w:cs="Times New Roman"/>
                <w:sz w:val="24"/>
                <w:szCs w:val="24"/>
              </w:rPr>
              <w:t>± 0.06</w:t>
            </w:r>
          </w:p>
          <w:p w:rsidR="006A511B" w:rsidRPr="008A7D8D"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0.63- 0.84</w:t>
            </w:r>
          </w:p>
        </w:tc>
        <w:tc>
          <w:tcPr>
            <w:tcW w:w="1683"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c>
          <w:tcPr>
            <w:tcW w:w="1431" w:type="dxa"/>
            <w:tcBorders>
              <w:top w:val="single" w:sz="4" w:space="0" w:color="auto"/>
              <w:left w:val="nil"/>
              <w:bottom w:val="single" w:sz="4" w:space="0" w:color="auto"/>
              <w:right w:val="nil"/>
            </w:tcBorders>
            <w:vAlign w:val="center"/>
            <w:hideMark/>
          </w:tcPr>
          <w:p w:rsidR="006A511B" w:rsidRDefault="006A511B" w:rsidP="008A7D8D">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bl>
    <w:p w:rsidR="00107890" w:rsidRPr="00295376" w:rsidRDefault="006A511B" w:rsidP="0029537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lower case letters showed the presence of difference or not according to the Kruskal-Wallis test.</w:t>
      </w:r>
      <w:r w:rsidR="00107890">
        <w:rPr>
          <w:rFonts w:ascii="Times New Roman" w:hAnsi="Times New Roman" w:cs="Times New Roman"/>
          <w:sz w:val="24"/>
          <w:szCs w:val="24"/>
          <w:lang w:val="en-US"/>
        </w:rPr>
        <w:t xml:space="preserve"> </w:t>
      </w:r>
    </w:p>
    <w:p w:rsidR="00571AE7" w:rsidRPr="00EC1737" w:rsidRDefault="00571AE7" w:rsidP="00571AE7">
      <w:pPr>
        <w:autoSpaceDE w:val="0"/>
        <w:autoSpaceDN w:val="0"/>
        <w:adjustRightInd w:val="0"/>
        <w:spacing w:after="0" w:line="480" w:lineRule="auto"/>
        <w:jc w:val="both"/>
        <w:rPr>
          <w:rFonts w:ascii="Times New Roman" w:hAnsi="Times New Roman" w:cs="Times New Roman"/>
          <w:i/>
          <w:color w:val="FFFF00"/>
          <w:sz w:val="24"/>
          <w:szCs w:val="24"/>
          <w:lang w:val="en-US"/>
        </w:rPr>
      </w:pPr>
      <w:r w:rsidRPr="00EC1737">
        <w:rPr>
          <w:rFonts w:ascii="Times New Roman" w:hAnsi="Times New Roman" w:cs="Times New Roman"/>
          <w:i/>
          <w:sz w:val="24"/>
          <w:szCs w:val="24"/>
          <w:lang w:val="en-US"/>
        </w:rPr>
        <w:t>Heavy metal concentrations in the three study areas for each species</w:t>
      </w:r>
    </w:p>
    <w:p w:rsidR="00571AE7" w:rsidRPr="00104081" w:rsidRDefault="00571AE7" w:rsidP="00571AE7">
      <w:pPr>
        <w:autoSpaceDE w:val="0"/>
        <w:autoSpaceDN w:val="0"/>
        <w:adjustRightInd w:val="0"/>
        <w:spacing w:after="0" w:line="480" w:lineRule="auto"/>
        <w:jc w:val="both"/>
        <w:rPr>
          <w:rFonts w:ascii="Times New Roman" w:hAnsi="Times New Roman" w:cs="Times New Roman"/>
          <w:sz w:val="24"/>
          <w:szCs w:val="24"/>
          <w:lang w:val="en-US"/>
        </w:rPr>
      </w:pPr>
      <w:r w:rsidRPr="00104081">
        <w:rPr>
          <w:rFonts w:ascii="Times New Roman" w:hAnsi="Times New Roman" w:cs="Times New Roman"/>
          <w:sz w:val="24"/>
          <w:szCs w:val="24"/>
          <w:lang w:val="en-US"/>
        </w:rPr>
        <w:t xml:space="preserve">Variations in the average concentrations of As, Cd and Pb in sardine and swordfish flesh depending on the study areas are listed in the Table 3.The order of concentration of these metals in the sardine flesh of the three study areas is as follows: Cd </w:t>
      </w:r>
      <m:oMath>
        <m:r>
          <w:rPr>
            <w:rFonts w:ascii="Cambria Math" w:hAnsi="Times New Roman" w:cs="Times New Roman"/>
            <w:sz w:val="24"/>
            <w:szCs w:val="24"/>
            <w:lang w:val="en-US"/>
          </w:rPr>
          <m:t>&lt;</m:t>
        </m:r>
      </m:oMath>
      <w:r w:rsidRPr="00104081">
        <w:rPr>
          <w:rFonts w:ascii="Times New Roman" w:hAnsi="Times New Roman" w:cs="Times New Roman"/>
          <w:sz w:val="24"/>
          <w:szCs w:val="24"/>
          <w:lang w:val="en-US"/>
        </w:rPr>
        <w:t xml:space="preserve">Pb </w:t>
      </w:r>
      <m:oMath>
        <m:r>
          <w:rPr>
            <w:rFonts w:ascii="Cambria Math" w:hAnsi="Times New Roman" w:cs="Times New Roman"/>
            <w:sz w:val="24"/>
            <w:szCs w:val="24"/>
            <w:lang w:val="en-US"/>
          </w:rPr>
          <m:t>&lt;</m:t>
        </m:r>
      </m:oMath>
      <w:r w:rsidRPr="00104081">
        <w:rPr>
          <w:rFonts w:ascii="Times New Roman" w:hAnsi="Times New Roman" w:cs="Times New Roman"/>
          <w:sz w:val="24"/>
          <w:szCs w:val="24"/>
          <w:lang w:val="en-US"/>
        </w:rPr>
        <w:t>As and</w:t>
      </w:r>
      <w:r w:rsidR="00CE5BF1">
        <w:rPr>
          <w:rFonts w:ascii="Times New Roman" w:hAnsi="Times New Roman" w:cs="Times New Roman"/>
          <w:sz w:val="24"/>
          <w:szCs w:val="24"/>
          <w:lang w:val="en-US"/>
        </w:rPr>
        <w:t xml:space="preserve"> </w:t>
      </w:r>
      <w:r>
        <w:rPr>
          <w:rFonts w:ascii="Times New Roman" w:hAnsi="Times New Roman" w:cs="Times New Roman"/>
          <w:sz w:val="24"/>
          <w:szCs w:val="24"/>
          <w:lang w:val="en-US"/>
        </w:rPr>
        <w:t>in swordfish</w:t>
      </w:r>
      <w:r w:rsidRPr="00104081">
        <w:rPr>
          <w:rFonts w:ascii="Times New Roman" w:hAnsi="Times New Roman" w:cs="Times New Roman"/>
          <w:sz w:val="24"/>
          <w:szCs w:val="24"/>
          <w:lang w:val="en-US"/>
        </w:rPr>
        <w:t>:</w:t>
      </w:r>
      <w:r w:rsidR="00187941">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Pb</w:t>
      </w:r>
      <m:oMath>
        <m:r>
          <w:rPr>
            <w:rFonts w:ascii="Cambria Math" w:hAnsi="Times New Roman" w:cs="Times New Roman"/>
            <w:sz w:val="24"/>
            <w:szCs w:val="24"/>
            <w:lang w:val="en-US"/>
          </w:rPr>
          <m:t>&lt;</m:t>
        </m:r>
      </m:oMath>
      <w:r w:rsidRPr="00104081">
        <w:rPr>
          <w:rFonts w:ascii="Times New Roman" w:hAnsi="Times New Roman" w:cs="Times New Roman"/>
          <w:sz w:val="24"/>
          <w:szCs w:val="24"/>
          <w:lang w:val="en-US"/>
        </w:rPr>
        <w:t xml:space="preserve"> Cd </w:t>
      </w:r>
      <m:oMath>
        <m:r>
          <w:rPr>
            <w:rFonts w:ascii="Cambria Math" w:hAnsi="Times New Roman" w:cs="Times New Roman"/>
            <w:sz w:val="24"/>
            <w:szCs w:val="24"/>
            <w:lang w:val="en-US"/>
          </w:rPr>
          <m:t>&lt;</m:t>
        </m:r>
      </m:oMath>
      <w:r w:rsidRPr="00104081">
        <w:rPr>
          <w:rFonts w:ascii="Times New Roman" w:hAnsi="Times New Roman" w:cs="Times New Roman"/>
          <w:sz w:val="24"/>
          <w:szCs w:val="24"/>
          <w:lang w:val="en-US"/>
        </w:rPr>
        <w:t>As.In two species and in all three study areas, As</w:t>
      </w:r>
      <w:r w:rsidR="00721A70">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is the dominant metal,</w:t>
      </w:r>
      <w:r w:rsidR="00187941">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with the highest concentration</w:t>
      </w:r>
      <w:r w:rsidR="00211A79">
        <w:rPr>
          <w:rFonts w:ascii="Times New Roman" w:hAnsi="Times New Roman" w:cs="Times New Roman"/>
          <w:sz w:val="24"/>
          <w:szCs w:val="24"/>
          <w:lang w:val="en-US"/>
        </w:rPr>
        <w:t xml:space="preserve"> recorded in sardine of NE (2.9</w:t>
      </w:r>
      <w:r w:rsidR="008C6E49">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w:t>
      </w:r>
      <w:r w:rsidR="004172AF">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0.25</w:t>
      </w:r>
      <w:r w:rsidR="00721A70">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 xml:space="preserve">mg/kgw.w).The statistical test of Kruskal-Wallis showed </w:t>
      </w:r>
      <w:r>
        <w:rPr>
          <w:rFonts w:ascii="Times New Roman" w:hAnsi="Times New Roman" w:cs="Times New Roman"/>
          <w:sz w:val="24"/>
          <w:szCs w:val="24"/>
          <w:lang w:val="en-US"/>
        </w:rPr>
        <w:t>a</w:t>
      </w:r>
      <w:r w:rsidR="00187941">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difference in the As</w:t>
      </w:r>
      <w:r w:rsidR="001879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concentration </w:t>
      </w:r>
      <w:r w:rsidRPr="00104081">
        <w:rPr>
          <w:rFonts w:ascii="Times New Roman" w:hAnsi="Times New Roman" w:cs="Times New Roman"/>
          <w:sz w:val="24"/>
          <w:szCs w:val="24"/>
          <w:lang w:val="en-US"/>
        </w:rPr>
        <w:t>in the three study ar</w:t>
      </w:r>
      <w:r>
        <w:rPr>
          <w:rFonts w:ascii="Times New Roman" w:hAnsi="Times New Roman" w:cs="Times New Roman"/>
          <w:sz w:val="24"/>
          <w:szCs w:val="24"/>
          <w:lang w:val="en-US"/>
        </w:rPr>
        <w:t>e</w:t>
      </w:r>
      <w:r w:rsidRPr="00104081">
        <w:rPr>
          <w:rFonts w:ascii="Times New Roman" w:hAnsi="Times New Roman" w:cs="Times New Roman"/>
          <w:sz w:val="24"/>
          <w:szCs w:val="24"/>
          <w:lang w:val="en-US"/>
        </w:rPr>
        <w:t>as for the two species. Pb</w:t>
      </w:r>
      <w:r w:rsidR="00721A70">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 xml:space="preserve">is also higher in sardine unlike lead in swordfish </w:t>
      </w:r>
      <w:r>
        <w:rPr>
          <w:rFonts w:ascii="Times New Roman" w:hAnsi="Times New Roman" w:cs="Times New Roman"/>
          <w:sz w:val="24"/>
          <w:szCs w:val="24"/>
          <w:lang w:val="en-US"/>
        </w:rPr>
        <w:t>was</w:t>
      </w:r>
      <w:r w:rsidR="00187941">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 xml:space="preserve">undetectable since </w:t>
      </w:r>
      <w:r>
        <w:rPr>
          <w:rFonts w:ascii="Times New Roman" w:hAnsi="Times New Roman" w:cs="Times New Roman"/>
          <w:sz w:val="24"/>
          <w:szCs w:val="24"/>
          <w:lang w:val="en-US"/>
        </w:rPr>
        <w:t>it was</w:t>
      </w:r>
      <w:r w:rsidRPr="00104081">
        <w:rPr>
          <w:rFonts w:ascii="Times New Roman" w:hAnsi="Times New Roman" w:cs="Times New Roman"/>
          <w:sz w:val="24"/>
          <w:szCs w:val="24"/>
          <w:lang w:val="en-US"/>
        </w:rPr>
        <w:t xml:space="preserve"> below the limit of quantification. The Kruskal-Wallis test showed no difference between the NC and the NE but it showed a difference between these zones and that of the NW.</w:t>
      </w:r>
      <w:r w:rsidR="001879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Pr="00104081">
        <w:rPr>
          <w:rFonts w:ascii="Times New Roman" w:hAnsi="Times New Roman" w:cs="Times New Roman"/>
          <w:sz w:val="24"/>
          <w:szCs w:val="24"/>
          <w:lang w:val="en-US"/>
        </w:rPr>
        <w:t xml:space="preserve">Cadmium low concentrations </w:t>
      </w:r>
      <w:r>
        <w:rPr>
          <w:rFonts w:ascii="Times New Roman" w:hAnsi="Times New Roman" w:cs="Times New Roman"/>
          <w:sz w:val="24"/>
          <w:szCs w:val="24"/>
          <w:lang w:val="en-US"/>
        </w:rPr>
        <w:t xml:space="preserve">were recorded </w:t>
      </w:r>
      <w:r w:rsidRPr="00104081">
        <w:rPr>
          <w:rFonts w:ascii="Times New Roman" w:hAnsi="Times New Roman" w:cs="Times New Roman"/>
          <w:sz w:val="24"/>
          <w:szCs w:val="24"/>
          <w:lang w:val="en-US"/>
        </w:rPr>
        <w:t xml:space="preserve">that are equal to the limit of quantification in the NC and NW for sardine (0.01 mg/kg) and in the NC and NE regions for swordfish. The test Kruskal-Wallis showed no difference between NC and NE for sardine, but showed </w:t>
      </w:r>
      <w:r>
        <w:rPr>
          <w:rFonts w:ascii="Times New Roman" w:hAnsi="Times New Roman" w:cs="Times New Roman"/>
          <w:sz w:val="24"/>
          <w:szCs w:val="24"/>
          <w:lang w:val="en-US"/>
        </w:rPr>
        <w:t>a</w:t>
      </w:r>
      <w:r w:rsidR="00187941">
        <w:rPr>
          <w:rFonts w:ascii="Times New Roman" w:hAnsi="Times New Roman" w:cs="Times New Roman"/>
          <w:sz w:val="24"/>
          <w:szCs w:val="24"/>
          <w:lang w:val="en-US"/>
        </w:rPr>
        <w:t xml:space="preserve"> </w:t>
      </w:r>
      <w:r w:rsidRPr="00104081">
        <w:rPr>
          <w:rFonts w:ascii="Times New Roman" w:hAnsi="Times New Roman" w:cs="Times New Roman"/>
          <w:sz w:val="24"/>
          <w:szCs w:val="24"/>
          <w:lang w:val="en-US"/>
        </w:rPr>
        <w:t>difference betwe</w:t>
      </w:r>
      <w:r>
        <w:rPr>
          <w:rFonts w:ascii="Times New Roman" w:hAnsi="Times New Roman" w:cs="Times New Roman"/>
          <w:sz w:val="24"/>
          <w:szCs w:val="24"/>
          <w:lang w:val="en-US"/>
        </w:rPr>
        <w:t>e</w:t>
      </w:r>
      <w:r w:rsidRPr="00104081">
        <w:rPr>
          <w:rFonts w:ascii="Times New Roman" w:hAnsi="Times New Roman" w:cs="Times New Roman"/>
          <w:sz w:val="24"/>
          <w:szCs w:val="24"/>
          <w:lang w:val="en-US"/>
        </w:rPr>
        <w:t>n these two study ar</w:t>
      </w:r>
      <w:r>
        <w:rPr>
          <w:rFonts w:ascii="Times New Roman" w:hAnsi="Times New Roman" w:cs="Times New Roman"/>
          <w:sz w:val="24"/>
          <w:szCs w:val="24"/>
          <w:lang w:val="en-US"/>
        </w:rPr>
        <w:t>e</w:t>
      </w:r>
      <w:r w:rsidRPr="00104081">
        <w:rPr>
          <w:rFonts w:ascii="Times New Roman" w:hAnsi="Times New Roman" w:cs="Times New Roman"/>
          <w:sz w:val="24"/>
          <w:szCs w:val="24"/>
          <w:lang w:val="en-US"/>
        </w:rPr>
        <w:t>as and the NW. For swordfish this test showed no difference between NE and NW and a difference between these study ar</w:t>
      </w:r>
      <w:r>
        <w:rPr>
          <w:rFonts w:ascii="Times New Roman" w:hAnsi="Times New Roman" w:cs="Times New Roman"/>
          <w:sz w:val="24"/>
          <w:szCs w:val="24"/>
          <w:lang w:val="en-US"/>
        </w:rPr>
        <w:t>e</w:t>
      </w:r>
      <w:r w:rsidRPr="00104081">
        <w:rPr>
          <w:rFonts w:ascii="Times New Roman" w:hAnsi="Times New Roman" w:cs="Times New Roman"/>
          <w:sz w:val="24"/>
          <w:szCs w:val="24"/>
          <w:lang w:val="en-US"/>
        </w:rPr>
        <w:t>as and the NC.</w:t>
      </w:r>
    </w:p>
    <w:p w:rsidR="00107890" w:rsidRDefault="00107890">
      <w:pPr>
        <w:rPr>
          <w:lang w:val="en-US"/>
        </w:rPr>
      </w:pPr>
    </w:p>
    <w:p w:rsidR="00107890" w:rsidRDefault="00107890">
      <w:pPr>
        <w:rPr>
          <w:lang w:val="en-US"/>
        </w:rPr>
      </w:pPr>
    </w:p>
    <w:p w:rsidR="00107890" w:rsidRDefault="00107890">
      <w:pPr>
        <w:rPr>
          <w:lang w:val="en-US"/>
        </w:rPr>
      </w:pPr>
    </w:p>
    <w:p w:rsidR="00107890" w:rsidRDefault="00107890">
      <w:pPr>
        <w:rPr>
          <w:lang w:val="en-US"/>
        </w:rPr>
      </w:pPr>
    </w:p>
    <w:p w:rsidR="00107890" w:rsidRDefault="00107890">
      <w:pPr>
        <w:rPr>
          <w:lang w:val="en-US"/>
        </w:rPr>
      </w:pPr>
    </w:p>
    <w:p w:rsidR="00721A70" w:rsidRDefault="00721A70">
      <w:pPr>
        <w:rPr>
          <w:lang w:val="en-US"/>
        </w:rPr>
      </w:pPr>
    </w:p>
    <w:p w:rsidR="00721A70" w:rsidRDefault="00721A70">
      <w:pPr>
        <w:rPr>
          <w:lang w:val="en-US"/>
        </w:rPr>
      </w:pPr>
    </w:p>
    <w:p w:rsidR="006D36FD" w:rsidRPr="00102CE4" w:rsidRDefault="006D36FD" w:rsidP="006D36FD">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 xml:space="preserve">Table </w:t>
      </w:r>
      <w:r w:rsidR="009C0421">
        <w:rPr>
          <w:rFonts w:ascii="Times New Roman" w:hAnsi="Times New Roman" w:cs="Times New Roman"/>
          <w:b/>
          <w:sz w:val="24"/>
          <w:szCs w:val="24"/>
          <w:lang w:val="en-US"/>
        </w:rPr>
        <w:t>S</w:t>
      </w:r>
      <w:r>
        <w:rPr>
          <w:rFonts w:ascii="Times New Roman" w:hAnsi="Times New Roman" w:cs="Times New Roman"/>
          <w:b/>
          <w:sz w:val="24"/>
          <w:szCs w:val="24"/>
          <w:lang w:val="en-US"/>
        </w:rPr>
        <w:t>2</w:t>
      </w:r>
      <w:r w:rsidRPr="00102CE4">
        <w:rPr>
          <w:rFonts w:ascii="Times New Roman" w:hAnsi="Times New Roman" w:cs="Times New Roman"/>
          <w:b/>
          <w:sz w:val="24"/>
          <w:szCs w:val="24"/>
          <w:lang w:val="en-US"/>
        </w:rPr>
        <w:t>.</w:t>
      </w:r>
      <w:r w:rsidR="009C0421">
        <w:rPr>
          <w:rFonts w:ascii="Times New Roman" w:hAnsi="Times New Roman" w:cs="Times New Roman"/>
          <w:b/>
          <w:sz w:val="24"/>
          <w:szCs w:val="24"/>
          <w:lang w:val="en-US"/>
        </w:rPr>
        <w:t xml:space="preserve">  </w:t>
      </w:r>
      <w:r w:rsidRPr="00102CE4">
        <w:rPr>
          <w:rFonts w:ascii="Times New Roman" w:hAnsi="Times New Roman" w:cs="Times New Roman"/>
          <w:bCs/>
          <w:sz w:val="24"/>
          <w:szCs w:val="24"/>
          <w:lang w:val="en-US"/>
        </w:rPr>
        <w:t xml:space="preserve">Estimated Dietary Intake (µg/kg/ </w:t>
      </w:r>
      <w:r w:rsidRPr="00102CE4">
        <w:rPr>
          <w:rFonts w:ascii="Times New Roman" w:hAnsi="Times New Roman" w:cs="Times New Roman"/>
          <w:sz w:val="24"/>
          <w:szCs w:val="24"/>
          <w:lang w:val="en-US"/>
        </w:rPr>
        <w:t>body weight/day/week</w:t>
      </w:r>
      <w:r w:rsidRPr="00102CE4">
        <w:rPr>
          <w:rFonts w:ascii="Times New Roman" w:hAnsi="Times New Roman" w:cs="Times New Roman"/>
          <w:bCs/>
          <w:sz w:val="24"/>
          <w:szCs w:val="24"/>
          <w:lang w:val="en-US"/>
        </w:rPr>
        <w:t xml:space="preserve">) for the intake of As, Cd and Pb in </w:t>
      </w:r>
      <w:r>
        <w:rPr>
          <w:rFonts w:ascii="Times New Roman" w:hAnsi="Times New Roman" w:cs="Times New Roman"/>
          <w:bCs/>
          <w:iCs/>
          <w:sz w:val="24"/>
          <w:szCs w:val="24"/>
          <w:lang w:val="en-US"/>
        </w:rPr>
        <w:t>s</w:t>
      </w:r>
      <w:r w:rsidRPr="00102CE4">
        <w:rPr>
          <w:rFonts w:ascii="Times New Roman" w:hAnsi="Times New Roman" w:cs="Times New Roman"/>
          <w:bCs/>
          <w:iCs/>
          <w:sz w:val="24"/>
          <w:szCs w:val="24"/>
          <w:lang w:val="en-US"/>
        </w:rPr>
        <w:t>ardine and swordfish by region of study</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40"/>
        <w:gridCol w:w="1084"/>
        <w:gridCol w:w="1216"/>
        <w:gridCol w:w="996"/>
        <w:gridCol w:w="978"/>
        <w:gridCol w:w="1916"/>
        <w:gridCol w:w="2008"/>
      </w:tblGrid>
      <w:tr w:rsidR="006D36FD" w:rsidRPr="00102CE4" w:rsidTr="003165D1">
        <w:trPr>
          <w:trHeight w:val="1716"/>
        </w:trPr>
        <w:tc>
          <w:tcPr>
            <w:tcW w:w="1985" w:type="dxa"/>
            <w:gridSpan w:val="2"/>
            <w:vAlign w:val="center"/>
          </w:tcPr>
          <w:p w:rsidR="006D36FD" w:rsidRPr="00102CE4" w:rsidRDefault="006D36FD" w:rsidP="003165D1">
            <w:pPr>
              <w:spacing w:line="36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Heavy metals</w:t>
            </w:r>
          </w:p>
        </w:tc>
        <w:tc>
          <w:tcPr>
            <w:tcW w:w="1043" w:type="dxa"/>
          </w:tcPr>
          <w:p w:rsidR="006D36FD" w:rsidRPr="00102CE4" w:rsidRDefault="006D36FD" w:rsidP="003165D1">
            <w:pPr>
              <w:spacing w:line="360" w:lineRule="auto"/>
              <w:jc w:val="center"/>
              <w:rPr>
                <w:rFonts w:ascii="Times New Roman" w:hAnsi="Times New Roman" w:cs="Times New Roman"/>
                <w:b/>
                <w:sz w:val="24"/>
                <w:szCs w:val="24"/>
                <w:lang w:val="en-US"/>
              </w:rPr>
            </w:pPr>
          </w:p>
          <w:p w:rsidR="006D36FD" w:rsidRPr="00102CE4" w:rsidRDefault="006D36FD" w:rsidP="003165D1">
            <w:pPr>
              <w:spacing w:line="360" w:lineRule="auto"/>
              <w:rPr>
                <w:rFonts w:ascii="Times New Roman" w:hAnsi="Times New Roman" w:cs="Times New Roman"/>
                <w:b/>
                <w:sz w:val="24"/>
                <w:szCs w:val="24"/>
                <w:lang w:val="en-US"/>
              </w:rPr>
            </w:pPr>
          </w:p>
          <w:p w:rsidR="006D36FD" w:rsidRPr="00102CE4" w:rsidRDefault="006D36FD" w:rsidP="003165D1">
            <w:pPr>
              <w:spacing w:line="360" w:lineRule="auto"/>
              <w:rPr>
                <w:rFonts w:ascii="Times New Roman" w:hAnsi="Times New Roman" w:cs="Times New Roman"/>
                <w:b/>
                <w:sz w:val="24"/>
                <w:szCs w:val="24"/>
                <w:lang w:val="en-US"/>
              </w:rPr>
            </w:pPr>
            <w:r w:rsidRPr="00102CE4">
              <w:rPr>
                <w:rFonts w:ascii="Times New Roman" w:hAnsi="Times New Roman" w:cs="Times New Roman"/>
                <w:b/>
                <w:sz w:val="24"/>
                <w:szCs w:val="24"/>
                <w:lang w:val="en-US"/>
              </w:rPr>
              <w:t xml:space="preserve">Species </w:t>
            </w:r>
          </w:p>
        </w:tc>
        <w:tc>
          <w:tcPr>
            <w:tcW w:w="941" w:type="dxa"/>
            <w:vAlign w:val="center"/>
          </w:tcPr>
          <w:p w:rsidR="006D36FD" w:rsidRPr="00102CE4" w:rsidRDefault="006D36FD" w:rsidP="003165D1">
            <w:pPr>
              <w:spacing w:line="36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EDI</w:t>
            </w:r>
          </w:p>
        </w:tc>
        <w:tc>
          <w:tcPr>
            <w:tcW w:w="992" w:type="dxa"/>
            <w:vAlign w:val="center"/>
          </w:tcPr>
          <w:p w:rsidR="006D36FD" w:rsidRPr="00102CE4" w:rsidRDefault="006D36FD" w:rsidP="003165D1">
            <w:pPr>
              <w:spacing w:line="36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EWI</w:t>
            </w:r>
          </w:p>
        </w:tc>
        <w:tc>
          <w:tcPr>
            <w:tcW w:w="1985" w:type="dxa"/>
            <w:vAlign w:val="center"/>
          </w:tcPr>
          <w:p w:rsidR="006D36FD" w:rsidRPr="00102CE4" w:rsidRDefault="006D36FD" w:rsidP="003165D1">
            <w:pPr>
              <w:spacing w:line="360" w:lineRule="auto"/>
              <w:jc w:val="center"/>
              <w:rPr>
                <w:rFonts w:ascii="Times New Roman" w:hAnsi="Times New Roman" w:cs="Times New Roman"/>
                <w:b/>
                <w:sz w:val="24"/>
                <w:szCs w:val="24"/>
                <w:lang w:val="en-US"/>
              </w:rPr>
            </w:pPr>
          </w:p>
          <w:p w:rsidR="006D36FD" w:rsidRPr="00102CE4" w:rsidRDefault="006D36FD" w:rsidP="003165D1">
            <w:pPr>
              <w:spacing w:line="36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Established PTWI by EFSA</w:t>
            </w:r>
          </w:p>
          <w:p w:rsidR="006D36FD" w:rsidRPr="00102CE4" w:rsidRDefault="006D36FD" w:rsidP="003165D1">
            <w:pPr>
              <w:spacing w:line="360" w:lineRule="auto"/>
              <w:jc w:val="center"/>
              <w:rPr>
                <w:rFonts w:ascii="Times New Roman" w:hAnsi="Times New Roman" w:cs="Times New Roman"/>
                <w:b/>
                <w:sz w:val="24"/>
                <w:szCs w:val="24"/>
                <w:lang w:val="en-US"/>
              </w:rPr>
            </w:pPr>
          </w:p>
        </w:tc>
        <w:tc>
          <w:tcPr>
            <w:tcW w:w="2090" w:type="dxa"/>
            <w:vAlign w:val="center"/>
          </w:tcPr>
          <w:p w:rsidR="006D36FD" w:rsidRPr="00102CE4" w:rsidRDefault="006D36FD" w:rsidP="003165D1">
            <w:pPr>
              <w:spacing w:line="360" w:lineRule="auto"/>
              <w:jc w:val="center"/>
              <w:rPr>
                <w:rFonts w:ascii="Times New Roman" w:hAnsi="Times New Roman" w:cs="Times New Roman"/>
                <w:b/>
                <w:sz w:val="24"/>
                <w:szCs w:val="24"/>
                <w:lang w:val="en-US"/>
              </w:rPr>
            </w:pPr>
          </w:p>
          <w:p w:rsidR="006D36FD" w:rsidRPr="00102CE4" w:rsidRDefault="006D36FD" w:rsidP="003165D1">
            <w:pPr>
              <w:spacing w:line="36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Established PTWI by JECFA</w:t>
            </w:r>
          </w:p>
          <w:p w:rsidR="006D36FD" w:rsidRPr="00102CE4" w:rsidRDefault="006D36FD" w:rsidP="003165D1">
            <w:pPr>
              <w:spacing w:line="360" w:lineRule="auto"/>
              <w:jc w:val="center"/>
              <w:rPr>
                <w:rFonts w:ascii="Times New Roman" w:hAnsi="Times New Roman" w:cs="Times New Roman"/>
                <w:b/>
                <w:sz w:val="24"/>
                <w:szCs w:val="24"/>
                <w:lang w:val="en-US"/>
              </w:rPr>
            </w:pPr>
          </w:p>
        </w:tc>
      </w:tr>
      <w:tr w:rsidR="006D36FD" w:rsidRPr="00102CE4" w:rsidTr="003165D1">
        <w:trPr>
          <w:trHeight w:val="500"/>
        </w:trPr>
        <w:tc>
          <w:tcPr>
            <w:tcW w:w="883"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As</w:t>
            </w: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lang w:val="en-US"/>
              </w:rPr>
            </w:pPr>
            <w:r w:rsidRPr="00102CE4">
              <w:rPr>
                <w:rFonts w:ascii="Times New Roman" w:hAnsi="Times New Roman" w:cs="Times New Roman"/>
                <w:b/>
                <w:sz w:val="24"/>
                <w:szCs w:val="24"/>
                <w:lang w:val="en-US"/>
              </w:rPr>
              <w:t>Algiers</w:t>
            </w:r>
          </w:p>
        </w:tc>
        <w:tc>
          <w:tcPr>
            <w:tcW w:w="1043" w:type="dxa"/>
          </w:tcPr>
          <w:p w:rsidR="006D36FD" w:rsidRPr="00102CE4" w:rsidRDefault="006D36FD" w:rsidP="003165D1">
            <w:pPr>
              <w:spacing w:line="480" w:lineRule="auto"/>
              <w:rPr>
                <w:rFonts w:ascii="Times New Roman" w:hAnsi="Times New Roman" w:cs="Times New Roman"/>
                <w:sz w:val="24"/>
                <w:szCs w:val="24"/>
                <w:lang w:val="en-US"/>
              </w:rPr>
            </w:pPr>
            <w:r w:rsidRPr="00102CE4">
              <w:rPr>
                <w:rFonts w:ascii="Times New Roman" w:hAnsi="Times New Roman" w:cs="Times New Roman"/>
                <w:sz w:val="24"/>
                <w:szCs w:val="24"/>
                <w:lang w:val="en-US"/>
              </w:rPr>
              <w:t>Sardine</w:t>
            </w:r>
          </w:p>
        </w:tc>
        <w:tc>
          <w:tcPr>
            <w:tcW w:w="941" w:type="dxa"/>
          </w:tcPr>
          <w:p w:rsidR="006D36FD" w:rsidRPr="00102CE4" w:rsidRDefault="006D36FD" w:rsidP="003165D1">
            <w:pPr>
              <w:spacing w:line="480" w:lineRule="auto"/>
              <w:rPr>
                <w:rFonts w:ascii="Times New Roman" w:hAnsi="Times New Roman" w:cs="Times New Roman"/>
                <w:sz w:val="24"/>
                <w:szCs w:val="24"/>
                <w:lang w:val="en-US"/>
              </w:rPr>
            </w:pPr>
            <w:r w:rsidRPr="00102CE4">
              <w:rPr>
                <w:rFonts w:ascii="Times New Roman" w:hAnsi="Times New Roman" w:cs="Times New Roman"/>
                <w:sz w:val="24"/>
                <w:szCs w:val="24"/>
                <w:lang w:val="en-US"/>
              </w:rPr>
              <w:t>0.20</w:t>
            </w:r>
          </w:p>
        </w:tc>
        <w:tc>
          <w:tcPr>
            <w:tcW w:w="992" w:type="dxa"/>
          </w:tcPr>
          <w:p w:rsidR="006D36FD" w:rsidRPr="00102CE4" w:rsidRDefault="006D36FD" w:rsidP="003165D1">
            <w:pPr>
              <w:spacing w:line="480" w:lineRule="auto"/>
              <w:rPr>
                <w:rFonts w:ascii="Times New Roman" w:hAnsi="Times New Roman" w:cs="Times New Roman"/>
                <w:sz w:val="24"/>
                <w:szCs w:val="24"/>
                <w:lang w:val="en-US"/>
              </w:rPr>
            </w:pPr>
            <w:r w:rsidRPr="00102CE4">
              <w:rPr>
                <w:rFonts w:ascii="Times New Roman" w:hAnsi="Times New Roman" w:cs="Times New Roman"/>
                <w:sz w:val="24"/>
                <w:szCs w:val="24"/>
                <w:lang w:val="en-US"/>
              </w:rPr>
              <w:t>1.4</w:t>
            </w:r>
          </w:p>
        </w:tc>
        <w:tc>
          <w:tcPr>
            <w:tcW w:w="1985" w:type="dxa"/>
            <w:vMerge w:val="restart"/>
            <w:vAlign w:val="center"/>
          </w:tcPr>
          <w:p w:rsidR="006D36FD" w:rsidRPr="00102CE4" w:rsidRDefault="006D36FD" w:rsidP="003165D1">
            <w:pPr>
              <w:spacing w:line="480" w:lineRule="auto"/>
              <w:jc w:val="center"/>
              <w:rPr>
                <w:rFonts w:ascii="Times New Roman" w:hAnsi="Times New Roman" w:cs="Times New Roman"/>
                <w:sz w:val="24"/>
                <w:szCs w:val="24"/>
                <w:lang w:val="en-US"/>
              </w:rPr>
            </w:pPr>
            <w:r w:rsidRPr="00102CE4">
              <w:rPr>
                <w:rFonts w:ascii="Times New Roman" w:hAnsi="Times New Roman" w:cs="Times New Roman"/>
                <w:sz w:val="24"/>
                <w:szCs w:val="24"/>
                <w:lang w:val="en-US"/>
              </w:rPr>
              <w:t>-</w:t>
            </w:r>
          </w:p>
        </w:tc>
        <w:tc>
          <w:tcPr>
            <w:tcW w:w="2090" w:type="dxa"/>
            <w:vMerge w:val="restart"/>
            <w:vAlign w:val="center"/>
          </w:tcPr>
          <w:p w:rsidR="006D36FD" w:rsidRPr="00102CE4" w:rsidRDefault="006D36FD" w:rsidP="003165D1">
            <w:pPr>
              <w:spacing w:line="480" w:lineRule="auto"/>
              <w:jc w:val="center"/>
              <w:rPr>
                <w:rFonts w:ascii="Times New Roman" w:hAnsi="Times New Roman" w:cs="Times New Roman"/>
                <w:sz w:val="24"/>
                <w:szCs w:val="24"/>
                <w:lang w:val="en-US"/>
              </w:rPr>
            </w:pPr>
            <w:r w:rsidRPr="00102CE4">
              <w:rPr>
                <w:rFonts w:ascii="Times New Roman" w:hAnsi="Times New Roman" w:cs="Times New Roman"/>
                <w:sz w:val="24"/>
                <w:szCs w:val="24"/>
                <w:lang w:val="en-US"/>
              </w:rPr>
              <w:t>15(As inorganic) (JECFA, 2017)</w:t>
            </w:r>
          </w:p>
        </w:tc>
      </w:tr>
      <w:tr w:rsidR="006D36FD" w:rsidRPr="00102CE4" w:rsidTr="003165D1">
        <w:trPr>
          <w:trHeight w:val="500"/>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0.153</w:t>
            </w:r>
          </w:p>
        </w:tc>
        <w:tc>
          <w:tcPr>
            <w:tcW w:w="992"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1.07</w:t>
            </w:r>
          </w:p>
        </w:tc>
        <w:tc>
          <w:tcPr>
            <w:tcW w:w="1985" w:type="dxa"/>
            <w:vMerge/>
            <w:vAlign w:val="center"/>
          </w:tcPr>
          <w:p w:rsidR="006D36FD" w:rsidRPr="00102CE4" w:rsidRDefault="006D36FD" w:rsidP="003165D1">
            <w:pPr>
              <w:spacing w:line="480" w:lineRule="auto"/>
              <w:jc w:val="center"/>
              <w:rPr>
                <w:rFonts w:ascii="Times New Roman" w:hAnsi="Times New Roman" w:cs="Times New Roman"/>
                <w:sz w:val="24"/>
                <w:szCs w:val="24"/>
              </w:rPr>
            </w:pPr>
          </w:p>
        </w:tc>
        <w:tc>
          <w:tcPr>
            <w:tcW w:w="2090" w:type="dxa"/>
            <w:vMerge/>
            <w:vAlign w:val="center"/>
          </w:tcPr>
          <w:p w:rsidR="006D36FD" w:rsidRPr="00102CE4" w:rsidRDefault="006D36FD" w:rsidP="003165D1">
            <w:pPr>
              <w:spacing w:line="480" w:lineRule="auto"/>
              <w:jc w:val="center"/>
              <w:rPr>
                <w:rFonts w:ascii="Times New Roman" w:hAnsi="Times New Roman" w:cs="Times New Roman"/>
                <w:sz w:val="24"/>
                <w:szCs w:val="24"/>
                <w:lang w:val="en-US"/>
              </w:rPr>
            </w:pPr>
          </w:p>
        </w:tc>
      </w:tr>
      <w:tr w:rsidR="006D36FD" w:rsidRPr="00102CE4" w:rsidTr="003165D1">
        <w:trPr>
          <w:trHeight w:val="550"/>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lang w:val="en-US"/>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Bejaia</w:t>
            </w:r>
          </w:p>
        </w:tc>
        <w:tc>
          <w:tcPr>
            <w:tcW w:w="1043"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0.48</w:t>
            </w:r>
          </w:p>
        </w:tc>
        <w:tc>
          <w:tcPr>
            <w:tcW w:w="992"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3.4</w:t>
            </w:r>
          </w:p>
        </w:tc>
        <w:tc>
          <w:tcPr>
            <w:tcW w:w="1985" w:type="dxa"/>
            <w:vMerge/>
          </w:tcPr>
          <w:p w:rsidR="006D36FD" w:rsidRPr="00102CE4" w:rsidRDefault="006D36FD" w:rsidP="003165D1">
            <w:pPr>
              <w:spacing w:line="480" w:lineRule="auto"/>
              <w:rPr>
                <w:rFonts w:ascii="Times New Roman" w:hAnsi="Times New Roman" w:cs="Times New Roman"/>
                <w:sz w:val="24"/>
                <w:szCs w:val="24"/>
              </w:rPr>
            </w:pPr>
          </w:p>
        </w:tc>
        <w:tc>
          <w:tcPr>
            <w:tcW w:w="2090" w:type="dxa"/>
            <w:vMerge/>
          </w:tcPr>
          <w:p w:rsidR="006D36FD" w:rsidRPr="00102CE4" w:rsidRDefault="006D36FD" w:rsidP="003165D1">
            <w:pPr>
              <w:spacing w:line="480" w:lineRule="auto"/>
              <w:rPr>
                <w:rFonts w:ascii="Times New Roman" w:hAnsi="Times New Roman" w:cs="Times New Roman"/>
                <w:sz w:val="24"/>
                <w:szCs w:val="24"/>
              </w:rPr>
            </w:pPr>
          </w:p>
        </w:tc>
      </w:tr>
      <w:tr w:rsidR="006D36FD" w:rsidRPr="00102CE4" w:rsidTr="003165D1">
        <w:trPr>
          <w:trHeight w:val="550"/>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lang w:val="en-US"/>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0.263</w:t>
            </w:r>
          </w:p>
        </w:tc>
        <w:tc>
          <w:tcPr>
            <w:tcW w:w="992"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1.84</w:t>
            </w:r>
          </w:p>
        </w:tc>
        <w:tc>
          <w:tcPr>
            <w:tcW w:w="1985" w:type="dxa"/>
            <w:vMerge/>
          </w:tcPr>
          <w:p w:rsidR="006D36FD" w:rsidRPr="00102CE4" w:rsidRDefault="006D36FD" w:rsidP="003165D1">
            <w:pPr>
              <w:spacing w:line="480" w:lineRule="auto"/>
              <w:rPr>
                <w:rFonts w:ascii="Times New Roman" w:hAnsi="Times New Roman" w:cs="Times New Roman"/>
                <w:sz w:val="24"/>
                <w:szCs w:val="24"/>
              </w:rPr>
            </w:pPr>
          </w:p>
        </w:tc>
        <w:tc>
          <w:tcPr>
            <w:tcW w:w="2090" w:type="dxa"/>
            <w:vMerge/>
          </w:tcPr>
          <w:p w:rsidR="006D36FD" w:rsidRPr="00102CE4" w:rsidRDefault="006D36FD" w:rsidP="003165D1">
            <w:pPr>
              <w:spacing w:line="480" w:lineRule="auto"/>
              <w:rPr>
                <w:rFonts w:ascii="Times New Roman" w:hAnsi="Times New Roman" w:cs="Times New Roman"/>
                <w:sz w:val="24"/>
                <w:szCs w:val="24"/>
              </w:rPr>
            </w:pPr>
          </w:p>
        </w:tc>
      </w:tr>
      <w:tr w:rsidR="006D36FD" w:rsidRPr="00102CE4" w:rsidTr="003165D1">
        <w:trPr>
          <w:trHeight w:val="558"/>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Oran</w:t>
            </w:r>
          </w:p>
        </w:tc>
        <w:tc>
          <w:tcPr>
            <w:tcW w:w="1043"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0.23</w:t>
            </w:r>
          </w:p>
        </w:tc>
        <w:tc>
          <w:tcPr>
            <w:tcW w:w="992"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1.61</w:t>
            </w:r>
          </w:p>
        </w:tc>
        <w:tc>
          <w:tcPr>
            <w:tcW w:w="1985" w:type="dxa"/>
            <w:vMerge/>
          </w:tcPr>
          <w:p w:rsidR="006D36FD" w:rsidRPr="00102CE4" w:rsidRDefault="006D36FD" w:rsidP="003165D1">
            <w:pPr>
              <w:spacing w:line="480" w:lineRule="auto"/>
              <w:rPr>
                <w:rFonts w:ascii="Times New Roman" w:hAnsi="Times New Roman" w:cs="Times New Roman"/>
                <w:sz w:val="24"/>
                <w:szCs w:val="24"/>
              </w:rPr>
            </w:pPr>
          </w:p>
        </w:tc>
        <w:tc>
          <w:tcPr>
            <w:tcW w:w="2090" w:type="dxa"/>
            <w:vMerge/>
          </w:tcPr>
          <w:p w:rsidR="006D36FD" w:rsidRPr="00102CE4" w:rsidRDefault="006D36FD" w:rsidP="003165D1">
            <w:pPr>
              <w:spacing w:line="480" w:lineRule="auto"/>
              <w:rPr>
                <w:rFonts w:ascii="Times New Roman" w:hAnsi="Times New Roman" w:cs="Times New Roman"/>
                <w:sz w:val="24"/>
                <w:szCs w:val="24"/>
              </w:rPr>
            </w:pPr>
          </w:p>
        </w:tc>
      </w:tr>
      <w:tr w:rsidR="006D36FD" w:rsidRPr="00102CE4" w:rsidTr="003165D1">
        <w:trPr>
          <w:trHeight w:val="558"/>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0.123</w:t>
            </w:r>
          </w:p>
        </w:tc>
        <w:tc>
          <w:tcPr>
            <w:tcW w:w="992" w:type="dxa"/>
          </w:tcPr>
          <w:p w:rsidR="006D36FD" w:rsidRPr="00102CE4" w:rsidRDefault="006D36FD" w:rsidP="003165D1">
            <w:pPr>
              <w:spacing w:line="480" w:lineRule="auto"/>
              <w:rPr>
                <w:rFonts w:ascii="Times New Roman" w:hAnsi="Times New Roman" w:cs="Times New Roman"/>
                <w:sz w:val="24"/>
                <w:szCs w:val="24"/>
              </w:rPr>
            </w:pPr>
            <w:r w:rsidRPr="00102CE4">
              <w:rPr>
                <w:rFonts w:ascii="Times New Roman" w:hAnsi="Times New Roman" w:cs="Times New Roman"/>
                <w:sz w:val="24"/>
                <w:szCs w:val="24"/>
              </w:rPr>
              <w:t>0.90</w:t>
            </w:r>
          </w:p>
        </w:tc>
        <w:tc>
          <w:tcPr>
            <w:tcW w:w="1985" w:type="dxa"/>
            <w:vMerge/>
          </w:tcPr>
          <w:p w:rsidR="006D36FD" w:rsidRPr="00102CE4" w:rsidRDefault="006D36FD" w:rsidP="003165D1">
            <w:pPr>
              <w:spacing w:line="480" w:lineRule="auto"/>
              <w:rPr>
                <w:rFonts w:ascii="Times New Roman" w:hAnsi="Times New Roman" w:cs="Times New Roman"/>
                <w:sz w:val="24"/>
                <w:szCs w:val="24"/>
              </w:rPr>
            </w:pPr>
          </w:p>
        </w:tc>
        <w:tc>
          <w:tcPr>
            <w:tcW w:w="2090" w:type="dxa"/>
            <w:vMerge/>
          </w:tcPr>
          <w:p w:rsidR="006D36FD" w:rsidRPr="00102CE4" w:rsidRDefault="006D36FD" w:rsidP="003165D1">
            <w:pPr>
              <w:spacing w:line="480" w:lineRule="auto"/>
              <w:rPr>
                <w:rFonts w:ascii="Times New Roman" w:hAnsi="Times New Roman" w:cs="Times New Roman"/>
                <w:sz w:val="24"/>
                <w:szCs w:val="24"/>
              </w:rPr>
            </w:pPr>
          </w:p>
        </w:tc>
      </w:tr>
      <w:tr w:rsidR="006D36FD" w:rsidRPr="00102CE4" w:rsidTr="003165D1">
        <w:trPr>
          <w:trHeight w:val="566"/>
        </w:trPr>
        <w:tc>
          <w:tcPr>
            <w:tcW w:w="883"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Cd</w:t>
            </w: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Algiers</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0.0016</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0.011</w:t>
            </w:r>
          </w:p>
        </w:tc>
        <w:tc>
          <w:tcPr>
            <w:tcW w:w="1985" w:type="dxa"/>
            <w:vMerge w:val="restart"/>
            <w:vAlign w:val="center"/>
          </w:tcPr>
          <w:p w:rsidR="006D36FD" w:rsidRDefault="006D36FD" w:rsidP="003165D1">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p w:rsidR="006D36FD" w:rsidRPr="00102CE4" w:rsidRDefault="00D21B08"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fldChar w:fldCharType="begin"/>
            </w:r>
            <w:r w:rsidR="006D36FD">
              <w:rPr>
                <w:rFonts w:ascii="Times New Roman" w:hAnsi="Times New Roman" w:cs="Times New Roman"/>
                <w:sz w:val="24"/>
                <w:szCs w:val="24"/>
              </w:rPr>
              <w:instrText xml:space="preserve"> ADDIN EN.CITE &lt;EndNote&gt;&lt;Cite&gt;&lt;Author&gt;EFSA&lt;/Author&gt;&lt;Year&gt;2011&lt;/Year&gt;&lt;RecNum&gt;294&lt;/RecNum&gt;&lt;DisplayText&gt;(EFSA 2011)&lt;/DisplayText&gt;&lt;record&gt;&lt;rec-number&gt;294&lt;/rec-number&gt;&lt;foreign-keys&gt;&lt;key app="EN" db-id="9tazpss0fxawwde0v94x95tpefsdp0wtsxxr"&gt;294&lt;/key&gt;&lt;/foreign-keys&gt;&lt;ref-type name="Journal Article"&gt;17&lt;/ref-type&gt;&lt;contributors&gt;&lt;authors&gt;&lt;author&gt;EFSA&lt;/author&gt;&lt;/authors&gt;&lt;/contributors&gt;&lt;titles&gt;&lt;title&gt;Statement on tolerable weekly intake for cadmium.http://onlinelibrary.wiley.com/doi/10.2903/j.efsa.2011.1975epdf/Accessed10&amp;#xD;February  2018.&lt;/title&gt;&lt;/titles&gt;&lt;dates&gt;&lt;year&gt;2011&lt;/year&gt;&lt;/dates&gt;&lt;urls&gt;&lt;/urls&gt;&lt;/record&gt;&lt;/Cite&gt;&lt;/EndNote&gt;</w:instrText>
            </w:r>
            <w:r w:rsidRPr="00102CE4">
              <w:rPr>
                <w:rFonts w:ascii="Times New Roman" w:hAnsi="Times New Roman" w:cs="Times New Roman"/>
                <w:sz w:val="24"/>
                <w:szCs w:val="24"/>
              </w:rPr>
              <w:fldChar w:fldCharType="separate"/>
            </w:r>
            <w:r w:rsidR="006D36FD">
              <w:rPr>
                <w:rFonts w:ascii="Times New Roman" w:hAnsi="Times New Roman" w:cs="Times New Roman"/>
                <w:noProof/>
                <w:sz w:val="24"/>
                <w:szCs w:val="24"/>
              </w:rPr>
              <w:t>(</w:t>
            </w:r>
            <w:hyperlink w:anchor="_ENREF_8" w:tooltip="EFSA, 2011 #294" w:history="1">
              <w:r w:rsidR="006D36FD">
                <w:rPr>
                  <w:rFonts w:ascii="Times New Roman" w:hAnsi="Times New Roman" w:cs="Times New Roman"/>
                  <w:noProof/>
                  <w:sz w:val="24"/>
                  <w:szCs w:val="24"/>
                </w:rPr>
                <w:t>EFSA 2011</w:t>
              </w:r>
            </w:hyperlink>
            <w:r w:rsidR="006D36FD">
              <w:rPr>
                <w:rFonts w:ascii="Times New Roman" w:hAnsi="Times New Roman" w:cs="Times New Roman"/>
                <w:noProof/>
                <w:sz w:val="24"/>
                <w:szCs w:val="24"/>
              </w:rPr>
              <w:t>)</w:t>
            </w:r>
            <w:r w:rsidRPr="00102CE4">
              <w:rPr>
                <w:rFonts w:ascii="Times New Roman" w:hAnsi="Times New Roman" w:cs="Times New Roman"/>
                <w:sz w:val="24"/>
                <w:szCs w:val="24"/>
              </w:rPr>
              <w:fldChar w:fldCharType="end"/>
            </w:r>
          </w:p>
        </w:tc>
        <w:tc>
          <w:tcPr>
            <w:tcW w:w="2090" w:type="dxa"/>
            <w:vMerge w:val="restart"/>
            <w:vAlign w:val="center"/>
          </w:tcPr>
          <w:p w:rsidR="006D36FD" w:rsidRDefault="006D36FD" w:rsidP="003165D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6D36FD" w:rsidRPr="00102CE4" w:rsidRDefault="00D21B08"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fldChar w:fldCharType="begin"/>
            </w:r>
            <w:r w:rsidR="006D36FD">
              <w:rPr>
                <w:rFonts w:ascii="Times New Roman" w:hAnsi="Times New Roman" w:cs="Times New Roman"/>
                <w:sz w:val="24"/>
                <w:szCs w:val="24"/>
              </w:rPr>
              <w:instrText xml:space="preserve"> ADDIN EN.CITE &lt;EndNote&gt;&lt;Cite&gt;&lt;Author&gt;JECFA&lt;/Author&gt;&lt;Year&gt;2011a&lt;/Year&gt;&lt;RecNum&gt;311&lt;/RecNum&gt;&lt;DisplayText&gt;(JECFA 2011a)&lt;/DisplayText&gt;&lt;record&gt;&lt;rec-number&gt;311&lt;/rec-number&gt;&lt;foreign-keys&gt;&lt;key app="EN" db-id="9tazpss0fxawwde0v94x95tpefsdp0wtsxxr"&gt;311&lt;/key&gt;&lt;/foreign-keys&gt;&lt;ref-type name="Journal Article"&gt;17&lt;/ref-type&gt;&lt;contributors&gt;&lt;authors&gt;&lt;author&gt;JECFA&lt;/author&gt;&lt;/authors&gt;&lt;/contributors&gt;&lt;titles&gt;&lt;title&gt;Safety evaluation of certain food additives and contaminants.73rd_2011_cadmium.pdf /Accessed 10 February  2018.&lt;/title&gt;&lt;/titles&gt;&lt;dates&gt;&lt;year&gt;2011a&lt;/year&gt;&lt;/dates&gt;&lt;urls&gt;&lt;/urls&gt;&lt;/record&gt;&lt;/Cite&gt;&lt;/EndNote&gt;</w:instrText>
            </w:r>
            <w:r w:rsidRPr="00102CE4">
              <w:rPr>
                <w:rFonts w:ascii="Times New Roman" w:hAnsi="Times New Roman" w:cs="Times New Roman"/>
                <w:sz w:val="24"/>
                <w:szCs w:val="24"/>
              </w:rPr>
              <w:fldChar w:fldCharType="separate"/>
            </w:r>
            <w:r w:rsidR="006D36FD">
              <w:rPr>
                <w:rFonts w:ascii="Times New Roman" w:hAnsi="Times New Roman" w:cs="Times New Roman"/>
                <w:noProof/>
                <w:sz w:val="24"/>
                <w:szCs w:val="24"/>
              </w:rPr>
              <w:t>(</w:t>
            </w:r>
            <w:hyperlink w:anchor="_ENREF_17" w:tooltip="JECFA, 2011a #311" w:history="1">
              <w:r w:rsidR="006D36FD">
                <w:rPr>
                  <w:rFonts w:ascii="Times New Roman" w:hAnsi="Times New Roman" w:cs="Times New Roman"/>
                  <w:noProof/>
                  <w:sz w:val="24"/>
                  <w:szCs w:val="24"/>
                </w:rPr>
                <w:t>JECFA 2011a</w:t>
              </w:r>
            </w:hyperlink>
            <w:r w:rsidR="006D36FD">
              <w:rPr>
                <w:rFonts w:ascii="Times New Roman" w:hAnsi="Times New Roman" w:cs="Times New Roman"/>
                <w:noProof/>
                <w:sz w:val="24"/>
                <w:szCs w:val="24"/>
              </w:rPr>
              <w:t>)</w:t>
            </w:r>
            <w:r w:rsidRPr="00102CE4">
              <w:rPr>
                <w:rFonts w:ascii="Times New Roman" w:hAnsi="Times New Roman" w:cs="Times New Roman"/>
                <w:sz w:val="24"/>
                <w:szCs w:val="24"/>
              </w:rPr>
              <w:fldChar w:fldCharType="end"/>
            </w:r>
          </w:p>
        </w:tc>
      </w:tr>
      <w:tr w:rsidR="006D36FD" w:rsidRPr="00102CE4" w:rsidTr="003165D1">
        <w:trPr>
          <w:trHeight w:val="566"/>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0.0018</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0.013</w:t>
            </w:r>
          </w:p>
        </w:tc>
        <w:tc>
          <w:tcPr>
            <w:tcW w:w="1985" w:type="dxa"/>
            <w:vMerge/>
            <w:vAlign w:val="center"/>
          </w:tcPr>
          <w:p w:rsidR="006D36FD" w:rsidRPr="00102CE4" w:rsidRDefault="006D36FD" w:rsidP="003165D1">
            <w:pPr>
              <w:spacing w:line="480" w:lineRule="auto"/>
              <w:jc w:val="center"/>
              <w:rPr>
                <w:rFonts w:ascii="Times New Roman" w:hAnsi="Times New Roman" w:cs="Times New Roman"/>
                <w:sz w:val="24"/>
                <w:szCs w:val="24"/>
              </w:rPr>
            </w:pPr>
          </w:p>
        </w:tc>
        <w:tc>
          <w:tcPr>
            <w:tcW w:w="2090" w:type="dxa"/>
            <w:vMerge/>
            <w:vAlign w:val="center"/>
          </w:tcPr>
          <w:p w:rsidR="006D36FD" w:rsidRPr="00102CE4" w:rsidRDefault="006D36FD" w:rsidP="003165D1">
            <w:pPr>
              <w:spacing w:line="480" w:lineRule="auto"/>
              <w:jc w:val="center"/>
              <w:rPr>
                <w:rFonts w:ascii="Times New Roman" w:hAnsi="Times New Roman" w:cs="Times New Roman"/>
                <w:sz w:val="24"/>
                <w:szCs w:val="24"/>
              </w:rPr>
            </w:pPr>
          </w:p>
        </w:tc>
      </w:tr>
      <w:tr w:rsidR="006D36FD" w:rsidRPr="00102CE4" w:rsidTr="003165D1">
        <w:trPr>
          <w:trHeight w:val="546"/>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Bejaia</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546"/>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Swordfich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0.00161</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0.011</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554"/>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Oran</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0.0016</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0.011</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867"/>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562"/>
        </w:trPr>
        <w:tc>
          <w:tcPr>
            <w:tcW w:w="883"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Pb</w:t>
            </w: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Algiers</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0.0032</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0.0224</w:t>
            </w:r>
          </w:p>
        </w:tc>
        <w:tc>
          <w:tcPr>
            <w:tcW w:w="1985" w:type="dxa"/>
            <w:vMerge w:val="restart"/>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2090" w:type="dxa"/>
            <w:vMerge w:val="restart"/>
            <w:vAlign w:val="center"/>
          </w:tcPr>
          <w:p w:rsidR="006D36FD" w:rsidRDefault="006D36FD" w:rsidP="003165D1">
            <w:pPr>
              <w:spacing w:line="480" w:lineRule="auto"/>
              <w:jc w:val="center"/>
              <w:rPr>
                <w:rFonts w:ascii="Times New Roman" w:hAnsi="Times New Roman" w:cs="Times New Roman"/>
                <w:sz w:val="24"/>
                <w:szCs w:val="24"/>
              </w:rPr>
            </w:pPr>
          </w:p>
          <w:p w:rsidR="006D36FD" w:rsidRDefault="006D36FD" w:rsidP="003165D1">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p w:rsidR="006D36FD" w:rsidRPr="00102CE4" w:rsidRDefault="00D21B08"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fldChar w:fldCharType="begin"/>
            </w:r>
            <w:r w:rsidR="006D36FD">
              <w:rPr>
                <w:rFonts w:ascii="Times New Roman" w:hAnsi="Times New Roman" w:cs="Times New Roman"/>
                <w:sz w:val="24"/>
                <w:szCs w:val="24"/>
              </w:rPr>
              <w:instrText xml:space="preserve"> ADDIN EN.CITE &lt;EndNote&gt;&lt;Cite&gt;&lt;Author&gt;JECFA&lt;/Author&gt;&lt;Year&gt;2011b&lt;/Year&gt;&lt;RecNum&gt;12&lt;/RecNum&gt;&lt;DisplayText&gt;(JECFA 2011b)&lt;/DisplayText&gt;&lt;record&gt;&lt;rec-number&gt;12&lt;/rec-number&gt;&lt;foreign-keys&gt;&lt;key app="EN" db-id="9tazpss0fxawwde0v94x95tpefsdp0wtsxxr"&gt;12&lt;/key&gt;&lt;/foreign-keys&gt;&lt;ref-type name="Journal Article"&gt;17&lt;/ref-type&gt;&lt;contributors&gt;&lt;authors&gt;&lt;author&gt;JECFA&lt;/author&gt;&lt;/authors&gt;&lt;/contributors&gt;&lt;titles&gt;&lt;title&gt;Safety evaluation of certain food additives and contaminants, Lead. 73rd_2011_Lead.pdf/Accessed 10 February  2018.&lt;/title&gt;&lt;/titles&gt;&lt;dates&gt;&lt;year&gt;2011b&lt;/year&gt;&lt;/dates&gt;&lt;urls&gt;&lt;/urls&gt;&lt;/record&gt;&lt;/Cite&gt;&lt;/EndNote&gt;</w:instrText>
            </w:r>
            <w:r w:rsidRPr="00102CE4">
              <w:rPr>
                <w:rFonts w:ascii="Times New Roman" w:hAnsi="Times New Roman" w:cs="Times New Roman"/>
                <w:sz w:val="24"/>
                <w:szCs w:val="24"/>
              </w:rPr>
              <w:fldChar w:fldCharType="separate"/>
            </w:r>
            <w:r w:rsidR="006D36FD">
              <w:rPr>
                <w:rFonts w:ascii="Times New Roman" w:hAnsi="Times New Roman" w:cs="Times New Roman"/>
                <w:noProof/>
                <w:sz w:val="24"/>
                <w:szCs w:val="24"/>
              </w:rPr>
              <w:t>(</w:t>
            </w:r>
            <w:hyperlink w:anchor="_ENREF_18" w:tooltip="JECFA, 2011b #12" w:history="1">
              <w:r w:rsidR="006D36FD">
                <w:rPr>
                  <w:rFonts w:ascii="Times New Roman" w:hAnsi="Times New Roman" w:cs="Times New Roman"/>
                  <w:noProof/>
                  <w:sz w:val="24"/>
                  <w:szCs w:val="24"/>
                </w:rPr>
                <w:t>JECFA 2011b</w:t>
              </w:r>
            </w:hyperlink>
            <w:r w:rsidR="006D36FD">
              <w:rPr>
                <w:rFonts w:ascii="Times New Roman" w:hAnsi="Times New Roman" w:cs="Times New Roman"/>
                <w:noProof/>
                <w:sz w:val="24"/>
                <w:szCs w:val="24"/>
              </w:rPr>
              <w:t>)</w:t>
            </w:r>
            <w:r w:rsidRPr="00102CE4">
              <w:rPr>
                <w:rFonts w:ascii="Times New Roman" w:hAnsi="Times New Roman" w:cs="Times New Roman"/>
                <w:sz w:val="24"/>
                <w:szCs w:val="24"/>
              </w:rPr>
              <w:fldChar w:fldCharType="end"/>
            </w:r>
          </w:p>
        </w:tc>
      </w:tr>
      <w:tr w:rsidR="006D36FD" w:rsidRPr="00102CE4" w:rsidTr="003165D1">
        <w:trPr>
          <w:trHeight w:val="562"/>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1985" w:type="dxa"/>
            <w:vMerge/>
            <w:vAlign w:val="center"/>
          </w:tcPr>
          <w:p w:rsidR="006D36FD" w:rsidRPr="00102CE4" w:rsidRDefault="006D36FD" w:rsidP="003165D1">
            <w:pPr>
              <w:spacing w:line="480" w:lineRule="auto"/>
              <w:jc w:val="center"/>
              <w:rPr>
                <w:rFonts w:ascii="Times New Roman" w:hAnsi="Times New Roman" w:cs="Times New Roman"/>
                <w:sz w:val="24"/>
                <w:szCs w:val="24"/>
              </w:rPr>
            </w:pPr>
          </w:p>
        </w:tc>
        <w:tc>
          <w:tcPr>
            <w:tcW w:w="2090" w:type="dxa"/>
            <w:vMerge/>
            <w:vAlign w:val="center"/>
          </w:tcPr>
          <w:p w:rsidR="006D36FD" w:rsidRPr="00102CE4" w:rsidRDefault="006D36FD" w:rsidP="003165D1">
            <w:pPr>
              <w:spacing w:line="480" w:lineRule="auto"/>
              <w:jc w:val="center"/>
              <w:rPr>
                <w:rFonts w:ascii="Times New Roman" w:hAnsi="Times New Roman" w:cs="Times New Roman"/>
                <w:sz w:val="24"/>
                <w:szCs w:val="24"/>
              </w:rPr>
            </w:pPr>
          </w:p>
        </w:tc>
      </w:tr>
      <w:tr w:rsidR="006D36FD" w:rsidRPr="00102CE4" w:rsidTr="003165D1">
        <w:trPr>
          <w:trHeight w:val="542"/>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Bejaia</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0.0032</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0.0224</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542"/>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208"/>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restart"/>
            <w:vAlign w:val="center"/>
          </w:tcPr>
          <w:p w:rsidR="006D36FD" w:rsidRPr="00102CE4" w:rsidRDefault="006D36FD" w:rsidP="003165D1">
            <w:pPr>
              <w:spacing w:line="480" w:lineRule="auto"/>
              <w:jc w:val="center"/>
              <w:rPr>
                <w:rFonts w:ascii="Times New Roman" w:hAnsi="Times New Roman" w:cs="Times New Roman"/>
                <w:b/>
                <w:sz w:val="24"/>
                <w:szCs w:val="24"/>
              </w:rPr>
            </w:pPr>
            <w:r w:rsidRPr="00102CE4">
              <w:rPr>
                <w:rFonts w:ascii="Times New Roman" w:hAnsi="Times New Roman" w:cs="Times New Roman"/>
                <w:b/>
                <w:sz w:val="24"/>
                <w:szCs w:val="24"/>
              </w:rPr>
              <w:t>Oran</w:t>
            </w: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Sardine</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0.02</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0.14</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r w:rsidR="006D36FD" w:rsidRPr="00102CE4" w:rsidTr="003165D1">
        <w:trPr>
          <w:trHeight w:val="977"/>
        </w:trPr>
        <w:tc>
          <w:tcPr>
            <w:tcW w:w="883"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102" w:type="dxa"/>
            <w:vMerge/>
            <w:vAlign w:val="center"/>
          </w:tcPr>
          <w:p w:rsidR="006D36FD" w:rsidRPr="00102CE4" w:rsidRDefault="006D36FD" w:rsidP="003165D1">
            <w:pPr>
              <w:spacing w:line="480" w:lineRule="auto"/>
              <w:jc w:val="center"/>
              <w:rPr>
                <w:rFonts w:ascii="Times New Roman" w:hAnsi="Times New Roman" w:cs="Times New Roman"/>
                <w:b/>
                <w:sz w:val="24"/>
                <w:szCs w:val="24"/>
              </w:rPr>
            </w:pPr>
          </w:p>
        </w:tc>
        <w:tc>
          <w:tcPr>
            <w:tcW w:w="1043" w:type="dxa"/>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Swordfish</w:t>
            </w:r>
          </w:p>
        </w:tc>
        <w:tc>
          <w:tcPr>
            <w:tcW w:w="941"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992" w:type="dxa"/>
            <w:vAlign w:val="center"/>
          </w:tcPr>
          <w:p w:rsidR="006D36FD" w:rsidRPr="00102CE4" w:rsidRDefault="006D36FD" w:rsidP="003165D1">
            <w:pPr>
              <w:spacing w:line="480" w:lineRule="auto"/>
              <w:jc w:val="center"/>
              <w:rPr>
                <w:rFonts w:ascii="Times New Roman" w:hAnsi="Times New Roman" w:cs="Times New Roman"/>
                <w:sz w:val="24"/>
                <w:szCs w:val="24"/>
              </w:rPr>
            </w:pPr>
            <w:r w:rsidRPr="00102CE4">
              <w:rPr>
                <w:rFonts w:ascii="Times New Roman" w:hAnsi="Times New Roman" w:cs="Times New Roman"/>
                <w:sz w:val="24"/>
                <w:szCs w:val="24"/>
              </w:rPr>
              <w:t>-</w:t>
            </w:r>
          </w:p>
        </w:tc>
        <w:tc>
          <w:tcPr>
            <w:tcW w:w="1985" w:type="dxa"/>
            <w:vMerge/>
          </w:tcPr>
          <w:p w:rsidR="006D36FD" w:rsidRPr="00102CE4" w:rsidRDefault="006D36FD" w:rsidP="003165D1">
            <w:pPr>
              <w:spacing w:line="480" w:lineRule="auto"/>
              <w:rPr>
                <w:rFonts w:ascii="Times New Roman" w:hAnsi="Times New Roman" w:cs="Times New Roman"/>
                <w:b/>
                <w:sz w:val="24"/>
                <w:szCs w:val="24"/>
              </w:rPr>
            </w:pPr>
          </w:p>
        </w:tc>
        <w:tc>
          <w:tcPr>
            <w:tcW w:w="2090" w:type="dxa"/>
            <w:vMerge/>
          </w:tcPr>
          <w:p w:rsidR="006D36FD" w:rsidRPr="00102CE4" w:rsidRDefault="006D36FD" w:rsidP="003165D1">
            <w:pPr>
              <w:spacing w:line="480" w:lineRule="auto"/>
              <w:rPr>
                <w:rFonts w:ascii="Times New Roman" w:hAnsi="Times New Roman" w:cs="Times New Roman"/>
                <w:b/>
                <w:sz w:val="24"/>
                <w:szCs w:val="24"/>
              </w:rPr>
            </w:pPr>
          </w:p>
        </w:tc>
      </w:tr>
    </w:tbl>
    <w:p w:rsidR="00E7538D" w:rsidRPr="00E7538D" w:rsidRDefault="00E7538D" w:rsidP="00E7538D">
      <w:pPr>
        <w:pStyle w:val="Heading1"/>
        <w:shd w:val="clear" w:color="auto" w:fill="FFFFFF"/>
        <w:spacing w:before="0" w:beforeAutospacing="0" w:after="300" w:afterAutospacing="0" w:line="480" w:lineRule="auto"/>
        <w:jc w:val="both"/>
        <w:rPr>
          <w:b w:val="0"/>
          <w:i/>
          <w:sz w:val="24"/>
          <w:szCs w:val="24"/>
          <w:lang w:val="en-US"/>
        </w:rPr>
      </w:pPr>
      <w:r w:rsidRPr="00E7538D">
        <w:rPr>
          <w:b w:val="0"/>
          <w:i/>
          <w:sz w:val="24"/>
          <w:szCs w:val="24"/>
          <w:lang w:val="en-US"/>
        </w:rPr>
        <w:lastRenderedPageBreak/>
        <w:t>Estimated Dietary Intake (µg/kg/body weight /day/week) for the intake of As, Cd and Pb</w:t>
      </w:r>
      <w:r w:rsidR="00DB51C9">
        <w:rPr>
          <w:b w:val="0"/>
          <w:i/>
          <w:sz w:val="24"/>
          <w:szCs w:val="24"/>
          <w:lang w:val="en-US"/>
        </w:rPr>
        <w:t xml:space="preserve"> </w:t>
      </w:r>
      <w:r w:rsidRPr="00E7538D">
        <w:rPr>
          <w:b w:val="0"/>
          <w:i/>
          <w:sz w:val="24"/>
          <w:szCs w:val="24"/>
          <w:lang w:val="en-US"/>
        </w:rPr>
        <w:t xml:space="preserve">in </w:t>
      </w:r>
      <w:r w:rsidRPr="00E7538D">
        <w:rPr>
          <w:b w:val="0"/>
          <w:i/>
          <w:iCs/>
          <w:sz w:val="24"/>
          <w:szCs w:val="24"/>
          <w:lang w:val="en-US"/>
        </w:rPr>
        <w:t>sardine and swordfish by region of study</w:t>
      </w:r>
    </w:p>
    <w:p w:rsidR="006D36FD" w:rsidRPr="00107890" w:rsidRDefault="00E7538D" w:rsidP="00107890">
      <w:pPr>
        <w:spacing w:line="480" w:lineRule="auto"/>
        <w:jc w:val="both"/>
        <w:rPr>
          <w:rFonts w:ascii="Times New Roman" w:hAnsi="Times New Roman" w:cs="Times New Roman"/>
          <w:sz w:val="24"/>
          <w:szCs w:val="24"/>
          <w:lang w:val="en-US"/>
        </w:rPr>
      </w:pPr>
      <w:r w:rsidRPr="00E7538D">
        <w:rPr>
          <w:rFonts w:ascii="Times New Roman" w:hAnsi="Times New Roman" w:cs="Times New Roman"/>
          <w:sz w:val="24"/>
          <w:szCs w:val="24"/>
          <w:lang w:val="en-US"/>
        </w:rPr>
        <w:t>The results in Table 2 show that the estimated daily/weekly intake (EDI/</w:t>
      </w:r>
      <w:r w:rsidR="00D62200">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EWI) for each metal differs from one region to another for the same species of fish and also differs fo</w:t>
      </w:r>
      <w:r w:rsidR="00D62200">
        <w:rPr>
          <w:rFonts w:ascii="Times New Roman" w:hAnsi="Times New Roman" w:cs="Times New Roman"/>
          <w:sz w:val="24"/>
          <w:szCs w:val="24"/>
          <w:lang w:val="en-US"/>
        </w:rPr>
        <w:t>r each species. The highest EDI</w:t>
      </w:r>
      <w:r w:rsidRPr="00E7538D">
        <w:rPr>
          <w:rFonts w:ascii="Times New Roman" w:hAnsi="Times New Roman" w:cs="Times New Roman"/>
          <w:sz w:val="24"/>
          <w:szCs w:val="24"/>
          <w:lang w:val="en-US"/>
        </w:rPr>
        <w:t>/ EWI value was observed in arsenic from sardine of the NE (0.20 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day) (3.4 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week</w:t>
      </w:r>
      <w:r w:rsidR="00D62200">
        <w:rPr>
          <w:rFonts w:ascii="Times New Roman" w:hAnsi="Times New Roman" w:cs="Times New Roman"/>
          <w:sz w:val="24"/>
          <w:szCs w:val="24"/>
          <w:lang w:val="en-US"/>
        </w:rPr>
        <w:t>). For cadmium, the highest EDI</w:t>
      </w:r>
      <w:r w:rsidRPr="00E7538D">
        <w:rPr>
          <w:rFonts w:ascii="Times New Roman" w:hAnsi="Times New Roman" w:cs="Times New Roman"/>
          <w:sz w:val="24"/>
          <w:szCs w:val="24"/>
          <w:lang w:val="en-US"/>
        </w:rPr>
        <w:t>/ EWI value was recorded in swordfish of NC (0.0018</w:t>
      </w:r>
      <w:r w:rsidR="00DB51C9">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day) (0.013 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week). For</w:t>
      </w:r>
      <w:r w:rsidR="00CE7BC2">
        <w:rPr>
          <w:rFonts w:ascii="Times New Roman" w:hAnsi="Times New Roman" w:cs="Times New Roman"/>
          <w:sz w:val="24"/>
          <w:szCs w:val="24"/>
          <w:lang w:val="en-US"/>
        </w:rPr>
        <w:t xml:space="preserve"> lead, the highest value of EDI</w:t>
      </w:r>
      <w:r w:rsidRPr="00E7538D">
        <w:rPr>
          <w:rFonts w:ascii="Times New Roman" w:hAnsi="Times New Roman" w:cs="Times New Roman"/>
          <w:sz w:val="24"/>
          <w:szCs w:val="24"/>
          <w:lang w:val="en-US"/>
        </w:rPr>
        <w:t>/ EWI was estimated in sardine of NW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(0.0</w:t>
      </w:r>
      <w:r w:rsidR="008671ED">
        <w:rPr>
          <w:rFonts w:ascii="Times New Roman" w:hAnsi="Times New Roman" w:cs="Times New Roman"/>
          <w:sz w:val="24"/>
          <w:szCs w:val="24"/>
          <w:lang w:val="en-US"/>
        </w:rPr>
        <w:t xml:space="preserve">2 </w:t>
      </w:r>
      <w:r w:rsidRPr="00E7538D">
        <w:rPr>
          <w:rFonts w:ascii="Times New Roman" w:hAnsi="Times New Roman" w:cs="Times New Roman"/>
          <w:sz w:val="24"/>
          <w:szCs w:val="24"/>
          <w:lang w:val="en-US"/>
        </w:rPr>
        <w:t>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day) (0.14 μg/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kg/</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bw/</w:t>
      </w:r>
      <w:r w:rsidR="00630477">
        <w:rPr>
          <w:rFonts w:ascii="Times New Roman" w:hAnsi="Times New Roman" w:cs="Times New Roman"/>
          <w:sz w:val="24"/>
          <w:szCs w:val="24"/>
          <w:lang w:val="en-US"/>
        </w:rPr>
        <w:t xml:space="preserve"> </w:t>
      </w:r>
      <w:r w:rsidRPr="00E7538D">
        <w:rPr>
          <w:rFonts w:ascii="Times New Roman" w:hAnsi="Times New Roman" w:cs="Times New Roman"/>
          <w:sz w:val="24"/>
          <w:szCs w:val="24"/>
          <w:lang w:val="en-US"/>
        </w:rPr>
        <w:t>week). While for swordfish, these doses are invaluable in three regions (Table 2).</w:t>
      </w:r>
    </w:p>
    <w:p w:rsidR="004B23ED" w:rsidRPr="006D36FD" w:rsidRDefault="004B23ED" w:rsidP="006D36FD">
      <w:pPr>
        <w:autoSpaceDE w:val="0"/>
        <w:autoSpaceDN w:val="0"/>
        <w:adjustRightInd w:val="0"/>
        <w:spacing w:after="0" w:line="480" w:lineRule="auto"/>
        <w:jc w:val="both"/>
        <w:rPr>
          <w:rFonts w:asciiTheme="majorBidi" w:eastAsiaTheme="minorHAnsi" w:hAnsiTheme="majorBidi" w:cstheme="majorBidi"/>
          <w:sz w:val="24"/>
          <w:szCs w:val="24"/>
          <w:lang w:val="en-US" w:eastAsia="en-US"/>
        </w:rPr>
      </w:pPr>
    </w:p>
    <w:sectPr w:rsidR="004B23ED" w:rsidRPr="006D36FD" w:rsidSect="009C04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5F" w:rsidRDefault="00EE5F5F" w:rsidP="008A7D8D">
      <w:pPr>
        <w:spacing w:after="0" w:line="240" w:lineRule="auto"/>
      </w:pPr>
      <w:r>
        <w:separator/>
      </w:r>
    </w:p>
  </w:endnote>
  <w:endnote w:type="continuationSeparator" w:id="0">
    <w:p w:rsidR="00EE5F5F" w:rsidRDefault="00EE5F5F" w:rsidP="008A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546944d59420f4c9553961e8" descr="{&quot;HashCode&quot;:156159341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B2" w:rsidRPr="001218B2" w:rsidRDefault="001218B2" w:rsidP="001218B2">
                          <w:pPr>
                            <w:spacing w:after="0"/>
                            <w:rPr>
                              <w:rFonts w:ascii="Rockwell" w:hAnsi="Rockwell"/>
                              <w:color w:val="0078D7"/>
                              <w:sz w:val="18"/>
                            </w:rPr>
                          </w:pPr>
                          <w:r w:rsidRPr="001218B2">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46944d59420f4c9553961e8"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" o:allowincell="f" filled="f" stroked="f">
              <v:textbox inset="20pt,0,,0">
                <w:txbxContent>
                  <w:p w:rsidR="001218B2" w:rsidRPr="001218B2" w:rsidRDefault="001218B2" w:rsidP="001218B2">
                    <w:pPr>
                      <w:spacing w:after="0"/>
                      <w:rPr>
                        <w:rFonts w:ascii="Rockwell" w:hAnsi="Rockwell"/>
                        <w:color w:val="0078D7"/>
                        <w:sz w:val="18"/>
                      </w:rPr>
                    </w:pPr>
                    <w:r w:rsidRPr="001218B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5F" w:rsidRDefault="00EE5F5F" w:rsidP="008A7D8D">
      <w:pPr>
        <w:spacing w:after="0" w:line="240" w:lineRule="auto"/>
      </w:pPr>
      <w:r>
        <w:separator/>
      </w:r>
    </w:p>
  </w:footnote>
  <w:footnote w:type="continuationSeparator" w:id="0">
    <w:p w:rsidR="00EE5F5F" w:rsidRDefault="00EE5F5F" w:rsidP="008A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B2" w:rsidRDefault="00121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1B"/>
    <w:rsid w:val="0007334D"/>
    <w:rsid w:val="000D5804"/>
    <w:rsid w:val="00107890"/>
    <w:rsid w:val="001218B2"/>
    <w:rsid w:val="00187941"/>
    <w:rsid w:val="00211A79"/>
    <w:rsid w:val="002631E5"/>
    <w:rsid w:val="00295376"/>
    <w:rsid w:val="002E4417"/>
    <w:rsid w:val="002F09DF"/>
    <w:rsid w:val="002F482E"/>
    <w:rsid w:val="00357C4A"/>
    <w:rsid w:val="003B1C4A"/>
    <w:rsid w:val="004128A0"/>
    <w:rsid w:val="004172AF"/>
    <w:rsid w:val="004B23ED"/>
    <w:rsid w:val="00571AE7"/>
    <w:rsid w:val="00604D00"/>
    <w:rsid w:val="00630477"/>
    <w:rsid w:val="006A511B"/>
    <w:rsid w:val="006D36FD"/>
    <w:rsid w:val="00721A70"/>
    <w:rsid w:val="007D1740"/>
    <w:rsid w:val="007F1339"/>
    <w:rsid w:val="008671ED"/>
    <w:rsid w:val="00890CC6"/>
    <w:rsid w:val="008A7D8D"/>
    <w:rsid w:val="008B1BED"/>
    <w:rsid w:val="008C6E49"/>
    <w:rsid w:val="0095642C"/>
    <w:rsid w:val="00993298"/>
    <w:rsid w:val="009C0421"/>
    <w:rsid w:val="00A57B1A"/>
    <w:rsid w:val="00B2733B"/>
    <w:rsid w:val="00C656EE"/>
    <w:rsid w:val="00CE5BF1"/>
    <w:rsid w:val="00CE7BC2"/>
    <w:rsid w:val="00D21B08"/>
    <w:rsid w:val="00D513A8"/>
    <w:rsid w:val="00D62200"/>
    <w:rsid w:val="00DB51C9"/>
    <w:rsid w:val="00DC23CB"/>
    <w:rsid w:val="00E02453"/>
    <w:rsid w:val="00E7538D"/>
    <w:rsid w:val="00EC48B5"/>
    <w:rsid w:val="00ED71E0"/>
    <w:rsid w:val="00EE5F5F"/>
    <w:rsid w:val="00F1580F"/>
    <w:rsid w:val="00F20E04"/>
    <w:rsid w:val="00F74B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FF1DDC-DFB0-45B0-ACBE-D0F786AE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11B"/>
    <w:rPr>
      <w:rFonts w:eastAsiaTheme="minorEastAsia"/>
      <w:lang w:eastAsia="fr-FR"/>
    </w:rPr>
  </w:style>
  <w:style w:type="paragraph" w:styleId="Heading1">
    <w:name w:val="heading 1"/>
    <w:basedOn w:val="Normal"/>
    <w:link w:val="Heading1Char"/>
    <w:uiPriority w:val="9"/>
    <w:qFormat/>
    <w:rsid w:val="00E75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11B"/>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538D"/>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07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4D"/>
    <w:rPr>
      <w:rFonts w:ascii="Tahoma" w:eastAsiaTheme="minorEastAsia" w:hAnsi="Tahoma" w:cs="Tahoma"/>
      <w:sz w:val="16"/>
      <w:szCs w:val="16"/>
      <w:lang w:eastAsia="fr-FR"/>
    </w:rPr>
  </w:style>
  <w:style w:type="paragraph" w:styleId="Header">
    <w:name w:val="header"/>
    <w:basedOn w:val="Normal"/>
    <w:link w:val="HeaderChar"/>
    <w:uiPriority w:val="99"/>
    <w:unhideWhenUsed/>
    <w:rsid w:val="008A7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D8D"/>
    <w:rPr>
      <w:rFonts w:eastAsiaTheme="minorEastAsia"/>
      <w:lang w:eastAsia="fr-FR"/>
    </w:rPr>
  </w:style>
  <w:style w:type="paragraph" w:styleId="Footer">
    <w:name w:val="footer"/>
    <w:basedOn w:val="Normal"/>
    <w:link w:val="FooterChar"/>
    <w:uiPriority w:val="99"/>
    <w:unhideWhenUsed/>
    <w:rsid w:val="008A7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D8D"/>
    <w:rPr>
      <w:rFonts w:eastAsiaTheme="minorEastAsia"/>
      <w:lang w:eastAsia="fr-FR"/>
    </w:rPr>
  </w:style>
  <w:style w:type="character" w:styleId="LineNumber">
    <w:name w:val="line number"/>
    <w:basedOn w:val="DefaultParagraphFont"/>
    <w:uiPriority w:val="99"/>
    <w:semiHidden/>
    <w:unhideWhenUsed/>
    <w:rsid w:val="0029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syscom</dc:creator>
  <cp:lastModifiedBy>Lane, Aldonita</cp:lastModifiedBy>
  <cp:revision>2</cp:revision>
  <dcterms:created xsi:type="dcterms:W3CDTF">2019-07-03T16:43:00Z</dcterms:created>
  <dcterms:modified xsi:type="dcterms:W3CDTF">2019-07-03T16:43:00Z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Aldonita.Lane@informa.com</vt:lpwstr>
  </property>
  <property fmtid="{D5CDD505-2E9C-101B-9397-08002B2CF9AE}" pid="5" name="MSIP_Label_181c070e-054b-4d1c-ba4c-fc70b099192e_SetDate">
    <vt:lpwstr>2019-07-03T16:43:32.4895593Z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Aldonita.Lane@informa.com</vt:lpwstr>
  </property>
  <property fmtid="{D5CDD505-2E9C-101B-9397-08002B2CF9AE}" pid="12" name="MSIP_Label_2bbab825-a111-45e4-86a1-18cee0005896_SetDate">
    <vt:lpwstr>2019-07-03T16:43:32.4895593Z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