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34" w:rsidRPr="006B4634" w:rsidRDefault="006B4634" w:rsidP="006B4634">
      <w:pPr>
        <w:autoSpaceDE w:val="0"/>
        <w:autoSpaceDN w:val="0"/>
        <w:adjustRightInd w:val="0"/>
        <w:spacing w:after="200" w:line="276" w:lineRule="auto"/>
        <w:rPr>
          <w:rFonts w:ascii="Times New Roman" w:hAnsi="Times New Roman" w:cs="Times New Roman"/>
          <w:b/>
          <w:sz w:val="24"/>
          <w:szCs w:val="24"/>
          <w:lang w:val="en"/>
        </w:rPr>
      </w:pPr>
      <w:r w:rsidRPr="006B4634">
        <w:rPr>
          <w:rFonts w:ascii="Times New Roman" w:hAnsi="Times New Roman" w:cs="Times New Roman"/>
          <w:b/>
          <w:sz w:val="24"/>
          <w:szCs w:val="24"/>
          <w:lang w:val="en"/>
        </w:rPr>
        <w:t>Supplementary Material</w:t>
      </w:r>
    </w:p>
    <w:p w:rsidR="006B4634" w:rsidRPr="006B4634" w:rsidRDefault="006B4634" w:rsidP="006B4634">
      <w:pPr>
        <w:autoSpaceDE w:val="0"/>
        <w:autoSpaceDN w:val="0"/>
        <w:adjustRightInd w:val="0"/>
        <w:spacing w:after="0" w:line="480" w:lineRule="auto"/>
        <w:rPr>
          <w:rFonts w:ascii="Times New Roman" w:hAnsi="Times New Roman" w:cs="Times New Roman"/>
          <w:b/>
          <w:sz w:val="24"/>
          <w:szCs w:val="24"/>
          <w:lang w:val="en"/>
        </w:rPr>
      </w:pPr>
      <w:bookmarkStart w:id="0" w:name="_GoBack"/>
      <w:r w:rsidRPr="006B4634">
        <w:rPr>
          <w:rFonts w:ascii="Times New Roman" w:hAnsi="Times New Roman" w:cs="Times New Roman"/>
          <w:b/>
          <w:sz w:val="24"/>
          <w:szCs w:val="24"/>
          <w:lang w:val="en"/>
        </w:rPr>
        <w:t>APPENDIX</w:t>
      </w:r>
    </w:p>
    <w:bookmarkEnd w:id="0"/>
    <w:p w:rsidR="006B4634" w:rsidRDefault="006B4634" w:rsidP="006B4634">
      <w:pPr>
        <w:autoSpaceDE w:val="0"/>
        <w:autoSpaceDN w:val="0"/>
        <w:adjustRightInd w:val="0"/>
        <w:spacing w:after="0" w:line="480" w:lineRule="auto"/>
        <w:rPr>
          <w:rFonts w:ascii="Times New Roman" w:hAnsi="Times New Roman" w:cs="Times New Roman"/>
          <w:sz w:val="24"/>
          <w:szCs w:val="24"/>
          <w:u w:val="single"/>
          <w:lang w:val="en"/>
        </w:rPr>
      </w:pPr>
      <w:r>
        <w:rPr>
          <w:rFonts w:ascii="Times New Roman" w:hAnsi="Times New Roman" w:cs="Times New Roman"/>
          <w:sz w:val="24"/>
          <w:szCs w:val="24"/>
          <w:u w:val="single"/>
          <w:lang w:val="en"/>
        </w:rPr>
        <w:t xml:space="preserve">Table 1S. </w:t>
      </w:r>
      <w:r>
        <w:rPr>
          <w:rFonts w:ascii="Times New Roman" w:hAnsi="Times New Roman" w:cs="Times New Roman"/>
          <w:color w:val="000000"/>
          <w:sz w:val="24"/>
          <w:szCs w:val="24"/>
          <w:u w:val="single"/>
          <w:lang w:val="en"/>
        </w:rPr>
        <w:t xml:space="preserve">Factors that are potentially useful in the assessment of patients in an MPO </w:t>
      </w:r>
    </w:p>
    <w:tbl>
      <w:tblPr>
        <w:tblW w:w="0" w:type="auto"/>
        <w:tblInd w:w="-4" w:type="dxa"/>
        <w:tblLayout w:type="fixed"/>
        <w:tblLook w:val="0000" w:firstRow="0" w:lastRow="0" w:firstColumn="0" w:lastColumn="0" w:noHBand="0" w:noVBand="0"/>
      </w:tblPr>
      <w:tblGrid>
        <w:gridCol w:w="9016"/>
      </w:tblGrid>
      <w:tr w:rsidR="006B4634">
        <w:tblPrEx>
          <w:tblCellMar>
            <w:top w:w="0" w:type="dxa"/>
            <w:bottom w:w="0" w:type="dxa"/>
          </w:tblCellMar>
        </w:tblPrEx>
        <w:trPr>
          <w:trHeight w:val="1"/>
        </w:trPr>
        <w:tc>
          <w:tcPr>
            <w:tcW w:w="9016"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History </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sz w:val="24"/>
                <w:szCs w:val="24"/>
                <w:lang w:val="en"/>
              </w:rPr>
            </w:pPr>
            <w:r>
              <w:rPr>
                <w:rFonts w:ascii="Calibri" w:hAnsi="Calibri" w:cs="Calibri"/>
                <w:sz w:val="24"/>
                <w:szCs w:val="24"/>
                <w:lang w:val="en"/>
              </w:rPr>
              <w:t>Known exposure to methanol</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sz w:val="24"/>
                <w:szCs w:val="24"/>
                <w:lang w:val="en"/>
              </w:rPr>
            </w:pPr>
            <w:r>
              <w:rPr>
                <w:rFonts w:ascii="Calibri" w:hAnsi="Calibri" w:cs="Calibri"/>
                <w:sz w:val="24"/>
                <w:szCs w:val="24"/>
                <w:lang w:val="en"/>
              </w:rPr>
              <w:t xml:space="preserve">Suspected methanol exposure based on collateral history, for example poisoned contacts </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lang w:val="en"/>
              </w:rPr>
            </w:pPr>
            <w:r>
              <w:rPr>
                <w:rFonts w:ascii="Calibri" w:hAnsi="Calibri" w:cs="Calibri"/>
                <w:sz w:val="24"/>
                <w:szCs w:val="24"/>
                <w:lang w:val="en"/>
              </w:rPr>
              <w:t>Suspected methanol exposure based on the context, for example during an MPO</w:t>
            </w:r>
          </w:p>
        </w:tc>
      </w:tr>
      <w:tr w:rsidR="006B4634">
        <w:tblPrEx>
          <w:tblCellMar>
            <w:top w:w="0" w:type="dxa"/>
            <w:bottom w:w="0" w:type="dxa"/>
          </w:tblCellMar>
        </w:tblPrEx>
        <w:trPr>
          <w:trHeight w:val="1"/>
        </w:trPr>
        <w:tc>
          <w:tcPr>
            <w:tcW w:w="9016"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Clinical features </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sz w:val="24"/>
                <w:szCs w:val="24"/>
                <w:lang w:val="en"/>
              </w:rPr>
            </w:pPr>
            <w:r>
              <w:rPr>
                <w:rFonts w:ascii="Calibri" w:hAnsi="Calibri" w:cs="Calibri"/>
                <w:sz w:val="24"/>
                <w:szCs w:val="24"/>
                <w:lang w:val="en"/>
              </w:rPr>
              <w:t>Decreased level of consciousness</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sz w:val="24"/>
                <w:szCs w:val="24"/>
                <w:lang w:val="en"/>
              </w:rPr>
            </w:pPr>
            <w:r>
              <w:rPr>
                <w:rFonts w:ascii="Calibri" w:hAnsi="Calibri" w:cs="Calibri"/>
                <w:sz w:val="24"/>
                <w:szCs w:val="24"/>
                <w:lang w:val="en"/>
              </w:rPr>
              <w:t>New onset visual disturbances</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sz w:val="24"/>
                <w:szCs w:val="24"/>
                <w:lang w:val="en"/>
              </w:rPr>
            </w:pPr>
            <w:r>
              <w:rPr>
                <w:rFonts w:ascii="Calibri" w:hAnsi="Calibri" w:cs="Calibri"/>
                <w:sz w:val="24"/>
                <w:szCs w:val="24"/>
                <w:lang w:val="en"/>
              </w:rPr>
              <w:t>Increased respiratory rate</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sz w:val="24"/>
                <w:szCs w:val="24"/>
                <w:lang w:val="en"/>
              </w:rPr>
            </w:pPr>
            <w:proofErr w:type="spellStart"/>
            <w:r>
              <w:rPr>
                <w:rFonts w:ascii="Calibri" w:hAnsi="Calibri" w:cs="Calibri"/>
                <w:sz w:val="24"/>
                <w:szCs w:val="24"/>
                <w:lang w:val="en"/>
              </w:rPr>
              <w:t>Mydriatic</w:t>
            </w:r>
            <w:proofErr w:type="spellEnd"/>
            <w:r>
              <w:rPr>
                <w:rFonts w:ascii="Calibri" w:hAnsi="Calibri" w:cs="Calibri"/>
                <w:sz w:val="24"/>
                <w:szCs w:val="24"/>
                <w:lang w:val="en"/>
              </w:rPr>
              <w:t xml:space="preserve"> pupils unresponsive to light</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lang w:val="en"/>
              </w:rPr>
            </w:pPr>
            <w:r>
              <w:rPr>
                <w:rFonts w:ascii="Calibri" w:hAnsi="Calibri" w:cs="Calibri"/>
                <w:sz w:val="24"/>
                <w:szCs w:val="24"/>
                <w:lang w:val="en"/>
              </w:rPr>
              <w:t>Seizure</w:t>
            </w:r>
          </w:p>
        </w:tc>
      </w:tr>
      <w:tr w:rsidR="006B4634">
        <w:tblPrEx>
          <w:tblCellMar>
            <w:top w:w="0" w:type="dxa"/>
            <w:bottom w:w="0" w:type="dxa"/>
          </w:tblCellMar>
        </w:tblPrEx>
        <w:trPr>
          <w:trHeight w:val="1"/>
        </w:trPr>
        <w:tc>
          <w:tcPr>
            <w:tcW w:w="9016"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Laboratory analyses</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sz w:val="24"/>
                <w:szCs w:val="24"/>
                <w:lang w:val="en"/>
              </w:rPr>
            </w:pPr>
            <w:r>
              <w:rPr>
                <w:rFonts w:ascii="Calibri" w:hAnsi="Calibri" w:cs="Calibri"/>
                <w:sz w:val="24"/>
                <w:szCs w:val="24"/>
                <w:lang w:val="en"/>
              </w:rPr>
              <w:t>Blood gas (pH, pCO</w:t>
            </w:r>
            <w:r>
              <w:rPr>
                <w:rFonts w:ascii="Calibri" w:hAnsi="Calibri" w:cs="Calibri"/>
                <w:sz w:val="24"/>
                <w:szCs w:val="24"/>
                <w:vertAlign w:val="subscript"/>
                <w:lang w:val="en"/>
              </w:rPr>
              <w:t>2</w:t>
            </w:r>
            <w:r>
              <w:rPr>
                <w:rFonts w:ascii="Calibri" w:hAnsi="Calibri" w:cs="Calibri"/>
                <w:sz w:val="24"/>
                <w:szCs w:val="24"/>
                <w:lang w:val="en"/>
              </w:rPr>
              <w:t>, bicarbonate, base excess/base deficit, lactate)</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sz w:val="24"/>
                <w:szCs w:val="24"/>
                <w:lang w:val="en"/>
              </w:rPr>
            </w:pPr>
            <w:r>
              <w:rPr>
                <w:rFonts w:ascii="Calibri" w:hAnsi="Calibri" w:cs="Calibri"/>
                <w:sz w:val="24"/>
                <w:szCs w:val="24"/>
                <w:lang w:val="en"/>
              </w:rPr>
              <w:t xml:space="preserve">Anion gap </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sz w:val="24"/>
                <w:szCs w:val="24"/>
                <w:lang w:val="en"/>
              </w:rPr>
            </w:pPr>
            <w:proofErr w:type="spellStart"/>
            <w:r>
              <w:rPr>
                <w:rFonts w:ascii="Calibri" w:hAnsi="Calibri" w:cs="Calibri"/>
                <w:sz w:val="24"/>
                <w:szCs w:val="24"/>
                <w:lang w:val="en"/>
              </w:rPr>
              <w:t>Osmol</w:t>
            </w:r>
            <w:proofErr w:type="spellEnd"/>
            <w:r>
              <w:rPr>
                <w:rFonts w:ascii="Calibri" w:hAnsi="Calibri" w:cs="Calibri"/>
                <w:sz w:val="24"/>
                <w:szCs w:val="24"/>
                <w:lang w:val="en"/>
              </w:rPr>
              <w:t xml:space="preserve"> gap (accounting for the contribution of ethanol) </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sz w:val="24"/>
                <w:szCs w:val="24"/>
                <w:lang w:val="en"/>
              </w:rPr>
            </w:pPr>
            <w:r>
              <w:rPr>
                <w:rFonts w:ascii="Calibri" w:hAnsi="Calibri" w:cs="Calibri"/>
                <w:sz w:val="24"/>
                <w:szCs w:val="24"/>
                <w:lang w:val="en"/>
              </w:rPr>
              <w:t>Serum methanol concentration</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lang w:val="en"/>
              </w:rPr>
            </w:pPr>
            <w:r>
              <w:rPr>
                <w:rFonts w:ascii="Calibri" w:hAnsi="Calibri" w:cs="Calibri"/>
                <w:sz w:val="24"/>
                <w:szCs w:val="24"/>
                <w:lang w:val="en"/>
              </w:rPr>
              <w:t xml:space="preserve">Serum </w:t>
            </w:r>
            <w:proofErr w:type="spellStart"/>
            <w:r>
              <w:rPr>
                <w:rFonts w:ascii="Calibri" w:hAnsi="Calibri" w:cs="Calibri"/>
                <w:sz w:val="24"/>
                <w:szCs w:val="24"/>
                <w:lang w:val="en"/>
              </w:rPr>
              <w:t>formate</w:t>
            </w:r>
            <w:proofErr w:type="spellEnd"/>
            <w:r>
              <w:rPr>
                <w:rFonts w:ascii="Calibri" w:hAnsi="Calibri" w:cs="Calibri"/>
                <w:sz w:val="24"/>
                <w:szCs w:val="24"/>
                <w:lang w:val="en"/>
              </w:rPr>
              <w:t xml:space="preserve"> concentration</w:t>
            </w:r>
          </w:p>
        </w:tc>
      </w:tr>
      <w:tr w:rsidR="006B4634">
        <w:tblPrEx>
          <w:tblCellMar>
            <w:top w:w="0" w:type="dxa"/>
            <w:bottom w:w="0" w:type="dxa"/>
          </w:tblCellMar>
        </w:tblPrEx>
        <w:trPr>
          <w:trHeight w:val="1"/>
        </w:trPr>
        <w:tc>
          <w:tcPr>
            <w:tcW w:w="9016"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Imaging</w:t>
            </w:r>
          </w:p>
          <w:p w:rsidR="006B4634" w:rsidRDefault="006B4634" w:rsidP="006B4634">
            <w:pPr>
              <w:numPr>
                <w:ilvl w:val="0"/>
                <w:numId w:val="1"/>
              </w:numPr>
              <w:autoSpaceDE w:val="0"/>
              <w:autoSpaceDN w:val="0"/>
              <w:adjustRightInd w:val="0"/>
              <w:spacing w:after="0" w:line="360" w:lineRule="auto"/>
              <w:ind w:left="720" w:hanging="360"/>
              <w:rPr>
                <w:rFonts w:ascii="Calibri" w:hAnsi="Calibri" w:cs="Calibri"/>
                <w:lang w:val="en"/>
              </w:rPr>
            </w:pPr>
            <w:r>
              <w:rPr>
                <w:rFonts w:ascii="Calibri" w:hAnsi="Calibri" w:cs="Calibri"/>
                <w:sz w:val="24"/>
                <w:szCs w:val="24"/>
                <w:lang w:val="en"/>
              </w:rPr>
              <w:t xml:space="preserve">Cerebral CT and MRI scanning can support the diagnostic and prognostic evaluation, but the availability of these modalities may be limited, and objective findings may be delayed (especially as regards to CT), and/or detection may require specific expertise. </w:t>
            </w:r>
          </w:p>
        </w:tc>
      </w:tr>
    </w:tbl>
    <w:p w:rsidR="006B4634" w:rsidRDefault="006B4634" w:rsidP="006B4634">
      <w:pPr>
        <w:autoSpaceDE w:val="0"/>
        <w:autoSpaceDN w:val="0"/>
        <w:adjustRightInd w:val="0"/>
        <w:spacing w:after="0" w:line="480" w:lineRule="auto"/>
        <w:rPr>
          <w:rFonts w:ascii="Times New Roman" w:hAnsi="Times New Roman" w:cs="Times New Roman"/>
          <w:sz w:val="24"/>
          <w:szCs w:val="24"/>
          <w:lang w:val="en"/>
        </w:rPr>
      </w:pPr>
    </w:p>
    <w:p w:rsidR="006B4634" w:rsidRDefault="006B4634" w:rsidP="006B4634">
      <w:pPr>
        <w:autoSpaceDE w:val="0"/>
        <w:autoSpaceDN w:val="0"/>
        <w:adjustRightInd w:val="0"/>
        <w:spacing w:after="200" w:line="276" w:lineRule="auto"/>
        <w:rPr>
          <w:rFonts w:ascii="Times New Roman" w:hAnsi="Times New Roman" w:cs="Times New Roman"/>
          <w:sz w:val="24"/>
          <w:szCs w:val="24"/>
          <w:u w:val="single"/>
          <w:lang w:val="en"/>
        </w:rPr>
      </w:pPr>
      <w:r>
        <w:rPr>
          <w:rFonts w:ascii="Times New Roman" w:hAnsi="Times New Roman" w:cs="Times New Roman"/>
          <w:sz w:val="24"/>
          <w:szCs w:val="24"/>
          <w:u w:val="single"/>
          <w:lang w:val="en"/>
        </w:rPr>
        <w:br w:type="page"/>
      </w:r>
    </w:p>
    <w:p w:rsidR="006B4634" w:rsidRDefault="006B4634" w:rsidP="006B4634">
      <w:pPr>
        <w:autoSpaceDE w:val="0"/>
        <w:autoSpaceDN w:val="0"/>
        <w:adjustRightInd w:val="0"/>
        <w:spacing w:after="0" w:line="480" w:lineRule="auto"/>
        <w:rPr>
          <w:rFonts w:ascii="Times New Roman" w:hAnsi="Times New Roman" w:cs="Times New Roman"/>
          <w:sz w:val="24"/>
          <w:szCs w:val="24"/>
          <w:u w:val="single"/>
          <w:lang w:val="en"/>
        </w:rPr>
      </w:pPr>
      <w:r>
        <w:rPr>
          <w:rFonts w:ascii="Times New Roman" w:hAnsi="Times New Roman" w:cs="Times New Roman"/>
          <w:sz w:val="24"/>
          <w:szCs w:val="24"/>
          <w:u w:val="single"/>
          <w:lang w:val="en"/>
        </w:rPr>
        <w:lastRenderedPageBreak/>
        <w:t xml:space="preserve">Table 2S. Clinical scenarios of differing degrees of methanol poisoning </w:t>
      </w:r>
    </w:p>
    <w:tbl>
      <w:tblPr>
        <w:tblW w:w="0" w:type="auto"/>
        <w:jc w:val="center"/>
        <w:tblLayout w:type="fixed"/>
        <w:tblLook w:val="0000" w:firstRow="0" w:lastRow="0" w:firstColumn="0" w:lastColumn="0" w:noHBand="0" w:noVBand="0"/>
      </w:tblPr>
      <w:tblGrid>
        <w:gridCol w:w="1275"/>
        <w:gridCol w:w="1659"/>
        <w:gridCol w:w="2138"/>
        <w:gridCol w:w="2303"/>
        <w:gridCol w:w="1559"/>
        <w:gridCol w:w="1848"/>
      </w:tblGrid>
      <w:tr w:rsidR="006B4634">
        <w:tblPrEx>
          <w:tblCellMar>
            <w:top w:w="0" w:type="dxa"/>
            <w:bottom w:w="0" w:type="dxa"/>
          </w:tblCellMar>
        </w:tblPrEx>
        <w:trPr>
          <w:trHeight w:val="431"/>
          <w:jc w:val="center"/>
        </w:trPr>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Scenario</w:t>
            </w:r>
          </w:p>
        </w:tc>
        <w:tc>
          <w:tcPr>
            <w:tcW w:w="16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Level of consciousness</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Blood pH</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Blood pCO2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Visual disturbances</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 xml:space="preserve">Serum methanol concentration </w:t>
            </w:r>
          </w:p>
        </w:tc>
      </w:tr>
      <w:tr w:rsidR="006B4634">
        <w:tblPrEx>
          <w:tblCellMar>
            <w:top w:w="0" w:type="dxa"/>
            <w:bottom w:w="0" w:type="dxa"/>
          </w:tblCellMar>
        </w:tblPrEx>
        <w:trPr>
          <w:trHeight w:val="431"/>
          <w:jc w:val="center"/>
        </w:trPr>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A</w:t>
            </w:r>
          </w:p>
        </w:tc>
        <w:tc>
          <w:tcPr>
            <w:tcW w:w="16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Comatose</w:t>
            </w:r>
            <w:r>
              <w:rPr>
                <w:rFonts w:ascii="Times New Roman" w:hAnsi="Times New Roman" w:cs="Times New Roman"/>
                <w:sz w:val="24"/>
                <w:szCs w:val="24"/>
                <w:vertAlign w:val="superscript"/>
                <w:lang w:val="en"/>
              </w:rPr>
              <w:t>*</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pH ≥7.00</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r>
      <w:tr w:rsidR="006B4634">
        <w:tblPrEx>
          <w:tblCellMar>
            <w:top w:w="0" w:type="dxa"/>
            <w:bottom w:w="0" w:type="dxa"/>
          </w:tblCellMar>
        </w:tblPrEx>
        <w:trPr>
          <w:trHeight w:val="431"/>
          <w:jc w:val="center"/>
        </w:trPr>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B</w:t>
            </w:r>
          </w:p>
        </w:tc>
        <w:tc>
          <w:tcPr>
            <w:tcW w:w="16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Comatose</w:t>
            </w:r>
            <w:r>
              <w:rPr>
                <w:rFonts w:ascii="Times New Roman" w:hAnsi="Times New Roman" w:cs="Times New Roman"/>
                <w:sz w:val="24"/>
                <w:szCs w:val="24"/>
                <w:vertAlign w:val="superscript"/>
                <w:lang w:val="en"/>
              </w:rPr>
              <w:t>*</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6.74 &lt; pH &lt; 6.99</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 xml:space="preserve">&lt; 23 mmHg (3.07 </w:t>
            </w:r>
            <w:proofErr w:type="spellStart"/>
            <w:r>
              <w:rPr>
                <w:rFonts w:ascii="Times New Roman" w:hAnsi="Times New Roman" w:cs="Times New Roman"/>
                <w:sz w:val="24"/>
                <w:szCs w:val="24"/>
                <w:lang w:val="en"/>
              </w:rPr>
              <w:t>kPa</w:t>
            </w:r>
            <w:proofErr w:type="spellEnd"/>
            <w:r>
              <w:rPr>
                <w:rFonts w:ascii="Times New Roman" w:hAnsi="Times New Roman" w:cs="Times New Roman"/>
                <w:sz w:val="24"/>
                <w:szCs w:val="24"/>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r>
      <w:tr w:rsidR="006B4634">
        <w:tblPrEx>
          <w:tblCellMar>
            <w:top w:w="0" w:type="dxa"/>
            <w:bottom w:w="0" w:type="dxa"/>
          </w:tblCellMar>
        </w:tblPrEx>
        <w:trPr>
          <w:trHeight w:val="431"/>
          <w:jc w:val="center"/>
        </w:trPr>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C</w:t>
            </w:r>
          </w:p>
        </w:tc>
        <w:tc>
          <w:tcPr>
            <w:tcW w:w="16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Comatose</w:t>
            </w:r>
            <w:r>
              <w:rPr>
                <w:rFonts w:ascii="Times New Roman" w:hAnsi="Times New Roman" w:cs="Times New Roman"/>
                <w:sz w:val="24"/>
                <w:szCs w:val="24"/>
                <w:vertAlign w:val="superscript"/>
                <w:lang w:val="en"/>
              </w:rPr>
              <w:t>*</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6.74 &lt; pH &lt; 6.99</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 xml:space="preserve">≥ 23 mmHg (3.07 </w:t>
            </w:r>
            <w:proofErr w:type="spellStart"/>
            <w:r>
              <w:rPr>
                <w:rFonts w:ascii="Times New Roman" w:hAnsi="Times New Roman" w:cs="Times New Roman"/>
                <w:sz w:val="24"/>
                <w:szCs w:val="24"/>
                <w:lang w:val="en"/>
              </w:rPr>
              <w:t>kPa</w:t>
            </w:r>
            <w:proofErr w:type="spellEnd"/>
            <w:r>
              <w:rPr>
                <w:rFonts w:ascii="Times New Roman" w:hAnsi="Times New Roman" w:cs="Times New Roman"/>
                <w:sz w:val="24"/>
                <w:szCs w:val="24"/>
                <w:lang w:val="en"/>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r>
      <w:tr w:rsidR="006B4634">
        <w:tblPrEx>
          <w:tblCellMar>
            <w:top w:w="0" w:type="dxa"/>
            <w:bottom w:w="0" w:type="dxa"/>
          </w:tblCellMar>
        </w:tblPrEx>
        <w:trPr>
          <w:trHeight w:val="431"/>
          <w:jc w:val="center"/>
        </w:trPr>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D</w:t>
            </w:r>
          </w:p>
        </w:tc>
        <w:tc>
          <w:tcPr>
            <w:tcW w:w="16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Comatose</w:t>
            </w:r>
            <w:r>
              <w:rPr>
                <w:rFonts w:ascii="Times New Roman" w:hAnsi="Times New Roman" w:cs="Times New Roman"/>
                <w:sz w:val="24"/>
                <w:szCs w:val="24"/>
                <w:vertAlign w:val="superscript"/>
                <w:lang w:val="en"/>
              </w:rPr>
              <w:t>*</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pH &lt; 6.74</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r>
      <w:tr w:rsidR="006B4634">
        <w:tblPrEx>
          <w:tblCellMar>
            <w:top w:w="0" w:type="dxa"/>
            <w:bottom w:w="0" w:type="dxa"/>
          </w:tblCellMar>
        </w:tblPrEx>
        <w:trPr>
          <w:trHeight w:val="431"/>
          <w:jc w:val="center"/>
        </w:trPr>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E</w:t>
            </w:r>
          </w:p>
        </w:tc>
        <w:tc>
          <w:tcPr>
            <w:tcW w:w="16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Alert</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pH ≥ 7.00</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Present</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r>
      <w:tr w:rsidR="006B4634">
        <w:tblPrEx>
          <w:tblCellMar>
            <w:top w:w="0" w:type="dxa"/>
            <w:bottom w:w="0" w:type="dxa"/>
          </w:tblCellMar>
        </w:tblPrEx>
        <w:trPr>
          <w:trHeight w:val="431"/>
          <w:jc w:val="center"/>
        </w:trPr>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F</w:t>
            </w:r>
          </w:p>
        </w:tc>
        <w:tc>
          <w:tcPr>
            <w:tcW w:w="16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Alert</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pH ≥ 7.00</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Absent</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r>
      <w:tr w:rsidR="006B4634">
        <w:tblPrEx>
          <w:tblCellMar>
            <w:top w:w="0" w:type="dxa"/>
            <w:bottom w:w="0" w:type="dxa"/>
          </w:tblCellMar>
        </w:tblPrEx>
        <w:trPr>
          <w:trHeight w:val="431"/>
          <w:jc w:val="center"/>
        </w:trPr>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G</w:t>
            </w:r>
          </w:p>
        </w:tc>
        <w:tc>
          <w:tcPr>
            <w:tcW w:w="16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Alert</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6.74 &lt; pH &lt; 6.99</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Present</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r>
      <w:tr w:rsidR="006B4634">
        <w:tblPrEx>
          <w:tblCellMar>
            <w:top w:w="0" w:type="dxa"/>
            <w:bottom w:w="0" w:type="dxa"/>
          </w:tblCellMar>
        </w:tblPrEx>
        <w:trPr>
          <w:trHeight w:val="431"/>
          <w:jc w:val="center"/>
        </w:trPr>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H</w:t>
            </w:r>
          </w:p>
        </w:tc>
        <w:tc>
          <w:tcPr>
            <w:tcW w:w="16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Alert</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6.74 &lt; pH &lt; 6.99</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Absent</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r>
      <w:tr w:rsidR="006B4634">
        <w:tblPrEx>
          <w:tblCellMar>
            <w:top w:w="0" w:type="dxa"/>
            <w:bottom w:w="0" w:type="dxa"/>
          </w:tblCellMar>
        </w:tblPrEx>
        <w:trPr>
          <w:trHeight w:val="431"/>
          <w:jc w:val="center"/>
        </w:trPr>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I</w:t>
            </w:r>
          </w:p>
        </w:tc>
        <w:tc>
          <w:tcPr>
            <w:tcW w:w="16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Alert</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pH &lt; 6.74</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Present</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r>
      <w:tr w:rsidR="006B4634">
        <w:tblPrEx>
          <w:tblCellMar>
            <w:top w:w="0" w:type="dxa"/>
            <w:bottom w:w="0" w:type="dxa"/>
          </w:tblCellMar>
        </w:tblPrEx>
        <w:trPr>
          <w:trHeight w:val="431"/>
          <w:jc w:val="center"/>
        </w:trPr>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J</w:t>
            </w:r>
          </w:p>
        </w:tc>
        <w:tc>
          <w:tcPr>
            <w:tcW w:w="16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Alert</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pH &lt; 6.74</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Absent</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r>
      <w:tr w:rsidR="006B4634">
        <w:tblPrEx>
          <w:tblCellMar>
            <w:top w:w="0" w:type="dxa"/>
            <w:bottom w:w="0" w:type="dxa"/>
          </w:tblCellMar>
        </w:tblPrEx>
        <w:trPr>
          <w:trHeight w:val="862"/>
          <w:jc w:val="center"/>
        </w:trPr>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K</w:t>
            </w:r>
          </w:p>
        </w:tc>
        <w:tc>
          <w:tcPr>
            <w:tcW w:w="16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Alert</w:t>
            </w:r>
          </w:p>
        </w:tc>
        <w:tc>
          <w:tcPr>
            <w:tcW w:w="213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Normal pH</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Absent</w:t>
            </w:r>
          </w:p>
        </w:tc>
        <w:tc>
          <w:tcPr>
            <w:tcW w:w="1848" w:type="dxa"/>
            <w:tcBorders>
              <w:top w:val="single" w:sz="3" w:space="0" w:color="000000"/>
              <w:left w:val="single" w:sz="3" w:space="0" w:color="000000"/>
              <w:bottom w:val="single" w:sz="3" w:space="0" w:color="000000"/>
              <w:right w:val="single" w:sz="3" w:space="0" w:color="000000"/>
            </w:tcBorders>
            <w:shd w:val="clear" w:color="000000" w:fill="FFFFFF"/>
          </w:tcPr>
          <w:p w:rsidR="006B4634" w:rsidRDefault="006B4634">
            <w:pPr>
              <w:autoSpaceDE w:val="0"/>
              <w:autoSpaceDN w:val="0"/>
              <w:adjustRightInd w:val="0"/>
              <w:spacing w:before="100" w:after="100" w:line="360" w:lineRule="auto"/>
              <w:rPr>
                <w:rFonts w:ascii="Calibri" w:hAnsi="Calibri" w:cs="Calibri"/>
                <w:lang w:val="en"/>
              </w:rPr>
            </w:pPr>
            <w:r>
              <w:rPr>
                <w:rFonts w:ascii="Times New Roman" w:hAnsi="Times New Roman" w:cs="Times New Roman"/>
                <w:sz w:val="24"/>
                <w:szCs w:val="24"/>
                <w:lang w:val="en"/>
              </w:rPr>
              <w:t>&gt;50 mg/</w:t>
            </w:r>
            <w:proofErr w:type="spellStart"/>
            <w:r>
              <w:rPr>
                <w:rFonts w:ascii="Times New Roman" w:hAnsi="Times New Roman" w:cs="Times New Roman"/>
                <w:sz w:val="24"/>
                <w:szCs w:val="24"/>
                <w:lang w:val="en"/>
              </w:rPr>
              <w:t>dL</w:t>
            </w:r>
            <w:proofErr w:type="spellEnd"/>
            <w:r>
              <w:rPr>
                <w:rFonts w:ascii="Times New Roman" w:hAnsi="Times New Roman" w:cs="Times New Roman"/>
                <w:sz w:val="24"/>
                <w:szCs w:val="24"/>
                <w:lang w:val="en"/>
              </w:rPr>
              <w:t xml:space="preserve"> (&gt;15.6 </w:t>
            </w:r>
            <w:proofErr w:type="spellStart"/>
            <w:r>
              <w:rPr>
                <w:rFonts w:ascii="Times New Roman" w:hAnsi="Times New Roman" w:cs="Times New Roman"/>
                <w:sz w:val="24"/>
                <w:szCs w:val="24"/>
                <w:lang w:val="en"/>
              </w:rPr>
              <w:t>mmol</w:t>
            </w:r>
            <w:proofErr w:type="spellEnd"/>
            <w:r>
              <w:rPr>
                <w:rFonts w:ascii="Times New Roman" w:hAnsi="Times New Roman" w:cs="Times New Roman"/>
                <w:sz w:val="24"/>
                <w:szCs w:val="24"/>
                <w:lang w:val="en"/>
              </w:rPr>
              <w:t>/L)</w:t>
            </w:r>
          </w:p>
        </w:tc>
      </w:tr>
    </w:tbl>
    <w:p w:rsidR="006B4634" w:rsidRDefault="006B4634" w:rsidP="006B4634">
      <w:pPr>
        <w:autoSpaceDE w:val="0"/>
        <w:autoSpaceDN w:val="0"/>
        <w:adjustRightInd w:val="0"/>
        <w:spacing w:after="0" w:line="240" w:lineRule="auto"/>
        <w:ind w:left="360"/>
        <w:jc w:val="both"/>
        <w:rPr>
          <w:rFonts w:ascii="Times New Roman" w:hAnsi="Times New Roman" w:cs="Times New Roman"/>
          <w:sz w:val="24"/>
          <w:szCs w:val="24"/>
          <w:lang w:val="en"/>
        </w:rPr>
      </w:pPr>
      <w:r>
        <w:rPr>
          <w:rFonts w:ascii="Times New Roman" w:hAnsi="Times New Roman" w:cs="Times New Roman"/>
          <w:sz w:val="24"/>
          <w:szCs w:val="24"/>
          <w:vertAlign w:val="superscript"/>
          <w:lang w:val="en"/>
        </w:rPr>
        <w:t>*</w:t>
      </w:r>
      <w:r>
        <w:rPr>
          <w:rFonts w:ascii="Times New Roman" w:hAnsi="Times New Roman" w:cs="Times New Roman"/>
          <w:sz w:val="24"/>
          <w:szCs w:val="24"/>
          <w:lang w:val="en"/>
        </w:rPr>
        <w:t>GCS &lt;8</w:t>
      </w:r>
    </w:p>
    <w:p w:rsidR="006B4634" w:rsidRDefault="006B4634" w:rsidP="006B4634">
      <w:pPr>
        <w:autoSpaceDE w:val="0"/>
        <w:autoSpaceDN w:val="0"/>
        <w:adjustRightInd w:val="0"/>
        <w:spacing w:after="200" w:line="276" w:lineRule="auto"/>
        <w:rPr>
          <w:rFonts w:ascii="Times New Roman" w:hAnsi="Times New Roman" w:cs="Times New Roman"/>
          <w:sz w:val="24"/>
          <w:szCs w:val="24"/>
          <w:lang w:val="en"/>
        </w:rPr>
      </w:pPr>
    </w:p>
    <w:p w:rsidR="006B4634" w:rsidRDefault="006B4634" w:rsidP="006B4634">
      <w:pPr>
        <w:autoSpaceDE w:val="0"/>
        <w:autoSpaceDN w:val="0"/>
        <w:adjustRightInd w:val="0"/>
        <w:spacing w:after="200" w:line="276" w:lineRule="auto"/>
        <w:rPr>
          <w:rFonts w:ascii="Times New Roman" w:hAnsi="Times New Roman" w:cs="Times New Roman"/>
          <w:sz w:val="24"/>
          <w:szCs w:val="24"/>
          <w:u w:val="single"/>
          <w:lang w:val="en"/>
        </w:rPr>
      </w:pPr>
    </w:p>
    <w:p w:rsidR="006B4634" w:rsidRDefault="006B4634" w:rsidP="006B4634">
      <w:pPr>
        <w:autoSpaceDE w:val="0"/>
        <w:autoSpaceDN w:val="0"/>
        <w:adjustRightInd w:val="0"/>
        <w:spacing w:after="0" w:line="360" w:lineRule="auto"/>
        <w:rPr>
          <w:rFonts w:ascii="Times New Roman" w:hAnsi="Times New Roman" w:cs="Times New Roman"/>
          <w:sz w:val="24"/>
          <w:szCs w:val="24"/>
          <w:lang w:val="en"/>
        </w:rPr>
      </w:pPr>
    </w:p>
    <w:p w:rsidR="00BA3565" w:rsidRDefault="00BA3565"/>
    <w:sectPr w:rsidR="00BA3565" w:rsidSect="00453D7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D6EAA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34"/>
    <w:rsid w:val="006B4634"/>
    <w:rsid w:val="00BA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54673-63E7-4B45-8BA8-BDDE9E75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Madhumala NM</dc:creator>
  <cp:keywords/>
  <dc:description/>
  <cp:lastModifiedBy>Madhumala NM</cp:lastModifiedBy>
  <cp:revision>1</cp:revision>
  <dcterms:created xsi:type="dcterms:W3CDTF">2019-07-06T06:22:00Z</dcterms:created>
  <dcterms:modified xsi:type="dcterms:W3CDTF">2019-07-06T06:23:00Z</dcterms:modified>
</cp:coreProperties>
</file>