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56BF5" w14:textId="77777777" w:rsidR="00C573DB" w:rsidRDefault="00C573DB" w:rsidP="00DF62F5">
      <w:pPr>
        <w:rPr>
          <w:rFonts w:cstheme="minorHAnsi"/>
          <w:b/>
          <w:sz w:val="32"/>
          <w:szCs w:val="32"/>
        </w:rPr>
      </w:pPr>
    </w:p>
    <w:p w14:paraId="2969C690" w14:textId="77777777" w:rsidR="00C573DB" w:rsidRDefault="00C573DB" w:rsidP="00DF62F5">
      <w:pPr>
        <w:rPr>
          <w:rFonts w:cstheme="minorHAnsi"/>
          <w:b/>
          <w:sz w:val="32"/>
          <w:szCs w:val="32"/>
        </w:rPr>
      </w:pPr>
    </w:p>
    <w:p w14:paraId="63D067A1" w14:textId="77777777" w:rsidR="00C573DB" w:rsidRDefault="00C573DB" w:rsidP="00DF62F5">
      <w:pPr>
        <w:rPr>
          <w:rFonts w:cstheme="minorHAnsi"/>
          <w:b/>
          <w:sz w:val="32"/>
          <w:szCs w:val="32"/>
        </w:rPr>
      </w:pPr>
    </w:p>
    <w:p w14:paraId="4F025A9E" w14:textId="59F33F4E" w:rsidR="00156F8A" w:rsidRPr="0070144F" w:rsidRDefault="00156F8A" w:rsidP="00DF62F5">
      <w:pPr>
        <w:rPr>
          <w:rFonts w:cstheme="minorHAnsi"/>
          <w:b/>
          <w:sz w:val="32"/>
          <w:szCs w:val="32"/>
        </w:rPr>
      </w:pPr>
      <w:bookmarkStart w:id="0" w:name="_GoBack"/>
      <w:bookmarkEnd w:id="0"/>
      <w:r w:rsidRPr="0070144F">
        <w:rPr>
          <w:rFonts w:cstheme="minorHAnsi"/>
          <w:b/>
          <w:sz w:val="32"/>
          <w:szCs w:val="32"/>
        </w:rPr>
        <w:t>Supp</w:t>
      </w:r>
      <w:r w:rsidR="0070144F" w:rsidRPr="0070144F">
        <w:rPr>
          <w:rFonts w:cstheme="minorHAnsi"/>
          <w:b/>
          <w:sz w:val="32"/>
          <w:szCs w:val="32"/>
        </w:rPr>
        <w:t xml:space="preserve">lementary </w:t>
      </w:r>
      <w:r w:rsidRPr="0070144F">
        <w:rPr>
          <w:rFonts w:cstheme="minorHAnsi"/>
          <w:b/>
          <w:sz w:val="32"/>
          <w:szCs w:val="32"/>
        </w:rPr>
        <w:t>Information</w:t>
      </w:r>
    </w:p>
    <w:p w14:paraId="285B42AE" w14:textId="77777777" w:rsidR="00156F8A" w:rsidRPr="0070144F" w:rsidRDefault="00156F8A" w:rsidP="00156F8A">
      <w:pPr>
        <w:spacing w:after="0" w:line="240" w:lineRule="auto"/>
        <w:rPr>
          <w:rFonts w:cstheme="minorHAnsi"/>
          <w:b/>
          <w:noProof/>
          <w:sz w:val="32"/>
          <w:szCs w:val="32"/>
        </w:rPr>
      </w:pPr>
    </w:p>
    <w:p w14:paraId="1E86F316" w14:textId="77777777" w:rsidR="00B42AF1" w:rsidRPr="003A74BD" w:rsidRDefault="00B42AF1" w:rsidP="00B42AF1">
      <w:pPr>
        <w:spacing w:after="0" w:line="480" w:lineRule="auto"/>
        <w:rPr>
          <w:rFonts w:cstheme="minorHAnsi"/>
          <w:b/>
          <w:noProof/>
          <w:sz w:val="32"/>
          <w:szCs w:val="32"/>
        </w:rPr>
      </w:pPr>
      <w:r>
        <w:rPr>
          <w:b/>
          <w:sz w:val="32"/>
          <w:szCs w:val="32"/>
        </w:rPr>
        <w:t>T</w:t>
      </w:r>
      <w:r w:rsidRPr="003A74BD">
        <w:rPr>
          <w:b/>
          <w:sz w:val="32"/>
          <w:szCs w:val="32"/>
        </w:rPr>
        <w:t>hree-</w:t>
      </w:r>
      <w:r>
        <w:rPr>
          <w:b/>
          <w:sz w:val="32"/>
          <w:szCs w:val="32"/>
        </w:rPr>
        <w:t>l</w:t>
      </w:r>
      <w:r w:rsidRPr="003A74BD">
        <w:rPr>
          <w:b/>
          <w:sz w:val="32"/>
          <w:szCs w:val="32"/>
        </w:rPr>
        <w:t xml:space="preserve">ayered </w:t>
      </w:r>
      <w:r>
        <w:rPr>
          <w:b/>
          <w:sz w:val="32"/>
          <w:szCs w:val="32"/>
        </w:rPr>
        <w:t>silver n</w:t>
      </w:r>
      <w:r w:rsidRPr="003A74BD">
        <w:rPr>
          <w:b/>
          <w:sz w:val="32"/>
          <w:szCs w:val="32"/>
        </w:rPr>
        <w:t xml:space="preserve">anoparticles </w:t>
      </w:r>
      <w:r>
        <w:rPr>
          <w:b/>
          <w:sz w:val="32"/>
          <w:szCs w:val="32"/>
        </w:rPr>
        <w:t>to trace s</w:t>
      </w:r>
      <w:r w:rsidRPr="003A74BD">
        <w:rPr>
          <w:b/>
          <w:sz w:val="32"/>
          <w:szCs w:val="32"/>
        </w:rPr>
        <w:t xml:space="preserve">ilver </w:t>
      </w:r>
      <w:r>
        <w:rPr>
          <w:b/>
          <w:sz w:val="32"/>
          <w:szCs w:val="32"/>
        </w:rPr>
        <w:t>n</w:t>
      </w:r>
      <w:r w:rsidRPr="003A74BD">
        <w:rPr>
          <w:b/>
          <w:sz w:val="32"/>
          <w:szCs w:val="32"/>
        </w:rPr>
        <w:t xml:space="preserve">anoparticle </w:t>
      </w:r>
      <w:r>
        <w:rPr>
          <w:b/>
          <w:sz w:val="32"/>
          <w:szCs w:val="32"/>
        </w:rPr>
        <w:t>dissolution and accumulation by a green alga</w:t>
      </w:r>
    </w:p>
    <w:p w14:paraId="0AE1A4FF" w14:textId="77777777" w:rsidR="00156F8A" w:rsidRPr="0070144F" w:rsidRDefault="00156F8A" w:rsidP="00156F8A">
      <w:pPr>
        <w:spacing w:after="0" w:line="480" w:lineRule="auto"/>
        <w:rPr>
          <w:rFonts w:cstheme="minorHAnsi"/>
          <w:b/>
          <w:noProof/>
          <w:sz w:val="24"/>
          <w:szCs w:val="24"/>
        </w:rPr>
      </w:pPr>
    </w:p>
    <w:p w14:paraId="0D837B58" w14:textId="77777777" w:rsidR="00156F8A" w:rsidRPr="0070144F" w:rsidRDefault="00156F8A" w:rsidP="00156F8A">
      <w:pPr>
        <w:spacing w:after="0" w:line="480" w:lineRule="auto"/>
        <w:rPr>
          <w:rFonts w:cstheme="minorHAnsi"/>
          <w:b/>
          <w:noProof/>
          <w:sz w:val="24"/>
          <w:szCs w:val="24"/>
        </w:rPr>
      </w:pPr>
    </w:p>
    <w:p w14:paraId="081F94FF" w14:textId="77777777" w:rsidR="00156F8A" w:rsidRPr="0070144F" w:rsidRDefault="00156F8A" w:rsidP="00156F8A">
      <w:pPr>
        <w:spacing w:after="0" w:line="480" w:lineRule="auto"/>
        <w:rPr>
          <w:rFonts w:cstheme="minorHAnsi"/>
          <w:noProof/>
          <w:sz w:val="24"/>
          <w:szCs w:val="24"/>
          <w:lang w:val="fr-CA"/>
        </w:rPr>
      </w:pPr>
      <w:r w:rsidRPr="0070144F">
        <w:rPr>
          <w:rFonts w:cstheme="minorHAnsi"/>
          <w:noProof/>
          <w:sz w:val="24"/>
          <w:szCs w:val="24"/>
          <w:lang w:val="fr-CA"/>
        </w:rPr>
        <w:t>Dominic E. Ponton</w:t>
      </w:r>
      <w:r w:rsidRPr="0070144F">
        <w:rPr>
          <w:rFonts w:cstheme="minorHAnsi"/>
          <w:noProof/>
          <w:sz w:val="24"/>
          <w:szCs w:val="24"/>
          <w:vertAlign w:val="superscript"/>
          <w:lang w:val="fr-CA"/>
        </w:rPr>
        <w:t>¥†</w:t>
      </w:r>
      <w:r w:rsidRPr="0070144F">
        <w:rPr>
          <w:rFonts w:cstheme="minorHAnsi"/>
          <w:noProof/>
          <w:sz w:val="24"/>
          <w:szCs w:val="24"/>
          <w:lang w:val="fr-CA"/>
        </w:rPr>
        <w:t xml:space="preserve">, </w:t>
      </w:r>
      <w:r w:rsidR="007D1307" w:rsidRPr="0070144F">
        <w:rPr>
          <w:rFonts w:cstheme="minorHAnsi"/>
          <w:noProof/>
          <w:sz w:val="24"/>
          <w:szCs w:val="24"/>
          <w:lang w:val="fr-CA"/>
        </w:rPr>
        <w:t>Marie N. Croteau</w:t>
      </w:r>
      <w:r w:rsidR="007D1307" w:rsidRPr="0070144F">
        <w:rPr>
          <w:rFonts w:cstheme="minorHAnsi"/>
          <w:noProof/>
          <w:sz w:val="24"/>
          <w:szCs w:val="24"/>
          <w:vertAlign w:val="superscript"/>
          <w:lang w:val="fr-CA"/>
        </w:rPr>
        <w:t>¥</w:t>
      </w:r>
      <w:r w:rsidR="007D1307" w:rsidRPr="0070144F">
        <w:rPr>
          <w:rFonts w:cstheme="minorHAnsi"/>
          <w:noProof/>
          <w:sz w:val="24"/>
          <w:szCs w:val="24"/>
          <w:lang w:val="fr-CA"/>
        </w:rPr>
        <w:t>, Samuel N. Luoma</w:t>
      </w:r>
      <w:r w:rsidR="007D1307" w:rsidRPr="0070144F">
        <w:rPr>
          <w:rFonts w:cstheme="minorHAnsi"/>
          <w:noProof/>
          <w:sz w:val="24"/>
          <w:szCs w:val="24"/>
          <w:vertAlign w:val="superscript"/>
          <w:lang w:val="fr-CA"/>
        </w:rPr>
        <w:t>¥</w:t>
      </w:r>
      <w:r w:rsidR="007D1307" w:rsidRPr="0070144F">
        <w:rPr>
          <w:rFonts w:eastAsia="Times New Roman" w:cstheme="minorHAnsi"/>
          <w:color w:val="000000"/>
          <w:sz w:val="24"/>
          <w:szCs w:val="24"/>
          <w:vertAlign w:val="superscript"/>
          <w:lang w:val="fr-CA"/>
        </w:rPr>
        <w:t>ŧ</w:t>
      </w:r>
      <w:r w:rsidR="007D1307" w:rsidRPr="0070144F">
        <w:rPr>
          <w:rFonts w:cstheme="minorHAnsi"/>
          <w:noProof/>
          <w:sz w:val="24"/>
          <w:szCs w:val="24"/>
          <w:lang w:val="fr-CA"/>
        </w:rPr>
        <w:t xml:space="preserve"> </w:t>
      </w:r>
      <w:r w:rsidRPr="0070144F">
        <w:rPr>
          <w:rFonts w:cstheme="minorHAnsi"/>
          <w:noProof/>
          <w:sz w:val="24"/>
          <w:szCs w:val="24"/>
          <w:lang w:val="fr-CA"/>
        </w:rPr>
        <w:t>Sahar Pourhoseini</w:t>
      </w:r>
      <w:r w:rsidRPr="0070144F">
        <w:rPr>
          <w:rFonts w:cstheme="minorHAnsi"/>
          <w:noProof/>
          <w:sz w:val="24"/>
          <w:szCs w:val="24"/>
          <w:vertAlign w:val="superscript"/>
          <w:lang w:val="fr-CA"/>
        </w:rPr>
        <w:t>†</w:t>
      </w:r>
      <w:r w:rsidRPr="0070144F">
        <w:rPr>
          <w:rFonts w:cstheme="minorHAnsi"/>
          <w:noProof/>
          <w:sz w:val="24"/>
          <w:szCs w:val="24"/>
          <w:lang w:val="fr-CA"/>
        </w:rPr>
        <w:t>, Ruth C. Merrifield</w:t>
      </w:r>
      <w:r w:rsidRPr="0070144F">
        <w:rPr>
          <w:rFonts w:cstheme="minorHAnsi"/>
          <w:noProof/>
          <w:sz w:val="24"/>
          <w:szCs w:val="24"/>
          <w:vertAlign w:val="superscript"/>
          <w:lang w:val="fr-CA"/>
        </w:rPr>
        <w:t>†</w:t>
      </w:r>
      <w:r w:rsidRPr="0070144F">
        <w:rPr>
          <w:rFonts w:cstheme="minorHAnsi"/>
          <w:noProof/>
          <w:sz w:val="24"/>
          <w:szCs w:val="24"/>
          <w:lang w:val="fr-CA"/>
        </w:rPr>
        <w:t>, Jamie R. Lead</w:t>
      </w:r>
      <w:r w:rsidRPr="0070144F">
        <w:rPr>
          <w:rFonts w:cstheme="minorHAnsi"/>
          <w:noProof/>
          <w:sz w:val="24"/>
          <w:szCs w:val="24"/>
          <w:vertAlign w:val="superscript"/>
          <w:lang w:val="fr-CA"/>
        </w:rPr>
        <w:t>†</w:t>
      </w:r>
    </w:p>
    <w:p w14:paraId="3EA3ACB0" w14:textId="77777777" w:rsidR="00156F8A" w:rsidRPr="0070144F" w:rsidRDefault="00156F8A" w:rsidP="00156F8A">
      <w:pPr>
        <w:spacing w:after="0" w:line="480" w:lineRule="auto"/>
        <w:rPr>
          <w:rFonts w:cstheme="minorHAnsi"/>
          <w:noProof/>
          <w:sz w:val="24"/>
          <w:szCs w:val="24"/>
          <w:lang w:val="fr-CA"/>
        </w:rPr>
      </w:pPr>
    </w:p>
    <w:p w14:paraId="2824C2AA" w14:textId="77777777" w:rsidR="00156F8A" w:rsidRPr="0070144F" w:rsidRDefault="00156F8A" w:rsidP="00156F8A">
      <w:pPr>
        <w:spacing w:after="0" w:line="480" w:lineRule="auto"/>
        <w:rPr>
          <w:rFonts w:cstheme="minorHAnsi"/>
          <w:noProof/>
          <w:sz w:val="24"/>
          <w:szCs w:val="24"/>
          <w:lang w:val="fr-CA"/>
        </w:rPr>
      </w:pPr>
    </w:p>
    <w:p w14:paraId="254CCEB9" w14:textId="77777777" w:rsidR="00156F8A" w:rsidRPr="0070144F" w:rsidRDefault="00156F8A" w:rsidP="00156F8A">
      <w:pPr>
        <w:spacing w:after="0" w:line="480" w:lineRule="auto"/>
        <w:rPr>
          <w:rFonts w:eastAsia="Times New Roman" w:cstheme="minorHAnsi"/>
          <w:color w:val="000000"/>
          <w:sz w:val="24"/>
          <w:szCs w:val="24"/>
        </w:rPr>
      </w:pPr>
      <w:r w:rsidRPr="0070144F">
        <w:rPr>
          <w:rFonts w:cstheme="minorHAnsi"/>
          <w:noProof/>
          <w:sz w:val="24"/>
          <w:szCs w:val="24"/>
          <w:vertAlign w:val="superscript"/>
        </w:rPr>
        <w:t>¥</w:t>
      </w:r>
      <w:r w:rsidRPr="0070144F">
        <w:rPr>
          <w:rFonts w:eastAsia="Times New Roman" w:cstheme="minorHAnsi"/>
          <w:color w:val="000000"/>
          <w:sz w:val="24"/>
          <w:szCs w:val="24"/>
        </w:rPr>
        <w:t>United State Geological Survey, 345 Middlefield Rd, Menlo Park, 94025, CA, USA.</w:t>
      </w:r>
    </w:p>
    <w:p w14:paraId="0EA35651" w14:textId="77777777" w:rsidR="00156F8A" w:rsidRPr="0070144F" w:rsidRDefault="00156F8A" w:rsidP="00156F8A">
      <w:pPr>
        <w:spacing w:after="0" w:line="480" w:lineRule="auto"/>
        <w:rPr>
          <w:rFonts w:eastAsia="Times New Roman" w:cstheme="minorHAnsi"/>
          <w:color w:val="000000"/>
          <w:sz w:val="24"/>
          <w:szCs w:val="24"/>
        </w:rPr>
      </w:pPr>
      <w:r w:rsidRPr="0070144F">
        <w:rPr>
          <w:rFonts w:cstheme="minorHAnsi"/>
          <w:noProof/>
          <w:sz w:val="24"/>
          <w:szCs w:val="24"/>
          <w:vertAlign w:val="superscript"/>
        </w:rPr>
        <w:t>†</w:t>
      </w:r>
      <w:r w:rsidRPr="0070144F">
        <w:rPr>
          <w:rFonts w:cstheme="minorHAnsi"/>
          <w:color w:val="000000"/>
          <w:sz w:val="24"/>
          <w:szCs w:val="24"/>
        </w:rPr>
        <w:t xml:space="preserve">Center for Environmental Nanoscience and Risk, Department of Environmental Health Sciences, </w:t>
      </w:r>
      <w:r w:rsidRPr="0070144F">
        <w:rPr>
          <w:rFonts w:eastAsia="Times New Roman" w:cstheme="minorHAnsi"/>
          <w:color w:val="000000"/>
          <w:sz w:val="24"/>
          <w:szCs w:val="24"/>
        </w:rPr>
        <w:t>Arnold School of Public Health, University of South Carolina, Columbia, 29208, SC, USA</w:t>
      </w:r>
    </w:p>
    <w:p w14:paraId="2B33235D" w14:textId="77777777" w:rsidR="00156F8A" w:rsidRPr="0070144F" w:rsidRDefault="00156F8A" w:rsidP="00156F8A">
      <w:pPr>
        <w:spacing w:after="0" w:line="480" w:lineRule="auto"/>
        <w:rPr>
          <w:rFonts w:eastAsia="Times New Roman" w:cstheme="minorHAnsi"/>
          <w:color w:val="000000"/>
          <w:sz w:val="24"/>
          <w:szCs w:val="24"/>
        </w:rPr>
      </w:pPr>
      <w:proofErr w:type="spellStart"/>
      <w:r w:rsidRPr="0070144F">
        <w:rPr>
          <w:rFonts w:eastAsia="Times New Roman" w:cstheme="minorHAnsi"/>
          <w:color w:val="000000"/>
          <w:sz w:val="24"/>
          <w:szCs w:val="24"/>
          <w:vertAlign w:val="superscript"/>
        </w:rPr>
        <w:t>ŧ</w:t>
      </w:r>
      <w:r w:rsidRPr="0070144F">
        <w:rPr>
          <w:rFonts w:eastAsia="Times New Roman" w:cstheme="minorHAnsi"/>
          <w:color w:val="000000"/>
          <w:sz w:val="24"/>
          <w:szCs w:val="24"/>
        </w:rPr>
        <w:t>University</w:t>
      </w:r>
      <w:proofErr w:type="spellEnd"/>
      <w:r w:rsidRPr="0070144F">
        <w:rPr>
          <w:rFonts w:eastAsia="Times New Roman" w:cstheme="minorHAnsi"/>
          <w:color w:val="000000"/>
          <w:sz w:val="24"/>
          <w:szCs w:val="24"/>
        </w:rPr>
        <w:t xml:space="preserve"> of California Davis, </w:t>
      </w:r>
      <w:r w:rsidRPr="0070144F">
        <w:rPr>
          <w:rFonts w:cstheme="minorHAnsi"/>
          <w:color w:val="222222"/>
          <w:sz w:val="24"/>
          <w:szCs w:val="24"/>
          <w:shd w:val="clear" w:color="auto" w:fill="FFFFFF"/>
        </w:rPr>
        <w:t xml:space="preserve">1 Shields Ave, </w:t>
      </w:r>
      <w:r w:rsidRPr="0070144F">
        <w:rPr>
          <w:rFonts w:eastAsia="Times New Roman" w:cstheme="minorHAnsi"/>
          <w:color w:val="000000"/>
          <w:sz w:val="24"/>
          <w:szCs w:val="24"/>
        </w:rPr>
        <w:t xml:space="preserve">Davis, CA, USA, 95616  </w:t>
      </w:r>
    </w:p>
    <w:p w14:paraId="63E07AA1" w14:textId="77777777" w:rsidR="00156F8A" w:rsidRPr="0070144F" w:rsidRDefault="00156F8A">
      <w:pPr>
        <w:rPr>
          <w:rFonts w:cstheme="minorHAnsi"/>
          <w:sz w:val="24"/>
          <w:szCs w:val="24"/>
        </w:rPr>
      </w:pPr>
    </w:p>
    <w:p w14:paraId="35CD5625" w14:textId="77777777" w:rsidR="00156F8A" w:rsidRPr="0070144F" w:rsidRDefault="00156F8A">
      <w:pPr>
        <w:rPr>
          <w:rFonts w:cstheme="minorHAnsi"/>
          <w:sz w:val="24"/>
          <w:szCs w:val="24"/>
        </w:rPr>
      </w:pPr>
    </w:p>
    <w:p w14:paraId="216E933F" w14:textId="77777777" w:rsidR="00156F8A" w:rsidRPr="0070144F" w:rsidRDefault="00156F8A">
      <w:pPr>
        <w:rPr>
          <w:rFonts w:cstheme="minorHAnsi"/>
          <w:sz w:val="24"/>
          <w:szCs w:val="24"/>
        </w:rPr>
      </w:pPr>
      <w:r w:rsidRPr="0070144F">
        <w:rPr>
          <w:rFonts w:cstheme="minorHAnsi"/>
          <w:sz w:val="24"/>
          <w:szCs w:val="24"/>
        </w:rPr>
        <w:br w:type="page"/>
      </w:r>
    </w:p>
    <w:p w14:paraId="5574D238" w14:textId="49429CFF" w:rsidR="00E40A4F" w:rsidRPr="00E40A4F" w:rsidRDefault="00E40A4F" w:rsidP="00E40A4F">
      <w:pPr>
        <w:pStyle w:val="Paragraphedeliste"/>
        <w:numPr>
          <w:ilvl w:val="0"/>
          <w:numId w:val="2"/>
        </w:numPr>
        <w:rPr>
          <w:rFonts w:cstheme="minorHAnsi"/>
          <w:b/>
          <w:sz w:val="24"/>
          <w:szCs w:val="24"/>
        </w:rPr>
      </w:pPr>
      <w:r>
        <w:rPr>
          <w:rFonts w:cstheme="minorHAnsi"/>
          <w:b/>
          <w:sz w:val="24"/>
          <w:szCs w:val="24"/>
        </w:rPr>
        <w:lastRenderedPageBreak/>
        <w:t>Culture media</w:t>
      </w:r>
      <w:r w:rsidR="006F189A" w:rsidRPr="00E40A4F">
        <w:rPr>
          <w:rFonts w:cstheme="minorHAnsi"/>
          <w:b/>
          <w:sz w:val="24"/>
          <w:szCs w:val="24"/>
        </w:rPr>
        <w:t xml:space="preserve"> </w:t>
      </w:r>
      <w:r w:rsidR="006C7B71" w:rsidRPr="00E40A4F">
        <w:rPr>
          <w:rFonts w:cstheme="minorHAnsi"/>
          <w:b/>
          <w:sz w:val="24"/>
          <w:szCs w:val="24"/>
        </w:rPr>
        <w:t xml:space="preserve"> </w:t>
      </w:r>
    </w:p>
    <w:p w14:paraId="294C3CC5" w14:textId="7DB18961" w:rsidR="00D65FDC" w:rsidRPr="0070144F" w:rsidRDefault="00156F8A" w:rsidP="00995C16">
      <w:pPr>
        <w:jc w:val="both"/>
        <w:rPr>
          <w:rFonts w:cstheme="minorHAnsi"/>
          <w:sz w:val="24"/>
          <w:szCs w:val="24"/>
        </w:rPr>
      </w:pPr>
      <w:r w:rsidRPr="0070144F">
        <w:rPr>
          <w:rFonts w:cstheme="minorHAnsi"/>
          <w:b/>
          <w:sz w:val="24"/>
          <w:szCs w:val="24"/>
        </w:rPr>
        <w:t xml:space="preserve">Supplementary Table </w:t>
      </w:r>
      <w:r w:rsidR="00D65FDC" w:rsidRPr="0070144F">
        <w:rPr>
          <w:rFonts w:cstheme="minorHAnsi"/>
          <w:b/>
          <w:sz w:val="24"/>
          <w:szCs w:val="24"/>
        </w:rPr>
        <w:t>S</w:t>
      </w:r>
      <w:r w:rsidRPr="0070144F">
        <w:rPr>
          <w:rFonts w:cstheme="minorHAnsi"/>
          <w:b/>
          <w:sz w:val="24"/>
          <w:szCs w:val="24"/>
        </w:rPr>
        <w:t>1</w:t>
      </w:r>
      <w:r w:rsidR="0070144F" w:rsidRPr="0070144F">
        <w:rPr>
          <w:rFonts w:cstheme="minorHAnsi"/>
          <w:b/>
          <w:sz w:val="24"/>
          <w:szCs w:val="24"/>
        </w:rPr>
        <w:t>:</w:t>
      </w:r>
      <w:r w:rsidRPr="0070144F">
        <w:rPr>
          <w:rFonts w:cstheme="minorHAnsi"/>
          <w:sz w:val="24"/>
          <w:szCs w:val="24"/>
        </w:rPr>
        <w:t xml:space="preserve"> Final concentrations of </w:t>
      </w:r>
      <w:r w:rsidR="00B4450B" w:rsidRPr="0070144F">
        <w:rPr>
          <w:rFonts w:cstheme="minorHAnsi"/>
          <w:sz w:val="24"/>
          <w:szCs w:val="24"/>
        </w:rPr>
        <w:t>m</w:t>
      </w:r>
      <w:r w:rsidR="00E27969" w:rsidRPr="0070144F">
        <w:rPr>
          <w:rFonts w:cstheme="minorHAnsi"/>
          <w:sz w:val="24"/>
          <w:szCs w:val="24"/>
        </w:rPr>
        <w:t xml:space="preserve">ajor salts and other trace elements </w:t>
      </w:r>
      <w:r w:rsidRPr="0070144F">
        <w:rPr>
          <w:rFonts w:cstheme="minorHAnsi"/>
          <w:sz w:val="24"/>
          <w:szCs w:val="24"/>
        </w:rPr>
        <w:t xml:space="preserve">in modified high salt medium </w:t>
      </w:r>
      <w:r w:rsidR="00B4450B" w:rsidRPr="0070144F">
        <w:rPr>
          <w:rFonts w:cstheme="minorHAnsi"/>
          <w:sz w:val="24"/>
          <w:szCs w:val="24"/>
        </w:rPr>
        <w:t>(</w:t>
      </w:r>
      <w:r w:rsidR="004C688C" w:rsidRPr="0070144F">
        <w:rPr>
          <w:rFonts w:cstheme="minorHAnsi"/>
          <w:sz w:val="24"/>
          <w:szCs w:val="24"/>
        </w:rPr>
        <w:t xml:space="preserve">MHSM </w:t>
      </w:r>
      <w:r w:rsidR="00B4450B" w:rsidRPr="0070144F">
        <w:rPr>
          <w:rFonts w:cstheme="minorHAnsi"/>
          <w:sz w:val="24"/>
          <w:szCs w:val="24"/>
        </w:rPr>
        <w:t>from Fortin et al.</w:t>
      </w:r>
      <w:r w:rsidR="00B259A9" w:rsidRPr="0070144F">
        <w:rPr>
          <w:rFonts w:cstheme="minorHAnsi"/>
          <w:sz w:val="24"/>
          <w:szCs w:val="24"/>
        </w:rPr>
        <w:t>,</w:t>
      </w:r>
      <w:r w:rsidR="00B4450B" w:rsidRPr="0070144F">
        <w:rPr>
          <w:rFonts w:cstheme="minorHAnsi"/>
          <w:sz w:val="24"/>
          <w:szCs w:val="24"/>
        </w:rPr>
        <w:t xml:space="preserve"> 2014) </w:t>
      </w:r>
      <w:r w:rsidRPr="0070144F">
        <w:rPr>
          <w:rFonts w:cstheme="minorHAnsi"/>
          <w:sz w:val="24"/>
          <w:szCs w:val="24"/>
        </w:rPr>
        <w:t xml:space="preserve">used for </w:t>
      </w:r>
      <w:r w:rsidRPr="0070144F">
        <w:rPr>
          <w:rFonts w:cstheme="minorHAnsi"/>
          <w:i/>
          <w:sz w:val="24"/>
          <w:szCs w:val="24"/>
        </w:rPr>
        <w:t xml:space="preserve">Chlamydomonas </w:t>
      </w:r>
      <w:proofErr w:type="spellStart"/>
      <w:r w:rsidRPr="0070144F">
        <w:rPr>
          <w:rFonts w:cstheme="minorHAnsi"/>
          <w:i/>
          <w:sz w:val="24"/>
          <w:szCs w:val="24"/>
        </w:rPr>
        <w:t>reinhardtii</w:t>
      </w:r>
      <w:proofErr w:type="spellEnd"/>
      <w:r w:rsidRPr="0070144F">
        <w:rPr>
          <w:rFonts w:cstheme="minorHAnsi"/>
          <w:sz w:val="24"/>
          <w:szCs w:val="24"/>
        </w:rPr>
        <w:t xml:space="preserve"> </w:t>
      </w:r>
      <w:r w:rsidR="00E27969" w:rsidRPr="0070144F">
        <w:rPr>
          <w:rFonts w:cstheme="minorHAnsi"/>
          <w:sz w:val="24"/>
          <w:szCs w:val="24"/>
        </w:rPr>
        <w:t>culture</w:t>
      </w:r>
      <w:r w:rsidR="00D65FDC" w:rsidRPr="0070144F">
        <w:rPr>
          <w:rFonts w:cstheme="minorHAnsi"/>
          <w:sz w:val="24"/>
          <w:szCs w:val="24"/>
        </w:rPr>
        <w:t xml:space="preserve">. </w:t>
      </w:r>
      <w:r w:rsidR="00970509" w:rsidRPr="0070144F">
        <w:rPr>
          <w:rFonts w:cstheme="minorHAnsi"/>
          <w:sz w:val="24"/>
          <w:szCs w:val="24"/>
        </w:rPr>
        <w:t>The ionic strengt</w:t>
      </w:r>
      <w:r w:rsidR="00E35EBF">
        <w:rPr>
          <w:rFonts w:cstheme="minorHAnsi"/>
          <w:sz w:val="24"/>
          <w:szCs w:val="24"/>
        </w:rPr>
        <w:t>h</w:t>
      </w:r>
      <w:r w:rsidR="00D65FDC" w:rsidRPr="0070144F">
        <w:rPr>
          <w:rFonts w:cstheme="minorHAnsi"/>
          <w:sz w:val="24"/>
          <w:szCs w:val="24"/>
        </w:rPr>
        <w:t xml:space="preserve"> was 10.5 </w:t>
      </w:r>
      <w:proofErr w:type="spellStart"/>
      <w:r w:rsidR="00D65FDC" w:rsidRPr="0070144F">
        <w:rPr>
          <w:rFonts w:cstheme="minorHAnsi"/>
          <w:sz w:val="24"/>
          <w:szCs w:val="24"/>
        </w:rPr>
        <w:t>meq</w:t>
      </w:r>
      <w:proofErr w:type="spellEnd"/>
      <w:r w:rsidR="00D65FDC" w:rsidRPr="0070144F">
        <w:rPr>
          <w:rFonts w:cstheme="minorHAnsi"/>
          <w:sz w:val="24"/>
          <w:szCs w:val="24"/>
        </w:rPr>
        <w:t>/L.</w:t>
      </w:r>
    </w:p>
    <w:p w14:paraId="6CC41BF8" w14:textId="77777777" w:rsidR="00156F8A" w:rsidRPr="0070144F" w:rsidRDefault="00E27969">
      <w:pPr>
        <w:rPr>
          <w:rFonts w:cstheme="minorHAnsi"/>
          <w:sz w:val="24"/>
          <w:szCs w:val="24"/>
        </w:rPr>
      </w:pPr>
      <w:r w:rsidRPr="0070144F">
        <w:rPr>
          <w:rFonts w:cstheme="minorHAnsi"/>
          <w:sz w:val="24"/>
          <w:szCs w:val="24"/>
        </w:rPr>
        <w:t xml:space="preserve"> </w:t>
      </w:r>
    </w:p>
    <w:tbl>
      <w:tblPr>
        <w:tblW w:w="6200" w:type="dxa"/>
        <w:tblInd w:w="1106" w:type="dxa"/>
        <w:tblLook w:val="04A0" w:firstRow="1" w:lastRow="0" w:firstColumn="1" w:lastColumn="0" w:noHBand="0" w:noVBand="1"/>
      </w:tblPr>
      <w:tblGrid>
        <w:gridCol w:w="1820"/>
        <w:gridCol w:w="1280"/>
        <w:gridCol w:w="1824"/>
        <w:gridCol w:w="1276"/>
      </w:tblGrid>
      <w:tr w:rsidR="00860024" w:rsidRPr="0070144F" w14:paraId="10952596" w14:textId="77777777" w:rsidTr="004C688C">
        <w:trPr>
          <w:trHeight w:val="315"/>
        </w:trPr>
        <w:tc>
          <w:tcPr>
            <w:tcW w:w="1820" w:type="dxa"/>
            <w:tcBorders>
              <w:top w:val="single" w:sz="4" w:space="0" w:color="auto"/>
              <w:left w:val="nil"/>
              <w:bottom w:val="double" w:sz="4" w:space="0" w:color="auto"/>
              <w:right w:val="nil"/>
            </w:tcBorders>
            <w:shd w:val="clear" w:color="auto" w:fill="auto"/>
            <w:noWrap/>
            <w:vAlign w:val="bottom"/>
            <w:hideMark/>
          </w:tcPr>
          <w:p w14:paraId="3A71E118" w14:textId="77777777" w:rsidR="004C688C" w:rsidRPr="0070144F" w:rsidRDefault="004C688C" w:rsidP="00E27969">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 xml:space="preserve">MHSM </w:t>
            </w:r>
          </w:p>
          <w:p w14:paraId="3DD5340E" w14:textId="77777777" w:rsidR="00860024" w:rsidRPr="0070144F" w:rsidRDefault="00E27969" w:rsidP="00E27969">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Major s</w:t>
            </w:r>
            <w:r w:rsidR="00860024" w:rsidRPr="0070144F">
              <w:rPr>
                <w:rFonts w:eastAsia="Times New Roman" w:cstheme="minorHAnsi"/>
                <w:color w:val="000000"/>
                <w:sz w:val="24"/>
                <w:szCs w:val="24"/>
              </w:rPr>
              <w:t xml:space="preserve">alts </w:t>
            </w:r>
          </w:p>
        </w:tc>
        <w:tc>
          <w:tcPr>
            <w:tcW w:w="1280" w:type="dxa"/>
            <w:tcBorders>
              <w:top w:val="single" w:sz="4" w:space="0" w:color="auto"/>
              <w:left w:val="nil"/>
              <w:bottom w:val="double" w:sz="4" w:space="0" w:color="auto"/>
              <w:right w:val="nil"/>
            </w:tcBorders>
            <w:shd w:val="clear" w:color="auto" w:fill="auto"/>
            <w:noWrap/>
            <w:vAlign w:val="bottom"/>
            <w:hideMark/>
          </w:tcPr>
          <w:p w14:paraId="373ACADD" w14:textId="77777777" w:rsidR="00860024" w:rsidRPr="0070144F" w:rsidRDefault="00E27969" w:rsidP="00E27969">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w:t>
            </w:r>
            <w:r w:rsidR="00860024" w:rsidRPr="0070144F">
              <w:rPr>
                <w:rFonts w:eastAsia="Times New Roman" w:cstheme="minorHAnsi"/>
                <w:color w:val="000000"/>
                <w:sz w:val="24"/>
                <w:szCs w:val="24"/>
              </w:rPr>
              <w:t>mM</w:t>
            </w:r>
            <w:r w:rsidRPr="0070144F">
              <w:rPr>
                <w:rFonts w:eastAsia="Times New Roman" w:cstheme="minorHAnsi"/>
                <w:color w:val="000000"/>
                <w:sz w:val="24"/>
                <w:szCs w:val="24"/>
              </w:rPr>
              <w:t>]</w:t>
            </w:r>
          </w:p>
        </w:tc>
        <w:tc>
          <w:tcPr>
            <w:tcW w:w="1824" w:type="dxa"/>
            <w:tcBorders>
              <w:top w:val="single" w:sz="4" w:space="0" w:color="auto"/>
              <w:left w:val="nil"/>
              <w:bottom w:val="double" w:sz="4" w:space="0" w:color="auto"/>
              <w:right w:val="nil"/>
            </w:tcBorders>
            <w:shd w:val="clear" w:color="auto" w:fill="auto"/>
            <w:noWrap/>
            <w:vAlign w:val="bottom"/>
            <w:hideMark/>
          </w:tcPr>
          <w:p w14:paraId="65854897" w14:textId="77777777" w:rsidR="00860024" w:rsidRPr="0070144F" w:rsidRDefault="00E27969" w:rsidP="00860024">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Other molecules</w:t>
            </w:r>
          </w:p>
        </w:tc>
        <w:tc>
          <w:tcPr>
            <w:tcW w:w="1276" w:type="dxa"/>
            <w:tcBorders>
              <w:top w:val="single" w:sz="4" w:space="0" w:color="auto"/>
              <w:left w:val="nil"/>
              <w:bottom w:val="double" w:sz="4" w:space="0" w:color="auto"/>
              <w:right w:val="nil"/>
            </w:tcBorders>
            <w:shd w:val="clear" w:color="auto" w:fill="auto"/>
            <w:noWrap/>
            <w:vAlign w:val="bottom"/>
            <w:hideMark/>
          </w:tcPr>
          <w:p w14:paraId="453EAD8F" w14:textId="6679630B" w:rsidR="00860024" w:rsidRPr="0070144F" w:rsidRDefault="00E27969" w:rsidP="00860024">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w:t>
            </w:r>
            <w:r w:rsidR="00B259A9" w:rsidRPr="0070144F">
              <w:rPr>
                <w:rFonts w:eastAsia="Times New Roman" w:cstheme="minorHAnsi"/>
                <w:color w:val="000000"/>
                <w:sz w:val="24"/>
                <w:szCs w:val="24"/>
              </w:rPr>
              <w:t>µ</w:t>
            </w:r>
            <w:r w:rsidRPr="0070144F">
              <w:rPr>
                <w:rFonts w:eastAsia="Times New Roman" w:cstheme="minorHAnsi"/>
                <w:color w:val="000000"/>
                <w:sz w:val="24"/>
                <w:szCs w:val="24"/>
              </w:rPr>
              <w:t>M]</w:t>
            </w:r>
          </w:p>
        </w:tc>
      </w:tr>
      <w:tr w:rsidR="00860024" w:rsidRPr="0070144F" w14:paraId="685C6219" w14:textId="77777777" w:rsidTr="004C688C">
        <w:trPr>
          <w:trHeight w:val="300"/>
        </w:trPr>
        <w:tc>
          <w:tcPr>
            <w:tcW w:w="1820" w:type="dxa"/>
            <w:tcBorders>
              <w:top w:val="double" w:sz="4" w:space="0" w:color="auto"/>
              <w:left w:val="nil"/>
              <w:bottom w:val="nil"/>
              <w:right w:val="nil"/>
            </w:tcBorders>
            <w:shd w:val="clear" w:color="auto" w:fill="auto"/>
            <w:noWrap/>
            <w:vAlign w:val="center"/>
            <w:hideMark/>
          </w:tcPr>
          <w:p w14:paraId="44CFAEC7" w14:textId="77777777" w:rsidR="00860024" w:rsidRPr="0070144F" w:rsidRDefault="00860024" w:rsidP="00860024">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NH</w:t>
            </w:r>
            <w:r w:rsidRPr="0070144F">
              <w:rPr>
                <w:rFonts w:eastAsia="Times New Roman" w:cstheme="minorHAnsi"/>
                <w:color w:val="000000"/>
                <w:sz w:val="24"/>
                <w:szCs w:val="24"/>
                <w:vertAlign w:val="subscript"/>
              </w:rPr>
              <w:t>4</w:t>
            </w:r>
            <w:r w:rsidRPr="0070144F">
              <w:rPr>
                <w:rFonts w:eastAsia="Times New Roman" w:cstheme="minorHAnsi"/>
                <w:color w:val="000000"/>
                <w:sz w:val="24"/>
                <w:szCs w:val="24"/>
              </w:rPr>
              <w:t>HPO</w:t>
            </w:r>
            <w:r w:rsidRPr="0070144F">
              <w:rPr>
                <w:rFonts w:eastAsia="Times New Roman" w:cstheme="minorHAnsi"/>
                <w:color w:val="000000"/>
                <w:sz w:val="24"/>
                <w:szCs w:val="24"/>
                <w:vertAlign w:val="subscript"/>
              </w:rPr>
              <w:t>4</w:t>
            </w:r>
          </w:p>
        </w:tc>
        <w:tc>
          <w:tcPr>
            <w:tcW w:w="1280" w:type="dxa"/>
            <w:tcBorders>
              <w:top w:val="double" w:sz="4" w:space="0" w:color="auto"/>
              <w:left w:val="nil"/>
              <w:bottom w:val="nil"/>
              <w:right w:val="nil"/>
            </w:tcBorders>
            <w:shd w:val="clear" w:color="auto" w:fill="auto"/>
            <w:noWrap/>
            <w:vAlign w:val="bottom"/>
            <w:hideMark/>
          </w:tcPr>
          <w:p w14:paraId="6E70E67A" w14:textId="5C943DB0" w:rsidR="00860024" w:rsidRPr="0070144F" w:rsidRDefault="00860024" w:rsidP="00B259A9">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0.9</w:t>
            </w:r>
            <w:r w:rsidR="00B259A9" w:rsidRPr="0070144F">
              <w:rPr>
                <w:rFonts w:eastAsia="Times New Roman" w:cstheme="minorHAnsi"/>
                <w:color w:val="000000"/>
                <w:sz w:val="24"/>
                <w:szCs w:val="24"/>
              </w:rPr>
              <w:t>4</w:t>
            </w:r>
          </w:p>
        </w:tc>
        <w:tc>
          <w:tcPr>
            <w:tcW w:w="1824" w:type="dxa"/>
            <w:tcBorders>
              <w:top w:val="double" w:sz="4" w:space="0" w:color="auto"/>
              <w:left w:val="nil"/>
              <w:bottom w:val="nil"/>
              <w:right w:val="nil"/>
            </w:tcBorders>
            <w:shd w:val="clear" w:color="auto" w:fill="auto"/>
            <w:noWrap/>
            <w:vAlign w:val="center"/>
            <w:hideMark/>
          </w:tcPr>
          <w:p w14:paraId="7C46BC85" w14:textId="77777777" w:rsidR="00860024" w:rsidRPr="0070144F" w:rsidRDefault="00860024" w:rsidP="00860024">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H</w:t>
            </w:r>
            <w:r w:rsidRPr="0070144F">
              <w:rPr>
                <w:rFonts w:eastAsia="Times New Roman" w:cstheme="minorHAnsi"/>
                <w:color w:val="000000"/>
                <w:sz w:val="24"/>
                <w:szCs w:val="24"/>
                <w:vertAlign w:val="subscript"/>
              </w:rPr>
              <w:t>3</w:t>
            </w:r>
            <w:r w:rsidRPr="0070144F">
              <w:rPr>
                <w:rFonts w:eastAsia="Times New Roman" w:cstheme="minorHAnsi"/>
                <w:color w:val="000000"/>
                <w:sz w:val="24"/>
                <w:szCs w:val="24"/>
              </w:rPr>
              <w:t>BO</w:t>
            </w:r>
            <w:r w:rsidRPr="0070144F">
              <w:rPr>
                <w:rFonts w:eastAsia="Times New Roman" w:cstheme="minorHAnsi"/>
                <w:color w:val="000000"/>
                <w:sz w:val="24"/>
                <w:szCs w:val="24"/>
                <w:vertAlign w:val="subscript"/>
              </w:rPr>
              <w:t>3</w:t>
            </w:r>
          </w:p>
        </w:tc>
        <w:tc>
          <w:tcPr>
            <w:tcW w:w="1276" w:type="dxa"/>
            <w:tcBorders>
              <w:top w:val="double" w:sz="4" w:space="0" w:color="auto"/>
              <w:left w:val="nil"/>
              <w:bottom w:val="nil"/>
              <w:right w:val="nil"/>
            </w:tcBorders>
            <w:shd w:val="clear" w:color="auto" w:fill="auto"/>
            <w:noWrap/>
            <w:vAlign w:val="bottom"/>
            <w:hideMark/>
          </w:tcPr>
          <w:p w14:paraId="40BB313A" w14:textId="77777777" w:rsidR="00860024" w:rsidRPr="0070144F" w:rsidRDefault="00860024" w:rsidP="00860024">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3.0</w:t>
            </w:r>
          </w:p>
        </w:tc>
      </w:tr>
      <w:tr w:rsidR="00860024" w:rsidRPr="0070144F" w14:paraId="2B19FEFD" w14:textId="77777777" w:rsidTr="004C688C">
        <w:trPr>
          <w:trHeight w:val="300"/>
        </w:trPr>
        <w:tc>
          <w:tcPr>
            <w:tcW w:w="1820" w:type="dxa"/>
            <w:tcBorders>
              <w:top w:val="nil"/>
              <w:left w:val="nil"/>
              <w:bottom w:val="nil"/>
              <w:right w:val="nil"/>
            </w:tcBorders>
            <w:shd w:val="clear" w:color="auto" w:fill="auto"/>
            <w:noWrap/>
            <w:vAlign w:val="center"/>
            <w:hideMark/>
          </w:tcPr>
          <w:p w14:paraId="3B2C45BB" w14:textId="77777777" w:rsidR="00860024" w:rsidRPr="0070144F" w:rsidRDefault="00860024" w:rsidP="00860024">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MgSO4; 7 H</w:t>
            </w:r>
            <w:r w:rsidRPr="0070144F">
              <w:rPr>
                <w:rFonts w:eastAsia="Times New Roman" w:cstheme="minorHAnsi"/>
                <w:color w:val="000000"/>
                <w:sz w:val="24"/>
                <w:szCs w:val="24"/>
                <w:vertAlign w:val="subscript"/>
              </w:rPr>
              <w:t>2</w:t>
            </w:r>
            <w:r w:rsidRPr="0070144F">
              <w:rPr>
                <w:rFonts w:eastAsia="Times New Roman" w:cstheme="minorHAnsi"/>
                <w:color w:val="000000"/>
                <w:sz w:val="24"/>
                <w:szCs w:val="24"/>
              </w:rPr>
              <w:t>O</w:t>
            </w:r>
          </w:p>
        </w:tc>
        <w:tc>
          <w:tcPr>
            <w:tcW w:w="1280" w:type="dxa"/>
            <w:tcBorders>
              <w:top w:val="nil"/>
              <w:left w:val="nil"/>
              <w:bottom w:val="nil"/>
              <w:right w:val="nil"/>
            </w:tcBorders>
            <w:shd w:val="clear" w:color="auto" w:fill="auto"/>
            <w:noWrap/>
            <w:vAlign w:val="bottom"/>
            <w:hideMark/>
          </w:tcPr>
          <w:p w14:paraId="2C7BD8F2" w14:textId="3E0F72A9" w:rsidR="00860024" w:rsidRPr="0070144F" w:rsidRDefault="00860024" w:rsidP="00B259A9">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0.08</w:t>
            </w:r>
          </w:p>
        </w:tc>
        <w:tc>
          <w:tcPr>
            <w:tcW w:w="1824" w:type="dxa"/>
            <w:tcBorders>
              <w:top w:val="nil"/>
              <w:left w:val="nil"/>
              <w:bottom w:val="nil"/>
              <w:right w:val="nil"/>
            </w:tcBorders>
            <w:shd w:val="clear" w:color="auto" w:fill="auto"/>
            <w:noWrap/>
            <w:vAlign w:val="center"/>
            <w:hideMark/>
          </w:tcPr>
          <w:p w14:paraId="263E96BB" w14:textId="77777777" w:rsidR="00860024" w:rsidRPr="0070144F" w:rsidRDefault="00860024" w:rsidP="00860024">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MnCl</w:t>
            </w:r>
            <w:r w:rsidRPr="0070144F">
              <w:rPr>
                <w:rFonts w:eastAsia="Times New Roman" w:cstheme="minorHAnsi"/>
                <w:color w:val="000000"/>
                <w:sz w:val="24"/>
                <w:szCs w:val="24"/>
                <w:vertAlign w:val="subscript"/>
              </w:rPr>
              <w:t>2</w:t>
            </w:r>
            <w:r w:rsidRPr="0070144F">
              <w:rPr>
                <w:rFonts w:eastAsia="Times New Roman" w:cstheme="minorHAnsi"/>
                <w:color w:val="000000"/>
                <w:sz w:val="24"/>
                <w:szCs w:val="24"/>
              </w:rPr>
              <w:t>; 4H</w:t>
            </w:r>
            <w:r w:rsidRPr="0070144F">
              <w:rPr>
                <w:rFonts w:eastAsia="Times New Roman" w:cstheme="minorHAnsi"/>
                <w:color w:val="000000"/>
                <w:sz w:val="24"/>
                <w:szCs w:val="24"/>
                <w:vertAlign w:val="subscript"/>
              </w:rPr>
              <w:t>2</w:t>
            </w:r>
            <w:r w:rsidRPr="0070144F">
              <w:rPr>
                <w:rFonts w:eastAsia="Times New Roman" w:cstheme="minorHAnsi"/>
                <w:color w:val="000000"/>
                <w:sz w:val="24"/>
                <w:szCs w:val="24"/>
              </w:rPr>
              <w:t>O</w:t>
            </w:r>
          </w:p>
        </w:tc>
        <w:tc>
          <w:tcPr>
            <w:tcW w:w="1276" w:type="dxa"/>
            <w:tcBorders>
              <w:top w:val="nil"/>
              <w:left w:val="nil"/>
              <w:bottom w:val="nil"/>
              <w:right w:val="nil"/>
            </w:tcBorders>
            <w:shd w:val="clear" w:color="auto" w:fill="auto"/>
            <w:noWrap/>
            <w:vAlign w:val="bottom"/>
            <w:hideMark/>
          </w:tcPr>
          <w:p w14:paraId="4A293D1B" w14:textId="77777777" w:rsidR="00860024" w:rsidRPr="0070144F" w:rsidRDefault="00860024" w:rsidP="00860024">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2.1</w:t>
            </w:r>
          </w:p>
        </w:tc>
      </w:tr>
      <w:tr w:rsidR="00860024" w:rsidRPr="0070144F" w14:paraId="6694CD3C" w14:textId="77777777" w:rsidTr="004C688C">
        <w:trPr>
          <w:trHeight w:val="300"/>
        </w:trPr>
        <w:tc>
          <w:tcPr>
            <w:tcW w:w="1820" w:type="dxa"/>
            <w:tcBorders>
              <w:top w:val="nil"/>
              <w:left w:val="nil"/>
              <w:bottom w:val="nil"/>
              <w:right w:val="nil"/>
            </w:tcBorders>
            <w:shd w:val="clear" w:color="auto" w:fill="auto"/>
            <w:noWrap/>
            <w:vAlign w:val="center"/>
            <w:hideMark/>
          </w:tcPr>
          <w:p w14:paraId="1F580302" w14:textId="77777777" w:rsidR="00860024" w:rsidRPr="0070144F" w:rsidRDefault="00860024" w:rsidP="00860024">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Ca(NO3)</w:t>
            </w:r>
            <w:r w:rsidRPr="0070144F">
              <w:rPr>
                <w:rFonts w:eastAsia="Times New Roman" w:cstheme="minorHAnsi"/>
                <w:color w:val="000000"/>
                <w:sz w:val="24"/>
                <w:szCs w:val="24"/>
                <w:vertAlign w:val="subscript"/>
              </w:rPr>
              <w:t>2</w:t>
            </w:r>
            <w:r w:rsidRPr="0070144F">
              <w:rPr>
                <w:rFonts w:eastAsia="Times New Roman" w:cstheme="minorHAnsi"/>
                <w:color w:val="000000"/>
                <w:sz w:val="24"/>
                <w:szCs w:val="24"/>
              </w:rPr>
              <w:t>; 4H</w:t>
            </w:r>
            <w:r w:rsidRPr="0070144F">
              <w:rPr>
                <w:rFonts w:eastAsia="Times New Roman" w:cstheme="minorHAnsi"/>
                <w:color w:val="000000"/>
                <w:sz w:val="24"/>
                <w:szCs w:val="24"/>
                <w:vertAlign w:val="subscript"/>
              </w:rPr>
              <w:t>2</w:t>
            </w:r>
            <w:r w:rsidRPr="0070144F">
              <w:rPr>
                <w:rFonts w:eastAsia="Times New Roman" w:cstheme="minorHAnsi"/>
                <w:color w:val="000000"/>
                <w:sz w:val="24"/>
                <w:szCs w:val="24"/>
              </w:rPr>
              <w:t>O</w:t>
            </w:r>
          </w:p>
        </w:tc>
        <w:tc>
          <w:tcPr>
            <w:tcW w:w="1280" w:type="dxa"/>
            <w:tcBorders>
              <w:top w:val="nil"/>
              <w:left w:val="nil"/>
              <w:bottom w:val="nil"/>
              <w:right w:val="nil"/>
            </w:tcBorders>
            <w:shd w:val="clear" w:color="auto" w:fill="auto"/>
            <w:noWrap/>
            <w:vAlign w:val="bottom"/>
            <w:hideMark/>
          </w:tcPr>
          <w:p w14:paraId="0E782811" w14:textId="0ADD0C8D" w:rsidR="00860024" w:rsidRPr="0070144F" w:rsidRDefault="00860024" w:rsidP="00B259A9">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0.0</w:t>
            </w:r>
            <w:r w:rsidR="00B259A9" w:rsidRPr="0070144F">
              <w:rPr>
                <w:rFonts w:eastAsia="Times New Roman" w:cstheme="minorHAnsi"/>
                <w:color w:val="000000"/>
                <w:sz w:val="24"/>
                <w:szCs w:val="24"/>
              </w:rPr>
              <w:t>7</w:t>
            </w:r>
          </w:p>
        </w:tc>
        <w:tc>
          <w:tcPr>
            <w:tcW w:w="1824" w:type="dxa"/>
            <w:tcBorders>
              <w:top w:val="nil"/>
              <w:left w:val="nil"/>
              <w:bottom w:val="nil"/>
              <w:right w:val="nil"/>
            </w:tcBorders>
            <w:shd w:val="clear" w:color="auto" w:fill="auto"/>
            <w:noWrap/>
            <w:vAlign w:val="center"/>
            <w:hideMark/>
          </w:tcPr>
          <w:p w14:paraId="32A5BA77" w14:textId="77777777" w:rsidR="00860024" w:rsidRPr="0070144F" w:rsidRDefault="00860024" w:rsidP="00860024">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FeCl</w:t>
            </w:r>
            <w:r w:rsidRPr="0070144F">
              <w:rPr>
                <w:rFonts w:eastAsia="Times New Roman" w:cstheme="minorHAnsi"/>
                <w:color w:val="000000"/>
                <w:sz w:val="24"/>
                <w:szCs w:val="24"/>
                <w:vertAlign w:val="subscript"/>
              </w:rPr>
              <w:t>3</w:t>
            </w:r>
            <w:r w:rsidRPr="0070144F">
              <w:rPr>
                <w:rFonts w:eastAsia="Times New Roman" w:cstheme="minorHAnsi"/>
                <w:color w:val="000000"/>
                <w:sz w:val="24"/>
                <w:szCs w:val="24"/>
              </w:rPr>
              <w:t>; 6 H</w:t>
            </w:r>
            <w:r w:rsidRPr="0070144F">
              <w:rPr>
                <w:rFonts w:eastAsia="Times New Roman" w:cstheme="minorHAnsi"/>
                <w:color w:val="000000"/>
                <w:sz w:val="24"/>
                <w:szCs w:val="24"/>
                <w:vertAlign w:val="subscript"/>
              </w:rPr>
              <w:t>2</w:t>
            </w:r>
            <w:r w:rsidRPr="0070144F">
              <w:rPr>
                <w:rFonts w:eastAsia="Times New Roman" w:cstheme="minorHAnsi"/>
                <w:color w:val="000000"/>
                <w:sz w:val="24"/>
                <w:szCs w:val="24"/>
              </w:rPr>
              <w:t>O</w:t>
            </w:r>
          </w:p>
        </w:tc>
        <w:tc>
          <w:tcPr>
            <w:tcW w:w="1276" w:type="dxa"/>
            <w:tcBorders>
              <w:top w:val="nil"/>
              <w:left w:val="nil"/>
              <w:bottom w:val="nil"/>
              <w:right w:val="nil"/>
            </w:tcBorders>
            <w:shd w:val="clear" w:color="auto" w:fill="auto"/>
            <w:noWrap/>
            <w:vAlign w:val="bottom"/>
            <w:hideMark/>
          </w:tcPr>
          <w:p w14:paraId="1AEF3A1B" w14:textId="77777777" w:rsidR="00860024" w:rsidRPr="0070144F" w:rsidRDefault="00860024" w:rsidP="00860024">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0.6</w:t>
            </w:r>
          </w:p>
        </w:tc>
      </w:tr>
      <w:tr w:rsidR="00860024" w:rsidRPr="0070144F" w14:paraId="10259E88" w14:textId="77777777" w:rsidTr="004C688C">
        <w:trPr>
          <w:trHeight w:val="300"/>
        </w:trPr>
        <w:tc>
          <w:tcPr>
            <w:tcW w:w="1820" w:type="dxa"/>
            <w:tcBorders>
              <w:top w:val="nil"/>
              <w:left w:val="nil"/>
              <w:bottom w:val="nil"/>
              <w:right w:val="nil"/>
            </w:tcBorders>
            <w:shd w:val="clear" w:color="auto" w:fill="auto"/>
            <w:noWrap/>
            <w:vAlign w:val="center"/>
            <w:hideMark/>
          </w:tcPr>
          <w:p w14:paraId="7592762C" w14:textId="77777777" w:rsidR="00860024" w:rsidRPr="0070144F" w:rsidRDefault="00860024" w:rsidP="00860024">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KH</w:t>
            </w:r>
            <w:r w:rsidRPr="0070144F">
              <w:rPr>
                <w:rFonts w:eastAsia="Times New Roman" w:cstheme="minorHAnsi"/>
                <w:color w:val="000000"/>
                <w:sz w:val="24"/>
                <w:szCs w:val="24"/>
                <w:vertAlign w:val="subscript"/>
              </w:rPr>
              <w:t>2</w:t>
            </w:r>
            <w:r w:rsidRPr="0070144F">
              <w:rPr>
                <w:rFonts w:eastAsia="Times New Roman" w:cstheme="minorHAnsi"/>
                <w:color w:val="000000"/>
                <w:sz w:val="24"/>
                <w:szCs w:val="24"/>
              </w:rPr>
              <w:t>PO</w:t>
            </w:r>
            <w:r w:rsidRPr="0070144F">
              <w:rPr>
                <w:rFonts w:eastAsia="Times New Roman" w:cstheme="minorHAnsi"/>
                <w:color w:val="000000"/>
                <w:sz w:val="24"/>
                <w:szCs w:val="24"/>
                <w:vertAlign w:val="subscript"/>
              </w:rPr>
              <w:t>4</w:t>
            </w:r>
          </w:p>
        </w:tc>
        <w:tc>
          <w:tcPr>
            <w:tcW w:w="1280" w:type="dxa"/>
            <w:tcBorders>
              <w:top w:val="nil"/>
              <w:left w:val="nil"/>
              <w:bottom w:val="nil"/>
              <w:right w:val="nil"/>
            </w:tcBorders>
            <w:shd w:val="clear" w:color="auto" w:fill="auto"/>
            <w:noWrap/>
            <w:vAlign w:val="bottom"/>
            <w:hideMark/>
          </w:tcPr>
          <w:p w14:paraId="0ECC6E19" w14:textId="5D373E42" w:rsidR="00860024" w:rsidRPr="0070144F" w:rsidRDefault="00860024" w:rsidP="00B259A9">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0.05</w:t>
            </w:r>
          </w:p>
        </w:tc>
        <w:tc>
          <w:tcPr>
            <w:tcW w:w="1824" w:type="dxa"/>
            <w:tcBorders>
              <w:top w:val="nil"/>
              <w:left w:val="nil"/>
              <w:bottom w:val="nil"/>
              <w:right w:val="nil"/>
            </w:tcBorders>
            <w:shd w:val="clear" w:color="auto" w:fill="auto"/>
            <w:noWrap/>
            <w:vAlign w:val="bottom"/>
            <w:hideMark/>
          </w:tcPr>
          <w:p w14:paraId="53A86F27" w14:textId="77777777" w:rsidR="00860024" w:rsidRPr="0070144F" w:rsidRDefault="00860024" w:rsidP="00860024">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Na</w:t>
            </w:r>
            <w:r w:rsidRPr="0070144F">
              <w:rPr>
                <w:rFonts w:eastAsia="Times New Roman" w:cstheme="minorHAnsi"/>
                <w:color w:val="000000"/>
                <w:sz w:val="24"/>
                <w:szCs w:val="24"/>
                <w:vertAlign w:val="subscript"/>
              </w:rPr>
              <w:t>2</w:t>
            </w:r>
            <w:r w:rsidRPr="0070144F">
              <w:rPr>
                <w:rFonts w:eastAsia="Times New Roman" w:cstheme="minorHAnsi"/>
                <w:color w:val="000000"/>
                <w:sz w:val="24"/>
                <w:szCs w:val="24"/>
              </w:rPr>
              <w:t>EDTA 2H</w:t>
            </w:r>
            <w:r w:rsidRPr="0070144F">
              <w:rPr>
                <w:rFonts w:eastAsia="Times New Roman" w:cstheme="minorHAnsi"/>
                <w:color w:val="000000"/>
                <w:sz w:val="24"/>
                <w:szCs w:val="24"/>
                <w:vertAlign w:val="subscript"/>
              </w:rPr>
              <w:t>2</w:t>
            </w:r>
            <w:r w:rsidRPr="0070144F">
              <w:rPr>
                <w:rFonts w:eastAsia="Times New Roman" w:cstheme="minorHAnsi"/>
                <w:color w:val="000000"/>
                <w:sz w:val="24"/>
                <w:szCs w:val="24"/>
              </w:rPr>
              <w:t>O</w:t>
            </w:r>
          </w:p>
        </w:tc>
        <w:tc>
          <w:tcPr>
            <w:tcW w:w="1276" w:type="dxa"/>
            <w:tcBorders>
              <w:top w:val="nil"/>
              <w:left w:val="nil"/>
              <w:bottom w:val="nil"/>
              <w:right w:val="nil"/>
            </w:tcBorders>
            <w:shd w:val="clear" w:color="auto" w:fill="auto"/>
            <w:noWrap/>
            <w:vAlign w:val="bottom"/>
            <w:hideMark/>
          </w:tcPr>
          <w:p w14:paraId="7FBCFC3D" w14:textId="77777777" w:rsidR="00860024" w:rsidRPr="0070144F" w:rsidRDefault="00860024" w:rsidP="00860024">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1.0</w:t>
            </w:r>
          </w:p>
        </w:tc>
      </w:tr>
      <w:tr w:rsidR="00860024" w:rsidRPr="0070144F" w14:paraId="31892ABD" w14:textId="77777777" w:rsidTr="004C688C">
        <w:trPr>
          <w:trHeight w:val="300"/>
        </w:trPr>
        <w:tc>
          <w:tcPr>
            <w:tcW w:w="1820" w:type="dxa"/>
            <w:tcBorders>
              <w:top w:val="nil"/>
              <w:left w:val="nil"/>
              <w:bottom w:val="nil"/>
              <w:right w:val="nil"/>
            </w:tcBorders>
            <w:shd w:val="clear" w:color="auto" w:fill="auto"/>
            <w:noWrap/>
            <w:vAlign w:val="center"/>
            <w:hideMark/>
          </w:tcPr>
          <w:p w14:paraId="0E3F9051" w14:textId="77777777" w:rsidR="00860024" w:rsidRPr="0070144F" w:rsidRDefault="00860024" w:rsidP="00860024">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K</w:t>
            </w:r>
            <w:r w:rsidRPr="0070144F">
              <w:rPr>
                <w:rFonts w:eastAsia="Times New Roman" w:cstheme="minorHAnsi"/>
                <w:color w:val="000000"/>
                <w:sz w:val="24"/>
                <w:szCs w:val="24"/>
                <w:vertAlign w:val="subscript"/>
              </w:rPr>
              <w:t>2</w:t>
            </w:r>
            <w:r w:rsidRPr="0070144F">
              <w:rPr>
                <w:rFonts w:eastAsia="Times New Roman" w:cstheme="minorHAnsi"/>
                <w:color w:val="000000"/>
                <w:sz w:val="24"/>
                <w:szCs w:val="24"/>
              </w:rPr>
              <w:t>HPO</w:t>
            </w:r>
            <w:r w:rsidRPr="0070144F">
              <w:rPr>
                <w:rFonts w:eastAsia="Times New Roman" w:cstheme="minorHAnsi"/>
                <w:color w:val="000000"/>
                <w:sz w:val="24"/>
                <w:szCs w:val="24"/>
                <w:vertAlign w:val="subscript"/>
              </w:rPr>
              <w:t>4</w:t>
            </w:r>
          </w:p>
        </w:tc>
        <w:tc>
          <w:tcPr>
            <w:tcW w:w="1280" w:type="dxa"/>
            <w:tcBorders>
              <w:top w:val="nil"/>
              <w:left w:val="nil"/>
              <w:bottom w:val="nil"/>
              <w:right w:val="nil"/>
            </w:tcBorders>
            <w:shd w:val="clear" w:color="auto" w:fill="auto"/>
            <w:noWrap/>
            <w:vAlign w:val="bottom"/>
            <w:hideMark/>
          </w:tcPr>
          <w:p w14:paraId="37901CC9" w14:textId="2B5C5D4B" w:rsidR="00860024" w:rsidRPr="0070144F" w:rsidRDefault="00860024" w:rsidP="00B259A9">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0.08</w:t>
            </w:r>
          </w:p>
        </w:tc>
        <w:tc>
          <w:tcPr>
            <w:tcW w:w="1824" w:type="dxa"/>
            <w:tcBorders>
              <w:top w:val="nil"/>
              <w:left w:val="nil"/>
              <w:bottom w:val="nil"/>
              <w:right w:val="nil"/>
            </w:tcBorders>
            <w:shd w:val="clear" w:color="auto" w:fill="auto"/>
            <w:noWrap/>
            <w:vAlign w:val="center"/>
            <w:hideMark/>
          </w:tcPr>
          <w:p w14:paraId="2EAD2F0D" w14:textId="77777777" w:rsidR="00860024" w:rsidRPr="0070144F" w:rsidRDefault="00860024" w:rsidP="00860024">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Cu</w:t>
            </w:r>
          </w:p>
        </w:tc>
        <w:tc>
          <w:tcPr>
            <w:tcW w:w="1276" w:type="dxa"/>
            <w:tcBorders>
              <w:top w:val="nil"/>
              <w:left w:val="nil"/>
              <w:bottom w:val="nil"/>
              <w:right w:val="nil"/>
            </w:tcBorders>
            <w:shd w:val="clear" w:color="auto" w:fill="auto"/>
            <w:noWrap/>
            <w:vAlign w:val="bottom"/>
            <w:hideMark/>
          </w:tcPr>
          <w:p w14:paraId="44F2CC01" w14:textId="77777777" w:rsidR="00860024" w:rsidRPr="0070144F" w:rsidRDefault="00860024" w:rsidP="00860024">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70.3</w:t>
            </w:r>
          </w:p>
        </w:tc>
      </w:tr>
      <w:tr w:rsidR="00860024" w:rsidRPr="0070144F" w14:paraId="151E5EE3" w14:textId="77777777" w:rsidTr="004C688C">
        <w:trPr>
          <w:trHeight w:val="300"/>
        </w:trPr>
        <w:tc>
          <w:tcPr>
            <w:tcW w:w="1820" w:type="dxa"/>
            <w:tcBorders>
              <w:top w:val="nil"/>
              <w:left w:val="nil"/>
              <w:bottom w:val="nil"/>
              <w:right w:val="nil"/>
            </w:tcBorders>
            <w:shd w:val="clear" w:color="auto" w:fill="auto"/>
            <w:noWrap/>
            <w:vAlign w:val="center"/>
            <w:hideMark/>
          </w:tcPr>
          <w:p w14:paraId="76396F78" w14:textId="77777777" w:rsidR="00860024" w:rsidRPr="0070144F" w:rsidRDefault="00860024" w:rsidP="00860024">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KNO</w:t>
            </w:r>
            <w:r w:rsidRPr="0070144F">
              <w:rPr>
                <w:rFonts w:eastAsia="Times New Roman" w:cstheme="minorHAnsi"/>
                <w:color w:val="000000"/>
                <w:sz w:val="24"/>
                <w:szCs w:val="24"/>
                <w:vertAlign w:val="subscript"/>
              </w:rPr>
              <w:t>3</w:t>
            </w:r>
          </w:p>
        </w:tc>
        <w:tc>
          <w:tcPr>
            <w:tcW w:w="1280" w:type="dxa"/>
            <w:tcBorders>
              <w:top w:val="nil"/>
              <w:left w:val="nil"/>
              <w:bottom w:val="nil"/>
              <w:right w:val="nil"/>
            </w:tcBorders>
            <w:shd w:val="clear" w:color="auto" w:fill="auto"/>
            <w:noWrap/>
            <w:vAlign w:val="bottom"/>
            <w:hideMark/>
          </w:tcPr>
          <w:p w14:paraId="1476547E" w14:textId="1173CEA1" w:rsidR="00860024" w:rsidRPr="0070144F" w:rsidRDefault="00860024" w:rsidP="00B259A9">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1.50</w:t>
            </w:r>
          </w:p>
        </w:tc>
        <w:tc>
          <w:tcPr>
            <w:tcW w:w="1824" w:type="dxa"/>
            <w:tcBorders>
              <w:top w:val="nil"/>
              <w:left w:val="nil"/>
              <w:bottom w:val="nil"/>
              <w:right w:val="nil"/>
            </w:tcBorders>
            <w:shd w:val="clear" w:color="auto" w:fill="auto"/>
            <w:noWrap/>
            <w:vAlign w:val="center"/>
            <w:hideMark/>
          </w:tcPr>
          <w:p w14:paraId="1A943008" w14:textId="77777777" w:rsidR="00860024" w:rsidRPr="0070144F" w:rsidRDefault="00860024" w:rsidP="00860024">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Mo</w:t>
            </w:r>
          </w:p>
        </w:tc>
        <w:tc>
          <w:tcPr>
            <w:tcW w:w="1276" w:type="dxa"/>
            <w:tcBorders>
              <w:top w:val="nil"/>
              <w:left w:val="nil"/>
              <w:bottom w:val="nil"/>
              <w:right w:val="nil"/>
            </w:tcBorders>
            <w:shd w:val="clear" w:color="auto" w:fill="auto"/>
            <w:noWrap/>
            <w:vAlign w:val="bottom"/>
            <w:hideMark/>
          </w:tcPr>
          <w:p w14:paraId="4203569B" w14:textId="77777777" w:rsidR="00860024" w:rsidRPr="0070144F" w:rsidRDefault="00860024" w:rsidP="00860024">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30.0</w:t>
            </w:r>
          </w:p>
        </w:tc>
      </w:tr>
      <w:tr w:rsidR="00860024" w:rsidRPr="0070144F" w14:paraId="3E7E5848" w14:textId="77777777" w:rsidTr="004C688C">
        <w:trPr>
          <w:trHeight w:val="300"/>
        </w:trPr>
        <w:tc>
          <w:tcPr>
            <w:tcW w:w="1820" w:type="dxa"/>
            <w:tcBorders>
              <w:top w:val="nil"/>
              <w:left w:val="nil"/>
              <w:right w:val="nil"/>
            </w:tcBorders>
            <w:shd w:val="clear" w:color="auto" w:fill="auto"/>
            <w:noWrap/>
            <w:vAlign w:val="center"/>
            <w:hideMark/>
          </w:tcPr>
          <w:p w14:paraId="492AF77E" w14:textId="77777777" w:rsidR="00860024" w:rsidRPr="0070144F" w:rsidRDefault="00860024" w:rsidP="00860024">
            <w:pPr>
              <w:spacing w:after="0" w:line="240" w:lineRule="auto"/>
              <w:jc w:val="center"/>
              <w:rPr>
                <w:rFonts w:eastAsia="Times New Roman" w:cstheme="minorHAnsi"/>
                <w:color w:val="000000"/>
                <w:sz w:val="24"/>
                <w:szCs w:val="24"/>
              </w:rPr>
            </w:pPr>
            <w:proofErr w:type="spellStart"/>
            <w:r w:rsidRPr="0070144F">
              <w:rPr>
                <w:rFonts w:eastAsia="Times New Roman" w:cstheme="minorHAnsi"/>
                <w:color w:val="000000"/>
                <w:sz w:val="24"/>
                <w:szCs w:val="24"/>
              </w:rPr>
              <w:t>KCl</w:t>
            </w:r>
            <w:proofErr w:type="spellEnd"/>
          </w:p>
        </w:tc>
        <w:tc>
          <w:tcPr>
            <w:tcW w:w="1280" w:type="dxa"/>
            <w:tcBorders>
              <w:top w:val="nil"/>
              <w:left w:val="nil"/>
              <w:right w:val="nil"/>
            </w:tcBorders>
            <w:shd w:val="clear" w:color="auto" w:fill="auto"/>
            <w:noWrap/>
            <w:vAlign w:val="bottom"/>
            <w:hideMark/>
          </w:tcPr>
          <w:p w14:paraId="10656C20" w14:textId="22CABBCD" w:rsidR="00860024" w:rsidRPr="0070144F" w:rsidRDefault="00860024" w:rsidP="00B259A9">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1.50</w:t>
            </w:r>
          </w:p>
        </w:tc>
        <w:tc>
          <w:tcPr>
            <w:tcW w:w="1824" w:type="dxa"/>
            <w:tcBorders>
              <w:top w:val="nil"/>
              <w:left w:val="nil"/>
              <w:right w:val="nil"/>
            </w:tcBorders>
            <w:shd w:val="clear" w:color="auto" w:fill="auto"/>
            <w:noWrap/>
            <w:vAlign w:val="center"/>
            <w:hideMark/>
          </w:tcPr>
          <w:p w14:paraId="1DF1C8D1" w14:textId="77777777" w:rsidR="00860024" w:rsidRPr="0070144F" w:rsidRDefault="00860024" w:rsidP="00860024">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Co</w:t>
            </w:r>
          </w:p>
        </w:tc>
        <w:tc>
          <w:tcPr>
            <w:tcW w:w="1276" w:type="dxa"/>
            <w:tcBorders>
              <w:top w:val="nil"/>
              <w:left w:val="nil"/>
              <w:right w:val="nil"/>
            </w:tcBorders>
            <w:shd w:val="clear" w:color="auto" w:fill="auto"/>
            <w:noWrap/>
            <w:vAlign w:val="bottom"/>
            <w:hideMark/>
          </w:tcPr>
          <w:p w14:paraId="5FB1AE73" w14:textId="77777777" w:rsidR="00860024" w:rsidRPr="0070144F" w:rsidRDefault="00860024" w:rsidP="00860024">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10.9</w:t>
            </w:r>
          </w:p>
        </w:tc>
      </w:tr>
      <w:tr w:rsidR="00860024" w:rsidRPr="0070144F" w14:paraId="46B90956" w14:textId="77777777" w:rsidTr="004C688C">
        <w:trPr>
          <w:trHeight w:val="300"/>
        </w:trPr>
        <w:tc>
          <w:tcPr>
            <w:tcW w:w="1820" w:type="dxa"/>
            <w:tcBorders>
              <w:top w:val="nil"/>
              <w:left w:val="nil"/>
              <w:bottom w:val="single" w:sz="4" w:space="0" w:color="auto"/>
              <w:right w:val="nil"/>
            </w:tcBorders>
            <w:shd w:val="clear" w:color="auto" w:fill="auto"/>
            <w:noWrap/>
            <w:vAlign w:val="center"/>
            <w:hideMark/>
          </w:tcPr>
          <w:p w14:paraId="100D8838" w14:textId="77777777" w:rsidR="00860024" w:rsidRPr="0070144F" w:rsidRDefault="00860024" w:rsidP="00860024">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NaOH</w:t>
            </w:r>
          </w:p>
        </w:tc>
        <w:tc>
          <w:tcPr>
            <w:tcW w:w="1280" w:type="dxa"/>
            <w:tcBorders>
              <w:top w:val="nil"/>
              <w:left w:val="nil"/>
              <w:bottom w:val="single" w:sz="4" w:space="0" w:color="auto"/>
              <w:right w:val="nil"/>
            </w:tcBorders>
            <w:shd w:val="clear" w:color="auto" w:fill="auto"/>
            <w:noWrap/>
            <w:vAlign w:val="bottom"/>
            <w:hideMark/>
          </w:tcPr>
          <w:p w14:paraId="722F7973" w14:textId="56935B9F" w:rsidR="00860024" w:rsidRPr="0070144F" w:rsidRDefault="00860024" w:rsidP="00B259A9">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0.10</w:t>
            </w:r>
          </w:p>
        </w:tc>
        <w:tc>
          <w:tcPr>
            <w:tcW w:w="1824" w:type="dxa"/>
            <w:tcBorders>
              <w:top w:val="nil"/>
              <w:left w:val="nil"/>
              <w:bottom w:val="single" w:sz="4" w:space="0" w:color="auto"/>
              <w:right w:val="nil"/>
            </w:tcBorders>
            <w:shd w:val="clear" w:color="auto" w:fill="auto"/>
            <w:noWrap/>
            <w:vAlign w:val="center"/>
            <w:hideMark/>
          </w:tcPr>
          <w:p w14:paraId="225317F5" w14:textId="77777777" w:rsidR="00860024" w:rsidRPr="0070144F" w:rsidRDefault="00860024" w:rsidP="00860024">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Zn</w:t>
            </w:r>
          </w:p>
        </w:tc>
        <w:tc>
          <w:tcPr>
            <w:tcW w:w="1276" w:type="dxa"/>
            <w:tcBorders>
              <w:top w:val="nil"/>
              <w:left w:val="nil"/>
              <w:bottom w:val="single" w:sz="4" w:space="0" w:color="auto"/>
              <w:right w:val="nil"/>
            </w:tcBorders>
            <w:shd w:val="clear" w:color="auto" w:fill="auto"/>
            <w:noWrap/>
            <w:vAlign w:val="bottom"/>
            <w:hideMark/>
          </w:tcPr>
          <w:p w14:paraId="68CACA1F" w14:textId="77777777" w:rsidR="00860024" w:rsidRPr="0070144F" w:rsidRDefault="00860024" w:rsidP="00860024">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24.3</w:t>
            </w:r>
          </w:p>
        </w:tc>
      </w:tr>
    </w:tbl>
    <w:p w14:paraId="43A80EAB" w14:textId="77777777" w:rsidR="00D65FDC" w:rsidRDefault="00D65FDC" w:rsidP="00D65FDC">
      <w:pPr>
        <w:rPr>
          <w:rFonts w:cstheme="minorHAnsi"/>
          <w:b/>
          <w:sz w:val="24"/>
          <w:szCs w:val="24"/>
        </w:rPr>
      </w:pPr>
    </w:p>
    <w:p w14:paraId="35D70EC1" w14:textId="15E3638A" w:rsidR="004E34BB" w:rsidRDefault="004E34BB" w:rsidP="00995C16">
      <w:pPr>
        <w:spacing w:line="480" w:lineRule="auto"/>
        <w:jc w:val="both"/>
        <w:rPr>
          <w:rFonts w:cstheme="minorHAnsi"/>
          <w:sz w:val="24"/>
          <w:szCs w:val="24"/>
        </w:rPr>
      </w:pPr>
      <w:r>
        <w:rPr>
          <w:rFonts w:cstheme="minorHAnsi"/>
          <w:sz w:val="24"/>
          <w:szCs w:val="24"/>
        </w:rPr>
        <w:t>A</w:t>
      </w:r>
      <w:r w:rsidRPr="001E1855">
        <w:rPr>
          <w:rFonts w:cstheme="minorHAnsi"/>
          <w:sz w:val="24"/>
          <w:szCs w:val="24"/>
        </w:rPr>
        <w:t xml:space="preserve">ll labware were soaked for </w:t>
      </w:r>
      <w:r>
        <w:rPr>
          <w:rFonts w:cstheme="minorHAnsi"/>
          <w:sz w:val="24"/>
          <w:szCs w:val="24"/>
        </w:rPr>
        <w:t>at least one</w:t>
      </w:r>
      <w:r w:rsidRPr="001E1855">
        <w:rPr>
          <w:rFonts w:cstheme="minorHAnsi"/>
          <w:sz w:val="24"/>
          <w:szCs w:val="24"/>
        </w:rPr>
        <w:t xml:space="preserve"> day in 7.5% nitric acid (HNO</w:t>
      </w:r>
      <w:r w:rsidRPr="001E1855">
        <w:rPr>
          <w:rFonts w:cstheme="minorHAnsi"/>
          <w:sz w:val="24"/>
          <w:szCs w:val="24"/>
          <w:vertAlign w:val="subscript"/>
        </w:rPr>
        <w:t>3</w:t>
      </w:r>
      <w:r w:rsidRPr="001E1855">
        <w:rPr>
          <w:rFonts w:cstheme="minorHAnsi"/>
          <w:sz w:val="24"/>
          <w:szCs w:val="24"/>
        </w:rPr>
        <w:t xml:space="preserve">), 7.5% hydrochloric acid (HCl; volume/volume (v/v)) and rinsed </w:t>
      </w:r>
      <w:r>
        <w:rPr>
          <w:rFonts w:cstheme="minorHAnsi"/>
          <w:sz w:val="24"/>
          <w:szCs w:val="24"/>
        </w:rPr>
        <w:t>five</w:t>
      </w:r>
      <w:r w:rsidRPr="001E1855">
        <w:rPr>
          <w:rFonts w:cstheme="minorHAnsi"/>
          <w:sz w:val="24"/>
          <w:szCs w:val="24"/>
        </w:rPr>
        <w:t xml:space="preserve"> times with deionized water and two times with ultrapure water (18 MΩ cm). </w:t>
      </w:r>
      <w:r>
        <w:rPr>
          <w:rFonts w:cstheme="minorHAnsi"/>
          <w:sz w:val="24"/>
          <w:szCs w:val="24"/>
        </w:rPr>
        <w:t xml:space="preserve">To maintain axenic cultures, </w:t>
      </w:r>
      <w:r w:rsidRPr="001E1855">
        <w:rPr>
          <w:rFonts w:cstheme="minorHAnsi"/>
          <w:sz w:val="24"/>
          <w:szCs w:val="24"/>
        </w:rPr>
        <w:t>Erlenmeyer flasks were sterilized with the culture media (without trace elements and sodium hydroxide (NaOH)) at 121</w:t>
      </w:r>
      <w:r w:rsidRPr="001E1855">
        <w:rPr>
          <w:rFonts w:cstheme="minorHAnsi"/>
          <w:sz w:val="24"/>
          <w:szCs w:val="24"/>
          <w:vertAlign w:val="superscript"/>
        </w:rPr>
        <w:t>o</w:t>
      </w:r>
      <w:r w:rsidRPr="001E1855">
        <w:rPr>
          <w:rFonts w:cstheme="minorHAnsi"/>
          <w:sz w:val="24"/>
          <w:szCs w:val="24"/>
        </w:rPr>
        <w:t>C for 15 minutes in an autoclave. After sterilization and cooling, NaOH and trace elements were added. Culture media was inoculated using sterilized pipet tips under a laminar flow hood. A sterile piece of cotton (USP Sterile Cotton Roll, U.S. Cotton) was put in the opening of</w:t>
      </w:r>
      <w:r>
        <w:rPr>
          <w:rFonts w:cstheme="minorHAnsi"/>
          <w:sz w:val="24"/>
          <w:szCs w:val="24"/>
        </w:rPr>
        <w:t xml:space="preserve"> each flask to prevent biological</w:t>
      </w:r>
      <w:r w:rsidRPr="001E1855">
        <w:rPr>
          <w:rFonts w:cstheme="minorHAnsi"/>
          <w:sz w:val="24"/>
          <w:szCs w:val="24"/>
        </w:rPr>
        <w:t xml:space="preserve"> contamination. Cultures were held in an environmental growth chamber (Thermo Scientific) at 20</w:t>
      </w:r>
      <w:r w:rsidRPr="001E1855">
        <w:rPr>
          <w:rFonts w:eastAsia="MTSY" w:cstheme="minorHAnsi"/>
          <w:sz w:val="24"/>
          <w:szCs w:val="24"/>
          <w:vertAlign w:val="superscript"/>
        </w:rPr>
        <w:t>o</w:t>
      </w:r>
      <w:r w:rsidRPr="001E1855">
        <w:rPr>
          <w:rFonts w:cstheme="minorHAnsi"/>
          <w:sz w:val="24"/>
          <w:szCs w:val="24"/>
        </w:rPr>
        <w:t>C (± 1) under constant fluorescent light (1000 lux). Flasks were rotated at the rate of 100 rotations per minute (VWR Standard Orbital Shaker; Model 3500).</w:t>
      </w:r>
    </w:p>
    <w:p w14:paraId="67B80954" w14:textId="77777777" w:rsidR="00610391" w:rsidRDefault="00610391" w:rsidP="004E34BB">
      <w:pPr>
        <w:spacing w:line="480" w:lineRule="auto"/>
        <w:rPr>
          <w:rFonts w:cstheme="minorHAnsi"/>
          <w:sz w:val="24"/>
          <w:szCs w:val="24"/>
        </w:rPr>
      </w:pPr>
    </w:p>
    <w:p w14:paraId="1A4ABFD9" w14:textId="77777777" w:rsidR="00610391" w:rsidRDefault="00610391" w:rsidP="004E34BB">
      <w:pPr>
        <w:spacing w:line="480" w:lineRule="auto"/>
        <w:rPr>
          <w:rFonts w:cstheme="minorHAnsi"/>
          <w:sz w:val="24"/>
          <w:szCs w:val="24"/>
        </w:rPr>
      </w:pPr>
    </w:p>
    <w:p w14:paraId="5036A6D3" w14:textId="77777777" w:rsidR="00610391" w:rsidRPr="00E40A4F" w:rsidRDefault="00610391" w:rsidP="00610391">
      <w:pPr>
        <w:pStyle w:val="Paragraphedeliste"/>
        <w:numPr>
          <w:ilvl w:val="0"/>
          <w:numId w:val="2"/>
        </w:numPr>
        <w:rPr>
          <w:rFonts w:cstheme="minorHAnsi"/>
          <w:b/>
          <w:sz w:val="24"/>
          <w:szCs w:val="24"/>
        </w:rPr>
      </w:pPr>
      <w:r>
        <w:rPr>
          <w:rFonts w:cstheme="minorHAnsi"/>
          <w:b/>
          <w:sz w:val="24"/>
          <w:szCs w:val="24"/>
        </w:rPr>
        <w:lastRenderedPageBreak/>
        <w:t>Hydrodynamic size and zeta potential</w:t>
      </w:r>
    </w:p>
    <w:p w14:paraId="5BAAC331" w14:textId="29C1C4C6" w:rsidR="00610391" w:rsidRPr="00E40A4F" w:rsidRDefault="00610391" w:rsidP="00995C16">
      <w:pPr>
        <w:jc w:val="both"/>
        <w:rPr>
          <w:rFonts w:cstheme="minorHAnsi"/>
          <w:sz w:val="24"/>
          <w:szCs w:val="24"/>
        </w:rPr>
      </w:pPr>
      <w:r w:rsidRPr="00E40A4F">
        <w:rPr>
          <w:rFonts w:cstheme="minorHAnsi"/>
          <w:b/>
          <w:sz w:val="24"/>
          <w:szCs w:val="24"/>
        </w:rPr>
        <w:t>Supplementary Figure S1:</w:t>
      </w:r>
      <w:r w:rsidRPr="00E40A4F">
        <w:rPr>
          <w:rFonts w:cstheme="minorHAnsi"/>
          <w:sz w:val="24"/>
          <w:szCs w:val="24"/>
        </w:rPr>
        <w:t xml:space="preserve"> The hydrodynamic size of the core-shell </w:t>
      </w:r>
      <w:proofErr w:type="spellStart"/>
      <w:r w:rsidRPr="00E40A4F">
        <w:rPr>
          <w:rFonts w:cstheme="minorHAnsi"/>
          <w:sz w:val="24"/>
          <w:szCs w:val="24"/>
        </w:rPr>
        <w:t>Ag@Au@Ag</w:t>
      </w:r>
      <w:proofErr w:type="spellEnd"/>
      <w:r w:rsidRPr="00E40A4F">
        <w:rPr>
          <w:rFonts w:cstheme="minorHAnsi"/>
          <w:sz w:val="24"/>
          <w:szCs w:val="24"/>
        </w:rPr>
        <w:t xml:space="preserve"> nanoparticles was measured using dynamic light scattering (DLS) in ultrapure water (31 ± 11 nm (± SD)). The zeta potential was -47 mV</w:t>
      </w:r>
      <w:r w:rsidR="00FF7FE8">
        <w:rPr>
          <w:rFonts w:cstheme="minorHAnsi"/>
          <w:sz w:val="24"/>
          <w:szCs w:val="24"/>
        </w:rPr>
        <w:t>.</w:t>
      </w:r>
      <w:r w:rsidRPr="00E40A4F">
        <w:rPr>
          <w:rFonts w:cstheme="minorHAnsi"/>
          <w:sz w:val="24"/>
          <w:szCs w:val="24"/>
        </w:rPr>
        <w:t xml:space="preserve"> </w:t>
      </w:r>
      <w:bookmarkStart w:id="1" w:name="_Hlk8395293"/>
      <w:r w:rsidR="00FF7FE8">
        <w:rPr>
          <w:rFonts w:cstheme="minorHAnsi"/>
          <w:sz w:val="24"/>
          <w:szCs w:val="24"/>
        </w:rPr>
        <w:t xml:space="preserve">The polydispersity index was 0.19. The measurement was made during 70 seconds and the count rate was 207 </w:t>
      </w:r>
      <w:proofErr w:type="spellStart"/>
      <w:r w:rsidR="00FF7FE8">
        <w:rPr>
          <w:rFonts w:cstheme="minorHAnsi"/>
          <w:sz w:val="24"/>
          <w:szCs w:val="24"/>
        </w:rPr>
        <w:t>kcounts</w:t>
      </w:r>
      <w:proofErr w:type="spellEnd"/>
      <w:r w:rsidR="00FF7FE8">
        <w:rPr>
          <w:rFonts w:cstheme="minorHAnsi"/>
          <w:sz w:val="24"/>
          <w:szCs w:val="24"/>
        </w:rPr>
        <w:t xml:space="preserve"> per second </w:t>
      </w:r>
      <w:r w:rsidR="00FF7FE8" w:rsidRPr="00E40A4F">
        <w:rPr>
          <w:rFonts w:cstheme="minorHAnsi"/>
          <w:sz w:val="24"/>
          <w:szCs w:val="24"/>
        </w:rPr>
        <w:t xml:space="preserve">(measured with </w:t>
      </w:r>
      <w:proofErr w:type="spellStart"/>
      <w:r w:rsidR="00FF7FE8" w:rsidRPr="00E40A4F">
        <w:rPr>
          <w:rFonts w:cstheme="minorHAnsi"/>
          <w:sz w:val="24"/>
          <w:szCs w:val="24"/>
        </w:rPr>
        <w:t>Zetasizer</w:t>
      </w:r>
      <w:proofErr w:type="spellEnd"/>
      <w:r w:rsidR="00FF7FE8" w:rsidRPr="00E40A4F">
        <w:rPr>
          <w:rFonts w:cstheme="minorHAnsi"/>
          <w:sz w:val="24"/>
          <w:szCs w:val="24"/>
        </w:rPr>
        <w:t xml:space="preserve"> </w:t>
      </w:r>
      <w:proofErr w:type="spellStart"/>
      <w:r w:rsidR="00FF7FE8" w:rsidRPr="00E40A4F">
        <w:rPr>
          <w:rFonts w:cstheme="minorHAnsi"/>
          <w:sz w:val="24"/>
          <w:szCs w:val="24"/>
        </w:rPr>
        <w:t>Nanoseries</w:t>
      </w:r>
      <w:proofErr w:type="spellEnd"/>
      <w:r w:rsidR="00FF7FE8" w:rsidRPr="00E40A4F">
        <w:rPr>
          <w:rFonts w:cstheme="minorHAnsi"/>
          <w:sz w:val="24"/>
          <w:szCs w:val="24"/>
        </w:rPr>
        <w:t>, Malvern)</w:t>
      </w:r>
      <w:r w:rsidR="00FF7FE8">
        <w:rPr>
          <w:rFonts w:cstheme="minorHAnsi"/>
          <w:sz w:val="24"/>
          <w:szCs w:val="24"/>
        </w:rPr>
        <w:t>.</w:t>
      </w:r>
      <w:bookmarkEnd w:id="1"/>
    </w:p>
    <w:p w14:paraId="410F2723" w14:textId="77777777" w:rsidR="00610391" w:rsidRPr="0070144F" w:rsidRDefault="00610391" w:rsidP="00610391">
      <w:pPr>
        <w:jc w:val="center"/>
        <w:rPr>
          <w:rFonts w:cstheme="minorHAnsi"/>
          <w:b/>
          <w:sz w:val="24"/>
          <w:szCs w:val="24"/>
        </w:rPr>
      </w:pPr>
      <w:r w:rsidRPr="0070144F">
        <w:rPr>
          <w:rFonts w:cstheme="minorHAnsi"/>
          <w:noProof/>
          <w:sz w:val="24"/>
          <w:szCs w:val="24"/>
        </w:rPr>
        <w:drawing>
          <wp:inline distT="0" distB="0" distL="0" distR="0" wp14:anchorId="7D5D389C" wp14:editId="7C51C323">
            <wp:extent cx="4608576" cy="1499156"/>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642" t="47240" r="65050" b="34077"/>
                    <a:stretch/>
                  </pic:blipFill>
                  <pic:spPr bwMode="auto">
                    <a:xfrm>
                      <a:off x="0" y="0"/>
                      <a:ext cx="4629878" cy="1506086"/>
                    </a:xfrm>
                    <a:prstGeom prst="rect">
                      <a:avLst/>
                    </a:prstGeom>
                    <a:ln>
                      <a:noFill/>
                    </a:ln>
                    <a:extLst>
                      <a:ext uri="{53640926-AAD7-44D8-BBD7-CCE9431645EC}">
                        <a14:shadowObscured xmlns:a14="http://schemas.microsoft.com/office/drawing/2010/main"/>
                      </a:ext>
                    </a:extLst>
                  </pic:spPr>
                </pic:pic>
              </a:graphicData>
            </a:graphic>
          </wp:inline>
        </w:drawing>
      </w:r>
    </w:p>
    <w:p w14:paraId="4218E5DA" w14:textId="77777777" w:rsidR="00610391" w:rsidRPr="0070144F" w:rsidRDefault="00610391" w:rsidP="004E34BB">
      <w:pPr>
        <w:spacing w:line="480" w:lineRule="auto"/>
        <w:rPr>
          <w:rFonts w:cstheme="minorHAnsi"/>
          <w:b/>
          <w:sz w:val="24"/>
          <w:szCs w:val="24"/>
        </w:rPr>
      </w:pPr>
    </w:p>
    <w:p w14:paraId="1B8DC984" w14:textId="57E41E09" w:rsidR="00E40A4F" w:rsidRPr="00E40A4F" w:rsidRDefault="00E40A4F" w:rsidP="00E40A4F">
      <w:pPr>
        <w:pStyle w:val="Paragraphedeliste"/>
        <w:numPr>
          <w:ilvl w:val="0"/>
          <w:numId w:val="2"/>
        </w:numPr>
        <w:rPr>
          <w:rFonts w:cstheme="minorHAnsi"/>
          <w:b/>
          <w:sz w:val="24"/>
          <w:szCs w:val="24"/>
        </w:rPr>
      </w:pPr>
      <w:r>
        <w:rPr>
          <w:rFonts w:cstheme="minorHAnsi"/>
          <w:b/>
          <w:sz w:val="24"/>
          <w:szCs w:val="24"/>
        </w:rPr>
        <w:t>Exposure media</w:t>
      </w:r>
      <w:r w:rsidR="006F189A" w:rsidRPr="00E40A4F">
        <w:rPr>
          <w:rFonts w:cstheme="minorHAnsi"/>
          <w:b/>
          <w:sz w:val="24"/>
          <w:szCs w:val="24"/>
        </w:rPr>
        <w:t xml:space="preserve"> </w:t>
      </w:r>
    </w:p>
    <w:p w14:paraId="21479B94" w14:textId="370B48BB" w:rsidR="00D65FDC" w:rsidRPr="0070144F" w:rsidRDefault="00D65FDC" w:rsidP="00995C16">
      <w:pPr>
        <w:jc w:val="both"/>
        <w:rPr>
          <w:rFonts w:cstheme="minorHAnsi"/>
          <w:sz w:val="24"/>
          <w:szCs w:val="24"/>
        </w:rPr>
      </w:pPr>
      <w:r w:rsidRPr="0070144F">
        <w:rPr>
          <w:rFonts w:cstheme="minorHAnsi"/>
          <w:b/>
          <w:sz w:val="24"/>
          <w:szCs w:val="24"/>
        </w:rPr>
        <w:t>Supplementary Table S2:</w:t>
      </w:r>
      <w:r w:rsidRPr="0070144F">
        <w:rPr>
          <w:rFonts w:cstheme="minorHAnsi"/>
          <w:sz w:val="24"/>
          <w:szCs w:val="24"/>
        </w:rPr>
        <w:t xml:space="preserve"> </w:t>
      </w:r>
      <w:r w:rsidR="00257318">
        <w:rPr>
          <w:rFonts w:cstheme="minorHAnsi"/>
          <w:sz w:val="24"/>
          <w:szCs w:val="24"/>
        </w:rPr>
        <w:t>C</w:t>
      </w:r>
      <w:r w:rsidRPr="0070144F">
        <w:rPr>
          <w:rFonts w:cstheme="minorHAnsi"/>
          <w:sz w:val="24"/>
          <w:szCs w:val="24"/>
        </w:rPr>
        <w:t>oncentrations of major salts in the moderately hard water (</w:t>
      </w:r>
      <w:r w:rsidR="00B42AF1">
        <w:rPr>
          <w:rFonts w:cstheme="minorHAnsi"/>
          <w:sz w:val="24"/>
          <w:szCs w:val="24"/>
        </w:rPr>
        <w:t>MHW</w:t>
      </w:r>
      <w:r w:rsidRPr="0070144F">
        <w:rPr>
          <w:rFonts w:cstheme="minorHAnsi"/>
          <w:sz w:val="24"/>
          <w:szCs w:val="24"/>
        </w:rPr>
        <w:t>; US EPA, 2002) us</w:t>
      </w:r>
      <w:r w:rsidR="00970509" w:rsidRPr="0070144F">
        <w:rPr>
          <w:rFonts w:cstheme="minorHAnsi"/>
          <w:sz w:val="24"/>
          <w:szCs w:val="24"/>
        </w:rPr>
        <w:t>ed for exposure. The ionic strengt</w:t>
      </w:r>
      <w:r w:rsidR="00CC0E9D">
        <w:rPr>
          <w:rFonts w:cstheme="minorHAnsi"/>
          <w:sz w:val="24"/>
          <w:szCs w:val="24"/>
        </w:rPr>
        <w:t>h</w:t>
      </w:r>
      <w:r w:rsidRPr="0070144F">
        <w:rPr>
          <w:rFonts w:cstheme="minorHAnsi"/>
          <w:sz w:val="24"/>
          <w:szCs w:val="24"/>
        </w:rPr>
        <w:t xml:space="preserve"> was 10.5 </w:t>
      </w:r>
      <w:proofErr w:type="spellStart"/>
      <w:r w:rsidRPr="0070144F">
        <w:rPr>
          <w:rFonts w:cstheme="minorHAnsi"/>
          <w:sz w:val="24"/>
          <w:szCs w:val="24"/>
        </w:rPr>
        <w:t>meq</w:t>
      </w:r>
      <w:proofErr w:type="spellEnd"/>
      <w:r w:rsidRPr="0070144F">
        <w:rPr>
          <w:rFonts w:cstheme="minorHAnsi"/>
          <w:sz w:val="24"/>
          <w:szCs w:val="24"/>
        </w:rPr>
        <w:t xml:space="preserve">/L. </w:t>
      </w:r>
    </w:p>
    <w:tbl>
      <w:tblPr>
        <w:tblW w:w="5020" w:type="dxa"/>
        <w:tblInd w:w="1647" w:type="dxa"/>
        <w:tblLook w:val="04A0" w:firstRow="1" w:lastRow="0" w:firstColumn="1" w:lastColumn="0" w:noHBand="0" w:noVBand="1"/>
      </w:tblPr>
      <w:tblGrid>
        <w:gridCol w:w="1580"/>
        <w:gridCol w:w="1820"/>
        <w:gridCol w:w="1620"/>
      </w:tblGrid>
      <w:tr w:rsidR="00860024" w:rsidRPr="0070144F" w14:paraId="5F73663E" w14:textId="77777777" w:rsidTr="00860024">
        <w:trPr>
          <w:trHeight w:val="300"/>
        </w:trPr>
        <w:tc>
          <w:tcPr>
            <w:tcW w:w="1580" w:type="dxa"/>
            <w:tcBorders>
              <w:top w:val="single" w:sz="4" w:space="0" w:color="auto"/>
              <w:left w:val="nil"/>
              <w:bottom w:val="double" w:sz="4" w:space="0" w:color="auto"/>
              <w:right w:val="nil"/>
            </w:tcBorders>
            <w:shd w:val="clear" w:color="auto" w:fill="auto"/>
            <w:noWrap/>
            <w:vAlign w:val="bottom"/>
            <w:hideMark/>
          </w:tcPr>
          <w:p w14:paraId="47795013" w14:textId="377D51E8" w:rsidR="00860024" w:rsidRPr="0070144F" w:rsidRDefault="00860024" w:rsidP="00860024">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Salt</w:t>
            </w:r>
            <w:r w:rsidR="00B42AF1">
              <w:rPr>
                <w:rFonts w:eastAsia="Times New Roman" w:cstheme="minorHAnsi"/>
                <w:color w:val="000000"/>
                <w:sz w:val="24"/>
                <w:szCs w:val="24"/>
              </w:rPr>
              <w:t>s</w:t>
            </w:r>
          </w:p>
        </w:tc>
        <w:tc>
          <w:tcPr>
            <w:tcW w:w="1820" w:type="dxa"/>
            <w:tcBorders>
              <w:top w:val="single" w:sz="4" w:space="0" w:color="auto"/>
              <w:left w:val="nil"/>
              <w:bottom w:val="double" w:sz="4" w:space="0" w:color="auto"/>
              <w:right w:val="nil"/>
            </w:tcBorders>
            <w:shd w:val="clear" w:color="auto" w:fill="auto"/>
            <w:noWrap/>
            <w:vAlign w:val="bottom"/>
            <w:hideMark/>
          </w:tcPr>
          <w:p w14:paraId="1401CAD6" w14:textId="77777777" w:rsidR="00860024" w:rsidRPr="0070144F" w:rsidRDefault="00860024" w:rsidP="00860024">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[Salt] (mg/L)</w:t>
            </w:r>
          </w:p>
        </w:tc>
        <w:tc>
          <w:tcPr>
            <w:tcW w:w="1620" w:type="dxa"/>
            <w:tcBorders>
              <w:top w:val="single" w:sz="4" w:space="0" w:color="auto"/>
              <w:left w:val="nil"/>
              <w:bottom w:val="double" w:sz="4" w:space="0" w:color="auto"/>
              <w:right w:val="nil"/>
            </w:tcBorders>
            <w:shd w:val="clear" w:color="auto" w:fill="auto"/>
            <w:noWrap/>
            <w:vAlign w:val="bottom"/>
            <w:hideMark/>
          </w:tcPr>
          <w:p w14:paraId="23CF36BB" w14:textId="77777777" w:rsidR="00860024" w:rsidRPr="0070144F" w:rsidRDefault="00860024" w:rsidP="00860024">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[Salt] (µM)</w:t>
            </w:r>
          </w:p>
        </w:tc>
      </w:tr>
      <w:tr w:rsidR="00860024" w:rsidRPr="0070144F" w14:paraId="0FB07DA2" w14:textId="77777777" w:rsidTr="00860024">
        <w:trPr>
          <w:trHeight w:val="300"/>
        </w:trPr>
        <w:tc>
          <w:tcPr>
            <w:tcW w:w="1580" w:type="dxa"/>
            <w:tcBorders>
              <w:top w:val="double" w:sz="4" w:space="0" w:color="auto"/>
              <w:left w:val="nil"/>
              <w:bottom w:val="nil"/>
              <w:right w:val="nil"/>
            </w:tcBorders>
            <w:shd w:val="clear" w:color="auto" w:fill="auto"/>
            <w:noWrap/>
            <w:vAlign w:val="bottom"/>
            <w:hideMark/>
          </w:tcPr>
          <w:p w14:paraId="69264F35" w14:textId="77777777" w:rsidR="00860024" w:rsidRPr="0070144F" w:rsidRDefault="00860024" w:rsidP="00860024">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NaHCO</w:t>
            </w:r>
            <w:r w:rsidRPr="0070144F">
              <w:rPr>
                <w:rFonts w:eastAsia="Times New Roman" w:cstheme="minorHAnsi"/>
                <w:color w:val="000000"/>
                <w:sz w:val="24"/>
                <w:szCs w:val="24"/>
                <w:vertAlign w:val="subscript"/>
              </w:rPr>
              <w:t>3</w:t>
            </w:r>
          </w:p>
        </w:tc>
        <w:tc>
          <w:tcPr>
            <w:tcW w:w="1820" w:type="dxa"/>
            <w:tcBorders>
              <w:top w:val="double" w:sz="4" w:space="0" w:color="auto"/>
              <w:left w:val="nil"/>
              <w:bottom w:val="nil"/>
              <w:right w:val="nil"/>
            </w:tcBorders>
            <w:shd w:val="clear" w:color="auto" w:fill="auto"/>
            <w:noWrap/>
            <w:vAlign w:val="bottom"/>
            <w:hideMark/>
          </w:tcPr>
          <w:p w14:paraId="7DB999AA" w14:textId="77777777" w:rsidR="00860024" w:rsidRPr="0070144F" w:rsidRDefault="00860024" w:rsidP="00860024">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96</w:t>
            </w:r>
          </w:p>
        </w:tc>
        <w:tc>
          <w:tcPr>
            <w:tcW w:w="1620" w:type="dxa"/>
            <w:tcBorders>
              <w:top w:val="double" w:sz="4" w:space="0" w:color="auto"/>
              <w:left w:val="nil"/>
              <w:bottom w:val="nil"/>
              <w:right w:val="nil"/>
            </w:tcBorders>
            <w:shd w:val="clear" w:color="auto" w:fill="auto"/>
            <w:noWrap/>
            <w:vAlign w:val="bottom"/>
            <w:hideMark/>
          </w:tcPr>
          <w:p w14:paraId="544900CC" w14:textId="77777777" w:rsidR="00860024" w:rsidRPr="0070144F" w:rsidRDefault="00860024" w:rsidP="00860024">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1143</w:t>
            </w:r>
          </w:p>
        </w:tc>
      </w:tr>
      <w:tr w:rsidR="00860024" w:rsidRPr="0070144F" w14:paraId="46F1CBA2" w14:textId="77777777" w:rsidTr="00860024">
        <w:trPr>
          <w:trHeight w:val="300"/>
        </w:trPr>
        <w:tc>
          <w:tcPr>
            <w:tcW w:w="1580" w:type="dxa"/>
            <w:tcBorders>
              <w:top w:val="nil"/>
              <w:left w:val="nil"/>
              <w:bottom w:val="nil"/>
              <w:right w:val="nil"/>
            </w:tcBorders>
            <w:shd w:val="clear" w:color="auto" w:fill="auto"/>
            <w:noWrap/>
            <w:vAlign w:val="bottom"/>
            <w:hideMark/>
          </w:tcPr>
          <w:p w14:paraId="00D07C6F" w14:textId="77777777" w:rsidR="00860024" w:rsidRPr="0070144F" w:rsidRDefault="00860024" w:rsidP="00860024">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CaSO</w:t>
            </w:r>
            <w:r w:rsidRPr="0070144F">
              <w:rPr>
                <w:rFonts w:eastAsia="Times New Roman" w:cstheme="minorHAnsi"/>
                <w:color w:val="000000"/>
                <w:sz w:val="24"/>
                <w:szCs w:val="24"/>
                <w:vertAlign w:val="subscript"/>
              </w:rPr>
              <w:t>4</w:t>
            </w:r>
            <w:r w:rsidRPr="0070144F">
              <w:rPr>
                <w:rFonts w:eastAsia="Times New Roman" w:cstheme="minorHAnsi"/>
                <w:color w:val="000000"/>
                <w:sz w:val="24"/>
                <w:szCs w:val="24"/>
              </w:rPr>
              <w:t>; 2H</w:t>
            </w:r>
            <w:r w:rsidRPr="0070144F">
              <w:rPr>
                <w:rFonts w:eastAsia="Times New Roman" w:cstheme="minorHAnsi"/>
                <w:color w:val="000000"/>
                <w:sz w:val="24"/>
                <w:szCs w:val="24"/>
                <w:vertAlign w:val="subscript"/>
              </w:rPr>
              <w:t>2</w:t>
            </w:r>
            <w:r w:rsidRPr="0070144F">
              <w:rPr>
                <w:rFonts w:eastAsia="Times New Roman" w:cstheme="minorHAnsi"/>
                <w:color w:val="000000"/>
                <w:sz w:val="24"/>
                <w:szCs w:val="24"/>
              </w:rPr>
              <w:t>O</w:t>
            </w:r>
          </w:p>
        </w:tc>
        <w:tc>
          <w:tcPr>
            <w:tcW w:w="1820" w:type="dxa"/>
            <w:tcBorders>
              <w:top w:val="nil"/>
              <w:left w:val="nil"/>
              <w:bottom w:val="nil"/>
              <w:right w:val="nil"/>
            </w:tcBorders>
            <w:shd w:val="clear" w:color="auto" w:fill="auto"/>
            <w:noWrap/>
            <w:vAlign w:val="bottom"/>
            <w:hideMark/>
          </w:tcPr>
          <w:p w14:paraId="594253DD" w14:textId="77777777" w:rsidR="00860024" w:rsidRPr="0070144F" w:rsidRDefault="00860024" w:rsidP="00860024">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60</w:t>
            </w:r>
          </w:p>
        </w:tc>
        <w:tc>
          <w:tcPr>
            <w:tcW w:w="1620" w:type="dxa"/>
            <w:tcBorders>
              <w:top w:val="nil"/>
              <w:left w:val="nil"/>
              <w:bottom w:val="nil"/>
              <w:right w:val="nil"/>
            </w:tcBorders>
            <w:shd w:val="clear" w:color="auto" w:fill="auto"/>
            <w:noWrap/>
            <w:vAlign w:val="bottom"/>
            <w:hideMark/>
          </w:tcPr>
          <w:p w14:paraId="60981F33" w14:textId="77777777" w:rsidR="00860024" w:rsidRPr="0070144F" w:rsidRDefault="00860024" w:rsidP="00860024">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348</w:t>
            </w:r>
          </w:p>
        </w:tc>
      </w:tr>
      <w:tr w:rsidR="00860024" w:rsidRPr="0070144F" w14:paraId="07533FFF" w14:textId="77777777" w:rsidTr="00860024">
        <w:trPr>
          <w:trHeight w:val="300"/>
        </w:trPr>
        <w:tc>
          <w:tcPr>
            <w:tcW w:w="1580" w:type="dxa"/>
            <w:tcBorders>
              <w:top w:val="nil"/>
              <w:left w:val="nil"/>
              <w:right w:val="nil"/>
            </w:tcBorders>
            <w:shd w:val="clear" w:color="auto" w:fill="auto"/>
            <w:noWrap/>
            <w:vAlign w:val="bottom"/>
            <w:hideMark/>
          </w:tcPr>
          <w:p w14:paraId="451DD31A" w14:textId="77777777" w:rsidR="00860024" w:rsidRPr="0070144F" w:rsidRDefault="00860024" w:rsidP="00860024">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MgSO</w:t>
            </w:r>
            <w:r w:rsidRPr="0070144F">
              <w:rPr>
                <w:rFonts w:eastAsia="Times New Roman" w:cstheme="minorHAnsi"/>
                <w:color w:val="000000"/>
                <w:sz w:val="24"/>
                <w:szCs w:val="24"/>
                <w:vertAlign w:val="subscript"/>
              </w:rPr>
              <w:t>4</w:t>
            </w:r>
          </w:p>
        </w:tc>
        <w:tc>
          <w:tcPr>
            <w:tcW w:w="1820" w:type="dxa"/>
            <w:tcBorders>
              <w:top w:val="nil"/>
              <w:left w:val="nil"/>
              <w:right w:val="nil"/>
            </w:tcBorders>
            <w:shd w:val="clear" w:color="auto" w:fill="auto"/>
            <w:noWrap/>
            <w:vAlign w:val="bottom"/>
            <w:hideMark/>
          </w:tcPr>
          <w:p w14:paraId="243870B4" w14:textId="77777777" w:rsidR="00860024" w:rsidRPr="0070144F" w:rsidRDefault="00860024" w:rsidP="00860024">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60</w:t>
            </w:r>
          </w:p>
        </w:tc>
        <w:tc>
          <w:tcPr>
            <w:tcW w:w="1620" w:type="dxa"/>
            <w:tcBorders>
              <w:top w:val="nil"/>
              <w:left w:val="nil"/>
              <w:right w:val="nil"/>
            </w:tcBorders>
            <w:shd w:val="clear" w:color="auto" w:fill="auto"/>
            <w:noWrap/>
            <w:vAlign w:val="bottom"/>
            <w:hideMark/>
          </w:tcPr>
          <w:p w14:paraId="24485E38" w14:textId="77777777" w:rsidR="00860024" w:rsidRPr="0070144F" w:rsidRDefault="00860024" w:rsidP="00860024">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285</w:t>
            </w:r>
          </w:p>
        </w:tc>
      </w:tr>
      <w:tr w:rsidR="00860024" w:rsidRPr="0070144F" w14:paraId="2CA1AAD8" w14:textId="77777777" w:rsidTr="00860024">
        <w:trPr>
          <w:trHeight w:val="300"/>
        </w:trPr>
        <w:tc>
          <w:tcPr>
            <w:tcW w:w="1580" w:type="dxa"/>
            <w:tcBorders>
              <w:top w:val="nil"/>
              <w:left w:val="nil"/>
              <w:bottom w:val="single" w:sz="4" w:space="0" w:color="auto"/>
              <w:right w:val="nil"/>
            </w:tcBorders>
            <w:shd w:val="clear" w:color="auto" w:fill="auto"/>
            <w:noWrap/>
            <w:vAlign w:val="bottom"/>
            <w:hideMark/>
          </w:tcPr>
          <w:p w14:paraId="1FCACF36" w14:textId="77777777" w:rsidR="00860024" w:rsidRPr="0070144F" w:rsidRDefault="00860024" w:rsidP="00860024">
            <w:pPr>
              <w:spacing w:after="0" w:line="240" w:lineRule="auto"/>
              <w:jc w:val="center"/>
              <w:rPr>
                <w:rFonts w:eastAsia="Times New Roman" w:cstheme="minorHAnsi"/>
                <w:color w:val="000000"/>
                <w:sz w:val="24"/>
                <w:szCs w:val="24"/>
              </w:rPr>
            </w:pPr>
            <w:proofErr w:type="spellStart"/>
            <w:r w:rsidRPr="0070144F">
              <w:rPr>
                <w:rFonts w:eastAsia="Times New Roman" w:cstheme="minorHAnsi"/>
                <w:color w:val="000000"/>
                <w:sz w:val="24"/>
                <w:szCs w:val="24"/>
              </w:rPr>
              <w:t>KCl</w:t>
            </w:r>
            <w:proofErr w:type="spellEnd"/>
          </w:p>
        </w:tc>
        <w:tc>
          <w:tcPr>
            <w:tcW w:w="1820" w:type="dxa"/>
            <w:tcBorders>
              <w:top w:val="nil"/>
              <w:left w:val="nil"/>
              <w:bottom w:val="single" w:sz="4" w:space="0" w:color="auto"/>
              <w:right w:val="nil"/>
            </w:tcBorders>
            <w:shd w:val="clear" w:color="auto" w:fill="auto"/>
            <w:noWrap/>
            <w:vAlign w:val="bottom"/>
            <w:hideMark/>
          </w:tcPr>
          <w:p w14:paraId="427C1F96" w14:textId="77777777" w:rsidR="00860024" w:rsidRPr="0070144F" w:rsidRDefault="00860024" w:rsidP="00860024">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4</w:t>
            </w:r>
          </w:p>
        </w:tc>
        <w:tc>
          <w:tcPr>
            <w:tcW w:w="1620" w:type="dxa"/>
            <w:tcBorders>
              <w:top w:val="nil"/>
              <w:left w:val="nil"/>
              <w:bottom w:val="single" w:sz="4" w:space="0" w:color="auto"/>
              <w:right w:val="nil"/>
            </w:tcBorders>
            <w:shd w:val="clear" w:color="auto" w:fill="auto"/>
            <w:noWrap/>
            <w:vAlign w:val="bottom"/>
            <w:hideMark/>
          </w:tcPr>
          <w:p w14:paraId="2ED49695" w14:textId="77777777" w:rsidR="00860024" w:rsidRPr="0070144F" w:rsidRDefault="00860024" w:rsidP="00860024">
            <w:pPr>
              <w:spacing w:after="0" w:line="240" w:lineRule="auto"/>
              <w:jc w:val="center"/>
              <w:rPr>
                <w:rFonts w:eastAsia="Times New Roman" w:cstheme="minorHAnsi"/>
                <w:color w:val="000000"/>
                <w:sz w:val="24"/>
                <w:szCs w:val="24"/>
              </w:rPr>
            </w:pPr>
            <w:r w:rsidRPr="0070144F">
              <w:rPr>
                <w:rFonts w:eastAsia="Times New Roman" w:cstheme="minorHAnsi"/>
                <w:color w:val="000000"/>
                <w:sz w:val="24"/>
                <w:szCs w:val="24"/>
              </w:rPr>
              <w:t>54</w:t>
            </w:r>
          </w:p>
        </w:tc>
      </w:tr>
    </w:tbl>
    <w:p w14:paraId="5123FCB4" w14:textId="77777777" w:rsidR="00860024" w:rsidRPr="0070144F" w:rsidRDefault="00860024">
      <w:pPr>
        <w:rPr>
          <w:rFonts w:cstheme="minorHAnsi"/>
          <w:sz w:val="24"/>
          <w:szCs w:val="24"/>
        </w:rPr>
      </w:pPr>
    </w:p>
    <w:p w14:paraId="71E52DA6" w14:textId="52F9705F" w:rsidR="006C7B71" w:rsidRPr="0070144F" w:rsidRDefault="006C7B71" w:rsidP="006C7B71">
      <w:pPr>
        <w:spacing w:before="240" w:after="0" w:line="480" w:lineRule="auto"/>
        <w:rPr>
          <w:rFonts w:cstheme="minorHAnsi"/>
          <w:b/>
          <w:sz w:val="24"/>
          <w:szCs w:val="24"/>
        </w:rPr>
      </w:pPr>
      <w:r>
        <w:rPr>
          <w:rFonts w:cstheme="minorHAnsi"/>
          <w:b/>
          <w:sz w:val="24"/>
          <w:szCs w:val="24"/>
        </w:rPr>
        <w:t xml:space="preserve">4. </w:t>
      </w:r>
      <w:r w:rsidRPr="0070144F">
        <w:rPr>
          <w:rFonts w:cstheme="minorHAnsi"/>
          <w:b/>
          <w:sz w:val="24"/>
          <w:szCs w:val="24"/>
        </w:rPr>
        <w:t>Gold internal reference material</w:t>
      </w:r>
    </w:p>
    <w:p w14:paraId="00151C4A" w14:textId="1EA50D0C" w:rsidR="006C7B71" w:rsidRPr="0070144F" w:rsidRDefault="006C7B71" w:rsidP="00995C16">
      <w:pPr>
        <w:spacing w:before="240" w:after="0" w:line="480" w:lineRule="auto"/>
        <w:jc w:val="both"/>
        <w:rPr>
          <w:rFonts w:cstheme="minorHAnsi"/>
          <w:sz w:val="24"/>
          <w:szCs w:val="24"/>
        </w:rPr>
      </w:pPr>
      <w:r w:rsidRPr="0070144F">
        <w:rPr>
          <w:rFonts w:cstheme="minorHAnsi"/>
          <w:sz w:val="24"/>
          <w:szCs w:val="24"/>
        </w:rPr>
        <w:t>We created an internal reference material for Au to optimize the digestion procedure and ensure adequate recovery of Au in tissues. It was</w:t>
      </w:r>
      <w:r>
        <w:rPr>
          <w:rFonts w:cstheme="minorHAnsi"/>
          <w:sz w:val="24"/>
          <w:szCs w:val="24"/>
        </w:rPr>
        <w:t xml:space="preserve"> prepared</w:t>
      </w:r>
      <w:r w:rsidRPr="0070144F">
        <w:rPr>
          <w:rFonts w:cstheme="minorHAnsi"/>
          <w:sz w:val="24"/>
          <w:szCs w:val="24"/>
        </w:rPr>
        <w:t xml:space="preserve"> </w:t>
      </w:r>
      <w:r>
        <w:rPr>
          <w:rFonts w:cstheme="minorHAnsi"/>
          <w:sz w:val="24"/>
          <w:szCs w:val="24"/>
        </w:rPr>
        <w:t>by</w:t>
      </w:r>
      <w:r w:rsidRPr="0070144F">
        <w:rPr>
          <w:rFonts w:cstheme="minorHAnsi"/>
          <w:sz w:val="24"/>
          <w:szCs w:val="24"/>
        </w:rPr>
        <w:t xml:space="preserve"> exposing the pond snail </w:t>
      </w:r>
      <w:proofErr w:type="spellStart"/>
      <w:r w:rsidRPr="0070144F">
        <w:rPr>
          <w:rFonts w:cstheme="minorHAnsi"/>
          <w:i/>
          <w:sz w:val="24"/>
          <w:szCs w:val="24"/>
        </w:rPr>
        <w:t>Lymnaea</w:t>
      </w:r>
      <w:proofErr w:type="spellEnd"/>
      <w:r w:rsidRPr="0070144F">
        <w:rPr>
          <w:rFonts w:cstheme="minorHAnsi"/>
          <w:i/>
          <w:sz w:val="24"/>
          <w:szCs w:val="24"/>
        </w:rPr>
        <w:t xml:space="preserve"> </w:t>
      </w:r>
      <w:proofErr w:type="spellStart"/>
      <w:r w:rsidRPr="0070144F">
        <w:rPr>
          <w:rFonts w:cstheme="minorHAnsi"/>
          <w:i/>
          <w:sz w:val="24"/>
          <w:szCs w:val="24"/>
        </w:rPr>
        <w:t>stagnalis</w:t>
      </w:r>
      <w:proofErr w:type="spellEnd"/>
      <w:r w:rsidRPr="0070144F">
        <w:rPr>
          <w:rFonts w:cstheme="minorHAnsi"/>
          <w:sz w:val="24"/>
          <w:szCs w:val="24"/>
        </w:rPr>
        <w:t xml:space="preserve"> to 100 </w:t>
      </w:r>
      <w:proofErr w:type="spellStart"/>
      <w:r w:rsidRPr="0070144F">
        <w:rPr>
          <w:rFonts w:cstheme="minorHAnsi"/>
          <w:sz w:val="24"/>
          <w:szCs w:val="24"/>
        </w:rPr>
        <w:t>nM</w:t>
      </w:r>
      <w:proofErr w:type="spellEnd"/>
      <w:r w:rsidRPr="0070144F">
        <w:rPr>
          <w:rFonts w:cstheme="minorHAnsi"/>
          <w:sz w:val="24"/>
          <w:szCs w:val="24"/>
        </w:rPr>
        <w:t xml:space="preserve"> </w:t>
      </w:r>
      <w:r w:rsidR="003A1E94">
        <w:rPr>
          <w:rFonts w:cstheme="minorHAnsi"/>
          <w:sz w:val="24"/>
          <w:szCs w:val="24"/>
        </w:rPr>
        <w:t>of Au (added as AuCl</w:t>
      </w:r>
      <w:r w:rsidR="003A1E94" w:rsidRPr="003A1E94">
        <w:rPr>
          <w:rFonts w:cstheme="minorHAnsi"/>
          <w:sz w:val="24"/>
          <w:szCs w:val="24"/>
          <w:vertAlign w:val="subscript"/>
        </w:rPr>
        <w:t>4</w:t>
      </w:r>
      <w:r w:rsidR="003A1E94">
        <w:rPr>
          <w:rFonts w:cstheme="minorHAnsi"/>
          <w:sz w:val="24"/>
          <w:szCs w:val="24"/>
        </w:rPr>
        <w:t xml:space="preserve">) </w:t>
      </w:r>
      <w:r w:rsidRPr="0070144F">
        <w:rPr>
          <w:rFonts w:cstheme="minorHAnsi"/>
          <w:sz w:val="24"/>
          <w:szCs w:val="24"/>
        </w:rPr>
        <w:t xml:space="preserve">for 12 days, with media renewal every other days. </w:t>
      </w:r>
      <w:r>
        <w:rPr>
          <w:rFonts w:cstheme="minorHAnsi"/>
          <w:sz w:val="24"/>
          <w:szCs w:val="24"/>
        </w:rPr>
        <w:t>G</w:t>
      </w:r>
      <w:r w:rsidRPr="0070144F">
        <w:rPr>
          <w:rFonts w:cstheme="minorHAnsi"/>
          <w:sz w:val="24"/>
          <w:szCs w:val="24"/>
        </w:rPr>
        <w:t>old concentrations in water w</w:t>
      </w:r>
      <w:r>
        <w:rPr>
          <w:rFonts w:cstheme="minorHAnsi"/>
          <w:sz w:val="24"/>
          <w:szCs w:val="24"/>
        </w:rPr>
        <w:t>ere</w:t>
      </w:r>
      <w:r w:rsidRPr="0070144F">
        <w:rPr>
          <w:rFonts w:cstheme="minorHAnsi"/>
          <w:sz w:val="24"/>
          <w:szCs w:val="24"/>
        </w:rPr>
        <w:t xml:space="preserve"> </w:t>
      </w:r>
      <w:r>
        <w:rPr>
          <w:rFonts w:cstheme="minorHAnsi"/>
          <w:sz w:val="24"/>
          <w:szCs w:val="24"/>
        </w:rPr>
        <w:t>thus relatively constant throughout the exposure (</w:t>
      </w:r>
      <w:r w:rsidRPr="0070144F">
        <w:rPr>
          <w:rFonts w:cstheme="minorHAnsi"/>
          <w:sz w:val="24"/>
          <w:szCs w:val="24"/>
        </w:rPr>
        <w:t>more than 90%</w:t>
      </w:r>
      <w:r>
        <w:rPr>
          <w:rFonts w:cstheme="minorHAnsi"/>
          <w:sz w:val="24"/>
          <w:szCs w:val="24"/>
        </w:rPr>
        <w:t xml:space="preserve"> of</w:t>
      </w:r>
      <w:r w:rsidRPr="0070144F">
        <w:rPr>
          <w:rFonts w:cstheme="minorHAnsi"/>
          <w:sz w:val="24"/>
          <w:szCs w:val="24"/>
        </w:rPr>
        <w:t xml:space="preserve"> the original concentration (data not presented)</w:t>
      </w:r>
      <w:r w:rsidR="003A1E94">
        <w:rPr>
          <w:rFonts w:cstheme="minorHAnsi"/>
          <w:sz w:val="24"/>
          <w:szCs w:val="24"/>
        </w:rPr>
        <w:t>)</w:t>
      </w:r>
      <w:r w:rsidRPr="0070144F">
        <w:rPr>
          <w:rFonts w:cstheme="minorHAnsi"/>
          <w:sz w:val="24"/>
          <w:szCs w:val="24"/>
        </w:rPr>
        <w:t xml:space="preserve">. Gold concentration in </w:t>
      </w:r>
      <w:r>
        <w:rPr>
          <w:rFonts w:cstheme="minorHAnsi"/>
          <w:sz w:val="24"/>
          <w:szCs w:val="24"/>
        </w:rPr>
        <w:t>the</w:t>
      </w:r>
      <w:r w:rsidRPr="0070144F">
        <w:rPr>
          <w:rFonts w:cstheme="minorHAnsi"/>
          <w:sz w:val="24"/>
          <w:szCs w:val="24"/>
        </w:rPr>
        <w:t xml:space="preserve"> in-house reference material was 5.3 ± 0.2 ug g</w:t>
      </w:r>
      <w:r w:rsidRPr="0070144F">
        <w:rPr>
          <w:rFonts w:cstheme="minorHAnsi"/>
          <w:sz w:val="24"/>
          <w:szCs w:val="24"/>
          <w:vertAlign w:val="superscript"/>
        </w:rPr>
        <w:t>-1</w:t>
      </w:r>
      <w:r w:rsidRPr="0070144F">
        <w:rPr>
          <w:rFonts w:cstheme="minorHAnsi"/>
          <w:sz w:val="24"/>
          <w:szCs w:val="24"/>
        </w:rPr>
        <w:t xml:space="preserve"> (</w:t>
      </w:r>
      <w:r w:rsidRPr="0070144F">
        <w:rPr>
          <w:rFonts w:cstheme="minorHAnsi"/>
          <w:i/>
          <w:sz w:val="24"/>
          <w:szCs w:val="24"/>
        </w:rPr>
        <w:t>n</w:t>
      </w:r>
      <w:r w:rsidRPr="0070144F">
        <w:rPr>
          <w:rFonts w:cstheme="minorHAnsi"/>
          <w:sz w:val="24"/>
          <w:szCs w:val="24"/>
        </w:rPr>
        <w:t xml:space="preserve"> = 5) among digestion batches</w:t>
      </w:r>
      <w:r w:rsidR="003A1E94">
        <w:rPr>
          <w:rFonts w:cstheme="minorHAnsi"/>
          <w:sz w:val="24"/>
          <w:szCs w:val="24"/>
        </w:rPr>
        <w:t xml:space="preserve">. Standardization of this </w:t>
      </w:r>
      <w:r w:rsidR="003A1E94">
        <w:rPr>
          <w:rFonts w:cstheme="minorHAnsi"/>
          <w:sz w:val="24"/>
          <w:szCs w:val="24"/>
        </w:rPr>
        <w:lastRenderedPageBreak/>
        <w:t xml:space="preserve">concentration to account for the exposure duration yielded an </w:t>
      </w:r>
      <w:r w:rsidRPr="0070144F">
        <w:rPr>
          <w:rFonts w:cstheme="minorHAnsi"/>
          <w:sz w:val="24"/>
          <w:szCs w:val="24"/>
        </w:rPr>
        <w:t xml:space="preserve">Au </w:t>
      </w:r>
      <w:r>
        <w:rPr>
          <w:rFonts w:cstheme="minorHAnsi"/>
          <w:sz w:val="24"/>
          <w:szCs w:val="24"/>
        </w:rPr>
        <w:t xml:space="preserve">uptake rate </w:t>
      </w:r>
      <w:r w:rsidR="003A1E94">
        <w:rPr>
          <w:rFonts w:cstheme="minorHAnsi"/>
          <w:sz w:val="24"/>
          <w:szCs w:val="24"/>
        </w:rPr>
        <w:t xml:space="preserve">that fits Au uptake rates previously measured </w:t>
      </w:r>
      <w:r w:rsidRPr="00B42AF1">
        <w:rPr>
          <w:rFonts w:cstheme="minorHAnsi"/>
          <w:sz w:val="24"/>
          <w:szCs w:val="24"/>
        </w:rPr>
        <w:t>(Fig.</w:t>
      </w:r>
      <w:r w:rsidR="00B42AF1" w:rsidRPr="00B42AF1">
        <w:rPr>
          <w:rFonts w:cstheme="minorHAnsi"/>
          <w:sz w:val="24"/>
          <w:szCs w:val="24"/>
        </w:rPr>
        <w:t xml:space="preserve"> S2</w:t>
      </w:r>
      <w:r w:rsidRPr="00B42AF1">
        <w:rPr>
          <w:rFonts w:cstheme="minorHAnsi"/>
          <w:sz w:val="24"/>
          <w:szCs w:val="24"/>
        </w:rPr>
        <w:t>).</w:t>
      </w:r>
      <w:r w:rsidRPr="0070144F">
        <w:rPr>
          <w:rFonts w:cstheme="minorHAnsi"/>
          <w:sz w:val="24"/>
          <w:szCs w:val="24"/>
        </w:rPr>
        <w:t xml:space="preserve"> </w:t>
      </w:r>
    </w:p>
    <w:p w14:paraId="407FDC50" w14:textId="77777777" w:rsidR="006C7B71" w:rsidRDefault="006C7B71" w:rsidP="006C7B71">
      <w:pPr>
        <w:spacing w:after="0" w:line="480" w:lineRule="auto"/>
        <w:rPr>
          <w:rFonts w:cstheme="minorHAnsi"/>
          <w:sz w:val="24"/>
          <w:szCs w:val="24"/>
        </w:rPr>
      </w:pPr>
    </w:p>
    <w:p w14:paraId="44EAF469" w14:textId="77777777" w:rsidR="006C7B71" w:rsidRPr="0070144F" w:rsidRDefault="006C7B71" w:rsidP="00995C16">
      <w:pPr>
        <w:spacing w:after="0" w:line="480" w:lineRule="auto"/>
        <w:jc w:val="both"/>
        <w:rPr>
          <w:rFonts w:cstheme="minorHAnsi"/>
          <w:b/>
          <w:sz w:val="24"/>
          <w:szCs w:val="24"/>
        </w:rPr>
      </w:pPr>
      <w:r>
        <w:rPr>
          <w:rFonts w:cstheme="minorHAnsi"/>
          <w:sz w:val="24"/>
          <w:szCs w:val="24"/>
        </w:rPr>
        <w:t>Gold</w:t>
      </w:r>
      <w:r w:rsidRPr="0070144F">
        <w:rPr>
          <w:rFonts w:cstheme="minorHAnsi"/>
          <w:sz w:val="24"/>
          <w:szCs w:val="24"/>
        </w:rPr>
        <w:t xml:space="preserve"> is </w:t>
      </w:r>
      <w:r>
        <w:rPr>
          <w:rFonts w:cstheme="minorHAnsi"/>
          <w:sz w:val="24"/>
          <w:szCs w:val="24"/>
        </w:rPr>
        <w:t xml:space="preserve">among </w:t>
      </w:r>
      <w:r w:rsidRPr="0070144F">
        <w:rPr>
          <w:rFonts w:cstheme="minorHAnsi"/>
          <w:sz w:val="24"/>
          <w:szCs w:val="24"/>
        </w:rPr>
        <w:t>the least reactive chemical element</w:t>
      </w:r>
      <w:r>
        <w:rPr>
          <w:rFonts w:cstheme="minorHAnsi"/>
          <w:sz w:val="24"/>
          <w:szCs w:val="24"/>
        </w:rPr>
        <w:t>. I</w:t>
      </w:r>
      <w:r w:rsidRPr="0070144F">
        <w:rPr>
          <w:rFonts w:cstheme="minorHAnsi"/>
          <w:sz w:val="24"/>
          <w:szCs w:val="24"/>
        </w:rPr>
        <w:t>t resist</w:t>
      </w:r>
      <w:r>
        <w:rPr>
          <w:rFonts w:cstheme="minorHAnsi"/>
          <w:sz w:val="24"/>
          <w:szCs w:val="24"/>
        </w:rPr>
        <w:t>s</w:t>
      </w:r>
      <w:r w:rsidRPr="0070144F">
        <w:rPr>
          <w:rFonts w:cstheme="minorHAnsi"/>
          <w:sz w:val="24"/>
          <w:szCs w:val="24"/>
        </w:rPr>
        <w:t xml:space="preserve"> attack of individual acids and is generally insoluble. </w:t>
      </w:r>
      <w:r>
        <w:rPr>
          <w:rFonts w:cstheme="minorHAnsi"/>
          <w:sz w:val="24"/>
          <w:szCs w:val="24"/>
        </w:rPr>
        <w:t>The</w:t>
      </w:r>
      <w:r w:rsidRPr="0070144F">
        <w:rPr>
          <w:rFonts w:cstheme="minorHAnsi"/>
          <w:sz w:val="24"/>
          <w:szCs w:val="24"/>
        </w:rPr>
        <w:t xml:space="preserve"> in-house Au reference material was used to optimize our digestion procedure and </w:t>
      </w:r>
      <w:r>
        <w:rPr>
          <w:rFonts w:cstheme="minorHAnsi"/>
          <w:sz w:val="24"/>
          <w:szCs w:val="24"/>
        </w:rPr>
        <w:t xml:space="preserve">ensure proper </w:t>
      </w:r>
      <w:r w:rsidRPr="0070144F">
        <w:rPr>
          <w:rFonts w:cstheme="minorHAnsi"/>
          <w:sz w:val="24"/>
          <w:szCs w:val="24"/>
        </w:rPr>
        <w:t>recovery of Au. We observed that a one to one ratio of HCl and HNO</w:t>
      </w:r>
      <w:r w:rsidRPr="0070144F">
        <w:rPr>
          <w:rFonts w:cstheme="minorHAnsi"/>
          <w:sz w:val="24"/>
          <w:szCs w:val="24"/>
          <w:vertAlign w:val="subscript"/>
        </w:rPr>
        <w:t>3</w:t>
      </w:r>
      <w:r w:rsidRPr="0070144F">
        <w:rPr>
          <w:rFonts w:cstheme="minorHAnsi"/>
          <w:sz w:val="24"/>
          <w:szCs w:val="24"/>
        </w:rPr>
        <w:t xml:space="preserve"> </w:t>
      </w:r>
      <w:r>
        <w:rPr>
          <w:rFonts w:cstheme="minorHAnsi"/>
          <w:sz w:val="24"/>
          <w:szCs w:val="24"/>
        </w:rPr>
        <w:t>yielded</w:t>
      </w:r>
      <w:r w:rsidRPr="0070144F">
        <w:rPr>
          <w:rFonts w:cstheme="minorHAnsi"/>
          <w:sz w:val="24"/>
          <w:szCs w:val="24"/>
        </w:rPr>
        <w:t xml:space="preserve"> the same </w:t>
      </w:r>
      <w:r>
        <w:rPr>
          <w:rFonts w:cstheme="minorHAnsi"/>
          <w:sz w:val="24"/>
          <w:szCs w:val="24"/>
        </w:rPr>
        <w:t>Au recovery</w:t>
      </w:r>
      <w:r w:rsidRPr="0070144F">
        <w:rPr>
          <w:rFonts w:cstheme="minorHAnsi"/>
          <w:sz w:val="24"/>
          <w:szCs w:val="24"/>
        </w:rPr>
        <w:t xml:space="preserve"> as aqua regia (3:1 ratio, respectively). We also observed an important loss of gold when the digested samples </w:t>
      </w:r>
      <w:r>
        <w:rPr>
          <w:rFonts w:cstheme="minorHAnsi"/>
          <w:sz w:val="24"/>
          <w:szCs w:val="24"/>
        </w:rPr>
        <w:t xml:space="preserve">were filtered </w:t>
      </w:r>
      <w:r w:rsidRPr="0070144F">
        <w:rPr>
          <w:rFonts w:cstheme="minorHAnsi"/>
          <w:sz w:val="24"/>
          <w:szCs w:val="24"/>
        </w:rPr>
        <w:t>on</w:t>
      </w:r>
      <w:r>
        <w:rPr>
          <w:rFonts w:cstheme="minorHAnsi"/>
          <w:sz w:val="24"/>
          <w:szCs w:val="24"/>
        </w:rPr>
        <w:t>to</w:t>
      </w:r>
      <w:r w:rsidRPr="0070144F">
        <w:rPr>
          <w:rFonts w:cstheme="minorHAnsi"/>
          <w:sz w:val="24"/>
          <w:szCs w:val="24"/>
        </w:rPr>
        <w:t xml:space="preserve"> 0.45 µm filters (</w:t>
      </w:r>
      <w:proofErr w:type="spellStart"/>
      <w:r w:rsidRPr="0070144F">
        <w:rPr>
          <w:rFonts w:cstheme="minorHAnsi"/>
          <w:sz w:val="24"/>
          <w:szCs w:val="24"/>
        </w:rPr>
        <w:t>Acrodisc</w:t>
      </w:r>
      <w:proofErr w:type="spellEnd"/>
      <w:r w:rsidRPr="0070144F">
        <w:rPr>
          <w:rFonts w:cstheme="minorHAnsi"/>
          <w:sz w:val="24"/>
          <w:szCs w:val="24"/>
        </w:rPr>
        <w:t xml:space="preserve">® LC 13 mm Syringe Filter, Life Sciences, Pall) </w:t>
      </w:r>
      <w:r>
        <w:rPr>
          <w:rFonts w:cstheme="minorHAnsi"/>
          <w:sz w:val="24"/>
          <w:szCs w:val="24"/>
        </w:rPr>
        <w:t>prior to</w:t>
      </w:r>
      <w:r w:rsidRPr="0070144F">
        <w:rPr>
          <w:rFonts w:cstheme="minorHAnsi"/>
          <w:sz w:val="24"/>
          <w:szCs w:val="24"/>
        </w:rPr>
        <w:t xml:space="preserve"> analysis (to remove any particles, i.e. silica from diatoms). Furthermore, we observed that heating the sample after adding HCl (see section </w:t>
      </w:r>
      <w:r w:rsidRPr="0070144F">
        <w:rPr>
          <w:rFonts w:cstheme="minorHAnsi"/>
          <w:i/>
          <w:sz w:val="24"/>
          <w:szCs w:val="24"/>
        </w:rPr>
        <w:t>Sample Digestion and analysis</w:t>
      </w:r>
      <w:r w:rsidRPr="0070144F">
        <w:rPr>
          <w:rFonts w:cstheme="minorHAnsi"/>
          <w:sz w:val="24"/>
          <w:szCs w:val="24"/>
        </w:rPr>
        <w:t xml:space="preserve">) did not </w:t>
      </w:r>
      <w:r>
        <w:rPr>
          <w:rFonts w:cstheme="minorHAnsi"/>
          <w:sz w:val="24"/>
          <w:szCs w:val="24"/>
        </w:rPr>
        <w:t>improve</w:t>
      </w:r>
      <w:r w:rsidRPr="0070144F">
        <w:rPr>
          <w:rFonts w:cstheme="minorHAnsi"/>
          <w:sz w:val="24"/>
          <w:szCs w:val="24"/>
        </w:rPr>
        <w:t xml:space="preserve"> recovery.</w:t>
      </w:r>
    </w:p>
    <w:p w14:paraId="04AF3C76" w14:textId="77777777" w:rsidR="006C7B71" w:rsidRDefault="006C7B71" w:rsidP="006C7B71">
      <w:pPr>
        <w:spacing w:line="360" w:lineRule="auto"/>
        <w:jc w:val="center"/>
      </w:pPr>
      <w:r>
        <w:object w:dxaOrig="8880" w:dyaOrig="6690" w14:anchorId="5E294F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220.5pt" o:ole="">
            <v:imagedata r:id="rId9" o:title=""/>
          </v:shape>
          <o:OLEObject Type="Embed" ProgID="SigmaPlotGraphicObject.12" ShapeID="_x0000_i1025" DrawAspect="Content" ObjectID="_1619610411" r:id="rId10"/>
        </w:object>
      </w:r>
    </w:p>
    <w:p w14:paraId="51AF3396" w14:textId="16A27914" w:rsidR="006C7B71" w:rsidRPr="00E40A4F" w:rsidRDefault="006C7B71" w:rsidP="00995C16">
      <w:pPr>
        <w:spacing w:line="240" w:lineRule="auto"/>
        <w:jc w:val="both"/>
        <w:rPr>
          <w:sz w:val="24"/>
          <w:szCs w:val="24"/>
        </w:rPr>
      </w:pPr>
      <w:r w:rsidRPr="00E40A4F">
        <w:rPr>
          <w:b/>
          <w:sz w:val="24"/>
          <w:szCs w:val="24"/>
        </w:rPr>
        <w:t xml:space="preserve">Supplementary Figure S2: </w:t>
      </w:r>
      <w:r w:rsidRPr="00E40A4F">
        <w:rPr>
          <w:sz w:val="24"/>
          <w:szCs w:val="24"/>
        </w:rPr>
        <w:t>Gold uptake rates in snails exposed to two aqueous concentrations of AuCl</w:t>
      </w:r>
      <w:r w:rsidRPr="00E40A4F">
        <w:rPr>
          <w:sz w:val="24"/>
          <w:szCs w:val="24"/>
          <w:vertAlign w:val="subscript"/>
        </w:rPr>
        <w:t>4</w:t>
      </w:r>
      <w:r w:rsidRPr="00E40A4F">
        <w:rPr>
          <w:sz w:val="24"/>
          <w:szCs w:val="24"/>
        </w:rPr>
        <w:t xml:space="preserve"> (close</w:t>
      </w:r>
      <w:r w:rsidR="00CE1914">
        <w:rPr>
          <w:sz w:val="24"/>
          <w:szCs w:val="24"/>
        </w:rPr>
        <w:t>d</w:t>
      </w:r>
      <w:r w:rsidRPr="00E40A4F">
        <w:rPr>
          <w:sz w:val="24"/>
          <w:szCs w:val="24"/>
        </w:rPr>
        <w:t xml:space="preserve"> symbols). The concentration measured in the internal reference material and standardized for the  12 day exposure is shown by the open symbol. </w:t>
      </w:r>
    </w:p>
    <w:p w14:paraId="495AEE96" w14:textId="77777777" w:rsidR="006C7B71" w:rsidRPr="00E40A4F" w:rsidRDefault="006C7B71" w:rsidP="00B259A9">
      <w:pPr>
        <w:spacing w:line="360" w:lineRule="auto"/>
        <w:rPr>
          <w:rFonts w:cstheme="minorHAnsi"/>
          <w:b/>
          <w:sz w:val="24"/>
          <w:szCs w:val="24"/>
        </w:rPr>
      </w:pPr>
    </w:p>
    <w:p w14:paraId="09467FD9" w14:textId="4AC52B5C" w:rsidR="0070144F" w:rsidRPr="00E40A4F" w:rsidRDefault="00E40A4F" w:rsidP="00447406">
      <w:pPr>
        <w:spacing w:after="0" w:line="480" w:lineRule="auto"/>
        <w:rPr>
          <w:rFonts w:cstheme="minorHAnsi"/>
          <w:b/>
          <w:sz w:val="24"/>
          <w:szCs w:val="24"/>
        </w:rPr>
      </w:pPr>
      <w:r w:rsidRPr="00E40A4F">
        <w:rPr>
          <w:rFonts w:cstheme="minorHAnsi"/>
          <w:b/>
          <w:sz w:val="24"/>
          <w:szCs w:val="24"/>
        </w:rPr>
        <w:lastRenderedPageBreak/>
        <w:t>5</w:t>
      </w:r>
      <w:r w:rsidR="006C7B71" w:rsidRPr="00E40A4F">
        <w:rPr>
          <w:rFonts w:cstheme="minorHAnsi"/>
          <w:b/>
          <w:sz w:val="24"/>
          <w:szCs w:val="24"/>
        </w:rPr>
        <w:t xml:space="preserve">. </w:t>
      </w:r>
      <w:r w:rsidR="00B259A9" w:rsidRPr="00E40A4F">
        <w:rPr>
          <w:rFonts w:cstheme="minorHAnsi"/>
          <w:b/>
          <w:sz w:val="24"/>
          <w:szCs w:val="24"/>
        </w:rPr>
        <w:t>Calculations of Ag and Au recovery during exposure</w:t>
      </w:r>
    </w:p>
    <w:p w14:paraId="38FF269B" w14:textId="46E6F6F1" w:rsidR="00447406" w:rsidRPr="00E40A4F" w:rsidRDefault="00447406" w:rsidP="00995C16">
      <w:pPr>
        <w:spacing w:after="0" w:line="480" w:lineRule="auto"/>
        <w:jc w:val="both"/>
        <w:rPr>
          <w:rFonts w:cstheme="minorHAnsi"/>
          <w:sz w:val="24"/>
          <w:szCs w:val="24"/>
        </w:rPr>
      </w:pPr>
      <w:r w:rsidRPr="00E40A4F">
        <w:rPr>
          <w:sz w:val="24"/>
          <w:szCs w:val="24"/>
        </w:rPr>
        <w:t>Both [Ag</w:t>
      </w:r>
      <w:r w:rsidRPr="00E40A4F">
        <w:rPr>
          <w:sz w:val="24"/>
          <w:szCs w:val="24"/>
          <w:vertAlign w:val="subscript"/>
        </w:rPr>
        <w:t>T</w:t>
      </w:r>
      <w:r w:rsidRPr="00E40A4F">
        <w:rPr>
          <w:sz w:val="24"/>
          <w:szCs w:val="24"/>
        </w:rPr>
        <w:t xml:space="preserve">] and [Au] </w:t>
      </w:r>
      <w:r w:rsidRPr="00E40A4F">
        <w:rPr>
          <w:rFonts w:cstheme="minorHAnsi"/>
          <w:sz w:val="24"/>
          <w:szCs w:val="24"/>
        </w:rPr>
        <w:t>in the MHW</w:t>
      </w:r>
      <w:r w:rsidRPr="00E40A4F">
        <w:rPr>
          <w:sz w:val="24"/>
          <w:szCs w:val="24"/>
        </w:rPr>
        <w:t xml:space="preserve"> </w:t>
      </w:r>
      <w:r w:rsidRPr="00E40A4F">
        <w:rPr>
          <w:rFonts w:cstheme="minorHAnsi"/>
          <w:sz w:val="24"/>
          <w:szCs w:val="24"/>
        </w:rPr>
        <w:t>declined during exposure due to uptake. Comparison of the amounts of Ag and Au lost from the water during exposure to the amounts of Ag and Au recovered with the algae after exposure (Supp. Eq. S1) shows that 91% and 96% of the Ag and Au, respectively (</w:t>
      </w:r>
      <w:r w:rsidRPr="00E40A4F">
        <w:rPr>
          <w:rFonts w:cstheme="minorHAnsi"/>
          <w:i/>
          <w:sz w:val="24"/>
          <w:szCs w:val="24"/>
        </w:rPr>
        <w:t>n</w:t>
      </w:r>
      <w:r w:rsidRPr="00E40A4F">
        <w:rPr>
          <w:rFonts w:cstheme="minorHAnsi"/>
          <w:sz w:val="24"/>
          <w:szCs w:val="24"/>
        </w:rPr>
        <w:t xml:space="preserve"> = 24), were recovered with the algae. About 9% and 4% of the Ag and Au, respectively, were adsorbed on the Erlenmeyer flasks after exposure</w:t>
      </w:r>
      <w:r w:rsidR="00F05FFD">
        <w:rPr>
          <w:rFonts w:cstheme="minorHAnsi"/>
          <w:sz w:val="24"/>
          <w:szCs w:val="24"/>
        </w:rPr>
        <w:t xml:space="preserve"> or in residual water</w:t>
      </w:r>
      <w:r w:rsidRPr="00E40A4F">
        <w:rPr>
          <w:rFonts w:cstheme="minorHAnsi"/>
          <w:sz w:val="24"/>
          <w:szCs w:val="24"/>
        </w:rPr>
        <w:t xml:space="preserve">. </w:t>
      </w:r>
    </w:p>
    <w:p w14:paraId="263C1FAC" w14:textId="77777777" w:rsidR="00447406" w:rsidRDefault="00447406" w:rsidP="00447406">
      <w:pPr>
        <w:spacing w:after="0" w:line="480" w:lineRule="auto"/>
        <w:rPr>
          <w:rFonts w:cstheme="minorHAnsi"/>
          <w:sz w:val="24"/>
          <w:szCs w:val="24"/>
        </w:rPr>
      </w:pPr>
    </w:p>
    <w:p w14:paraId="58904FEE" w14:textId="6F1FBCA1" w:rsidR="00B259A9" w:rsidRPr="00E40A4F" w:rsidRDefault="00B259A9" w:rsidP="00995C16">
      <w:pPr>
        <w:spacing w:after="0" w:line="480" w:lineRule="auto"/>
        <w:jc w:val="both"/>
        <w:rPr>
          <w:rFonts w:cstheme="minorHAnsi"/>
          <w:sz w:val="24"/>
          <w:szCs w:val="24"/>
        </w:rPr>
      </w:pPr>
      <w:r w:rsidRPr="00E40A4F">
        <w:rPr>
          <w:rFonts w:cstheme="minorHAnsi"/>
          <w:sz w:val="24"/>
          <w:szCs w:val="24"/>
        </w:rPr>
        <w:t>Loss of Ag and Au in water during the exposure was determined by subtracting the measured initial and final Ag and Au quantities, that is for Ag,</w:t>
      </w:r>
    </w:p>
    <w:p w14:paraId="33573B92" w14:textId="77777777" w:rsidR="00B259A9" w:rsidRPr="00E40A4F" w:rsidRDefault="00B259A9" w:rsidP="00447406">
      <w:pPr>
        <w:spacing w:after="0" w:line="480" w:lineRule="auto"/>
        <w:rPr>
          <w:rFonts w:cstheme="minorHAnsi"/>
          <w:sz w:val="24"/>
          <w:szCs w:val="24"/>
        </w:rPr>
      </w:pPr>
      <w:r w:rsidRPr="00E40A4F">
        <w:rPr>
          <w:rFonts w:cstheme="minorHAnsi"/>
          <w:position w:val="-32"/>
          <w:sz w:val="24"/>
          <w:szCs w:val="24"/>
        </w:rPr>
        <w:object w:dxaOrig="7040" w:dyaOrig="740" w14:anchorId="466D3F88">
          <v:shape id="_x0000_i1026" type="#_x0000_t75" style="width:352.5pt;height:36pt" o:ole="">
            <v:imagedata r:id="rId11" o:title=""/>
          </v:shape>
          <o:OLEObject Type="Embed" ProgID="Equation.3" ShapeID="_x0000_i1026" DrawAspect="Content" ObjectID="_1619610412" r:id="rId12"/>
        </w:object>
      </w:r>
      <w:r w:rsidRPr="00E40A4F">
        <w:rPr>
          <w:rFonts w:cstheme="minorHAnsi"/>
          <w:sz w:val="24"/>
          <w:szCs w:val="24"/>
        </w:rPr>
        <w:tab/>
      </w:r>
      <w:r w:rsidRPr="00E40A4F">
        <w:rPr>
          <w:rFonts w:cstheme="minorHAnsi"/>
          <w:sz w:val="24"/>
          <w:szCs w:val="24"/>
        </w:rPr>
        <w:tab/>
        <w:t>(Supp. Eq. 1)</w:t>
      </w:r>
    </w:p>
    <w:p w14:paraId="34952F46" w14:textId="7308A147" w:rsidR="00B259A9" w:rsidRDefault="00B259A9" w:rsidP="00995C16">
      <w:pPr>
        <w:spacing w:after="0" w:line="480" w:lineRule="auto"/>
        <w:jc w:val="both"/>
        <w:rPr>
          <w:rFonts w:cstheme="minorHAnsi"/>
          <w:sz w:val="24"/>
          <w:szCs w:val="24"/>
        </w:rPr>
      </w:pPr>
      <w:r w:rsidRPr="00E40A4F">
        <w:rPr>
          <w:rFonts w:cstheme="minorHAnsi"/>
          <w:sz w:val="24"/>
          <w:szCs w:val="24"/>
        </w:rPr>
        <w:t>Where Ag</w:t>
      </w:r>
      <w:r w:rsidRPr="00E40A4F">
        <w:rPr>
          <w:rFonts w:cstheme="minorHAnsi"/>
          <w:sz w:val="24"/>
          <w:szCs w:val="24"/>
          <w:vertAlign w:val="subscript"/>
        </w:rPr>
        <w:t>H2O-Before</w:t>
      </w:r>
      <w:r w:rsidRPr="00E40A4F">
        <w:rPr>
          <w:rFonts w:cstheme="minorHAnsi"/>
          <w:sz w:val="24"/>
          <w:szCs w:val="24"/>
        </w:rPr>
        <w:t xml:space="preserve"> (nM) is the Ag concentration in MOD water in Erlenmeyer flask before inoculation of algae. Ag</w:t>
      </w:r>
      <w:r w:rsidRPr="00E40A4F">
        <w:rPr>
          <w:rFonts w:cstheme="minorHAnsi"/>
          <w:sz w:val="24"/>
          <w:szCs w:val="24"/>
          <w:vertAlign w:val="subscript"/>
        </w:rPr>
        <w:t>H2O-After</w:t>
      </w:r>
      <w:r w:rsidRPr="00E40A4F">
        <w:rPr>
          <w:rFonts w:cstheme="minorHAnsi"/>
          <w:sz w:val="24"/>
          <w:szCs w:val="24"/>
        </w:rPr>
        <w:t xml:space="preserve"> (nM) is the Ag concentration in 0.45 µm filtrate after exposure. Ag</w:t>
      </w:r>
      <w:r w:rsidRPr="00995C16">
        <w:rPr>
          <w:rFonts w:cstheme="minorHAnsi"/>
          <w:sz w:val="24"/>
          <w:szCs w:val="24"/>
          <w:vertAlign w:val="subscript"/>
        </w:rPr>
        <w:t>algae</w:t>
      </w:r>
      <w:r w:rsidRPr="00E40A4F">
        <w:rPr>
          <w:rFonts w:cstheme="minorHAnsi"/>
          <w:sz w:val="24"/>
          <w:szCs w:val="24"/>
        </w:rPr>
        <w:t xml:space="preserve"> is the measured Ag concentration with the digested algae and 0.45 µm filter.</w:t>
      </w:r>
    </w:p>
    <w:p w14:paraId="6E53C10A" w14:textId="77777777" w:rsidR="00447406" w:rsidRDefault="00447406" w:rsidP="00447406">
      <w:pPr>
        <w:spacing w:after="0" w:line="480" w:lineRule="auto"/>
        <w:rPr>
          <w:rFonts w:cstheme="minorHAnsi"/>
          <w:sz w:val="24"/>
          <w:szCs w:val="24"/>
        </w:rPr>
      </w:pPr>
    </w:p>
    <w:p w14:paraId="69E4A47E" w14:textId="77777777" w:rsidR="00847C5C" w:rsidRDefault="00847C5C" w:rsidP="00447406">
      <w:pPr>
        <w:spacing w:after="0" w:line="480" w:lineRule="auto"/>
        <w:rPr>
          <w:rFonts w:cstheme="minorHAnsi"/>
          <w:sz w:val="24"/>
          <w:szCs w:val="24"/>
        </w:rPr>
      </w:pPr>
    </w:p>
    <w:p w14:paraId="03877156" w14:textId="77777777" w:rsidR="00847C5C" w:rsidRDefault="00847C5C" w:rsidP="00447406">
      <w:pPr>
        <w:spacing w:after="0" w:line="480" w:lineRule="auto"/>
        <w:rPr>
          <w:rFonts w:cstheme="minorHAnsi"/>
          <w:sz w:val="24"/>
          <w:szCs w:val="24"/>
        </w:rPr>
      </w:pPr>
    </w:p>
    <w:p w14:paraId="7E139182" w14:textId="77777777" w:rsidR="00847C5C" w:rsidRDefault="00847C5C" w:rsidP="00447406">
      <w:pPr>
        <w:spacing w:after="0" w:line="480" w:lineRule="auto"/>
        <w:rPr>
          <w:rFonts w:cstheme="minorHAnsi"/>
          <w:sz w:val="24"/>
          <w:szCs w:val="24"/>
        </w:rPr>
      </w:pPr>
    </w:p>
    <w:p w14:paraId="4FC21AF1" w14:textId="77777777" w:rsidR="00847C5C" w:rsidRDefault="00847C5C" w:rsidP="00447406">
      <w:pPr>
        <w:spacing w:after="0" w:line="480" w:lineRule="auto"/>
        <w:rPr>
          <w:rFonts w:cstheme="minorHAnsi"/>
          <w:sz w:val="24"/>
          <w:szCs w:val="24"/>
        </w:rPr>
      </w:pPr>
    </w:p>
    <w:p w14:paraId="64906CFC" w14:textId="77777777" w:rsidR="00847C5C" w:rsidRDefault="00847C5C" w:rsidP="00447406">
      <w:pPr>
        <w:spacing w:after="0" w:line="480" w:lineRule="auto"/>
        <w:rPr>
          <w:rFonts w:cstheme="minorHAnsi"/>
          <w:sz w:val="24"/>
          <w:szCs w:val="24"/>
        </w:rPr>
      </w:pPr>
    </w:p>
    <w:p w14:paraId="13B1ECCC" w14:textId="77777777" w:rsidR="00847C5C" w:rsidRDefault="00847C5C" w:rsidP="00447406">
      <w:pPr>
        <w:spacing w:after="0" w:line="480" w:lineRule="auto"/>
        <w:rPr>
          <w:rFonts w:cstheme="minorHAnsi"/>
          <w:sz w:val="24"/>
          <w:szCs w:val="24"/>
        </w:rPr>
      </w:pPr>
    </w:p>
    <w:p w14:paraId="2BD5FB25" w14:textId="77777777" w:rsidR="00847C5C" w:rsidRDefault="00847C5C" w:rsidP="00447406">
      <w:pPr>
        <w:spacing w:after="0" w:line="480" w:lineRule="auto"/>
        <w:rPr>
          <w:rFonts w:cstheme="minorHAnsi"/>
          <w:sz w:val="24"/>
          <w:szCs w:val="24"/>
        </w:rPr>
      </w:pPr>
    </w:p>
    <w:p w14:paraId="120C8C68" w14:textId="2D201994" w:rsidR="00447406" w:rsidRPr="00E40A4F" w:rsidRDefault="00447406" w:rsidP="00447406">
      <w:pPr>
        <w:spacing w:after="0" w:line="480" w:lineRule="auto"/>
        <w:rPr>
          <w:rFonts w:cstheme="minorHAnsi"/>
          <w:b/>
          <w:noProof/>
          <w:sz w:val="24"/>
          <w:szCs w:val="24"/>
        </w:rPr>
      </w:pPr>
      <w:r w:rsidRPr="00E40A4F">
        <w:rPr>
          <w:rFonts w:cstheme="minorHAnsi"/>
          <w:b/>
          <w:noProof/>
          <w:sz w:val="24"/>
          <w:szCs w:val="24"/>
        </w:rPr>
        <w:lastRenderedPageBreak/>
        <w:t xml:space="preserve">6. Loss by adsortion on 3 </w:t>
      </w:r>
      <w:r w:rsidR="00CE1914">
        <w:rPr>
          <w:rFonts w:cstheme="minorHAnsi"/>
          <w:b/>
          <w:noProof/>
          <w:sz w:val="24"/>
          <w:szCs w:val="24"/>
        </w:rPr>
        <w:t>k</w:t>
      </w:r>
      <w:r w:rsidRPr="00E40A4F">
        <w:rPr>
          <w:rFonts w:cstheme="minorHAnsi"/>
          <w:b/>
          <w:noProof/>
          <w:sz w:val="24"/>
          <w:szCs w:val="24"/>
        </w:rPr>
        <w:t>Da membrane</w:t>
      </w:r>
    </w:p>
    <w:p w14:paraId="06732962" w14:textId="4A7E0424" w:rsidR="00447406" w:rsidRPr="00E40A4F" w:rsidRDefault="00447406" w:rsidP="00995C16">
      <w:pPr>
        <w:spacing w:after="0" w:line="480" w:lineRule="auto"/>
        <w:jc w:val="both"/>
        <w:rPr>
          <w:rFonts w:cstheme="minorHAnsi"/>
          <w:noProof/>
          <w:sz w:val="24"/>
          <w:szCs w:val="24"/>
        </w:rPr>
      </w:pPr>
      <w:r w:rsidRPr="00E40A4F">
        <w:rPr>
          <w:rFonts w:cstheme="minorHAnsi"/>
          <w:noProof/>
          <w:sz w:val="24"/>
          <w:szCs w:val="24"/>
        </w:rPr>
        <w:t xml:space="preserve"> A substantial proportion of dissolved Ag did not cross the 3 </w:t>
      </w:r>
      <w:r w:rsidR="00CE1914">
        <w:rPr>
          <w:rFonts w:cstheme="minorHAnsi"/>
          <w:noProof/>
          <w:sz w:val="24"/>
          <w:szCs w:val="24"/>
        </w:rPr>
        <w:t>k</w:t>
      </w:r>
      <w:r w:rsidRPr="00E40A4F">
        <w:rPr>
          <w:rFonts w:cstheme="minorHAnsi"/>
          <w:noProof/>
          <w:sz w:val="24"/>
          <w:szCs w:val="24"/>
        </w:rPr>
        <w:t>Da membrane when the Ag concentrations as AgNO</w:t>
      </w:r>
      <w:r w:rsidRPr="00E40A4F">
        <w:rPr>
          <w:rFonts w:cstheme="minorHAnsi"/>
          <w:noProof/>
          <w:sz w:val="24"/>
          <w:szCs w:val="24"/>
          <w:vertAlign w:val="subscript"/>
        </w:rPr>
        <w:t>3</w:t>
      </w:r>
      <w:r w:rsidRPr="00E40A4F">
        <w:rPr>
          <w:rFonts w:cstheme="minorHAnsi"/>
          <w:noProof/>
          <w:sz w:val="24"/>
          <w:szCs w:val="24"/>
        </w:rPr>
        <w:t xml:space="preserve"> ranged from 10 to 40 nM (Figure S</w:t>
      </w:r>
      <w:r w:rsidR="00CE1914">
        <w:rPr>
          <w:rFonts w:cstheme="minorHAnsi"/>
          <w:noProof/>
          <w:sz w:val="24"/>
          <w:szCs w:val="24"/>
        </w:rPr>
        <w:t>3</w:t>
      </w:r>
      <w:r w:rsidRPr="00E40A4F">
        <w:rPr>
          <w:rFonts w:cstheme="minorHAnsi"/>
          <w:noProof/>
          <w:sz w:val="24"/>
          <w:szCs w:val="24"/>
        </w:rPr>
        <w:t>; equation 2</w:t>
      </w:r>
      <w:r w:rsidR="00CE1914">
        <w:rPr>
          <w:rFonts w:cstheme="minorHAnsi"/>
          <w:noProof/>
          <w:sz w:val="24"/>
          <w:szCs w:val="24"/>
        </w:rPr>
        <w:t xml:space="preserve"> in main text</w:t>
      </w:r>
      <w:r w:rsidRPr="00E40A4F">
        <w:rPr>
          <w:rFonts w:cstheme="minorHAnsi"/>
          <w:noProof/>
          <w:sz w:val="24"/>
          <w:szCs w:val="24"/>
        </w:rPr>
        <w:t>). We calculated that 12 ± 2 % (</w:t>
      </w:r>
      <w:r w:rsidRPr="00E40A4F">
        <w:rPr>
          <w:rFonts w:cstheme="minorHAnsi"/>
          <w:i/>
          <w:noProof/>
          <w:sz w:val="24"/>
          <w:szCs w:val="24"/>
        </w:rPr>
        <w:t>n</w:t>
      </w:r>
      <w:r w:rsidRPr="00E40A4F">
        <w:rPr>
          <w:rFonts w:cstheme="minorHAnsi"/>
          <w:noProof/>
          <w:sz w:val="24"/>
          <w:szCs w:val="24"/>
        </w:rPr>
        <w:t xml:space="preserve"> = 4) of the Ag added as AgNO</w:t>
      </w:r>
      <w:r w:rsidRPr="00E40A4F">
        <w:rPr>
          <w:rFonts w:cstheme="minorHAnsi"/>
          <w:noProof/>
          <w:sz w:val="24"/>
          <w:szCs w:val="24"/>
          <w:vertAlign w:val="subscript"/>
        </w:rPr>
        <w:t>3</w:t>
      </w:r>
      <w:r w:rsidRPr="00E40A4F">
        <w:rPr>
          <w:rFonts w:cstheme="minorHAnsi"/>
          <w:noProof/>
          <w:sz w:val="24"/>
          <w:szCs w:val="24"/>
        </w:rPr>
        <w:t xml:space="preserve"> did not cross the 3 </w:t>
      </w:r>
      <w:r w:rsidR="00CE1914">
        <w:rPr>
          <w:rFonts w:cstheme="minorHAnsi"/>
          <w:noProof/>
          <w:sz w:val="24"/>
          <w:szCs w:val="24"/>
        </w:rPr>
        <w:t>k</w:t>
      </w:r>
      <w:r w:rsidRPr="00E40A4F">
        <w:rPr>
          <w:rFonts w:cstheme="minorHAnsi"/>
          <w:noProof/>
          <w:sz w:val="24"/>
          <w:szCs w:val="24"/>
        </w:rPr>
        <w:t xml:space="preserve">Da membrane. Speciation calculations performed using MINTEQ 3.1 revealed that 10% of the Ag was complexed by chlorides in MHW (dissolved AgCl complexes). To determine if the AgCl complexes could be retained on the 3 </w:t>
      </w:r>
      <w:r w:rsidR="00CE1914">
        <w:rPr>
          <w:rFonts w:cstheme="minorHAnsi"/>
          <w:noProof/>
          <w:sz w:val="24"/>
          <w:szCs w:val="24"/>
        </w:rPr>
        <w:t>k</w:t>
      </w:r>
      <w:r w:rsidRPr="00E40A4F">
        <w:rPr>
          <w:rFonts w:cstheme="minorHAnsi"/>
          <w:noProof/>
          <w:sz w:val="24"/>
          <w:szCs w:val="24"/>
        </w:rPr>
        <w:t>Da membrane, we replaced KCl by KNO</w:t>
      </w:r>
      <w:r w:rsidRPr="00E40A4F">
        <w:rPr>
          <w:rFonts w:cstheme="minorHAnsi"/>
          <w:noProof/>
          <w:sz w:val="24"/>
          <w:szCs w:val="24"/>
          <w:vertAlign w:val="subscript"/>
        </w:rPr>
        <w:t xml:space="preserve">3 </w:t>
      </w:r>
      <w:r w:rsidRPr="00E40A4F">
        <w:rPr>
          <w:rFonts w:cstheme="minorHAnsi"/>
          <w:noProof/>
          <w:sz w:val="24"/>
          <w:szCs w:val="24"/>
        </w:rPr>
        <w:t xml:space="preserve">in the formulation of the MHW (Supp. Table S2). As observed with KCl, 13% of the Ag did not cross the 3 </w:t>
      </w:r>
      <w:r w:rsidR="00CE1914">
        <w:rPr>
          <w:rFonts w:cstheme="minorHAnsi"/>
          <w:noProof/>
          <w:sz w:val="24"/>
          <w:szCs w:val="24"/>
        </w:rPr>
        <w:t>k</w:t>
      </w:r>
      <w:r w:rsidRPr="00E40A4F">
        <w:rPr>
          <w:rFonts w:cstheme="minorHAnsi"/>
          <w:noProof/>
          <w:sz w:val="24"/>
          <w:szCs w:val="24"/>
        </w:rPr>
        <w:t>Da membrane when AgNO</w:t>
      </w:r>
      <w:r w:rsidRPr="00E40A4F">
        <w:rPr>
          <w:rFonts w:cstheme="minorHAnsi"/>
          <w:noProof/>
          <w:sz w:val="24"/>
          <w:szCs w:val="24"/>
          <w:vertAlign w:val="subscript"/>
        </w:rPr>
        <w:t>3</w:t>
      </w:r>
      <w:r w:rsidRPr="00E40A4F">
        <w:rPr>
          <w:rFonts w:cstheme="minorHAnsi"/>
          <w:noProof/>
          <w:sz w:val="24"/>
          <w:szCs w:val="24"/>
        </w:rPr>
        <w:t xml:space="preserve"> was added to MHW made with KNO</w:t>
      </w:r>
      <w:r w:rsidRPr="00E40A4F">
        <w:rPr>
          <w:rFonts w:cstheme="minorHAnsi"/>
          <w:noProof/>
          <w:sz w:val="24"/>
          <w:szCs w:val="24"/>
          <w:vertAlign w:val="subscript"/>
        </w:rPr>
        <w:t>3</w:t>
      </w:r>
      <w:r w:rsidRPr="00E40A4F">
        <w:rPr>
          <w:rFonts w:cstheme="minorHAnsi"/>
          <w:noProof/>
          <w:sz w:val="24"/>
          <w:szCs w:val="24"/>
        </w:rPr>
        <w:t xml:space="preserve"> instead of KCl. These results suggest that Ag</w:t>
      </w:r>
      <w:r w:rsidRPr="00E40A4F">
        <w:rPr>
          <w:rFonts w:cstheme="minorHAnsi"/>
          <w:noProof/>
          <w:sz w:val="24"/>
          <w:szCs w:val="24"/>
          <w:vertAlign w:val="superscript"/>
        </w:rPr>
        <w:t xml:space="preserve"> </w:t>
      </w:r>
      <w:r w:rsidRPr="00E40A4F">
        <w:rPr>
          <w:rFonts w:cstheme="minorHAnsi"/>
          <w:noProof/>
          <w:sz w:val="24"/>
          <w:szCs w:val="24"/>
        </w:rPr>
        <w:t xml:space="preserve">loss by adsorption on the 3 </w:t>
      </w:r>
      <w:r w:rsidR="00CE1914">
        <w:rPr>
          <w:rFonts w:cstheme="minorHAnsi"/>
          <w:noProof/>
          <w:sz w:val="24"/>
          <w:szCs w:val="24"/>
        </w:rPr>
        <w:t>k</w:t>
      </w:r>
      <w:r w:rsidRPr="00E40A4F">
        <w:rPr>
          <w:rFonts w:cstheme="minorHAnsi"/>
          <w:noProof/>
          <w:sz w:val="24"/>
          <w:szCs w:val="24"/>
        </w:rPr>
        <w:t xml:space="preserve">Da membrane is not negligible at those concentrations. When using environmentally relevant Ag exposures, pre-conditioning the 3 </w:t>
      </w:r>
      <w:r w:rsidR="00CE1914">
        <w:rPr>
          <w:rFonts w:cstheme="minorHAnsi"/>
          <w:noProof/>
          <w:sz w:val="24"/>
          <w:szCs w:val="24"/>
        </w:rPr>
        <w:t>k</w:t>
      </w:r>
      <w:r w:rsidRPr="00E40A4F">
        <w:rPr>
          <w:rFonts w:cstheme="minorHAnsi"/>
          <w:noProof/>
          <w:sz w:val="24"/>
          <w:szCs w:val="24"/>
        </w:rPr>
        <w:t>Da membranes before filtering samples therefore appears important</w:t>
      </w:r>
      <w:r w:rsidR="00AA1B1E">
        <w:rPr>
          <w:rFonts w:cstheme="minorHAnsi"/>
          <w:noProof/>
          <w:sz w:val="24"/>
          <w:szCs w:val="24"/>
        </w:rPr>
        <w:t xml:space="preserve"> in future studies</w:t>
      </w:r>
      <w:r w:rsidRPr="00E40A4F">
        <w:rPr>
          <w:rFonts w:cstheme="minorHAnsi"/>
          <w:noProof/>
          <w:sz w:val="24"/>
          <w:szCs w:val="24"/>
        </w:rPr>
        <w:t>.</w:t>
      </w:r>
    </w:p>
    <w:p w14:paraId="0B073F8A" w14:textId="77777777" w:rsidR="00447406" w:rsidRPr="00E40A4F" w:rsidRDefault="00447406" w:rsidP="00447406">
      <w:pPr>
        <w:spacing w:after="0" w:line="480" w:lineRule="auto"/>
        <w:ind w:firstLine="720"/>
        <w:rPr>
          <w:rFonts w:cstheme="minorHAnsi"/>
          <w:noProof/>
          <w:sz w:val="24"/>
          <w:szCs w:val="24"/>
        </w:rPr>
      </w:pPr>
    </w:p>
    <w:p w14:paraId="301D47AF" w14:textId="3F34E8D3" w:rsidR="00447406" w:rsidRDefault="00447406" w:rsidP="00995C16">
      <w:pPr>
        <w:spacing w:after="0" w:line="480" w:lineRule="auto"/>
        <w:jc w:val="both"/>
        <w:rPr>
          <w:rFonts w:cstheme="minorHAnsi"/>
          <w:sz w:val="24"/>
          <w:szCs w:val="24"/>
        </w:rPr>
      </w:pPr>
      <w:r w:rsidRPr="00E40A4F">
        <w:rPr>
          <w:rFonts w:cstheme="minorHAnsi"/>
          <w:noProof/>
          <w:sz w:val="24"/>
          <w:szCs w:val="24"/>
        </w:rPr>
        <w:t xml:space="preserve">Colloids or algal exudates larger than 3 </w:t>
      </w:r>
      <w:r w:rsidR="00CE1914">
        <w:rPr>
          <w:rFonts w:cstheme="minorHAnsi"/>
          <w:noProof/>
          <w:sz w:val="24"/>
          <w:szCs w:val="24"/>
        </w:rPr>
        <w:t>k</w:t>
      </w:r>
      <w:r w:rsidRPr="00E40A4F">
        <w:rPr>
          <w:rFonts w:cstheme="minorHAnsi"/>
          <w:noProof/>
          <w:sz w:val="24"/>
          <w:szCs w:val="24"/>
        </w:rPr>
        <w:t>Da and smaller than 0.45 µm were present in the media after 10 min of alga</w:t>
      </w:r>
      <w:r w:rsidR="00F80EF7">
        <w:rPr>
          <w:rFonts w:cstheme="minorHAnsi"/>
          <w:noProof/>
          <w:sz w:val="24"/>
          <w:szCs w:val="24"/>
        </w:rPr>
        <w:t>l</w:t>
      </w:r>
      <w:r w:rsidRPr="00E40A4F">
        <w:rPr>
          <w:rFonts w:cstheme="minorHAnsi"/>
          <w:noProof/>
          <w:sz w:val="24"/>
          <w:szCs w:val="24"/>
        </w:rPr>
        <w:t xml:space="preserve"> exposure (seen by UV-visible measurements in this study). As shown in Figure S</w:t>
      </w:r>
      <w:r w:rsidR="00AA1B1E">
        <w:rPr>
          <w:rFonts w:cstheme="minorHAnsi"/>
          <w:noProof/>
          <w:sz w:val="24"/>
          <w:szCs w:val="24"/>
        </w:rPr>
        <w:t>3</w:t>
      </w:r>
      <w:r w:rsidRPr="00E40A4F">
        <w:rPr>
          <w:rFonts w:cstheme="minorHAnsi"/>
          <w:noProof/>
          <w:sz w:val="24"/>
          <w:szCs w:val="24"/>
        </w:rPr>
        <w:t xml:space="preserve">, algal exudates lowered the [Ag] that passed through the 3 </w:t>
      </w:r>
      <w:r w:rsidR="00CE1914">
        <w:rPr>
          <w:rFonts w:cstheme="minorHAnsi"/>
          <w:noProof/>
          <w:sz w:val="24"/>
          <w:szCs w:val="24"/>
        </w:rPr>
        <w:t>k</w:t>
      </w:r>
      <w:r w:rsidRPr="00E40A4F">
        <w:rPr>
          <w:rFonts w:cstheme="minorHAnsi"/>
          <w:noProof/>
          <w:sz w:val="24"/>
          <w:szCs w:val="24"/>
        </w:rPr>
        <w:t>Da membrane filters with the highest impact observed at the lowest [AgNO</w:t>
      </w:r>
      <w:r w:rsidRPr="00E40A4F">
        <w:rPr>
          <w:rFonts w:cstheme="minorHAnsi"/>
          <w:noProof/>
          <w:sz w:val="24"/>
          <w:szCs w:val="24"/>
          <w:vertAlign w:val="subscript"/>
        </w:rPr>
        <w:t>3</w:t>
      </w:r>
      <w:r w:rsidRPr="00E40A4F">
        <w:rPr>
          <w:rFonts w:cstheme="minorHAnsi"/>
          <w:noProof/>
          <w:sz w:val="24"/>
          <w:szCs w:val="24"/>
        </w:rPr>
        <w:t>]. Using equation 2</w:t>
      </w:r>
      <w:r w:rsidR="00913DEF">
        <w:rPr>
          <w:rFonts w:cstheme="minorHAnsi"/>
          <w:noProof/>
          <w:sz w:val="24"/>
          <w:szCs w:val="24"/>
        </w:rPr>
        <w:t xml:space="preserve"> (main text)</w:t>
      </w:r>
      <w:r w:rsidRPr="00E40A4F">
        <w:rPr>
          <w:rFonts w:cstheme="minorHAnsi"/>
          <w:noProof/>
          <w:sz w:val="24"/>
          <w:szCs w:val="24"/>
        </w:rPr>
        <w:t xml:space="preserve">, we calculated that the loss by adsorption of the Ag-exudate </w:t>
      </w:r>
      <w:r w:rsidR="00F80EF7" w:rsidRPr="00E40A4F">
        <w:rPr>
          <w:rFonts w:cstheme="minorHAnsi"/>
          <w:noProof/>
          <w:sz w:val="24"/>
          <w:szCs w:val="24"/>
        </w:rPr>
        <w:t xml:space="preserve">complexes </w:t>
      </w:r>
      <w:r w:rsidRPr="00E40A4F">
        <w:rPr>
          <w:rFonts w:cstheme="minorHAnsi"/>
          <w:noProof/>
          <w:sz w:val="24"/>
          <w:szCs w:val="24"/>
        </w:rPr>
        <w:t>was nearly 55% (Figure S</w:t>
      </w:r>
      <w:r w:rsidR="00AA1B1E">
        <w:rPr>
          <w:rFonts w:cstheme="minorHAnsi"/>
          <w:noProof/>
          <w:sz w:val="24"/>
          <w:szCs w:val="24"/>
        </w:rPr>
        <w:t>3</w:t>
      </w:r>
      <w:r w:rsidRPr="00E40A4F">
        <w:rPr>
          <w:rFonts w:cstheme="minorHAnsi"/>
          <w:noProof/>
          <w:sz w:val="24"/>
          <w:szCs w:val="24"/>
        </w:rPr>
        <w:t>) at the lowest [AgNO</w:t>
      </w:r>
      <w:r w:rsidRPr="00E40A4F">
        <w:rPr>
          <w:rFonts w:cstheme="minorHAnsi"/>
          <w:noProof/>
          <w:sz w:val="24"/>
          <w:szCs w:val="24"/>
          <w:vertAlign w:val="subscript"/>
        </w:rPr>
        <w:t>3</w:t>
      </w:r>
      <w:r w:rsidRPr="00E40A4F">
        <w:rPr>
          <w:rFonts w:cstheme="minorHAnsi"/>
          <w:noProof/>
          <w:sz w:val="24"/>
          <w:szCs w:val="24"/>
        </w:rPr>
        <w:t>] (about 10 nM). The regression shown in Figure S</w:t>
      </w:r>
      <w:r w:rsidR="00AA1B1E">
        <w:rPr>
          <w:rFonts w:cstheme="minorHAnsi"/>
          <w:noProof/>
          <w:sz w:val="24"/>
          <w:szCs w:val="24"/>
        </w:rPr>
        <w:t>3</w:t>
      </w:r>
      <w:r w:rsidRPr="00E40A4F">
        <w:rPr>
          <w:rFonts w:cstheme="minorHAnsi"/>
          <w:noProof/>
          <w:sz w:val="24"/>
          <w:szCs w:val="24"/>
        </w:rPr>
        <w:t xml:space="preserve"> was used to calculate the [Ag</w:t>
      </w:r>
      <w:r w:rsidRPr="00E40A4F">
        <w:rPr>
          <w:rFonts w:cstheme="minorHAnsi"/>
          <w:noProof/>
          <w:sz w:val="24"/>
          <w:szCs w:val="24"/>
          <w:vertAlign w:val="subscript"/>
        </w:rPr>
        <w:t>D</w:t>
      </w:r>
      <w:r w:rsidRPr="00E40A4F">
        <w:rPr>
          <w:rFonts w:cstheme="minorHAnsi"/>
          <w:noProof/>
          <w:sz w:val="24"/>
          <w:szCs w:val="24"/>
        </w:rPr>
        <w:t>] in the media after exposure</w:t>
      </w:r>
      <w:r w:rsidR="006D3A83">
        <w:rPr>
          <w:rFonts w:cstheme="minorHAnsi"/>
          <w:noProof/>
          <w:sz w:val="24"/>
          <w:szCs w:val="24"/>
        </w:rPr>
        <w:t xml:space="preserve"> in function of the measured Ag</w:t>
      </w:r>
      <w:r w:rsidR="006D3A83" w:rsidRPr="006D3A83">
        <w:rPr>
          <w:rFonts w:cstheme="minorHAnsi"/>
          <w:noProof/>
          <w:sz w:val="24"/>
          <w:szCs w:val="24"/>
          <w:vertAlign w:val="subscript"/>
        </w:rPr>
        <w:t>D</w:t>
      </w:r>
      <w:r w:rsidR="006D3A83">
        <w:rPr>
          <w:rFonts w:cstheme="minorHAnsi"/>
          <w:noProof/>
          <w:sz w:val="24"/>
          <w:szCs w:val="24"/>
        </w:rPr>
        <w:t xml:space="preserve"> concentration</w:t>
      </w:r>
      <w:r w:rsidRPr="00E40A4F">
        <w:rPr>
          <w:rFonts w:cstheme="minorHAnsi"/>
          <w:noProof/>
          <w:sz w:val="24"/>
          <w:szCs w:val="24"/>
        </w:rPr>
        <w:t>.</w:t>
      </w:r>
      <w:r w:rsidRPr="00E40A4F">
        <w:rPr>
          <w:rFonts w:cstheme="minorHAnsi"/>
          <w:sz w:val="24"/>
          <w:szCs w:val="24"/>
        </w:rPr>
        <w:t xml:space="preserve"> </w:t>
      </w:r>
    </w:p>
    <w:p w14:paraId="2CB2221B" w14:textId="77777777" w:rsidR="00847C5C" w:rsidRDefault="00847C5C" w:rsidP="00847C5C">
      <w:pPr>
        <w:spacing w:after="0" w:line="480" w:lineRule="auto"/>
        <w:jc w:val="both"/>
        <w:rPr>
          <w:rFonts w:cstheme="minorHAnsi"/>
          <w:sz w:val="24"/>
          <w:szCs w:val="24"/>
        </w:rPr>
      </w:pPr>
    </w:p>
    <w:p w14:paraId="48D336A8" w14:textId="77777777" w:rsidR="00847C5C" w:rsidRPr="00E40A4F" w:rsidRDefault="00847C5C" w:rsidP="00847C5C">
      <w:pPr>
        <w:spacing w:after="0" w:line="480" w:lineRule="auto"/>
        <w:jc w:val="both"/>
        <w:rPr>
          <w:rFonts w:cstheme="minorHAnsi"/>
          <w:sz w:val="24"/>
          <w:szCs w:val="24"/>
        </w:rPr>
      </w:pPr>
    </w:p>
    <w:p w14:paraId="539EE5EA" w14:textId="5289EF94" w:rsidR="00B259A9" w:rsidRPr="00E40A4F" w:rsidRDefault="00913DEF" w:rsidP="00B259A9">
      <w:pPr>
        <w:jc w:val="center"/>
        <w:rPr>
          <w:sz w:val="24"/>
          <w:szCs w:val="24"/>
        </w:rPr>
      </w:pPr>
      <w:r>
        <w:object w:dxaOrig="10155" w:dyaOrig="7335" w14:anchorId="190A099B">
          <v:shape id="_x0000_i1027" type="#_x0000_t75" style="width:267pt;height:193.5pt" o:ole="">
            <v:imagedata r:id="rId13" o:title=""/>
          </v:shape>
          <o:OLEObject Type="Embed" ProgID="SigmaPlotGraphicObject.12" ShapeID="_x0000_i1027" DrawAspect="Content" ObjectID="_1619610413" r:id="rId14"/>
        </w:object>
      </w:r>
    </w:p>
    <w:p w14:paraId="11E717A7" w14:textId="414A07AD" w:rsidR="00B259A9" w:rsidRPr="00E40A4F" w:rsidRDefault="00B259A9" w:rsidP="00995C16">
      <w:pPr>
        <w:jc w:val="both"/>
        <w:rPr>
          <w:sz w:val="24"/>
          <w:szCs w:val="24"/>
        </w:rPr>
      </w:pPr>
      <w:r w:rsidRPr="00E40A4F">
        <w:rPr>
          <w:b/>
          <w:sz w:val="24"/>
          <w:szCs w:val="24"/>
        </w:rPr>
        <w:t>Supplementary Figure S</w:t>
      </w:r>
      <w:r w:rsidR="009C0777">
        <w:rPr>
          <w:b/>
          <w:sz w:val="24"/>
          <w:szCs w:val="24"/>
        </w:rPr>
        <w:t>3</w:t>
      </w:r>
      <w:r w:rsidRPr="00E40A4F">
        <w:rPr>
          <w:b/>
          <w:sz w:val="24"/>
          <w:szCs w:val="24"/>
        </w:rPr>
        <w:t>:</w:t>
      </w:r>
      <w:r w:rsidRPr="00E40A4F">
        <w:rPr>
          <w:sz w:val="24"/>
          <w:szCs w:val="24"/>
        </w:rPr>
        <w:t xml:space="preserve"> </w:t>
      </w:r>
      <w:r w:rsidR="00913DEF">
        <w:rPr>
          <w:sz w:val="24"/>
          <w:szCs w:val="24"/>
        </w:rPr>
        <w:t>P</w:t>
      </w:r>
      <w:r w:rsidRPr="00E40A4F">
        <w:rPr>
          <w:sz w:val="24"/>
          <w:szCs w:val="24"/>
        </w:rPr>
        <w:t>roportion (%) of Ag loss on</w:t>
      </w:r>
      <w:r w:rsidR="006A1066" w:rsidRPr="00E40A4F">
        <w:rPr>
          <w:sz w:val="24"/>
          <w:szCs w:val="24"/>
        </w:rPr>
        <w:t>to</w:t>
      </w:r>
      <w:r w:rsidRPr="00E40A4F">
        <w:rPr>
          <w:sz w:val="24"/>
          <w:szCs w:val="24"/>
        </w:rPr>
        <w:t xml:space="preserve"> 3 </w:t>
      </w:r>
      <w:r w:rsidR="00CE1914">
        <w:rPr>
          <w:sz w:val="24"/>
          <w:szCs w:val="24"/>
        </w:rPr>
        <w:t>k</w:t>
      </w:r>
      <w:r w:rsidRPr="00E40A4F">
        <w:rPr>
          <w:sz w:val="24"/>
          <w:szCs w:val="24"/>
        </w:rPr>
        <w:t>Da membrane as a function of the AgNO</w:t>
      </w:r>
      <w:r w:rsidRPr="00E40A4F">
        <w:rPr>
          <w:sz w:val="24"/>
          <w:szCs w:val="24"/>
          <w:vertAlign w:val="subscript"/>
        </w:rPr>
        <w:t>3</w:t>
      </w:r>
      <w:r w:rsidRPr="00E40A4F">
        <w:rPr>
          <w:sz w:val="24"/>
          <w:szCs w:val="24"/>
        </w:rPr>
        <w:t xml:space="preserve"> concentrations in the media in presence or absence of </w:t>
      </w:r>
      <w:r w:rsidR="00F80EF7" w:rsidRPr="00E40A4F">
        <w:rPr>
          <w:sz w:val="24"/>
          <w:szCs w:val="24"/>
        </w:rPr>
        <w:t>alga</w:t>
      </w:r>
      <w:r w:rsidR="00F80EF7">
        <w:rPr>
          <w:sz w:val="24"/>
          <w:szCs w:val="24"/>
        </w:rPr>
        <w:t>l</w:t>
      </w:r>
      <w:r w:rsidR="00F80EF7" w:rsidRPr="00E40A4F">
        <w:rPr>
          <w:sz w:val="24"/>
          <w:szCs w:val="24"/>
        </w:rPr>
        <w:t xml:space="preserve"> </w:t>
      </w:r>
      <w:r w:rsidRPr="00E40A4F">
        <w:rPr>
          <w:sz w:val="24"/>
          <w:szCs w:val="24"/>
        </w:rPr>
        <w:t>exudates</w:t>
      </w:r>
      <w:r w:rsidR="000175D1" w:rsidRPr="00E40A4F">
        <w:rPr>
          <w:sz w:val="24"/>
          <w:szCs w:val="24"/>
        </w:rPr>
        <w:t xml:space="preserve"> </w:t>
      </w:r>
      <w:r w:rsidRPr="00E40A4F">
        <w:rPr>
          <w:sz w:val="24"/>
          <w:szCs w:val="24"/>
        </w:rPr>
        <w:t>(see eq. 2 in the main document</w:t>
      </w:r>
      <w:r w:rsidR="00913DEF">
        <w:rPr>
          <w:sz w:val="24"/>
          <w:szCs w:val="24"/>
        </w:rPr>
        <w:t xml:space="preserve"> for detailed calculation</w:t>
      </w:r>
      <w:r w:rsidRPr="00E40A4F">
        <w:rPr>
          <w:sz w:val="24"/>
          <w:szCs w:val="24"/>
        </w:rPr>
        <w:t>)</w:t>
      </w:r>
      <w:r w:rsidR="00913DEF">
        <w:rPr>
          <w:sz w:val="24"/>
          <w:szCs w:val="24"/>
        </w:rPr>
        <w:t>.</w:t>
      </w:r>
      <w:r w:rsidRPr="00E40A4F">
        <w:rPr>
          <w:sz w:val="24"/>
          <w:szCs w:val="24"/>
        </w:rPr>
        <w:t xml:space="preserve"> </w:t>
      </w:r>
    </w:p>
    <w:p w14:paraId="06C80905" w14:textId="77777777" w:rsidR="00610391" w:rsidRPr="00E40A4F" w:rsidRDefault="00610391" w:rsidP="00B259A9">
      <w:pPr>
        <w:rPr>
          <w:sz w:val="24"/>
          <w:szCs w:val="24"/>
        </w:rPr>
      </w:pPr>
    </w:p>
    <w:p w14:paraId="4B107449" w14:textId="77777777" w:rsidR="00847C5C" w:rsidRDefault="00847C5C" w:rsidP="00FB2475">
      <w:pPr>
        <w:spacing w:after="0" w:line="480" w:lineRule="auto"/>
        <w:rPr>
          <w:rFonts w:cstheme="minorHAnsi"/>
          <w:b/>
          <w:noProof/>
          <w:sz w:val="24"/>
          <w:szCs w:val="24"/>
        </w:rPr>
      </w:pPr>
    </w:p>
    <w:p w14:paraId="5149F70D" w14:textId="77777777" w:rsidR="00847C5C" w:rsidRDefault="00847C5C" w:rsidP="00FB2475">
      <w:pPr>
        <w:spacing w:after="0" w:line="480" w:lineRule="auto"/>
        <w:rPr>
          <w:rFonts w:cstheme="minorHAnsi"/>
          <w:b/>
          <w:noProof/>
          <w:sz w:val="24"/>
          <w:szCs w:val="24"/>
        </w:rPr>
      </w:pPr>
    </w:p>
    <w:p w14:paraId="1D978218" w14:textId="77777777" w:rsidR="00847C5C" w:rsidRDefault="00847C5C" w:rsidP="00FB2475">
      <w:pPr>
        <w:spacing w:after="0" w:line="480" w:lineRule="auto"/>
        <w:rPr>
          <w:rFonts w:cstheme="minorHAnsi"/>
          <w:b/>
          <w:noProof/>
          <w:sz w:val="24"/>
          <w:szCs w:val="24"/>
        </w:rPr>
      </w:pPr>
    </w:p>
    <w:p w14:paraId="58669A6D" w14:textId="77777777" w:rsidR="00847C5C" w:rsidRDefault="00847C5C" w:rsidP="00FB2475">
      <w:pPr>
        <w:spacing w:after="0" w:line="480" w:lineRule="auto"/>
        <w:rPr>
          <w:rFonts w:cstheme="minorHAnsi"/>
          <w:b/>
          <w:noProof/>
          <w:sz w:val="24"/>
          <w:szCs w:val="24"/>
        </w:rPr>
      </w:pPr>
    </w:p>
    <w:p w14:paraId="733F1AEA" w14:textId="77777777" w:rsidR="00847C5C" w:rsidRDefault="00847C5C" w:rsidP="00FB2475">
      <w:pPr>
        <w:spacing w:after="0" w:line="480" w:lineRule="auto"/>
        <w:rPr>
          <w:rFonts w:cstheme="minorHAnsi"/>
          <w:b/>
          <w:noProof/>
          <w:sz w:val="24"/>
          <w:szCs w:val="24"/>
        </w:rPr>
      </w:pPr>
    </w:p>
    <w:p w14:paraId="56F8829C" w14:textId="77777777" w:rsidR="00847C5C" w:rsidRDefault="00847C5C" w:rsidP="00FB2475">
      <w:pPr>
        <w:spacing w:after="0" w:line="480" w:lineRule="auto"/>
        <w:rPr>
          <w:rFonts w:cstheme="minorHAnsi"/>
          <w:b/>
          <w:noProof/>
          <w:sz w:val="24"/>
          <w:szCs w:val="24"/>
        </w:rPr>
      </w:pPr>
    </w:p>
    <w:p w14:paraId="16B78167" w14:textId="77777777" w:rsidR="00847C5C" w:rsidRDefault="00847C5C" w:rsidP="00FB2475">
      <w:pPr>
        <w:spacing w:after="0" w:line="480" w:lineRule="auto"/>
        <w:rPr>
          <w:rFonts w:cstheme="minorHAnsi"/>
          <w:b/>
          <w:noProof/>
          <w:sz w:val="24"/>
          <w:szCs w:val="24"/>
        </w:rPr>
      </w:pPr>
    </w:p>
    <w:p w14:paraId="18EC0105" w14:textId="77777777" w:rsidR="00847C5C" w:rsidRDefault="00847C5C" w:rsidP="00FB2475">
      <w:pPr>
        <w:spacing w:after="0" w:line="480" w:lineRule="auto"/>
        <w:rPr>
          <w:rFonts w:cstheme="minorHAnsi"/>
          <w:b/>
          <w:noProof/>
          <w:sz w:val="24"/>
          <w:szCs w:val="24"/>
        </w:rPr>
      </w:pPr>
    </w:p>
    <w:p w14:paraId="30EFE3ED" w14:textId="77777777" w:rsidR="00847C5C" w:rsidRDefault="00847C5C" w:rsidP="00FB2475">
      <w:pPr>
        <w:spacing w:after="0" w:line="480" w:lineRule="auto"/>
        <w:rPr>
          <w:rFonts w:cstheme="minorHAnsi"/>
          <w:b/>
          <w:noProof/>
          <w:sz w:val="24"/>
          <w:szCs w:val="24"/>
        </w:rPr>
      </w:pPr>
    </w:p>
    <w:p w14:paraId="7E07BD08" w14:textId="77777777" w:rsidR="00847C5C" w:rsidRDefault="00847C5C" w:rsidP="00FB2475">
      <w:pPr>
        <w:spacing w:after="0" w:line="480" w:lineRule="auto"/>
        <w:rPr>
          <w:rFonts w:cstheme="minorHAnsi"/>
          <w:b/>
          <w:noProof/>
          <w:sz w:val="24"/>
          <w:szCs w:val="24"/>
        </w:rPr>
      </w:pPr>
    </w:p>
    <w:p w14:paraId="09EBD61E" w14:textId="77777777" w:rsidR="00847C5C" w:rsidRDefault="00847C5C" w:rsidP="00FB2475">
      <w:pPr>
        <w:spacing w:after="0" w:line="480" w:lineRule="auto"/>
        <w:rPr>
          <w:rFonts w:cstheme="minorHAnsi"/>
          <w:b/>
          <w:noProof/>
          <w:sz w:val="24"/>
          <w:szCs w:val="24"/>
        </w:rPr>
      </w:pPr>
    </w:p>
    <w:p w14:paraId="3781FA44" w14:textId="77777777" w:rsidR="00847C5C" w:rsidRDefault="00847C5C" w:rsidP="00FB2475">
      <w:pPr>
        <w:spacing w:after="0" w:line="480" w:lineRule="auto"/>
        <w:rPr>
          <w:rFonts w:cstheme="minorHAnsi"/>
          <w:b/>
          <w:noProof/>
          <w:sz w:val="24"/>
          <w:szCs w:val="24"/>
        </w:rPr>
      </w:pPr>
    </w:p>
    <w:p w14:paraId="106AD37B" w14:textId="77777777" w:rsidR="00847C5C" w:rsidRDefault="00847C5C" w:rsidP="00FB2475">
      <w:pPr>
        <w:spacing w:after="0" w:line="480" w:lineRule="auto"/>
        <w:rPr>
          <w:rFonts w:cstheme="minorHAnsi"/>
          <w:b/>
          <w:noProof/>
          <w:sz w:val="24"/>
          <w:szCs w:val="24"/>
        </w:rPr>
      </w:pPr>
    </w:p>
    <w:p w14:paraId="7D0FFFAA" w14:textId="25F1C554" w:rsidR="0070144F" w:rsidRPr="00E40A4F" w:rsidRDefault="006F189A" w:rsidP="00FB2475">
      <w:pPr>
        <w:spacing w:after="0" w:line="480" w:lineRule="auto"/>
        <w:rPr>
          <w:rFonts w:cstheme="minorHAnsi"/>
          <w:b/>
          <w:noProof/>
          <w:sz w:val="24"/>
          <w:szCs w:val="24"/>
        </w:rPr>
      </w:pPr>
      <w:r w:rsidRPr="00E40A4F">
        <w:rPr>
          <w:rFonts w:cstheme="minorHAnsi"/>
          <w:b/>
          <w:noProof/>
          <w:sz w:val="24"/>
          <w:szCs w:val="24"/>
        </w:rPr>
        <w:t xml:space="preserve">7. </w:t>
      </w:r>
      <w:r w:rsidR="00FB2475" w:rsidRPr="00E40A4F">
        <w:rPr>
          <w:rFonts w:cstheme="minorHAnsi"/>
          <w:b/>
          <w:noProof/>
          <w:sz w:val="24"/>
          <w:szCs w:val="24"/>
        </w:rPr>
        <w:t>Loss by adsorption on 0.45 µm membrane</w:t>
      </w:r>
    </w:p>
    <w:p w14:paraId="7CB0B51E" w14:textId="5015453F" w:rsidR="00FB2475" w:rsidRPr="00E40A4F" w:rsidRDefault="00FB2475" w:rsidP="00995C16">
      <w:pPr>
        <w:spacing w:after="0" w:line="480" w:lineRule="auto"/>
        <w:jc w:val="both"/>
        <w:rPr>
          <w:rFonts w:cstheme="minorHAnsi"/>
          <w:noProof/>
          <w:sz w:val="24"/>
          <w:szCs w:val="24"/>
        </w:rPr>
      </w:pPr>
      <w:r w:rsidRPr="00E40A4F">
        <w:rPr>
          <w:rFonts w:cstheme="minorHAnsi"/>
          <w:sz w:val="24"/>
          <w:szCs w:val="24"/>
        </w:rPr>
        <w:t>Filtration of 100 mL of media with added Ag NPs (10 to 40 nM) led to a 10% loss on</w:t>
      </w:r>
      <w:r w:rsidR="00DE620A" w:rsidRPr="00E40A4F">
        <w:rPr>
          <w:rFonts w:cstheme="minorHAnsi"/>
          <w:sz w:val="24"/>
          <w:szCs w:val="24"/>
        </w:rPr>
        <w:t>to</w:t>
      </w:r>
      <w:r w:rsidRPr="00E40A4F">
        <w:rPr>
          <w:rFonts w:cstheme="minorHAnsi"/>
          <w:sz w:val="24"/>
          <w:szCs w:val="24"/>
        </w:rPr>
        <w:t xml:space="preserve"> the 0.45 µm membrane. When media contained algal exudates, there was a 35% loss of NPs (Ag and Au) from sorption to the 0.45 µm membrane (Figure S</w:t>
      </w:r>
      <w:r w:rsidR="00AA1B1E">
        <w:rPr>
          <w:rFonts w:cstheme="minorHAnsi"/>
          <w:sz w:val="24"/>
          <w:szCs w:val="24"/>
        </w:rPr>
        <w:t>4</w:t>
      </w:r>
      <w:r w:rsidRPr="00E40A4F">
        <w:rPr>
          <w:rFonts w:cstheme="minorHAnsi"/>
          <w:sz w:val="24"/>
          <w:szCs w:val="24"/>
        </w:rPr>
        <w:t>).</w:t>
      </w:r>
      <w:r w:rsidRPr="00E40A4F">
        <w:rPr>
          <w:rFonts w:cstheme="minorHAnsi"/>
          <w:noProof/>
          <w:sz w:val="24"/>
          <w:szCs w:val="24"/>
        </w:rPr>
        <w:t xml:space="preserve"> </w:t>
      </w:r>
      <w:r w:rsidR="00DE620A" w:rsidRPr="00E40A4F">
        <w:rPr>
          <w:rFonts w:cstheme="minorHAnsi"/>
          <w:noProof/>
          <w:sz w:val="24"/>
          <w:szCs w:val="24"/>
        </w:rPr>
        <w:t>From</w:t>
      </w:r>
      <w:r w:rsidRPr="00E40A4F">
        <w:rPr>
          <w:rFonts w:cstheme="minorHAnsi"/>
          <w:noProof/>
          <w:sz w:val="24"/>
          <w:szCs w:val="24"/>
        </w:rPr>
        <w:t xml:space="preserve"> these results, </w:t>
      </w:r>
      <w:r w:rsidR="00DE620A" w:rsidRPr="00E40A4F">
        <w:rPr>
          <w:rFonts w:cstheme="minorHAnsi"/>
          <w:noProof/>
          <w:sz w:val="24"/>
          <w:szCs w:val="24"/>
        </w:rPr>
        <w:t xml:space="preserve">we estimated that </w:t>
      </w:r>
      <w:r w:rsidRPr="00E40A4F">
        <w:rPr>
          <w:rFonts w:cstheme="minorHAnsi"/>
          <w:noProof/>
          <w:sz w:val="24"/>
          <w:szCs w:val="24"/>
        </w:rPr>
        <w:t xml:space="preserve">35% of the Ag and Au were removed from </w:t>
      </w:r>
      <w:r w:rsidRPr="00E40A4F">
        <w:rPr>
          <w:rFonts w:cstheme="minorHAnsi"/>
          <w:i/>
          <w:noProof/>
          <w:sz w:val="24"/>
          <w:szCs w:val="24"/>
        </w:rPr>
        <w:t>C. reinhardtii</w:t>
      </w:r>
      <w:r w:rsidRPr="00E40A4F">
        <w:rPr>
          <w:rFonts w:cstheme="minorHAnsi"/>
          <w:noProof/>
          <w:sz w:val="24"/>
          <w:szCs w:val="24"/>
        </w:rPr>
        <w:t xml:space="preserve"> uptake rate results.</w:t>
      </w:r>
    </w:p>
    <w:p w14:paraId="4593305C" w14:textId="2D788FC2" w:rsidR="00447406" w:rsidRPr="00E40A4F" w:rsidRDefault="00042F62" w:rsidP="00447406">
      <w:pPr>
        <w:jc w:val="center"/>
        <w:rPr>
          <w:sz w:val="24"/>
          <w:szCs w:val="24"/>
        </w:rPr>
      </w:pPr>
      <w:r>
        <w:object w:dxaOrig="9135" w:dyaOrig="7035" w14:anchorId="67EBDFDC">
          <v:shape id="_x0000_i1028" type="#_x0000_t75" style="width:324pt;height:249pt" o:ole="">
            <v:imagedata r:id="rId15" o:title=""/>
          </v:shape>
          <o:OLEObject Type="Embed" ProgID="SigmaPlotGraphicObject.12" ShapeID="_x0000_i1028" DrawAspect="Content" ObjectID="_1619610414" r:id="rId16"/>
        </w:object>
      </w:r>
    </w:p>
    <w:p w14:paraId="3AB3179B" w14:textId="25953B46" w:rsidR="00447406" w:rsidRPr="00E40A4F" w:rsidRDefault="00447406" w:rsidP="00995C16">
      <w:pPr>
        <w:jc w:val="both"/>
        <w:rPr>
          <w:sz w:val="24"/>
          <w:szCs w:val="24"/>
        </w:rPr>
      </w:pPr>
      <w:r w:rsidRPr="00E40A4F">
        <w:rPr>
          <w:b/>
          <w:sz w:val="24"/>
          <w:szCs w:val="24"/>
        </w:rPr>
        <w:t>Supplementary Figure S</w:t>
      </w:r>
      <w:r w:rsidR="00FA7024">
        <w:rPr>
          <w:b/>
          <w:sz w:val="24"/>
          <w:szCs w:val="24"/>
        </w:rPr>
        <w:t>4</w:t>
      </w:r>
      <w:r w:rsidRPr="00E40A4F">
        <w:rPr>
          <w:b/>
          <w:sz w:val="24"/>
          <w:szCs w:val="24"/>
        </w:rPr>
        <w:t xml:space="preserve">: </w:t>
      </w:r>
      <w:r w:rsidRPr="00E40A4F">
        <w:rPr>
          <w:sz w:val="24"/>
          <w:szCs w:val="24"/>
        </w:rPr>
        <w:t xml:space="preserve">Loss of Ag as NPs on 0.45 µm filter in the presence or absence of </w:t>
      </w:r>
      <w:r w:rsidR="00F80EF7" w:rsidRPr="00E40A4F">
        <w:rPr>
          <w:sz w:val="24"/>
          <w:szCs w:val="24"/>
        </w:rPr>
        <w:t>alga</w:t>
      </w:r>
      <w:r w:rsidR="00F80EF7">
        <w:rPr>
          <w:sz w:val="24"/>
          <w:szCs w:val="24"/>
        </w:rPr>
        <w:t>l</w:t>
      </w:r>
      <w:r w:rsidR="00F80EF7" w:rsidRPr="00E40A4F">
        <w:rPr>
          <w:sz w:val="24"/>
          <w:szCs w:val="24"/>
        </w:rPr>
        <w:t xml:space="preserve"> </w:t>
      </w:r>
      <w:r w:rsidRPr="00E40A4F">
        <w:rPr>
          <w:sz w:val="24"/>
          <w:szCs w:val="24"/>
        </w:rPr>
        <w:t xml:space="preserve">exudates in MOD water as a function of the total Ag concentrations before filtration (0.45 µm). </w:t>
      </w:r>
    </w:p>
    <w:p w14:paraId="1E218CE1" w14:textId="77777777" w:rsidR="00447406" w:rsidRDefault="00447406" w:rsidP="00B07138">
      <w:pPr>
        <w:spacing w:after="0" w:line="480" w:lineRule="auto"/>
        <w:rPr>
          <w:rFonts w:cstheme="minorHAnsi"/>
          <w:b/>
          <w:noProof/>
          <w:sz w:val="24"/>
          <w:szCs w:val="24"/>
        </w:rPr>
      </w:pPr>
    </w:p>
    <w:p w14:paraId="24FB7256" w14:textId="77777777" w:rsidR="002E7606" w:rsidRDefault="002E7606" w:rsidP="00B259A9">
      <w:pPr>
        <w:rPr>
          <w:b/>
          <w:sz w:val="24"/>
          <w:szCs w:val="24"/>
        </w:rPr>
      </w:pPr>
    </w:p>
    <w:p w14:paraId="5D5E183E" w14:textId="77777777" w:rsidR="002E7606" w:rsidRDefault="002E7606" w:rsidP="00B259A9">
      <w:pPr>
        <w:rPr>
          <w:b/>
          <w:sz w:val="24"/>
          <w:szCs w:val="24"/>
        </w:rPr>
      </w:pPr>
    </w:p>
    <w:p w14:paraId="7DD4FBE7" w14:textId="77777777" w:rsidR="002E7606" w:rsidRDefault="002E7606" w:rsidP="00B259A9">
      <w:pPr>
        <w:rPr>
          <w:b/>
          <w:sz w:val="24"/>
          <w:szCs w:val="24"/>
        </w:rPr>
      </w:pPr>
    </w:p>
    <w:p w14:paraId="6ED0D702" w14:textId="77777777" w:rsidR="002E7606" w:rsidRDefault="002E7606" w:rsidP="00B259A9">
      <w:pPr>
        <w:rPr>
          <w:b/>
          <w:sz w:val="24"/>
          <w:szCs w:val="24"/>
        </w:rPr>
      </w:pPr>
    </w:p>
    <w:p w14:paraId="5CD55EF0" w14:textId="77777777" w:rsidR="002E7606" w:rsidRDefault="002E7606" w:rsidP="00B259A9">
      <w:pPr>
        <w:rPr>
          <w:b/>
          <w:sz w:val="24"/>
          <w:szCs w:val="24"/>
        </w:rPr>
      </w:pPr>
    </w:p>
    <w:p w14:paraId="00A7F6BB" w14:textId="77777777" w:rsidR="002E7606" w:rsidRDefault="002E7606" w:rsidP="00B259A9">
      <w:pPr>
        <w:rPr>
          <w:b/>
          <w:sz w:val="24"/>
          <w:szCs w:val="24"/>
        </w:rPr>
      </w:pPr>
    </w:p>
    <w:p w14:paraId="46B119BB" w14:textId="77777777" w:rsidR="002E7606" w:rsidRDefault="002E7606" w:rsidP="00B259A9">
      <w:pPr>
        <w:rPr>
          <w:b/>
          <w:sz w:val="24"/>
          <w:szCs w:val="24"/>
        </w:rPr>
      </w:pPr>
    </w:p>
    <w:p w14:paraId="796C9178" w14:textId="3D3FC097" w:rsidR="00FB2475" w:rsidRPr="00447406" w:rsidRDefault="00447406" w:rsidP="00B259A9">
      <w:pPr>
        <w:rPr>
          <w:b/>
          <w:sz w:val="24"/>
          <w:szCs w:val="24"/>
        </w:rPr>
      </w:pPr>
      <w:r w:rsidRPr="00447406">
        <w:rPr>
          <w:b/>
          <w:sz w:val="24"/>
          <w:szCs w:val="24"/>
        </w:rPr>
        <w:t>8. Ultra violet-visible sprectrum</w:t>
      </w:r>
    </w:p>
    <w:p w14:paraId="5750F8BC" w14:textId="77777777" w:rsidR="00B259A9" w:rsidRPr="00E40A4F" w:rsidRDefault="00B259A9" w:rsidP="00E01EC5">
      <w:pPr>
        <w:jc w:val="center"/>
        <w:rPr>
          <w:sz w:val="24"/>
          <w:szCs w:val="24"/>
        </w:rPr>
      </w:pPr>
    </w:p>
    <w:p w14:paraId="6384241A" w14:textId="4D7FBEAD" w:rsidR="00156F8A" w:rsidRPr="00E40A4F" w:rsidRDefault="00004FC6" w:rsidP="005208FF">
      <w:pPr>
        <w:jc w:val="center"/>
        <w:rPr>
          <w:sz w:val="24"/>
          <w:szCs w:val="24"/>
        </w:rPr>
      </w:pPr>
      <w:r w:rsidRPr="00E40A4F">
        <w:rPr>
          <w:sz w:val="24"/>
          <w:szCs w:val="24"/>
        </w:rPr>
        <w:object w:dxaOrig="9405" w:dyaOrig="12660" w14:anchorId="22518992">
          <v:shape id="_x0000_i1029" type="#_x0000_t75" style="width:232.5pt;height:312pt" o:ole="">
            <v:imagedata r:id="rId17" o:title=""/>
          </v:shape>
          <o:OLEObject Type="Embed" ProgID="SigmaPlotGraphicObject.12" ShapeID="_x0000_i1029" DrawAspect="Content" ObjectID="_1619610415" r:id="rId18"/>
        </w:object>
      </w:r>
    </w:p>
    <w:p w14:paraId="21823738" w14:textId="2C52C0D3" w:rsidR="00566529" w:rsidRDefault="005208FF" w:rsidP="00995C16">
      <w:pPr>
        <w:jc w:val="both"/>
        <w:rPr>
          <w:sz w:val="24"/>
          <w:szCs w:val="24"/>
        </w:rPr>
      </w:pPr>
      <w:r w:rsidRPr="00E40A4F">
        <w:rPr>
          <w:b/>
          <w:sz w:val="24"/>
          <w:szCs w:val="24"/>
        </w:rPr>
        <w:t>Supplementary Figure S</w:t>
      </w:r>
      <w:r w:rsidR="00E2395B" w:rsidRPr="00E40A4F">
        <w:rPr>
          <w:b/>
          <w:sz w:val="24"/>
          <w:szCs w:val="24"/>
        </w:rPr>
        <w:t>5</w:t>
      </w:r>
      <w:r w:rsidRPr="00E40A4F">
        <w:rPr>
          <w:b/>
          <w:sz w:val="24"/>
          <w:szCs w:val="24"/>
        </w:rPr>
        <w:t>:</w:t>
      </w:r>
      <w:r w:rsidRPr="00E40A4F">
        <w:rPr>
          <w:sz w:val="24"/>
          <w:szCs w:val="24"/>
        </w:rPr>
        <w:t xml:space="preserve"> Ultra-violet/visible spectrum of Ag@Au@Ag nanoparticles before exposure</w:t>
      </w:r>
      <w:r w:rsidR="00970509" w:rsidRPr="00E40A4F">
        <w:rPr>
          <w:sz w:val="24"/>
          <w:szCs w:val="24"/>
        </w:rPr>
        <w:t xml:space="preserve"> (top panel)</w:t>
      </w:r>
      <w:r w:rsidRPr="00E40A4F">
        <w:rPr>
          <w:sz w:val="24"/>
          <w:szCs w:val="24"/>
        </w:rPr>
        <w:t xml:space="preserve"> of </w:t>
      </w:r>
      <w:r w:rsidRPr="00E40A4F">
        <w:rPr>
          <w:i/>
          <w:sz w:val="24"/>
          <w:szCs w:val="24"/>
        </w:rPr>
        <w:t>Chlamydomonas reinhardtii</w:t>
      </w:r>
      <w:r w:rsidRPr="00E40A4F">
        <w:rPr>
          <w:sz w:val="24"/>
          <w:szCs w:val="24"/>
        </w:rPr>
        <w:t xml:space="preserve"> and in the filtrate after exposure </w:t>
      </w:r>
      <w:r w:rsidR="00970509" w:rsidRPr="00E40A4F">
        <w:rPr>
          <w:sz w:val="24"/>
          <w:szCs w:val="24"/>
        </w:rPr>
        <w:t xml:space="preserve">(lower panel) </w:t>
      </w:r>
      <w:r w:rsidRPr="00E40A4F">
        <w:rPr>
          <w:sz w:val="24"/>
          <w:szCs w:val="24"/>
        </w:rPr>
        <w:t xml:space="preserve">at a total Ag exposure of </w:t>
      </w:r>
      <w:r w:rsidR="00970509" w:rsidRPr="00E40A4F">
        <w:rPr>
          <w:sz w:val="24"/>
          <w:szCs w:val="24"/>
        </w:rPr>
        <w:t>100 (</w:t>
      </w:r>
      <w:r w:rsidR="001831D7" w:rsidRPr="00E40A4F">
        <w:rPr>
          <w:sz w:val="24"/>
          <w:szCs w:val="24"/>
        </w:rPr>
        <w:t>first from bottom</w:t>
      </w:r>
      <w:r w:rsidR="00970509" w:rsidRPr="00E40A4F">
        <w:rPr>
          <w:sz w:val="24"/>
          <w:szCs w:val="24"/>
        </w:rPr>
        <w:t>), 500 (orange</w:t>
      </w:r>
      <w:r w:rsidR="001831D7" w:rsidRPr="00E40A4F">
        <w:rPr>
          <w:sz w:val="24"/>
          <w:szCs w:val="24"/>
        </w:rPr>
        <w:t>, 2</w:t>
      </w:r>
      <w:r w:rsidR="001831D7" w:rsidRPr="00E40A4F">
        <w:rPr>
          <w:sz w:val="24"/>
          <w:szCs w:val="24"/>
          <w:vertAlign w:val="superscript"/>
        </w:rPr>
        <w:t>nd</w:t>
      </w:r>
      <w:r w:rsidR="001831D7" w:rsidRPr="00E40A4F">
        <w:rPr>
          <w:sz w:val="24"/>
          <w:szCs w:val="24"/>
        </w:rPr>
        <w:t xml:space="preserve"> from bottom</w:t>
      </w:r>
      <w:r w:rsidR="00970509" w:rsidRPr="00E40A4F">
        <w:rPr>
          <w:sz w:val="24"/>
          <w:szCs w:val="24"/>
        </w:rPr>
        <w:t>), 1000 (yellow</w:t>
      </w:r>
      <w:r w:rsidR="001831D7" w:rsidRPr="00E40A4F">
        <w:rPr>
          <w:sz w:val="24"/>
          <w:szCs w:val="24"/>
        </w:rPr>
        <w:t xml:space="preserve"> 3</w:t>
      </w:r>
      <w:r w:rsidR="001831D7" w:rsidRPr="00E40A4F">
        <w:rPr>
          <w:sz w:val="24"/>
          <w:szCs w:val="24"/>
          <w:vertAlign w:val="superscript"/>
        </w:rPr>
        <w:t>rd</w:t>
      </w:r>
      <w:r w:rsidR="001831D7" w:rsidRPr="00E40A4F">
        <w:rPr>
          <w:sz w:val="24"/>
          <w:szCs w:val="24"/>
        </w:rPr>
        <w:t xml:space="preserve"> from bottom</w:t>
      </w:r>
      <w:r w:rsidR="00970509" w:rsidRPr="00E40A4F">
        <w:rPr>
          <w:sz w:val="24"/>
          <w:szCs w:val="24"/>
        </w:rPr>
        <w:t xml:space="preserve">), </w:t>
      </w:r>
      <w:r w:rsidRPr="00E40A4F">
        <w:rPr>
          <w:sz w:val="24"/>
          <w:szCs w:val="24"/>
        </w:rPr>
        <w:t xml:space="preserve">2000 </w:t>
      </w:r>
      <w:r w:rsidR="00970509" w:rsidRPr="00E40A4F">
        <w:rPr>
          <w:sz w:val="24"/>
          <w:szCs w:val="24"/>
        </w:rPr>
        <w:t xml:space="preserve">nM </w:t>
      </w:r>
      <w:r w:rsidRPr="00E40A4F">
        <w:rPr>
          <w:sz w:val="24"/>
          <w:szCs w:val="24"/>
        </w:rPr>
        <w:t>(</w:t>
      </w:r>
      <w:r w:rsidR="00DF62F5" w:rsidRPr="00E40A4F">
        <w:rPr>
          <w:sz w:val="24"/>
          <w:szCs w:val="24"/>
        </w:rPr>
        <w:t xml:space="preserve">top </w:t>
      </w:r>
      <w:r w:rsidRPr="00E40A4F">
        <w:rPr>
          <w:sz w:val="24"/>
          <w:szCs w:val="24"/>
        </w:rPr>
        <w:t>green)</w:t>
      </w:r>
      <w:r w:rsidR="00970509" w:rsidRPr="00E40A4F">
        <w:rPr>
          <w:sz w:val="24"/>
          <w:szCs w:val="24"/>
        </w:rPr>
        <w:t>.</w:t>
      </w:r>
      <w:r w:rsidRPr="00E40A4F">
        <w:rPr>
          <w:sz w:val="24"/>
          <w:szCs w:val="24"/>
        </w:rPr>
        <w:t xml:space="preserve"> </w:t>
      </w:r>
    </w:p>
    <w:p w14:paraId="50FD1A1C" w14:textId="77777777" w:rsidR="00723C9D" w:rsidRDefault="00723C9D" w:rsidP="002E7606">
      <w:pPr>
        <w:spacing w:after="0" w:line="480" w:lineRule="auto"/>
        <w:rPr>
          <w:rFonts w:cstheme="minorHAnsi"/>
          <w:b/>
          <w:noProof/>
          <w:sz w:val="24"/>
          <w:szCs w:val="24"/>
        </w:rPr>
      </w:pPr>
    </w:p>
    <w:p w14:paraId="18DF941E" w14:textId="77777777" w:rsidR="00723C9D" w:rsidRDefault="00723C9D" w:rsidP="002E7606">
      <w:pPr>
        <w:spacing w:after="0" w:line="480" w:lineRule="auto"/>
        <w:rPr>
          <w:rFonts w:cstheme="minorHAnsi"/>
          <w:b/>
          <w:noProof/>
          <w:sz w:val="24"/>
          <w:szCs w:val="24"/>
        </w:rPr>
      </w:pPr>
    </w:p>
    <w:p w14:paraId="5442049C" w14:textId="77777777" w:rsidR="00723C9D" w:rsidRDefault="00723C9D" w:rsidP="002E7606">
      <w:pPr>
        <w:spacing w:after="0" w:line="480" w:lineRule="auto"/>
        <w:rPr>
          <w:rFonts w:cstheme="minorHAnsi"/>
          <w:b/>
          <w:noProof/>
          <w:sz w:val="24"/>
          <w:szCs w:val="24"/>
        </w:rPr>
      </w:pPr>
    </w:p>
    <w:p w14:paraId="03B7B9FB" w14:textId="77777777" w:rsidR="00723C9D" w:rsidRDefault="00723C9D" w:rsidP="002E7606">
      <w:pPr>
        <w:spacing w:after="0" w:line="480" w:lineRule="auto"/>
        <w:rPr>
          <w:rFonts w:cstheme="minorHAnsi"/>
          <w:b/>
          <w:noProof/>
          <w:sz w:val="24"/>
          <w:szCs w:val="24"/>
        </w:rPr>
      </w:pPr>
    </w:p>
    <w:p w14:paraId="3A66757A" w14:textId="77777777" w:rsidR="00723C9D" w:rsidRDefault="00723C9D" w:rsidP="002E7606">
      <w:pPr>
        <w:spacing w:after="0" w:line="480" w:lineRule="auto"/>
        <w:rPr>
          <w:rFonts w:cstheme="minorHAnsi"/>
          <w:b/>
          <w:noProof/>
          <w:sz w:val="24"/>
          <w:szCs w:val="24"/>
        </w:rPr>
      </w:pPr>
    </w:p>
    <w:p w14:paraId="07B59201" w14:textId="77777777" w:rsidR="00723C9D" w:rsidRDefault="00723C9D" w:rsidP="002E7606">
      <w:pPr>
        <w:spacing w:after="0" w:line="480" w:lineRule="auto"/>
        <w:rPr>
          <w:rFonts w:cstheme="minorHAnsi"/>
          <w:b/>
          <w:noProof/>
          <w:sz w:val="24"/>
          <w:szCs w:val="24"/>
        </w:rPr>
      </w:pPr>
    </w:p>
    <w:p w14:paraId="5BAEEB2E" w14:textId="77777777" w:rsidR="00723C9D" w:rsidRDefault="00723C9D" w:rsidP="002E7606">
      <w:pPr>
        <w:spacing w:after="0" w:line="480" w:lineRule="auto"/>
        <w:rPr>
          <w:rFonts w:cstheme="minorHAnsi"/>
          <w:b/>
          <w:noProof/>
          <w:sz w:val="24"/>
          <w:szCs w:val="24"/>
        </w:rPr>
      </w:pPr>
    </w:p>
    <w:p w14:paraId="5CADB83E" w14:textId="7579F6C2" w:rsidR="00723C9D" w:rsidRDefault="002E7606" w:rsidP="002E7606">
      <w:pPr>
        <w:spacing w:after="0" w:line="480" w:lineRule="auto"/>
        <w:rPr>
          <w:rFonts w:cstheme="minorHAnsi"/>
          <w:b/>
          <w:noProof/>
          <w:sz w:val="24"/>
          <w:szCs w:val="24"/>
        </w:rPr>
      </w:pPr>
      <w:r>
        <w:rPr>
          <w:rFonts w:cstheme="minorHAnsi"/>
          <w:b/>
          <w:noProof/>
          <w:sz w:val="24"/>
          <w:szCs w:val="24"/>
        </w:rPr>
        <w:t>9.</w:t>
      </w:r>
      <w:r w:rsidRPr="00E40A4F">
        <w:rPr>
          <w:rFonts w:cstheme="minorHAnsi"/>
          <w:b/>
          <w:noProof/>
          <w:sz w:val="24"/>
          <w:szCs w:val="24"/>
        </w:rPr>
        <w:t xml:space="preserve"> </w:t>
      </w:r>
      <w:r w:rsidR="00723C9D">
        <w:rPr>
          <w:rFonts w:cstheme="minorHAnsi"/>
          <w:b/>
          <w:noProof/>
          <w:sz w:val="24"/>
          <w:szCs w:val="24"/>
        </w:rPr>
        <w:t>Ag to Au ratios after 24 hours</w:t>
      </w:r>
    </w:p>
    <w:p w14:paraId="21989001" w14:textId="6137BE51" w:rsidR="00723C9D" w:rsidRDefault="006F3E61" w:rsidP="00723C9D">
      <w:pPr>
        <w:spacing w:after="0" w:line="480" w:lineRule="auto"/>
        <w:jc w:val="center"/>
        <w:rPr>
          <w:rFonts w:cstheme="minorHAnsi"/>
          <w:b/>
          <w:noProof/>
          <w:sz w:val="24"/>
          <w:szCs w:val="24"/>
        </w:rPr>
      </w:pPr>
      <w:r>
        <w:object w:dxaOrig="9225" w:dyaOrig="6945" w14:anchorId="2A8A42FA">
          <v:shape id="_x0000_i1030" type="#_x0000_t75" style="width:265.5pt;height:201pt" o:ole="">
            <v:imagedata r:id="rId19" o:title=""/>
          </v:shape>
          <o:OLEObject Type="Embed" ProgID="SigmaPlotGraphicObject.12" ShapeID="_x0000_i1030" DrawAspect="Content" ObjectID="_1619610416" r:id="rId20"/>
        </w:object>
      </w:r>
    </w:p>
    <w:p w14:paraId="6FBA4462" w14:textId="7FAD1736" w:rsidR="00723C9D" w:rsidRDefault="00723C9D" w:rsidP="00995C16">
      <w:pPr>
        <w:spacing w:after="0" w:line="240" w:lineRule="auto"/>
        <w:jc w:val="both"/>
        <w:rPr>
          <w:rFonts w:cstheme="minorHAnsi"/>
          <w:b/>
          <w:noProof/>
          <w:sz w:val="24"/>
          <w:szCs w:val="24"/>
        </w:rPr>
      </w:pPr>
      <w:r w:rsidRPr="00E40A4F">
        <w:rPr>
          <w:b/>
          <w:sz w:val="24"/>
          <w:szCs w:val="24"/>
        </w:rPr>
        <w:t>Supplementary Figure S</w:t>
      </w:r>
      <w:r>
        <w:rPr>
          <w:b/>
          <w:sz w:val="24"/>
          <w:szCs w:val="24"/>
        </w:rPr>
        <w:t>6</w:t>
      </w:r>
      <w:r w:rsidRPr="00E40A4F">
        <w:rPr>
          <w:b/>
          <w:sz w:val="24"/>
          <w:szCs w:val="24"/>
        </w:rPr>
        <w:t>:</w:t>
      </w:r>
      <w:r w:rsidRPr="00723C9D">
        <w:rPr>
          <w:rFonts w:cstheme="minorHAnsi"/>
          <w:sz w:val="24"/>
          <w:szCs w:val="24"/>
        </w:rPr>
        <w:t xml:space="preserve"> </w:t>
      </w:r>
      <w:r>
        <w:rPr>
          <w:rFonts w:cstheme="minorHAnsi"/>
          <w:sz w:val="24"/>
          <w:szCs w:val="24"/>
        </w:rPr>
        <w:t>R</w:t>
      </w:r>
      <w:r w:rsidRPr="001E1855">
        <w:rPr>
          <w:rFonts w:cstheme="minorHAnsi"/>
          <w:sz w:val="24"/>
          <w:szCs w:val="24"/>
        </w:rPr>
        <w:t>atio</w:t>
      </w:r>
      <w:r>
        <w:rPr>
          <w:rFonts w:cstheme="minorHAnsi"/>
          <w:sz w:val="24"/>
          <w:szCs w:val="24"/>
        </w:rPr>
        <w:t>s</w:t>
      </w:r>
      <w:r w:rsidRPr="001E1855">
        <w:rPr>
          <w:rFonts w:cstheme="minorHAnsi"/>
          <w:sz w:val="24"/>
          <w:szCs w:val="24"/>
        </w:rPr>
        <w:t xml:space="preserve"> of Ag</w:t>
      </w:r>
      <w:r w:rsidRPr="00723C9D">
        <w:rPr>
          <w:rFonts w:cstheme="minorHAnsi"/>
          <w:sz w:val="24"/>
          <w:szCs w:val="24"/>
          <w:vertAlign w:val="subscript"/>
        </w:rPr>
        <w:t>NP</w:t>
      </w:r>
      <w:r w:rsidRPr="001E1855">
        <w:rPr>
          <w:rFonts w:cstheme="minorHAnsi"/>
          <w:sz w:val="24"/>
          <w:szCs w:val="24"/>
        </w:rPr>
        <w:t xml:space="preserve">/Au </w:t>
      </w:r>
      <w:r>
        <w:rPr>
          <w:rFonts w:cstheme="minorHAnsi"/>
          <w:sz w:val="24"/>
          <w:szCs w:val="24"/>
        </w:rPr>
        <w:t>(</w:t>
      </w:r>
      <w:r w:rsidRPr="001E1855">
        <w:rPr>
          <w:rFonts w:cstheme="minorHAnsi"/>
          <w:sz w:val="24"/>
          <w:szCs w:val="24"/>
        </w:rPr>
        <w:t xml:space="preserve">closed circles) </w:t>
      </w:r>
      <w:r>
        <w:rPr>
          <w:rFonts w:cstheme="minorHAnsi"/>
          <w:sz w:val="24"/>
          <w:szCs w:val="24"/>
        </w:rPr>
        <w:t>after 5 minutes in moderately hard water and</w:t>
      </w:r>
      <w:r w:rsidRPr="001E1855">
        <w:rPr>
          <w:rFonts w:cstheme="minorHAnsi"/>
          <w:sz w:val="24"/>
          <w:szCs w:val="24"/>
        </w:rPr>
        <w:t xml:space="preserve"> Ag</w:t>
      </w:r>
      <w:r w:rsidRPr="001E1855">
        <w:rPr>
          <w:rFonts w:cstheme="minorHAnsi"/>
          <w:sz w:val="24"/>
          <w:szCs w:val="24"/>
          <w:vertAlign w:val="subscript"/>
        </w:rPr>
        <w:t>NP</w:t>
      </w:r>
      <w:r w:rsidRPr="001E1855">
        <w:rPr>
          <w:rFonts w:cstheme="minorHAnsi"/>
          <w:sz w:val="24"/>
          <w:szCs w:val="24"/>
        </w:rPr>
        <w:t xml:space="preserve">/Au </w:t>
      </w:r>
      <w:r>
        <w:rPr>
          <w:rFonts w:cstheme="minorHAnsi"/>
          <w:sz w:val="24"/>
          <w:szCs w:val="24"/>
        </w:rPr>
        <w:t>after 24 hours (</w:t>
      </w:r>
      <w:r w:rsidRPr="001E1855">
        <w:rPr>
          <w:rFonts w:cstheme="minorHAnsi"/>
          <w:sz w:val="24"/>
          <w:szCs w:val="24"/>
        </w:rPr>
        <w:t xml:space="preserve">open </w:t>
      </w:r>
      <w:r>
        <w:rPr>
          <w:rFonts w:cstheme="minorHAnsi"/>
          <w:sz w:val="24"/>
          <w:szCs w:val="24"/>
        </w:rPr>
        <w:t>squares</w:t>
      </w:r>
      <w:r w:rsidRPr="001E1855">
        <w:rPr>
          <w:rFonts w:cstheme="minorHAnsi"/>
          <w:sz w:val="24"/>
          <w:szCs w:val="24"/>
        </w:rPr>
        <w:t xml:space="preserve">) </w:t>
      </w:r>
      <w:r>
        <w:rPr>
          <w:rFonts w:cstheme="minorHAnsi"/>
          <w:sz w:val="24"/>
          <w:szCs w:val="24"/>
        </w:rPr>
        <w:t>as a</w:t>
      </w:r>
      <w:r w:rsidRPr="001E1855">
        <w:rPr>
          <w:rFonts w:cstheme="minorHAnsi"/>
          <w:sz w:val="24"/>
          <w:szCs w:val="24"/>
        </w:rPr>
        <w:t xml:space="preserve"> function of the total Ag concentrations </w:t>
      </w:r>
      <w:r>
        <w:rPr>
          <w:rFonts w:cstheme="minorHAnsi"/>
          <w:sz w:val="24"/>
          <w:szCs w:val="24"/>
        </w:rPr>
        <w:t>(Ag</w:t>
      </w:r>
      <w:r w:rsidRPr="00723C9D">
        <w:rPr>
          <w:rFonts w:cstheme="minorHAnsi"/>
          <w:sz w:val="24"/>
          <w:szCs w:val="24"/>
          <w:vertAlign w:val="subscript"/>
        </w:rPr>
        <w:t>T</w:t>
      </w:r>
      <w:r>
        <w:rPr>
          <w:rFonts w:cstheme="minorHAnsi"/>
          <w:sz w:val="24"/>
          <w:szCs w:val="24"/>
        </w:rPr>
        <w:t>)</w:t>
      </w:r>
      <w:r w:rsidRPr="001E1855">
        <w:rPr>
          <w:rFonts w:cstheme="minorHAnsi"/>
          <w:sz w:val="24"/>
          <w:szCs w:val="24"/>
        </w:rPr>
        <w:t>.</w:t>
      </w:r>
    </w:p>
    <w:p w14:paraId="11E3D550" w14:textId="77777777" w:rsidR="00723C9D" w:rsidRDefault="00723C9D" w:rsidP="002E7606">
      <w:pPr>
        <w:spacing w:after="0" w:line="480" w:lineRule="auto"/>
        <w:rPr>
          <w:rFonts w:cstheme="minorHAnsi"/>
          <w:b/>
          <w:noProof/>
          <w:sz w:val="24"/>
          <w:szCs w:val="24"/>
        </w:rPr>
      </w:pPr>
    </w:p>
    <w:p w14:paraId="148D3E2D" w14:textId="0C92613B" w:rsidR="002E7606" w:rsidRPr="00E40A4F" w:rsidRDefault="00723C9D" w:rsidP="002E7606">
      <w:pPr>
        <w:spacing w:after="0" w:line="480" w:lineRule="auto"/>
        <w:rPr>
          <w:rFonts w:cstheme="minorHAnsi"/>
          <w:b/>
          <w:noProof/>
          <w:sz w:val="24"/>
          <w:szCs w:val="24"/>
        </w:rPr>
      </w:pPr>
      <w:r>
        <w:rPr>
          <w:rFonts w:cstheme="minorHAnsi"/>
          <w:b/>
          <w:noProof/>
          <w:sz w:val="24"/>
          <w:szCs w:val="24"/>
        </w:rPr>
        <w:t xml:space="preserve">10. </w:t>
      </w:r>
      <w:r w:rsidR="002E7606" w:rsidRPr="00E40A4F">
        <w:rPr>
          <w:rFonts w:cstheme="minorHAnsi"/>
          <w:b/>
          <w:noProof/>
          <w:sz w:val="24"/>
          <w:szCs w:val="24"/>
        </w:rPr>
        <w:t>Ag toxicity to algae</w:t>
      </w:r>
    </w:p>
    <w:p w14:paraId="3893AE29" w14:textId="690FB94E" w:rsidR="002E7606" w:rsidRDefault="002E7606" w:rsidP="00995C16">
      <w:pPr>
        <w:spacing w:after="0" w:line="480" w:lineRule="auto"/>
        <w:jc w:val="both"/>
        <w:rPr>
          <w:rFonts w:cstheme="minorHAnsi"/>
          <w:noProof/>
          <w:sz w:val="24"/>
          <w:szCs w:val="24"/>
        </w:rPr>
      </w:pPr>
      <w:r w:rsidRPr="00E40A4F">
        <w:rPr>
          <w:rFonts w:cstheme="minorHAnsi"/>
          <w:noProof/>
          <w:sz w:val="24"/>
          <w:szCs w:val="24"/>
        </w:rPr>
        <w:t xml:space="preserve">The shape and number of algal cells were similar at the beginning and at the end of our exposure period of 10 minutes (data not presented), suggesting that the Ag NP exposures were not lethal to </w:t>
      </w:r>
      <w:r w:rsidRPr="00E40A4F">
        <w:rPr>
          <w:rFonts w:cstheme="minorHAnsi"/>
          <w:i/>
          <w:noProof/>
          <w:sz w:val="24"/>
          <w:szCs w:val="24"/>
        </w:rPr>
        <w:t>C. reinhardtii</w:t>
      </w:r>
      <w:r w:rsidRPr="00E40A4F">
        <w:rPr>
          <w:rFonts w:cstheme="minorHAnsi"/>
          <w:noProof/>
          <w:sz w:val="24"/>
          <w:szCs w:val="24"/>
        </w:rPr>
        <w:t xml:space="preserve"> during this short period of exposure. </w:t>
      </w:r>
      <w:r w:rsidR="00F80EF7">
        <w:rPr>
          <w:rFonts w:cstheme="minorHAnsi"/>
          <w:noProof/>
          <w:sz w:val="24"/>
          <w:szCs w:val="24"/>
        </w:rPr>
        <w:t>That is</w:t>
      </w:r>
      <w:r w:rsidRPr="00E40A4F">
        <w:rPr>
          <w:rFonts w:cstheme="minorHAnsi"/>
          <w:noProof/>
          <w:sz w:val="24"/>
          <w:szCs w:val="24"/>
        </w:rPr>
        <w:t>, 186 nM of Ag</w:t>
      </w:r>
      <w:r w:rsidRPr="00E40A4F">
        <w:rPr>
          <w:rFonts w:cstheme="minorHAnsi"/>
          <w:noProof/>
          <w:sz w:val="24"/>
          <w:szCs w:val="24"/>
          <w:vertAlign w:val="subscript"/>
        </w:rPr>
        <w:t>T</w:t>
      </w:r>
      <w:r w:rsidRPr="00E40A4F">
        <w:rPr>
          <w:rFonts w:cstheme="minorHAnsi"/>
          <w:noProof/>
          <w:sz w:val="24"/>
          <w:szCs w:val="24"/>
        </w:rPr>
        <w:t xml:space="preserve"> is required to reduce 50 % of the </w:t>
      </w:r>
      <w:r w:rsidRPr="00E40A4F">
        <w:rPr>
          <w:rFonts w:cstheme="minorHAnsi"/>
          <w:i/>
          <w:noProof/>
          <w:sz w:val="24"/>
          <w:szCs w:val="24"/>
        </w:rPr>
        <w:t>C. reinhardtii</w:t>
      </w:r>
      <w:r w:rsidRPr="00E40A4F">
        <w:rPr>
          <w:rFonts w:cstheme="minorHAnsi"/>
          <w:noProof/>
          <w:sz w:val="24"/>
          <w:szCs w:val="24"/>
        </w:rPr>
        <w:t xml:space="preserve"> photosynthetic yield (Piccapietra et al., 2012) and our maximum exposure concentration was 50 nM.</w:t>
      </w:r>
    </w:p>
    <w:p w14:paraId="50C30C56" w14:textId="77777777" w:rsidR="00C4440A" w:rsidRDefault="00C4440A" w:rsidP="002E7606">
      <w:pPr>
        <w:spacing w:after="0" w:line="480" w:lineRule="auto"/>
        <w:rPr>
          <w:rFonts w:cstheme="minorHAnsi"/>
          <w:noProof/>
          <w:sz w:val="24"/>
          <w:szCs w:val="24"/>
        </w:rPr>
      </w:pPr>
    </w:p>
    <w:p w14:paraId="2207F159" w14:textId="243456D3" w:rsidR="00C4440A" w:rsidRPr="00E40A4F" w:rsidRDefault="00C4440A" w:rsidP="002E7606">
      <w:pPr>
        <w:spacing w:after="0" w:line="480" w:lineRule="auto"/>
        <w:rPr>
          <w:b/>
          <w:sz w:val="24"/>
          <w:szCs w:val="24"/>
        </w:rPr>
      </w:pPr>
    </w:p>
    <w:sectPr w:rsidR="00C4440A" w:rsidRPr="00E40A4F" w:rsidSect="007014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48D87" w14:textId="77777777" w:rsidR="00844443" w:rsidRDefault="00844443" w:rsidP="003A1E94">
      <w:pPr>
        <w:spacing w:after="0" w:line="240" w:lineRule="auto"/>
      </w:pPr>
      <w:r>
        <w:separator/>
      </w:r>
    </w:p>
  </w:endnote>
  <w:endnote w:type="continuationSeparator" w:id="0">
    <w:p w14:paraId="09FD9B84" w14:textId="77777777" w:rsidR="00844443" w:rsidRDefault="00844443" w:rsidP="003A1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TSY">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21FC7" w14:textId="77777777" w:rsidR="00844443" w:rsidRDefault="00844443" w:rsidP="003A1E94">
      <w:pPr>
        <w:spacing w:after="0" w:line="240" w:lineRule="auto"/>
      </w:pPr>
      <w:r>
        <w:separator/>
      </w:r>
    </w:p>
  </w:footnote>
  <w:footnote w:type="continuationSeparator" w:id="0">
    <w:p w14:paraId="16835BB7" w14:textId="77777777" w:rsidR="00844443" w:rsidRDefault="00844443" w:rsidP="003A1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50513"/>
    <w:multiLevelType w:val="hybridMultilevel"/>
    <w:tmpl w:val="8A52DA4E"/>
    <w:lvl w:ilvl="0" w:tplc="AF340F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D0715A"/>
    <w:multiLevelType w:val="hybridMultilevel"/>
    <w:tmpl w:val="4A4C9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8A"/>
    <w:rsid w:val="00004FC6"/>
    <w:rsid w:val="000175D1"/>
    <w:rsid w:val="0001776A"/>
    <w:rsid w:val="00042F62"/>
    <w:rsid w:val="00067EC0"/>
    <w:rsid w:val="000951DC"/>
    <w:rsid w:val="000B4C7A"/>
    <w:rsid w:val="000D7E1B"/>
    <w:rsid w:val="00103F30"/>
    <w:rsid w:val="00130DED"/>
    <w:rsid w:val="00156F8A"/>
    <w:rsid w:val="001831D7"/>
    <w:rsid w:val="001907DC"/>
    <w:rsid w:val="001A7898"/>
    <w:rsid w:val="001B2B0D"/>
    <w:rsid w:val="001E6BED"/>
    <w:rsid w:val="00251574"/>
    <w:rsid w:val="002534F8"/>
    <w:rsid w:val="00257318"/>
    <w:rsid w:val="00265846"/>
    <w:rsid w:val="002B094C"/>
    <w:rsid w:val="002E15BC"/>
    <w:rsid w:val="002E7606"/>
    <w:rsid w:val="002F639D"/>
    <w:rsid w:val="003141B7"/>
    <w:rsid w:val="00324EB4"/>
    <w:rsid w:val="00352AF1"/>
    <w:rsid w:val="003A1E94"/>
    <w:rsid w:val="003B38FE"/>
    <w:rsid w:val="003C552A"/>
    <w:rsid w:val="00415562"/>
    <w:rsid w:val="00432CD0"/>
    <w:rsid w:val="00442E6D"/>
    <w:rsid w:val="00444115"/>
    <w:rsid w:val="00447406"/>
    <w:rsid w:val="004657D8"/>
    <w:rsid w:val="00470070"/>
    <w:rsid w:val="004B1B87"/>
    <w:rsid w:val="004C13FE"/>
    <w:rsid w:val="004C688C"/>
    <w:rsid w:val="004D4041"/>
    <w:rsid w:val="004E34BB"/>
    <w:rsid w:val="005208FF"/>
    <w:rsid w:val="00524BB7"/>
    <w:rsid w:val="00526E8E"/>
    <w:rsid w:val="005411A8"/>
    <w:rsid w:val="00566529"/>
    <w:rsid w:val="00592520"/>
    <w:rsid w:val="005D6161"/>
    <w:rsid w:val="00610391"/>
    <w:rsid w:val="00611448"/>
    <w:rsid w:val="00634A81"/>
    <w:rsid w:val="006444DB"/>
    <w:rsid w:val="00653144"/>
    <w:rsid w:val="00655DFC"/>
    <w:rsid w:val="0068201C"/>
    <w:rsid w:val="00682514"/>
    <w:rsid w:val="006A1066"/>
    <w:rsid w:val="006B243D"/>
    <w:rsid w:val="006C7B71"/>
    <w:rsid w:val="006D02DF"/>
    <w:rsid w:val="006D3A83"/>
    <w:rsid w:val="006F189A"/>
    <w:rsid w:val="006F3E61"/>
    <w:rsid w:val="0070144F"/>
    <w:rsid w:val="00723C9D"/>
    <w:rsid w:val="00733674"/>
    <w:rsid w:val="00793AF4"/>
    <w:rsid w:val="007B3788"/>
    <w:rsid w:val="007D1307"/>
    <w:rsid w:val="007E117F"/>
    <w:rsid w:val="00805CE2"/>
    <w:rsid w:val="008119CF"/>
    <w:rsid w:val="00844443"/>
    <w:rsid w:val="00847C5C"/>
    <w:rsid w:val="00860024"/>
    <w:rsid w:val="00883634"/>
    <w:rsid w:val="00894849"/>
    <w:rsid w:val="00895393"/>
    <w:rsid w:val="008E0036"/>
    <w:rsid w:val="008E5368"/>
    <w:rsid w:val="008E62AA"/>
    <w:rsid w:val="008F202C"/>
    <w:rsid w:val="009057F9"/>
    <w:rsid w:val="00905B4D"/>
    <w:rsid w:val="00913DEF"/>
    <w:rsid w:val="00947A92"/>
    <w:rsid w:val="009561D5"/>
    <w:rsid w:val="00970509"/>
    <w:rsid w:val="009800DB"/>
    <w:rsid w:val="00995C16"/>
    <w:rsid w:val="009C0777"/>
    <w:rsid w:val="009F34F1"/>
    <w:rsid w:val="00A17273"/>
    <w:rsid w:val="00A80DCB"/>
    <w:rsid w:val="00AA1B1E"/>
    <w:rsid w:val="00AD75E1"/>
    <w:rsid w:val="00AD7B78"/>
    <w:rsid w:val="00AF4279"/>
    <w:rsid w:val="00B07138"/>
    <w:rsid w:val="00B17D40"/>
    <w:rsid w:val="00B259A9"/>
    <w:rsid w:val="00B42AF1"/>
    <w:rsid w:val="00B4450B"/>
    <w:rsid w:val="00B84CF1"/>
    <w:rsid w:val="00B91551"/>
    <w:rsid w:val="00B94743"/>
    <w:rsid w:val="00B9674C"/>
    <w:rsid w:val="00BA6E19"/>
    <w:rsid w:val="00BE6540"/>
    <w:rsid w:val="00BF5A40"/>
    <w:rsid w:val="00C4440A"/>
    <w:rsid w:val="00C573DB"/>
    <w:rsid w:val="00C71AB6"/>
    <w:rsid w:val="00C72FAE"/>
    <w:rsid w:val="00C91FE3"/>
    <w:rsid w:val="00CC0E9D"/>
    <w:rsid w:val="00CE1914"/>
    <w:rsid w:val="00CF658A"/>
    <w:rsid w:val="00D2677C"/>
    <w:rsid w:val="00D53E08"/>
    <w:rsid w:val="00D65FDC"/>
    <w:rsid w:val="00D81391"/>
    <w:rsid w:val="00D87513"/>
    <w:rsid w:val="00DE620A"/>
    <w:rsid w:val="00DF62F5"/>
    <w:rsid w:val="00E01EC5"/>
    <w:rsid w:val="00E16315"/>
    <w:rsid w:val="00E2395B"/>
    <w:rsid w:val="00E27969"/>
    <w:rsid w:val="00E317C3"/>
    <w:rsid w:val="00E35EBF"/>
    <w:rsid w:val="00E40A4F"/>
    <w:rsid w:val="00E74D55"/>
    <w:rsid w:val="00E76AAE"/>
    <w:rsid w:val="00E81752"/>
    <w:rsid w:val="00F05FFD"/>
    <w:rsid w:val="00F224DA"/>
    <w:rsid w:val="00F80EF7"/>
    <w:rsid w:val="00F85AAB"/>
    <w:rsid w:val="00FA7024"/>
    <w:rsid w:val="00FB2475"/>
    <w:rsid w:val="00FC6D36"/>
    <w:rsid w:val="00FC7976"/>
    <w:rsid w:val="00FF3BA1"/>
    <w:rsid w:val="00FF6E8B"/>
    <w:rsid w:val="00FF7F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C0A22"/>
  <w15:docId w15:val="{9519BB81-D33B-46CC-9FED-98C1034E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56F8A"/>
    <w:rPr>
      <w:color w:val="0563C1"/>
      <w:u w:val="single"/>
    </w:rPr>
  </w:style>
  <w:style w:type="character" w:styleId="Marquedecommentaire">
    <w:name w:val="annotation reference"/>
    <w:basedOn w:val="Policepardfaut"/>
    <w:uiPriority w:val="99"/>
    <w:semiHidden/>
    <w:unhideWhenUsed/>
    <w:rsid w:val="00805CE2"/>
    <w:rPr>
      <w:sz w:val="16"/>
      <w:szCs w:val="16"/>
    </w:rPr>
  </w:style>
  <w:style w:type="paragraph" w:styleId="Commentaire">
    <w:name w:val="annotation text"/>
    <w:basedOn w:val="Normal"/>
    <w:link w:val="CommentaireCar"/>
    <w:uiPriority w:val="99"/>
    <w:unhideWhenUsed/>
    <w:rsid w:val="00805CE2"/>
    <w:pPr>
      <w:spacing w:after="200" w:line="240" w:lineRule="auto"/>
    </w:pPr>
    <w:rPr>
      <w:sz w:val="20"/>
      <w:szCs w:val="20"/>
      <w:lang w:val="fr-CA"/>
    </w:rPr>
  </w:style>
  <w:style w:type="character" w:customStyle="1" w:styleId="CommentaireCar">
    <w:name w:val="Commentaire Car"/>
    <w:basedOn w:val="Policepardfaut"/>
    <w:link w:val="Commentaire"/>
    <w:uiPriority w:val="99"/>
    <w:rsid w:val="00805CE2"/>
    <w:rPr>
      <w:sz w:val="20"/>
      <w:szCs w:val="20"/>
      <w:lang w:val="fr-CA"/>
    </w:rPr>
  </w:style>
  <w:style w:type="paragraph" w:styleId="Textedebulles">
    <w:name w:val="Balloon Text"/>
    <w:basedOn w:val="Normal"/>
    <w:link w:val="TextedebullesCar"/>
    <w:uiPriority w:val="99"/>
    <w:semiHidden/>
    <w:unhideWhenUsed/>
    <w:rsid w:val="00805C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5CE2"/>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947A92"/>
    <w:pPr>
      <w:spacing w:after="160"/>
    </w:pPr>
    <w:rPr>
      <w:b/>
      <w:bCs/>
      <w:lang w:val="en-US"/>
    </w:rPr>
  </w:style>
  <w:style w:type="character" w:customStyle="1" w:styleId="ObjetducommentaireCar">
    <w:name w:val="Objet du commentaire Car"/>
    <w:basedOn w:val="CommentaireCar"/>
    <w:link w:val="Objetducommentaire"/>
    <w:uiPriority w:val="99"/>
    <w:semiHidden/>
    <w:rsid w:val="00947A92"/>
    <w:rPr>
      <w:b/>
      <w:bCs/>
      <w:sz w:val="20"/>
      <w:szCs w:val="20"/>
      <w:lang w:val="fr-CA"/>
    </w:rPr>
  </w:style>
  <w:style w:type="character" w:styleId="Numrodeligne">
    <w:name w:val="line number"/>
    <w:basedOn w:val="Policepardfaut"/>
    <w:uiPriority w:val="99"/>
    <w:semiHidden/>
    <w:unhideWhenUsed/>
    <w:rsid w:val="000B4C7A"/>
  </w:style>
  <w:style w:type="paragraph" w:styleId="Paragraphedeliste">
    <w:name w:val="List Paragraph"/>
    <w:basedOn w:val="Normal"/>
    <w:uiPriority w:val="34"/>
    <w:qFormat/>
    <w:rsid w:val="006C7B71"/>
    <w:pPr>
      <w:ind w:left="720"/>
      <w:contextualSpacing/>
    </w:pPr>
  </w:style>
  <w:style w:type="paragraph" w:styleId="En-tte">
    <w:name w:val="header"/>
    <w:basedOn w:val="Normal"/>
    <w:link w:val="En-tteCar"/>
    <w:uiPriority w:val="99"/>
    <w:unhideWhenUsed/>
    <w:rsid w:val="003A1E94"/>
    <w:pPr>
      <w:tabs>
        <w:tab w:val="center" w:pos="4680"/>
        <w:tab w:val="right" w:pos="9360"/>
      </w:tabs>
      <w:spacing w:after="0" w:line="240" w:lineRule="auto"/>
    </w:pPr>
  </w:style>
  <w:style w:type="character" w:customStyle="1" w:styleId="En-tteCar">
    <w:name w:val="En-tête Car"/>
    <w:basedOn w:val="Policepardfaut"/>
    <w:link w:val="En-tte"/>
    <w:uiPriority w:val="99"/>
    <w:rsid w:val="003A1E94"/>
  </w:style>
  <w:style w:type="paragraph" w:styleId="Pieddepage">
    <w:name w:val="footer"/>
    <w:basedOn w:val="Normal"/>
    <w:link w:val="PieddepageCar"/>
    <w:uiPriority w:val="99"/>
    <w:unhideWhenUsed/>
    <w:rsid w:val="003A1E9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A1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6362">
      <w:bodyDiv w:val="1"/>
      <w:marLeft w:val="0"/>
      <w:marRight w:val="0"/>
      <w:marTop w:val="0"/>
      <w:marBottom w:val="0"/>
      <w:divBdr>
        <w:top w:val="none" w:sz="0" w:space="0" w:color="auto"/>
        <w:left w:val="none" w:sz="0" w:space="0" w:color="auto"/>
        <w:bottom w:val="none" w:sz="0" w:space="0" w:color="auto"/>
        <w:right w:val="none" w:sz="0" w:space="0" w:color="auto"/>
      </w:divBdr>
    </w:div>
    <w:div w:id="247734726">
      <w:bodyDiv w:val="1"/>
      <w:marLeft w:val="0"/>
      <w:marRight w:val="0"/>
      <w:marTop w:val="0"/>
      <w:marBottom w:val="0"/>
      <w:divBdr>
        <w:top w:val="none" w:sz="0" w:space="0" w:color="auto"/>
        <w:left w:val="none" w:sz="0" w:space="0" w:color="auto"/>
        <w:bottom w:val="none" w:sz="0" w:space="0" w:color="auto"/>
        <w:right w:val="none" w:sz="0" w:space="0" w:color="auto"/>
      </w:divBdr>
    </w:div>
    <w:div w:id="182986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oleObject" Target="embeddings/oleObject1.bin"/><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7A696-B4DA-4ECB-AE23-2444CCDB9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1396</Words>
  <Characters>7678</Characters>
  <Application>Microsoft Office Word</Application>
  <DocSecurity>0</DocSecurity>
  <Lines>63</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South Carolina</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Ponton, Dominic</dc:creator>
  <cp:lastModifiedBy>Dominic Ponton</cp:lastModifiedBy>
  <cp:revision>4</cp:revision>
  <dcterms:created xsi:type="dcterms:W3CDTF">2019-04-26T20:02:00Z</dcterms:created>
  <dcterms:modified xsi:type="dcterms:W3CDTF">2019-05-17T19:00:00Z</dcterms:modified>
</cp:coreProperties>
</file>