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F5" w:rsidRDefault="00541DF5" w:rsidP="00541DF5">
      <w:pPr>
        <w:pStyle w:val="SOMContent"/>
        <w:widowControl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</w:t>
      </w:r>
      <w:r w:rsidRPr="00296313">
        <w:rPr>
          <w:rFonts w:ascii="Arial" w:hAnsi="Arial" w:cs="Arial"/>
          <w:b/>
        </w:rPr>
        <w:t>igure</w:t>
      </w:r>
      <w:r>
        <w:rPr>
          <w:rFonts w:ascii="Arial" w:hAnsi="Arial" w:cs="Arial"/>
          <w:b/>
        </w:rPr>
        <w:t>s and</w:t>
      </w:r>
      <w:r w:rsidRPr="00296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legends</w:t>
      </w:r>
    </w:p>
    <w:p w:rsidR="00541DF5" w:rsidRPr="00541DF5" w:rsidRDefault="00541DF5" w:rsidP="00541DF5">
      <w:pPr>
        <w:pStyle w:val="SOMContent"/>
        <w:widowControl w:val="0"/>
        <w:spacing w:line="480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4105275" cy="40678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-AUR RACK AJU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06" cy="407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DF5">
        <w:rPr>
          <w:sz w:val="28"/>
          <w:szCs w:val="28"/>
        </w:rPr>
        <w:t>Bai et al., supplementary figure S1</w:t>
      </w:r>
    </w:p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 1 RACK1 is a</w:t>
      </w:r>
      <w:r w:rsidR="003D666B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interactor of Ajuba</w:t>
      </w:r>
    </w:p>
    <w:p w:rsidR="00541DF5" w:rsidRPr="00541DF5" w:rsidRDefault="00541DF5" w:rsidP="00F51FB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DF5">
        <w:rPr>
          <w:rFonts w:ascii="Times New Roman" w:hAnsi="Times New Roman" w:cs="Times New Roman"/>
          <w:sz w:val="24"/>
          <w:szCs w:val="24"/>
        </w:rPr>
        <w:t>RACK1 interacts with Aurora-A in vivo. 293T cells were transfected with Myc-Ajuba plus HA-RACK1 or Myc-Aurora-A plus HA-RACK1 and cell lysates were analyzed by immunoprecipitation (IP: Myc) and western blotting with anti-Myc or HA antibodies respectively. Whole-cell lysates were blotted and shown as the input.</w:t>
      </w:r>
      <w:r w:rsidR="003D666B">
        <w:rPr>
          <w:rFonts w:ascii="Times New Roman" w:hAnsi="Times New Roman" w:cs="Times New Roman"/>
          <w:sz w:val="24"/>
          <w:szCs w:val="24"/>
        </w:rPr>
        <w:t xml:space="preserve"> Aurora-A is blocked by the heavy chain of the antibody. </w:t>
      </w:r>
    </w:p>
    <w:p w:rsidR="00541DF5" w:rsidRDefault="00541DF5" w:rsidP="00F51FB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DF5">
        <w:rPr>
          <w:rFonts w:ascii="Times New Roman" w:hAnsi="Times New Roman" w:cs="Times New Roman"/>
          <w:sz w:val="24"/>
          <w:szCs w:val="24"/>
        </w:rPr>
        <w:t xml:space="preserve">RACK1 interact with </w:t>
      </w:r>
      <w:r w:rsidR="003D666B">
        <w:rPr>
          <w:rFonts w:ascii="Times New Roman" w:hAnsi="Times New Roman" w:cs="Times New Roman"/>
          <w:sz w:val="24"/>
          <w:szCs w:val="24"/>
        </w:rPr>
        <w:t>Ajuba</w:t>
      </w:r>
      <w:r w:rsidRPr="00541DF5">
        <w:rPr>
          <w:rFonts w:ascii="Times New Roman" w:hAnsi="Times New Roman" w:cs="Times New Roman"/>
          <w:sz w:val="24"/>
          <w:szCs w:val="24"/>
        </w:rPr>
        <w:t xml:space="preserve"> in vivo at the endogenous protein level. HeLa cells lysates were subjected to immunoprecipitation using antibody of RACK1. Whole –cell lysates and precipitates were blotted using Ajuba and RACK1 antibodies</w:t>
      </w:r>
      <w:r w:rsidR="00F51FBB">
        <w:rPr>
          <w:rFonts w:ascii="Times New Roman" w:hAnsi="Times New Roman" w:cs="Times New Roman"/>
          <w:sz w:val="24"/>
          <w:szCs w:val="24"/>
        </w:rPr>
        <w:t>.</w:t>
      </w:r>
    </w:p>
    <w:p w:rsidR="003D666B" w:rsidRPr="003D666B" w:rsidRDefault="003D666B" w:rsidP="003D6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66B">
        <w:rPr>
          <w:sz w:val="28"/>
          <w:szCs w:val="28"/>
        </w:rPr>
        <w:lastRenderedPageBreak/>
        <w:t>Bai</w:t>
      </w:r>
      <w:r w:rsidRPr="003D666B">
        <w:rPr>
          <w:sz w:val="28"/>
          <w:szCs w:val="28"/>
        </w:rPr>
        <w:t xml:space="preserve"> et al., supplementary figure S2</w:t>
      </w: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3048000" cy="28803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ur-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3D666B">
      <w:pPr>
        <w:rPr>
          <w:rFonts w:ascii="Arial" w:hAnsi="Arial" w:cs="Arial"/>
          <w:b/>
        </w:rPr>
      </w:pPr>
    </w:p>
    <w:p w:rsidR="003D666B" w:rsidRPr="003D666B" w:rsidRDefault="003D666B" w:rsidP="003D666B">
      <w:pPr>
        <w:rPr>
          <w:rFonts w:ascii="Arial" w:hAnsi="Arial" w:cs="Arial"/>
          <w:b/>
          <w:sz w:val="24"/>
          <w:szCs w:val="24"/>
        </w:rPr>
      </w:pPr>
      <w:r w:rsidRPr="003D666B">
        <w:rPr>
          <w:rFonts w:ascii="Arial" w:hAnsi="Arial" w:cs="Arial"/>
          <w:b/>
          <w:sz w:val="24"/>
          <w:szCs w:val="24"/>
        </w:rPr>
        <w:t xml:space="preserve">Supplementary Figure </w:t>
      </w:r>
      <w:r w:rsidRPr="003D666B">
        <w:rPr>
          <w:rFonts w:ascii="Arial" w:hAnsi="Arial" w:cs="Arial"/>
          <w:b/>
          <w:sz w:val="24"/>
          <w:szCs w:val="24"/>
        </w:rPr>
        <w:t>2</w:t>
      </w:r>
      <w:r w:rsidRPr="003D666B">
        <w:rPr>
          <w:rFonts w:ascii="Arial" w:hAnsi="Arial" w:cs="Arial"/>
          <w:b/>
          <w:sz w:val="24"/>
          <w:szCs w:val="24"/>
        </w:rPr>
        <w:t xml:space="preserve"> </w:t>
      </w:r>
      <w:r w:rsidRPr="003D666B">
        <w:rPr>
          <w:rFonts w:ascii="Arial" w:hAnsi="Arial" w:cs="Arial"/>
          <w:b/>
          <w:sz w:val="24"/>
          <w:szCs w:val="24"/>
        </w:rPr>
        <w:t xml:space="preserve">RACK1 and Aurora-A knock down efficiency </w:t>
      </w:r>
    </w:p>
    <w:p w:rsidR="003D666B" w:rsidRPr="003D666B" w:rsidRDefault="003D666B" w:rsidP="003D666B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66B">
        <w:rPr>
          <w:rFonts w:ascii="Times New Roman" w:hAnsi="Times New Roman" w:cs="Times New Roman"/>
          <w:sz w:val="24"/>
          <w:szCs w:val="24"/>
        </w:rPr>
        <w:t xml:space="preserve">Western blot of Aurora-A using lysates from HeLa cells treated with control siRNA or Aurora-A siRNA, actin serves as internal control. </w:t>
      </w:r>
    </w:p>
    <w:p w:rsidR="003D666B" w:rsidRPr="003D666B" w:rsidRDefault="003D666B" w:rsidP="003D666B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66B">
        <w:rPr>
          <w:rFonts w:ascii="Times New Roman" w:hAnsi="Times New Roman" w:cs="Times New Roman"/>
          <w:sz w:val="24"/>
          <w:szCs w:val="24"/>
        </w:rPr>
        <w:t xml:space="preserve">Western blot </w:t>
      </w:r>
      <w:r w:rsidRPr="003D666B">
        <w:rPr>
          <w:rFonts w:ascii="Times New Roman" w:hAnsi="Times New Roman" w:cs="Times New Roman"/>
          <w:sz w:val="24"/>
          <w:szCs w:val="24"/>
        </w:rPr>
        <w:t xml:space="preserve">of RACK1 </w:t>
      </w:r>
      <w:r w:rsidRPr="003D666B">
        <w:rPr>
          <w:rFonts w:ascii="Times New Roman" w:hAnsi="Times New Roman" w:cs="Times New Roman"/>
          <w:sz w:val="24"/>
          <w:szCs w:val="24"/>
        </w:rPr>
        <w:t xml:space="preserve">using lysates from HeLa cells treated with control siRNA or </w:t>
      </w:r>
      <w:r w:rsidRPr="003D666B">
        <w:rPr>
          <w:rFonts w:ascii="Times New Roman" w:hAnsi="Times New Roman" w:cs="Times New Roman"/>
          <w:sz w:val="24"/>
          <w:szCs w:val="24"/>
        </w:rPr>
        <w:t>RACK1</w:t>
      </w:r>
      <w:r w:rsidRPr="003D666B">
        <w:rPr>
          <w:rFonts w:ascii="Times New Roman" w:hAnsi="Times New Roman" w:cs="Times New Roman"/>
          <w:sz w:val="24"/>
          <w:szCs w:val="24"/>
        </w:rPr>
        <w:t xml:space="preserve"> siRNA</w:t>
      </w:r>
      <w:r w:rsidRPr="003D666B">
        <w:rPr>
          <w:rFonts w:ascii="Times New Roman" w:hAnsi="Times New Roman" w:cs="Times New Roman"/>
          <w:sz w:val="24"/>
          <w:szCs w:val="24"/>
        </w:rPr>
        <w:t>, actin serves as internal control.</w:t>
      </w:r>
      <w:r w:rsidRPr="003D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66B" w:rsidRPr="003D666B" w:rsidRDefault="003D666B" w:rsidP="003D666B">
      <w:pPr>
        <w:ind w:left="360"/>
        <w:rPr>
          <w:rFonts w:ascii="Arial" w:hAnsi="Arial" w:cs="Arial"/>
          <w:b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 w:rsidP="00541DF5">
      <w:pPr>
        <w:pStyle w:val="SOMContent"/>
        <w:widowControl w:val="0"/>
        <w:spacing w:line="480" w:lineRule="auto"/>
        <w:rPr>
          <w:sz w:val="28"/>
          <w:szCs w:val="28"/>
        </w:rPr>
      </w:pPr>
    </w:p>
    <w:p w:rsidR="003D666B" w:rsidRDefault="003D666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41DF5" w:rsidRPr="00541DF5" w:rsidRDefault="00541DF5" w:rsidP="00541DF5">
      <w:pPr>
        <w:pStyle w:val="SOMContent"/>
        <w:widowControl w:val="0"/>
        <w:spacing w:line="480" w:lineRule="auto"/>
        <w:rPr>
          <w:rFonts w:ascii="Arial" w:hAnsi="Arial" w:cs="Arial"/>
          <w:b/>
        </w:rPr>
      </w:pPr>
      <w:r w:rsidRPr="00541DF5">
        <w:rPr>
          <w:sz w:val="28"/>
          <w:szCs w:val="28"/>
        </w:rPr>
        <w:lastRenderedPageBreak/>
        <w:t>Bai</w:t>
      </w:r>
      <w:r>
        <w:rPr>
          <w:sz w:val="28"/>
          <w:szCs w:val="28"/>
        </w:rPr>
        <w:t xml:space="preserve"> et al., supplementary figure S</w:t>
      </w:r>
      <w:r w:rsidR="003D666B">
        <w:rPr>
          <w:sz w:val="28"/>
          <w:szCs w:val="28"/>
        </w:rPr>
        <w:t>3</w:t>
      </w:r>
    </w:p>
    <w:p w:rsidR="00541DF5" w:rsidRDefault="00541D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275590</wp:posOffset>
            </wp:positionV>
            <wp:extent cx="3517265" cy="3718560"/>
            <wp:effectExtent l="0" t="0" r="6985" b="0"/>
            <wp:wrapTight wrapText="bothSides">
              <wp:wrapPolygon edited="0">
                <wp:start x="0" y="0"/>
                <wp:lineTo x="0" y="21467"/>
                <wp:lineTo x="21526" y="21467"/>
                <wp:lineTo x="21526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so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/>
    <w:p w:rsidR="00541DF5" w:rsidRDefault="00541DF5">
      <w:pPr>
        <w:rPr>
          <w:rFonts w:ascii="Times New Roman" w:hAnsi="Times New Roman"/>
          <w:szCs w:val="24"/>
        </w:rPr>
      </w:pPr>
    </w:p>
    <w:p w:rsidR="00541DF5" w:rsidRDefault="00541DF5">
      <w:pPr>
        <w:rPr>
          <w:rFonts w:ascii="Times New Roman" w:hAnsi="Times New Roman"/>
          <w:szCs w:val="24"/>
        </w:rPr>
      </w:pPr>
    </w:p>
    <w:p w:rsidR="00541DF5" w:rsidRDefault="00541DF5">
      <w:pPr>
        <w:rPr>
          <w:rFonts w:ascii="Times New Roman" w:hAnsi="Times New Roman"/>
          <w:szCs w:val="24"/>
        </w:rPr>
      </w:pPr>
    </w:p>
    <w:p w:rsidR="00541DF5" w:rsidRPr="00541DF5" w:rsidRDefault="00541DF5" w:rsidP="00F51FB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Figure </w:t>
      </w:r>
      <w:r w:rsidR="003D666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F51FBB">
        <w:rPr>
          <w:rFonts w:ascii="Times New Roman" w:hAnsi="Times New Roman" w:cs="Times New Roman"/>
          <w:sz w:val="24"/>
          <w:szCs w:val="24"/>
        </w:rPr>
        <w:t xml:space="preserve"> </w:t>
      </w:r>
      <w:r w:rsidRPr="00F51FBB">
        <w:rPr>
          <w:rFonts w:ascii="Times New Roman" w:hAnsi="Times New Roman" w:cs="Times New Roman" w:hint="eastAsia"/>
          <w:sz w:val="24"/>
          <w:szCs w:val="24"/>
        </w:rPr>
        <w:t>RACK1</w:t>
      </w:r>
      <w:r w:rsidRPr="00F51FBB">
        <w:rPr>
          <w:rFonts w:ascii="Times New Roman" w:hAnsi="Times New Roman" w:cs="Times New Roman"/>
          <w:sz w:val="24"/>
          <w:szCs w:val="24"/>
        </w:rPr>
        <w:t xml:space="preserve"> 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F51FBB">
        <w:rPr>
          <w:rFonts w:ascii="Times New Roman" w:hAnsi="Times New Roman" w:cs="Times New Roman"/>
          <w:sz w:val="24"/>
          <w:szCs w:val="24"/>
        </w:rPr>
        <w:t>essential for bipolar spindle assembly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51FBB">
        <w:rPr>
          <w:rFonts w:ascii="Times New Roman" w:hAnsi="Times New Roman" w:cs="Times New Roman"/>
          <w:sz w:val="24"/>
          <w:szCs w:val="24"/>
        </w:rPr>
        <w:t>H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ela cells treated with control siRNA or RACK1 </w:t>
      </w:r>
      <w:bookmarkStart w:id="0" w:name="_GoBack"/>
      <w:bookmarkEnd w:id="0"/>
      <w:r w:rsidRPr="00F51FBB">
        <w:rPr>
          <w:rFonts w:ascii="Times New Roman" w:hAnsi="Times New Roman" w:cs="Times New Roman" w:hint="eastAsia"/>
          <w:sz w:val="24"/>
          <w:szCs w:val="24"/>
        </w:rPr>
        <w:t xml:space="preserve">siRNA were </w:t>
      </w:r>
      <w:r w:rsidRPr="00F51FBB">
        <w:rPr>
          <w:rFonts w:ascii="Times New Roman" w:hAnsi="Times New Roman" w:cs="Times New Roman"/>
          <w:sz w:val="24"/>
          <w:szCs w:val="24"/>
        </w:rPr>
        <w:t>synchronized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by using double </w:t>
      </w:r>
      <w:r w:rsidRPr="00F51FBB">
        <w:rPr>
          <w:rFonts w:ascii="Times New Roman" w:hAnsi="Times New Roman" w:cs="Times New Roman"/>
          <w:sz w:val="24"/>
          <w:szCs w:val="24"/>
        </w:rPr>
        <w:t>thymidine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block, </w:t>
      </w:r>
      <w:r w:rsidRPr="00F51FBB">
        <w:rPr>
          <w:rFonts w:ascii="Times New Roman" w:hAnsi="Times New Roman" w:cs="Times New Roman"/>
          <w:sz w:val="24"/>
          <w:szCs w:val="24"/>
        </w:rPr>
        <w:t>and then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analyze</w:t>
      </w:r>
      <w:r w:rsidRPr="00F51FBB">
        <w:rPr>
          <w:rFonts w:ascii="Times New Roman" w:hAnsi="Times New Roman" w:cs="Times New Roman"/>
          <w:sz w:val="24"/>
          <w:szCs w:val="24"/>
        </w:rPr>
        <w:t>d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Pr="00F51FBB">
        <w:rPr>
          <w:rFonts w:ascii="Times New Roman" w:hAnsi="Times New Roman" w:cs="Times New Roman"/>
          <w:sz w:val="24"/>
          <w:szCs w:val="24"/>
        </w:rPr>
        <w:t xml:space="preserve">Immunofluorescence 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staining using </w:t>
      </w:r>
      <w:r w:rsidRPr="00F51FBB">
        <w:rPr>
          <w:rFonts w:ascii="Times New Roman" w:hAnsi="Times New Roman" w:cs="Times New Roman"/>
          <w:sz w:val="24"/>
          <w:szCs w:val="24"/>
        </w:rPr>
        <w:t>indicated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antibodies.</w:t>
      </w:r>
      <w:r w:rsidRPr="00F51FBB">
        <w:rPr>
          <w:rFonts w:ascii="Times New Roman" w:hAnsi="Times New Roman" w:cs="Times New Roman"/>
          <w:sz w:val="24"/>
          <w:szCs w:val="24"/>
        </w:rPr>
        <w:t xml:space="preserve"> The percentages of cells with 2 or multiple centrosomes were</w:t>
      </w:r>
      <w:r w:rsidRPr="00F51F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1FBB">
        <w:rPr>
          <w:rFonts w:ascii="Times New Roman" w:hAnsi="Times New Roman" w:cs="Times New Roman"/>
          <w:sz w:val="24"/>
          <w:szCs w:val="24"/>
        </w:rPr>
        <w:t>quantified.</w:t>
      </w:r>
    </w:p>
    <w:sectPr w:rsidR="00541DF5" w:rsidRPr="0054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73" w:rsidRDefault="00463473" w:rsidP="003D666B">
      <w:pPr>
        <w:spacing w:after="0" w:line="240" w:lineRule="auto"/>
      </w:pPr>
      <w:r>
        <w:separator/>
      </w:r>
    </w:p>
  </w:endnote>
  <w:endnote w:type="continuationSeparator" w:id="0">
    <w:p w:rsidR="00463473" w:rsidRDefault="00463473" w:rsidP="003D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73" w:rsidRDefault="00463473" w:rsidP="003D666B">
      <w:pPr>
        <w:spacing w:after="0" w:line="240" w:lineRule="auto"/>
      </w:pPr>
      <w:r>
        <w:separator/>
      </w:r>
    </w:p>
  </w:footnote>
  <w:footnote w:type="continuationSeparator" w:id="0">
    <w:p w:rsidR="00463473" w:rsidRDefault="00463473" w:rsidP="003D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DFB"/>
    <w:multiLevelType w:val="hybridMultilevel"/>
    <w:tmpl w:val="7F229D72"/>
    <w:lvl w:ilvl="0" w:tplc="78024B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7EB"/>
    <w:multiLevelType w:val="hybridMultilevel"/>
    <w:tmpl w:val="A9162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4467"/>
    <w:multiLevelType w:val="hybridMultilevel"/>
    <w:tmpl w:val="71CE5CA0"/>
    <w:lvl w:ilvl="0" w:tplc="B04266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24B6"/>
    <w:multiLevelType w:val="hybridMultilevel"/>
    <w:tmpl w:val="C8666416"/>
    <w:lvl w:ilvl="0" w:tplc="FAE232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5"/>
    <w:rsid w:val="003D666B"/>
    <w:rsid w:val="004009F0"/>
    <w:rsid w:val="00463473"/>
    <w:rsid w:val="00541DF5"/>
    <w:rsid w:val="00E25251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24366-4671-4116-9973-F5B8CCF6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MContent">
    <w:name w:val="SOMContent"/>
    <w:basedOn w:val="a"/>
    <w:rsid w:val="00541D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41D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D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D666B"/>
  </w:style>
  <w:style w:type="paragraph" w:styleId="a5">
    <w:name w:val="footer"/>
    <w:basedOn w:val="a"/>
    <w:link w:val="Char0"/>
    <w:uiPriority w:val="99"/>
    <w:unhideWhenUsed/>
    <w:rsid w:val="003D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D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Meirong Bai</dc:creator>
  <cp:keywords/>
  <dc:description/>
  <cp:lastModifiedBy>Meirong Bai</cp:lastModifiedBy>
  <cp:revision>2</cp:revision>
  <dcterms:created xsi:type="dcterms:W3CDTF">2019-02-03T06:29:00Z</dcterms:created>
  <dcterms:modified xsi:type="dcterms:W3CDTF">2019-02-03T06:29:00Z</dcterms:modified>
</cp:coreProperties>
</file>